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680BB1E3" w14:textId="77777777" w:rsidR="00FA2B47" w:rsidRDefault="00FA2B47" w:rsidP="00FA2B47">
            <w:pPr>
              <w:ind w:right="-957"/>
              <w:rPr>
                <w:rFonts w:ascii="Times New Roman" w:hAnsi="Times New Roman" w:cs="Times New Roman"/>
                <w:b/>
                <w:sz w:val="48"/>
              </w:rPr>
            </w:pPr>
            <w:r>
              <w:rPr>
                <w:rFonts w:ascii="Times New Roman" w:hAnsi="Times New Roman" w:cs="Times New Roman"/>
                <w:b/>
                <w:sz w:val="48"/>
              </w:rPr>
              <w:t>Learner’s name: David Langley</w:t>
            </w:r>
          </w:p>
          <w:p w14:paraId="23B4307A" w14:textId="77777777" w:rsidR="00FA2B47" w:rsidRDefault="00FA2B47" w:rsidP="00FA2B47">
            <w:pPr>
              <w:ind w:right="-957"/>
              <w:rPr>
                <w:rFonts w:ascii="Times New Roman" w:hAnsi="Times New Roman" w:cs="Times New Roman"/>
                <w:b/>
                <w:sz w:val="48"/>
              </w:rPr>
            </w:pPr>
          </w:p>
          <w:p w14:paraId="52B47815" w14:textId="77777777" w:rsidR="00FA2B47" w:rsidRDefault="00FA2B47" w:rsidP="00FA2B47">
            <w:pPr>
              <w:ind w:right="-957"/>
              <w:rPr>
                <w:rFonts w:ascii="Times New Roman" w:hAnsi="Times New Roman" w:cs="Times New Roman"/>
                <w:b/>
                <w:sz w:val="48"/>
              </w:rPr>
            </w:pPr>
            <w:r>
              <w:rPr>
                <w:rFonts w:ascii="Times New Roman" w:hAnsi="Times New Roman" w:cs="Times New Roman"/>
                <w:b/>
                <w:sz w:val="48"/>
              </w:rPr>
              <w:t>Email address: 0951604@student.uwtsd.ac.uk</w:t>
            </w:r>
          </w:p>
          <w:p w14:paraId="706FAD92" w14:textId="77777777" w:rsidR="00FA2B47" w:rsidRDefault="00FA2B47" w:rsidP="00FA2B47">
            <w:pPr>
              <w:ind w:right="-957"/>
              <w:rPr>
                <w:rFonts w:ascii="Times New Roman" w:hAnsi="Times New Roman" w:cs="Times New Roman"/>
                <w:b/>
                <w:sz w:val="48"/>
              </w:rPr>
            </w:pPr>
          </w:p>
          <w:p w14:paraId="0762A21E" w14:textId="77777777" w:rsidR="00FA2B47" w:rsidRDefault="00FA2B47" w:rsidP="00FA2B47">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5174C3C8" w14:textId="4EAE8EAE" w:rsidR="00943FDB" w:rsidRPr="005D3F07" w:rsidRDefault="00FA2B47" w:rsidP="00415891">
            <w:pPr>
              <w:ind w:right="-957"/>
              <w:rPr>
                <w:rFonts w:ascii="Times New Roman" w:hAnsi="Times New Roman" w:cs="Times New Roman"/>
                <w:b/>
                <w:sz w:val="48"/>
              </w:rPr>
            </w:pPr>
            <w:r>
              <w:rPr>
                <w:rFonts w:ascii="Times New Roman" w:hAnsi="Times New Roman" w:cs="Times New Roman"/>
                <w:b/>
                <w:sz w:val="48"/>
              </w:rPr>
              <w:t>0951604</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32BA60D" w14:textId="77777777" w:rsidR="001A174B" w:rsidRPr="00B555F9" w:rsidRDefault="001A174B" w:rsidP="001A174B">
      <w:pPr>
        <w:jc w:val="both"/>
        <w:rPr>
          <w:b/>
          <w:bCs/>
        </w:rPr>
      </w:pPr>
      <w:r w:rsidRPr="00B555F9">
        <w:rPr>
          <w:b/>
          <w:bCs/>
        </w:rPr>
        <w:lastRenderedPageBreak/>
        <w:t>Task 1 Part A</w:t>
      </w:r>
    </w:p>
    <w:p w14:paraId="4C8E31F0" w14:textId="77777777" w:rsidR="001A174B" w:rsidRPr="00B555F9" w:rsidRDefault="001A174B" w:rsidP="001A174B">
      <w:pPr>
        <w:jc w:val="both"/>
        <w:rPr>
          <w:b/>
          <w:bCs/>
        </w:rPr>
      </w:pPr>
    </w:p>
    <w:p w14:paraId="061EAFA3" w14:textId="77777777" w:rsidR="001A174B" w:rsidRDefault="001A174B" w:rsidP="001A174B">
      <w:pPr>
        <w:jc w:val="both"/>
      </w:pPr>
      <w:r w:rsidRPr="00B555F9">
        <w:t xml:space="preserve">In this account I use </w:t>
      </w:r>
      <w:r w:rsidRPr="00B555F9">
        <w:rPr>
          <w:noProof/>
        </w:rPr>
        <w:t>Rolfe, et al.’s</w:t>
      </w:r>
      <w:r w:rsidRPr="00B555F9">
        <w:t xml:space="preserve"> model of reflection,</w:t>
      </w:r>
      <w:r>
        <w:t xml:space="preserve"> as it</w:t>
      </w:r>
      <w:r w:rsidRPr="00B555F9">
        <w:t xml:space="preserve"> </w:t>
      </w:r>
      <w:r>
        <w:t>an established</w:t>
      </w:r>
      <w:r w:rsidRPr="00B555F9">
        <w:t xml:space="preserve"> tool for practitioners in </w:t>
      </w:r>
      <w:r>
        <w:t>social care</w:t>
      </w:r>
      <w:r w:rsidRPr="00B555F9">
        <w:t xml:space="preserve"> </w:t>
      </w:r>
      <w:sdt>
        <w:sdtPr>
          <w:id w:val="-1018850809"/>
          <w:citation/>
        </w:sdtPr>
        <w:sdtContent>
          <w:r w:rsidRPr="00B555F9">
            <w:fldChar w:fldCharType="begin"/>
          </w:r>
          <w:r>
            <w:instrText xml:space="preserve">CITATION Placeholder3 \l 2057 </w:instrText>
          </w:r>
          <w:r w:rsidRPr="00B555F9">
            <w:fldChar w:fldCharType="separate"/>
          </w:r>
          <w:r w:rsidRPr="00F165EB">
            <w:rPr>
              <w:noProof/>
            </w:rPr>
            <w:t>(Rolfe, et al., 2001)</w:t>
          </w:r>
          <w:r w:rsidRPr="00B555F9">
            <w:fldChar w:fldCharType="end"/>
          </w:r>
        </w:sdtContent>
      </w:sdt>
      <w:r>
        <w:t xml:space="preserve"> to review their practice</w:t>
      </w:r>
      <w:r w:rsidRPr="00B555F9">
        <w:t xml:space="preserve">. </w:t>
      </w:r>
    </w:p>
    <w:p w14:paraId="6244C5D2" w14:textId="77777777" w:rsidR="001A174B" w:rsidRDefault="001A174B" w:rsidP="001A174B">
      <w:pPr>
        <w:jc w:val="both"/>
      </w:pPr>
    </w:p>
    <w:p w14:paraId="0365FFAE" w14:textId="77777777" w:rsidR="001A174B" w:rsidRDefault="001A174B" w:rsidP="001A174B">
      <w:pPr>
        <w:jc w:val="both"/>
      </w:pPr>
      <w:r>
        <w:t>R</w:t>
      </w:r>
      <w:r w:rsidRPr="00B555F9">
        <w:t>ecently</w:t>
      </w:r>
      <w:r>
        <w:t xml:space="preserve"> I joined an adult learning disability team. Prior to this</w:t>
      </w:r>
      <w:r w:rsidRPr="00B555F9">
        <w:t xml:space="preserve"> I had worked </w:t>
      </w:r>
      <w:r>
        <w:t>in a general social work teams assessing</w:t>
      </w:r>
      <w:r w:rsidRPr="00B555F9">
        <w:t xml:space="preserve"> older adults </w:t>
      </w:r>
      <w:r>
        <w:t>with</w:t>
      </w:r>
      <w:r w:rsidRPr="00B555F9">
        <w:t xml:space="preserve"> age-related illness/disabilities. </w:t>
      </w:r>
      <w:r>
        <w:t>Cases</w:t>
      </w:r>
      <w:r w:rsidRPr="00B555F9">
        <w:t xml:space="preserve"> commonly involve</w:t>
      </w:r>
      <w:r>
        <w:t>d</w:t>
      </w:r>
      <w:r w:rsidRPr="00B555F9">
        <w:t xml:space="preserve"> </w:t>
      </w:r>
      <w:r>
        <w:t>m</w:t>
      </w:r>
      <w:r w:rsidRPr="00B555F9">
        <w:t xml:space="preserve">ental </w:t>
      </w:r>
      <w:r>
        <w:t>c</w:t>
      </w:r>
      <w:r w:rsidRPr="00B555F9">
        <w:t xml:space="preserve">apacity </w:t>
      </w:r>
      <w:r>
        <w:t>a</w:t>
      </w:r>
      <w:r w:rsidRPr="00B555F9">
        <w:t>ssessments</w:t>
      </w:r>
      <w:r>
        <w:t xml:space="preserve"> and b</w:t>
      </w:r>
      <w:r w:rsidRPr="00B555F9">
        <w:t xml:space="preserve">est </w:t>
      </w:r>
      <w:r>
        <w:t>i</w:t>
      </w:r>
      <w:r w:rsidRPr="00B555F9">
        <w:t>nterest</w:t>
      </w:r>
      <w:r>
        <w:t xml:space="preserve"> decisions (Mental Capacity Act </w:t>
      </w:r>
      <w:sdt>
        <w:sdtPr>
          <w:id w:val="-751590101"/>
          <w:citation/>
        </w:sdtPr>
        <w:sdtContent>
          <w:r>
            <w:fldChar w:fldCharType="begin"/>
          </w:r>
          <w:r>
            <w:instrText xml:space="preserve">CITATION Placeholder1 \n  \l 2057 </w:instrText>
          </w:r>
          <w:r>
            <w:fldChar w:fldCharType="separate"/>
          </w:r>
          <w:r w:rsidRPr="00F165EB">
            <w:rPr>
              <w:noProof/>
            </w:rPr>
            <w:t>(2005)</w:t>
          </w:r>
          <w:r>
            <w:fldChar w:fldCharType="end"/>
          </w:r>
        </w:sdtContent>
      </w:sdt>
      <w:r>
        <w:t>)</w:t>
      </w:r>
      <w:r w:rsidRPr="00B555F9">
        <w:t xml:space="preserve">, </w:t>
      </w:r>
      <w:r>
        <w:t>d</w:t>
      </w:r>
      <w:r w:rsidRPr="00B555F9">
        <w:t xml:space="preserve">ecision </w:t>
      </w:r>
      <w:r>
        <w:t>s</w:t>
      </w:r>
      <w:r w:rsidRPr="00B555F9">
        <w:t xml:space="preserve">upport </w:t>
      </w:r>
      <w:r>
        <w:t>t</w:t>
      </w:r>
      <w:r w:rsidRPr="00B555F9">
        <w:t>ool meetings and care planning</w:t>
      </w:r>
      <w:r>
        <w:t xml:space="preserve"> (</w:t>
      </w:r>
      <w:r w:rsidRPr="00B555F9">
        <w:t xml:space="preserve">Social Service and Well-being (Wales) Act </w:t>
      </w:r>
      <w:sdt>
        <w:sdtPr>
          <w:id w:val="-1281871397"/>
          <w:citation/>
        </w:sdtPr>
        <w:sdtContent>
          <w:r w:rsidRPr="00B555F9">
            <w:fldChar w:fldCharType="begin"/>
          </w:r>
          <w:r w:rsidRPr="00B555F9">
            <w:instrText xml:space="preserve">CITATION UKG14 \n  \l 2057 </w:instrText>
          </w:r>
          <w:r w:rsidRPr="00B555F9">
            <w:fldChar w:fldCharType="separate"/>
          </w:r>
          <w:r w:rsidRPr="00B555F9">
            <w:rPr>
              <w:noProof/>
            </w:rPr>
            <w:t>(2014)</w:t>
          </w:r>
          <w:r w:rsidRPr="00B555F9">
            <w:fldChar w:fldCharType="end"/>
          </w:r>
        </w:sdtContent>
      </w:sdt>
      <w:r>
        <w:t>)</w:t>
      </w:r>
      <w:r w:rsidRPr="00B555F9">
        <w:t>.</w:t>
      </w:r>
    </w:p>
    <w:p w14:paraId="7B0E6962" w14:textId="77777777" w:rsidR="001A174B" w:rsidRPr="00EB27A9" w:rsidRDefault="001A174B" w:rsidP="001A174B">
      <w:pPr>
        <w:rPr>
          <w:b/>
          <w:bCs/>
        </w:rPr>
      </w:pPr>
    </w:p>
    <w:p w14:paraId="72EDD720" w14:textId="77777777" w:rsidR="001A174B" w:rsidRPr="00A718DE" w:rsidRDefault="001A174B" w:rsidP="001A174B">
      <w:pPr>
        <w:jc w:val="both"/>
        <w:rPr>
          <w:b/>
          <w:bCs/>
        </w:rPr>
      </w:pPr>
      <w:r w:rsidRPr="00A718DE">
        <w:rPr>
          <w:b/>
          <w:bCs/>
        </w:rPr>
        <w:t>What?</w:t>
      </w:r>
    </w:p>
    <w:p w14:paraId="2962D080" w14:textId="77777777" w:rsidR="001A174B" w:rsidRDefault="001A174B" w:rsidP="001A174B">
      <w:pPr>
        <w:jc w:val="both"/>
      </w:pPr>
      <w:r>
        <w:t>D</w:t>
      </w:r>
      <w:r w:rsidRPr="00B555F9">
        <w:t xml:space="preserve">ue to </w:t>
      </w:r>
      <w:r>
        <w:t xml:space="preserve">the </w:t>
      </w:r>
      <w:r w:rsidRPr="00B555F9">
        <w:t>Covid-19 pandemic</w:t>
      </w:r>
      <w:r w:rsidRPr="007207AC">
        <w:t xml:space="preserve"> </w:t>
      </w:r>
      <w:sdt>
        <w:sdtPr>
          <w:id w:val="1644849666"/>
          <w:citation/>
        </w:sdtPr>
        <w:sdtContent>
          <w:r>
            <w:fldChar w:fldCharType="begin"/>
          </w:r>
          <w:r>
            <w:instrText xml:space="preserve"> CITATION Pas22 \l 2057 </w:instrText>
          </w:r>
          <w:r>
            <w:fldChar w:fldCharType="separate"/>
          </w:r>
          <w:r w:rsidRPr="007207AC">
            <w:rPr>
              <w:noProof/>
            </w:rPr>
            <w:t>(Pascoe, 2022)</w:t>
          </w:r>
          <w:r>
            <w:fldChar w:fldCharType="end"/>
          </w:r>
        </w:sdtContent>
      </w:sdt>
      <w:r>
        <w:t>, my first years in practice were done remotely, and I missed opportunities to observe and be observed and have feedback on my practice</w:t>
      </w:r>
      <w:sdt>
        <w:sdtPr>
          <w:id w:val="1707758395"/>
          <w:citation/>
        </w:sdtPr>
        <w:sdtContent>
          <w:r>
            <w:fldChar w:fldCharType="begin"/>
          </w:r>
          <w:r>
            <w:instrText xml:space="preserve"> CITATION Kin21 \l 2057 </w:instrText>
          </w:r>
          <w:r>
            <w:fldChar w:fldCharType="separate"/>
          </w:r>
          <w:r>
            <w:rPr>
              <w:noProof/>
            </w:rPr>
            <w:t xml:space="preserve"> </w:t>
          </w:r>
          <w:r w:rsidRPr="00CB665C">
            <w:rPr>
              <w:noProof/>
            </w:rPr>
            <w:t>(Kingtone, et al., 2021)</w:t>
          </w:r>
          <w:r>
            <w:fldChar w:fldCharType="end"/>
          </w:r>
        </w:sdtContent>
      </w:sdt>
      <w:r>
        <w:t>. As social distancing ended and practice returned to ‘in person’, I have doubted about my effectiveness in some face-to-face assessments</w:t>
      </w:r>
      <w:r w:rsidRPr="007207AC">
        <w:t xml:space="preserve"> </w:t>
      </w:r>
      <w:sdt>
        <w:sdtPr>
          <w:id w:val="-603183764"/>
          <w:citation/>
        </w:sdtPr>
        <w:sdtContent>
          <w:r>
            <w:fldChar w:fldCharType="begin"/>
          </w:r>
          <w:r>
            <w:instrText xml:space="preserve"> CITATION Sen23 \l 2057 </w:instrText>
          </w:r>
          <w:r>
            <w:fldChar w:fldCharType="separate"/>
          </w:r>
          <w:r w:rsidRPr="00C2567C">
            <w:rPr>
              <w:noProof/>
            </w:rPr>
            <w:t>(Sen, et al., 2023)</w:t>
          </w:r>
          <w:r>
            <w:fldChar w:fldCharType="end"/>
          </w:r>
        </w:sdtContent>
      </w:sdt>
      <w:r>
        <w:t>, particularly where difficult conversations</w:t>
      </w:r>
      <w:r w:rsidRPr="003B1D14">
        <w:t xml:space="preserve"> </w:t>
      </w:r>
      <w:sdt>
        <w:sdtPr>
          <w:id w:val="1117260468"/>
          <w:citation/>
        </w:sdtPr>
        <w:sdtContent>
          <w:r>
            <w:fldChar w:fldCharType="begin"/>
          </w:r>
          <w:r>
            <w:instrText xml:space="preserve"> CITATION Wal23 \l 2057 </w:instrText>
          </w:r>
          <w:r>
            <w:fldChar w:fldCharType="separate"/>
          </w:r>
          <w:r w:rsidRPr="00590141">
            <w:rPr>
              <w:noProof/>
            </w:rPr>
            <w:t>(Wallengren-Lynch, et al., 2023)</w:t>
          </w:r>
          <w:r>
            <w:fldChar w:fldCharType="end"/>
          </w:r>
        </w:sdtContent>
      </w:sdt>
      <w:r>
        <w:t xml:space="preserve"> and professional curiosity were required.</w:t>
      </w:r>
    </w:p>
    <w:p w14:paraId="4EE58B4D" w14:textId="77777777" w:rsidR="001A174B" w:rsidRDefault="001A174B" w:rsidP="001A174B">
      <w:pPr>
        <w:jc w:val="both"/>
      </w:pPr>
    </w:p>
    <w:p w14:paraId="571DE9C7" w14:textId="77777777" w:rsidR="001A174B" w:rsidRPr="00522A76" w:rsidRDefault="001A174B" w:rsidP="001A174B">
      <w:pPr>
        <w:jc w:val="both"/>
        <w:rPr>
          <w:b/>
          <w:bCs/>
        </w:rPr>
      </w:pPr>
      <w:r w:rsidRPr="000324F9">
        <w:rPr>
          <w:b/>
          <w:bCs/>
        </w:rPr>
        <w:t>So What?</w:t>
      </w:r>
    </w:p>
    <w:p w14:paraId="319E6B35" w14:textId="77777777" w:rsidR="001A174B" w:rsidRPr="00B555F9" w:rsidRDefault="001A174B" w:rsidP="001A174B">
      <w:pPr>
        <w:jc w:val="both"/>
      </w:pPr>
      <w:r>
        <w:t>This has highlighted a gap in my skills and at times it has caused me feelings of ‘imposter syndrome’</w:t>
      </w:r>
      <w:sdt>
        <w:sdtPr>
          <w:id w:val="-1898124749"/>
          <w:citation/>
        </w:sdtPr>
        <w:sdtContent>
          <w:r>
            <w:fldChar w:fldCharType="begin"/>
          </w:r>
          <w:r>
            <w:instrText xml:space="preserve"> CITATION Apg24 \l 2057 </w:instrText>
          </w:r>
          <w:r>
            <w:fldChar w:fldCharType="separate"/>
          </w:r>
          <w:r>
            <w:rPr>
              <w:noProof/>
            </w:rPr>
            <w:t xml:space="preserve"> </w:t>
          </w:r>
          <w:r w:rsidRPr="00A718DE">
            <w:rPr>
              <w:noProof/>
            </w:rPr>
            <w:t>(Apgar &amp; Zerrusen, 2024)</w:t>
          </w:r>
          <w:r>
            <w:fldChar w:fldCharType="end"/>
          </w:r>
        </w:sdtContent>
      </w:sdt>
      <w:r>
        <w:t xml:space="preserve"> when attempting to address these emotional and uncomfortable topics. As a result, I have come away from assessments knowing that I have not gathered the best quality information, because I have lacked the confidence to press more on some topics that were uncomfortable in the moment. </w:t>
      </w:r>
    </w:p>
    <w:p w14:paraId="2583AA05" w14:textId="77777777" w:rsidR="001A174B" w:rsidRDefault="001A174B" w:rsidP="001A174B"/>
    <w:p w14:paraId="471E4C85" w14:textId="77777777" w:rsidR="001A174B" w:rsidRPr="009248D6" w:rsidRDefault="001A174B" w:rsidP="001A174B">
      <w:pPr>
        <w:rPr>
          <w:b/>
          <w:bCs/>
        </w:rPr>
      </w:pPr>
      <w:r w:rsidRPr="009248D6">
        <w:rPr>
          <w:b/>
          <w:bCs/>
        </w:rPr>
        <w:t>What Now?</w:t>
      </w:r>
    </w:p>
    <w:p w14:paraId="706A67D3" w14:textId="77777777" w:rsidR="001A174B" w:rsidRDefault="001A174B" w:rsidP="001A174B">
      <w:pPr>
        <w:jc w:val="both"/>
      </w:pPr>
      <w:r w:rsidRPr="00B555F9">
        <w:t xml:space="preserve">During supervision I have agreed to </w:t>
      </w:r>
      <w:r>
        <w:t>that I will be given opportunities to shadow my</w:t>
      </w:r>
      <w:r w:rsidRPr="00B555F9">
        <w:t xml:space="preserve"> colleagues on assessments </w:t>
      </w:r>
      <w:r>
        <w:t>that address the gaps in my skill, with opportunities</w:t>
      </w:r>
      <w:r w:rsidRPr="00B555F9">
        <w:t xml:space="preserve"> to de-brief and discuss</w:t>
      </w:r>
      <w:r>
        <w:t xml:space="preserve"> the interventions</w:t>
      </w:r>
      <w:sdt>
        <w:sdtPr>
          <w:id w:val="1745061736"/>
          <w:citation/>
        </w:sdtPr>
        <w:sdtContent>
          <w:r>
            <w:fldChar w:fldCharType="begin"/>
          </w:r>
          <w:r>
            <w:instrText xml:space="preserve"> CITATION Cav24 \l 2057 </w:instrText>
          </w:r>
          <w:r>
            <w:fldChar w:fldCharType="separate"/>
          </w:r>
          <w:r>
            <w:rPr>
              <w:noProof/>
            </w:rPr>
            <w:t xml:space="preserve"> </w:t>
          </w:r>
          <w:r w:rsidRPr="0057182A">
            <w:rPr>
              <w:noProof/>
            </w:rPr>
            <w:t>(Cavener, et al., 2024)</w:t>
          </w:r>
          <w:r>
            <w:fldChar w:fldCharType="end"/>
          </w:r>
        </w:sdtContent>
      </w:sdt>
      <w:r>
        <w:t>. I will also look for training around exercising professional curiosity effectively and sensitively managing difficult conversations. This</w:t>
      </w:r>
      <w:r w:rsidRPr="00B555F9">
        <w:t xml:space="preserve"> will support </w:t>
      </w:r>
      <w:r>
        <w:t>me to</w:t>
      </w:r>
      <w:r w:rsidRPr="00B555F9">
        <w:t xml:space="preserve"> development</w:t>
      </w:r>
      <w:r>
        <w:t xml:space="preserve"> </w:t>
      </w:r>
      <w:r w:rsidRPr="00B555F9">
        <w:t xml:space="preserve">assessment </w:t>
      </w:r>
      <w:r>
        <w:t xml:space="preserve">skills and improve my ability to effectively gather information that will inform interventions </w:t>
      </w:r>
      <w:sdt>
        <w:sdtPr>
          <w:id w:val="-408460875"/>
          <w:citation/>
        </w:sdtPr>
        <w:sdtContent>
          <w:r>
            <w:fldChar w:fldCharType="begin"/>
          </w:r>
          <w:r>
            <w:instrText xml:space="preserve"> CITATION Soc22 \l 2057 </w:instrText>
          </w:r>
          <w:r>
            <w:fldChar w:fldCharType="separate"/>
          </w:r>
          <w:r w:rsidRPr="00EB27A9">
            <w:rPr>
              <w:noProof/>
            </w:rPr>
            <w:t>(Social Care Wales, 2022)</w:t>
          </w:r>
          <w:r>
            <w:fldChar w:fldCharType="end"/>
          </w:r>
        </w:sdtContent>
      </w:sdt>
      <w:r>
        <w:t xml:space="preserve">. </w:t>
      </w:r>
    </w:p>
    <w:p w14:paraId="3D1DFDDE" w14:textId="77777777" w:rsidR="001A174B" w:rsidRDefault="001A174B" w:rsidP="001A174B">
      <w:pPr>
        <w:jc w:val="both"/>
        <w:rPr>
          <w:b/>
          <w:bCs/>
        </w:rPr>
      </w:pPr>
    </w:p>
    <w:p w14:paraId="42A0FCFF" w14:textId="77777777" w:rsidR="001A174B" w:rsidRDefault="001A174B" w:rsidP="001A174B">
      <w:pPr>
        <w:jc w:val="both"/>
        <w:rPr>
          <w:b/>
          <w:bCs/>
        </w:rPr>
      </w:pPr>
    </w:p>
    <w:p w14:paraId="3516AA30" w14:textId="77777777" w:rsidR="001A174B" w:rsidRDefault="001A174B" w:rsidP="001A174B">
      <w:pPr>
        <w:jc w:val="both"/>
        <w:rPr>
          <w:b/>
          <w:bCs/>
        </w:rPr>
      </w:pPr>
    </w:p>
    <w:p w14:paraId="418BCE53" w14:textId="77777777" w:rsidR="001A174B" w:rsidRPr="00EB27A9" w:rsidRDefault="001A174B" w:rsidP="001A174B">
      <w:pPr>
        <w:jc w:val="both"/>
        <w:rPr>
          <w:b/>
          <w:bCs/>
        </w:rPr>
      </w:pPr>
      <w:r w:rsidRPr="00EB27A9">
        <w:rPr>
          <w:b/>
          <w:bCs/>
        </w:rPr>
        <w:t>What?</w:t>
      </w:r>
    </w:p>
    <w:p w14:paraId="2B772CA8" w14:textId="77777777" w:rsidR="001A174B" w:rsidRPr="00B555F9" w:rsidRDefault="001A174B" w:rsidP="001A174B">
      <w:pPr>
        <w:jc w:val="both"/>
      </w:pPr>
      <w:r w:rsidRPr="00B555F9">
        <w:t>Collaborating with older people previously meant relying on</w:t>
      </w:r>
      <w:r>
        <w:t xml:space="preserve"> their</w:t>
      </w:r>
      <w:r w:rsidRPr="00B555F9">
        <w:t xml:space="preserve"> relatives and carers</w:t>
      </w:r>
      <w:r>
        <w:t xml:space="preserve"> to feedback</w:t>
      </w:r>
      <w:sdt>
        <w:sdtPr>
          <w:id w:val="1021980062"/>
          <w:citation/>
        </w:sdtPr>
        <w:sdtContent>
          <w:r>
            <w:fldChar w:fldCharType="begin"/>
          </w:r>
          <w:r>
            <w:instrText xml:space="preserve"> CITATION Zap23 \l 2057 </w:instrText>
          </w:r>
          <w:r>
            <w:fldChar w:fldCharType="separate"/>
          </w:r>
          <w:r>
            <w:rPr>
              <w:noProof/>
            </w:rPr>
            <w:t xml:space="preserve"> </w:t>
          </w:r>
          <w:r w:rsidRPr="0037757E">
            <w:rPr>
              <w:noProof/>
            </w:rPr>
            <w:t>(Zapletal, et al., 2023)</w:t>
          </w:r>
          <w:r>
            <w:fldChar w:fldCharType="end"/>
          </w:r>
        </w:sdtContent>
      </w:sdt>
      <w:r w:rsidRPr="00B555F9">
        <w:t>, as I was unable to meet the person being assessed</w:t>
      </w:r>
      <w:r>
        <w:t xml:space="preserve"> </w:t>
      </w:r>
      <w:sdt>
        <w:sdtPr>
          <w:id w:val="930090183"/>
          <w:citation/>
        </w:sdtPr>
        <w:sdtContent>
          <w:r>
            <w:fldChar w:fldCharType="begin"/>
          </w:r>
          <w:r>
            <w:instrText xml:space="preserve"> CITATION Mac23 \l 2057 </w:instrText>
          </w:r>
          <w:r>
            <w:fldChar w:fldCharType="separate"/>
          </w:r>
          <w:r w:rsidRPr="005F3193">
            <w:rPr>
              <w:noProof/>
            </w:rPr>
            <w:t>(MacLochlainn, et al., 2023)</w:t>
          </w:r>
          <w:r>
            <w:fldChar w:fldCharType="end"/>
          </w:r>
        </w:sdtContent>
      </w:sdt>
      <w:r w:rsidRPr="00B555F9">
        <w:t xml:space="preserve">. Now that assessments have returned to being ‘in person’, </w:t>
      </w:r>
      <w:r>
        <w:t xml:space="preserve">and I am working directly with individuals, </w:t>
      </w:r>
      <w:r w:rsidRPr="00B555F9">
        <w:t xml:space="preserve">I </w:t>
      </w:r>
      <w:r>
        <w:t xml:space="preserve">feel I have had some challenges adjusting </w:t>
      </w:r>
      <w:sdt>
        <w:sdtPr>
          <w:id w:val="1567142537"/>
          <w:citation/>
        </w:sdtPr>
        <w:sdtContent>
          <w:r>
            <w:fldChar w:fldCharType="begin"/>
          </w:r>
          <w:r>
            <w:instrText xml:space="preserve"> CITATION Jup22 \l 2057 </w:instrText>
          </w:r>
          <w:r>
            <w:fldChar w:fldCharType="separate"/>
          </w:r>
          <w:r w:rsidRPr="0027741E">
            <w:rPr>
              <w:noProof/>
            </w:rPr>
            <w:t>(Jupp &amp; Luff, 2022)</w:t>
          </w:r>
          <w:r>
            <w:fldChar w:fldCharType="end"/>
          </w:r>
        </w:sdtContent>
      </w:sdt>
      <w:r>
        <w:t xml:space="preserve"> and managing direct assessments where individuals are compounded by cognitive impairment and/or limited communication ability (e.g., following a stroke or Parkinson’s)</w:t>
      </w:r>
      <w:r w:rsidRPr="00B555F9">
        <w:t xml:space="preserve">. I believe my lack of confidence </w:t>
      </w:r>
      <w:r>
        <w:t>is due to</w:t>
      </w:r>
      <w:r w:rsidRPr="00B555F9">
        <w:t xml:space="preserve"> not having any experiential point</w:t>
      </w:r>
      <w:r>
        <w:t>s</w:t>
      </w:r>
      <w:r w:rsidRPr="00B555F9">
        <w:t xml:space="preserve"> of reference to analyse my own </w:t>
      </w:r>
      <w:r>
        <w:t>ability</w:t>
      </w:r>
      <w:r w:rsidRPr="00B555F9">
        <w:t xml:space="preserve"> from</w:t>
      </w:r>
      <w:r>
        <w:t xml:space="preserve"> (i.e., observing other experienced social workers in practice) </w:t>
      </w:r>
      <w:sdt>
        <w:sdtPr>
          <w:id w:val="1870641857"/>
          <w:citation/>
        </w:sdtPr>
        <w:sdtContent>
          <w:r>
            <w:fldChar w:fldCharType="begin"/>
          </w:r>
          <w:r>
            <w:instrText xml:space="preserve"> CITATION Par07 \l 2057 </w:instrText>
          </w:r>
          <w:r>
            <w:fldChar w:fldCharType="separate"/>
          </w:r>
          <w:r w:rsidRPr="00D77CA8">
            <w:rPr>
              <w:noProof/>
            </w:rPr>
            <w:t>(Parker, et al., 2006-07)</w:t>
          </w:r>
          <w:r>
            <w:fldChar w:fldCharType="end"/>
          </w:r>
        </w:sdtContent>
      </w:sdt>
      <w:r w:rsidRPr="00B555F9">
        <w:t>.</w:t>
      </w:r>
    </w:p>
    <w:p w14:paraId="15F8EF18" w14:textId="77777777" w:rsidR="001A174B" w:rsidRDefault="001A174B" w:rsidP="001A174B">
      <w:pPr>
        <w:jc w:val="both"/>
      </w:pPr>
    </w:p>
    <w:p w14:paraId="09F918D4" w14:textId="77777777" w:rsidR="001A174B" w:rsidRDefault="001A174B" w:rsidP="001A174B">
      <w:pPr>
        <w:jc w:val="both"/>
        <w:rPr>
          <w:b/>
          <w:bCs/>
        </w:rPr>
      </w:pPr>
      <w:r w:rsidRPr="00A72414">
        <w:rPr>
          <w:b/>
          <w:bCs/>
        </w:rPr>
        <w:lastRenderedPageBreak/>
        <w:t>So What?</w:t>
      </w:r>
    </w:p>
    <w:p w14:paraId="343A3DD4" w14:textId="77777777" w:rsidR="001A174B" w:rsidRPr="00A72414" w:rsidRDefault="001A174B" w:rsidP="001A174B">
      <w:pPr>
        <w:jc w:val="both"/>
      </w:pPr>
      <w:r>
        <w:t xml:space="preserve">For me, working with older people commonly has involves working with their families, who are often overseeing their parent’s/grandparent’s care. Until social distancing rules were relaxed, I was almost always communicating with the relatives of the person being assessed </w:t>
      </w:r>
      <w:sdt>
        <w:sdtPr>
          <w:id w:val="-1371835522"/>
          <w:citation/>
        </w:sdtPr>
        <w:sdtContent>
          <w:r>
            <w:fldChar w:fldCharType="begin"/>
          </w:r>
          <w:r>
            <w:instrText xml:space="preserve"> CITATION Der24 \l 2057 </w:instrText>
          </w:r>
          <w:r>
            <w:fldChar w:fldCharType="separate"/>
          </w:r>
          <w:r w:rsidRPr="002A1A6B">
            <w:rPr>
              <w:noProof/>
            </w:rPr>
            <w:t>(Derrer-Merk, et al., 2024)</w:t>
          </w:r>
          <w:r>
            <w:fldChar w:fldCharType="end"/>
          </w:r>
        </w:sdtContent>
      </w:sdt>
      <w:r>
        <w:t>. There were few situations where I could speak directly with the person without their family either listening in or (as in most cases) acting as a relay. I think this has led to an overreliance on the word of family, instead of gathering the voice and ‘what matters’, to the person receiving care, and creates an environment where potential abuse could go unseen</w:t>
      </w:r>
      <w:r w:rsidRPr="002A1A6B">
        <w:t xml:space="preserve"> </w:t>
      </w:r>
      <w:sdt>
        <w:sdtPr>
          <w:id w:val="742537826"/>
          <w:citation/>
        </w:sdtPr>
        <w:sdtContent>
          <w:r>
            <w:fldChar w:fldCharType="begin"/>
          </w:r>
          <w:r>
            <w:instrText xml:space="preserve"> CITATION Ben22 \l 2057 </w:instrText>
          </w:r>
          <w:r>
            <w:fldChar w:fldCharType="separate"/>
          </w:r>
          <w:r w:rsidRPr="00DC2B69">
            <w:rPr>
              <w:noProof/>
            </w:rPr>
            <w:t>(Benbow, et al., 2022)</w:t>
          </w:r>
          <w:r>
            <w:fldChar w:fldCharType="end"/>
          </w:r>
        </w:sdtContent>
      </w:sdt>
      <w:r>
        <w:t>.</w:t>
      </w:r>
    </w:p>
    <w:p w14:paraId="3962CC6D" w14:textId="77777777" w:rsidR="001A174B" w:rsidRPr="00A72414" w:rsidRDefault="001A174B" w:rsidP="001A174B">
      <w:pPr>
        <w:jc w:val="both"/>
        <w:rPr>
          <w:b/>
          <w:bCs/>
        </w:rPr>
      </w:pPr>
    </w:p>
    <w:p w14:paraId="1E494658" w14:textId="77777777" w:rsidR="001A174B" w:rsidRPr="005F3193" w:rsidRDefault="001A174B" w:rsidP="001A174B">
      <w:pPr>
        <w:jc w:val="both"/>
        <w:rPr>
          <w:b/>
          <w:bCs/>
        </w:rPr>
      </w:pPr>
      <w:r w:rsidRPr="005F3193">
        <w:rPr>
          <w:b/>
          <w:bCs/>
        </w:rPr>
        <w:t>What</w:t>
      </w:r>
      <w:r>
        <w:rPr>
          <w:b/>
          <w:bCs/>
        </w:rPr>
        <w:t xml:space="preserve"> Now</w:t>
      </w:r>
      <w:r w:rsidRPr="005F3193">
        <w:rPr>
          <w:b/>
          <w:bCs/>
        </w:rPr>
        <w:t>?</w:t>
      </w:r>
    </w:p>
    <w:p w14:paraId="7C1C6226" w14:textId="77777777" w:rsidR="001A174B" w:rsidRPr="005F3193" w:rsidRDefault="001A174B" w:rsidP="001A174B">
      <w:pPr>
        <w:jc w:val="both"/>
      </w:pPr>
      <w:r>
        <w:t>Ha</w:t>
      </w:r>
      <w:r w:rsidRPr="005F3193">
        <w:t>ving opportunities to observe how other social workers apply the principle of collaborative working in their practice</w:t>
      </w:r>
      <w:r>
        <w:t xml:space="preserve"> where there are </w:t>
      </w:r>
      <w:r w:rsidRPr="005F3193">
        <w:t xml:space="preserve">barriers </w:t>
      </w:r>
      <w:r>
        <w:t>to communication,</w:t>
      </w:r>
      <w:r w:rsidRPr="005F3193">
        <w:t xml:space="preserve"> would have offer me a basis to critique my own practice from. I have agreed that in conjunction with </w:t>
      </w:r>
      <w:r>
        <w:t xml:space="preserve">continuing to </w:t>
      </w:r>
      <w:r w:rsidRPr="005F3193">
        <w:t>undertak</w:t>
      </w:r>
      <w:r>
        <w:t>e</w:t>
      </w:r>
      <w:r w:rsidRPr="005F3193">
        <w:t xml:space="preserve"> </w:t>
      </w:r>
      <w:r>
        <w:t>a</w:t>
      </w:r>
      <w:r w:rsidRPr="005F3193">
        <w:t xml:space="preserve">ssessments, I would have opportunities to </w:t>
      </w:r>
      <w:r>
        <w:t xml:space="preserve">discuss them in preparation and attend any training that will improve my assessment and communication skills </w:t>
      </w:r>
      <w:sdt>
        <w:sdtPr>
          <w:id w:val="-1051614631"/>
          <w:citation/>
        </w:sdtPr>
        <w:sdtContent>
          <w:r>
            <w:fldChar w:fldCharType="begin"/>
          </w:r>
          <w:r>
            <w:instrText xml:space="preserve"> CITATION Lym06 \l 2057 </w:instrText>
          </w:r>
          <w:r>
            <w:fldChar w:fldCharType="separate"/>
          </w:r>
          <w:r w:rsidRPr="00DB0E54">
            <w:rPr>
              <w:noProof/>
            </w:rPr>
            <w:t>(Lymbrey, 2006)</w:t>
          </w:r>
          <w:r>
            <w:fldChar w:fldCharType="end"/>
          </w:r>
        </w:sdtContent>
      </w:sdt>
      <w:r w:rsidRPr="005F3193">
        <w:t xml:space="preserve">. </w:t>
      </w:r>
    </w:p>
    <w:p w14:paraId="67EE573E" w14:textId="77777777" w:rsidR="001A174B" w:rsidRDefault="001A174B" w:rsidP="001A174B">
      <w:pPr>
        <w:jc w:val="both"/>
      </w:pPr>
    </w:p>
    <w:p w14:paraId="3D95E713" w14:textId="77777777" w:rsidR="001A174B" w:rsidRDefault="001A174B" w:rsidP="001A174B">
      <w:pPr>
        <w:jc w:val="both"/>
      </w:pPr>
    </w:p>
    <w:p w14:paraId="3ACE9FEA" w14:textId="77777777" w:rsidR="001A174B" w:rsidRPr="00B555F9" w:rsidRDefault="001A174B" w:rsidP="001A174B">
      <w:pPr>
        <w:jc w:val="both"/>
        <w:rPr>
          <w:b/>
          <w:bCs/>
        </w:rPr>
      </w:pPr>
      <w:r w:rsidRPr="00B555F9">
        <w:rPr>
          <w:b/>
          <w:bCs/>
        </w:rPr>
        <w:t>What?</w:t>
      </w:r>
    </w:p>
    <w:p w14:paraId="23D9AFF2" w14:textId="77777777" w:rsidR="001A174B" w:rsidRDefault="001A174B" w:rsidP="001A174B">
      <w:pPr>
        <w:jc w:val="both"/>
      </w:pPr>
      <w:r w:rsidRPr="00B555F9">
        <w:t>Recently I participated in a case where</w:t>
      </w:r>
      <w:r>
        <w:t xml:space="preserve"> there had been historic</w:t>
      </w:r>
      <w:r w:rsidRPr="00B555F9">
        <w:t xml:space="preserve"> safeguarding concerns. </w:t>
      </w:r>
      <w:r>
        <w:t xml:space="preserve">The person had previously refused a safeguarding intervention; however, I observed some common indicators that abuse was potentially occurring again. The person had a learning disability but was capacitated around relationships. He was resistant to discussing the matter and threatened to disengage if pressed on the matter </w:t>
      </w:r>
      <w:sdt>
        <w:sdtPr>
          <w:id w:val="-2045433485"/>
          <w:citation/>
        </w:sdtPr>
        <w:sdtContent>
          <w:r>
            <w:fldChar w:fldCharType="begin"/>
          </w:r>
          <w:r>
            <w:instrText xml:space="preserve"> CITATION Tro20 \l 2057 </w:instrText>
          </w:r>
          <w:r>
            <w:fldChar w:fldCharType="separate"/>
          </w:r>
          <w:r w:rsidRPr="009E4A0B">
            <w:rPr>
              <w:noProof/>
            </w:rPr>
            <w:t>(Trotter, et al., 2020)</w:t>
          </w:r>
          <w:r>
            <w:fldChar w:fldCharType="end"/>
          </w:r>
        </w:sdtContent>
      </w:sdt>
      <w:r>
        <w:t>.</w:t>
      </w:r>
    </w:p>
    <w:p w14:paraId="713FABE1" w14:textId="77777777" w:rsidR="001A174B" w:rsidRDefault="001A174B" w:rsidP="001A174B">
      <w:pPr>
        <w:jc w:val="both"/>
      </w:pPr>
    </w:p>
    <w:p w14:paraId="32B1D631" w14:textId="77777777" w:rsidR="001A174B" w:rsidRPr="00B555F9" w:rsidRDefault="001A174B" w:rsidP="001A174B">
      <w:pPr>
        <w:jc w:val="both"/>
        <w:rPr>
          <w:b/>
          <w:bCs/>
        </w:rPr>
      </w:pPr>
      <w:r w:rsidRPr="00B555F9">
        <w:rPr>
          <w:b/>
          <w:bCs/>
        </w:rPr>
        <w:t>So What?</w:t>
      </w:r>
    </w:p>
    <w:p w14:paraId="6B72EE97" w14:textId="77777777" w:rsidR="001A174B" w:rsidRDefault="001A174B" w:rsidP="001A174B">
      <w:pPr>
        <w:jc w:val="both"/>
      </w:pPr>
      <w:r>
        <w:t xml:space="preserve">This case </w:t>
      </w:r>
      <w:r w:rsidRPr="00B555F9">
        <w:t>involve</w:t>
      </w:r>
      <w:r>
        <w:t>d</w:t>
      </w:r>
      <w:r w:rsidRPr="00B555F9">
        <w:t xml:space="preserve"> </w:t>
      </w:r>
      <w:r>
        <w:t xml:space="preserve">consideration of </w:t>
      </w:r>
      <w:r w:rsidRPr="00B555F9">
        <w:t xml:space="preserve">complicated family dynamics, </w:t>
      </w:r>
      <w:r>
        <w:t xml:space="preserve">reflection in action and continual re-evaluation of the circumstances to ensure the rights of the individual were upheld, while balancing the duty of the local authority to intervein (or not) </w:t>
      </w:r>
      <w:sdt>
        <w:sdtPr>
          <w:id w:val="-1242870263"/>
          <w:citation/>
        </w:sdtPr>
        <w:sdtContent>
          <w:r>
            <w:fldChar w:fldCharType="begin"/>
          </w:r>
          <w:r>
            <w:instrText xml:space="preserve"> CITATION Sal13 \l 2057 </w:instrText>
          </w:r>
          <w:r>
            <w:fldChar w:fldCharType="separate"/>
          </w:r>
          <w:r w:rsidRPr="009E4A0B">
            <w:rPr>
              <w:noProof/>
            </w:rPr>
            <w:t>(Saltiel, 2013)</w:t>
          </w:r>
          <w:r>
            <w:fldChar w:fldCharType="end"/>
          </w:r>
        </w:sdtContent>
      </w:sdt>
      <w:r>
        <w:t xml:space="preserve">. This case also required me to balance my own personal and professional values and reflect on the influence my unconscious bias has on my approach to practice.  </w:t>
      </w:r>
    </w:p>
    <w:p w14:paraId="3337FA10" w14:textId="77777777" w:rsidR="001A174B" w:rsidRDefault="001A174B" w:rsidP="001A174B">
      <w:pPr>
        <w:jc w:val="both"/>
      </w:pPr>
    </w:p>
    <w:p w14:paraId="0580FE2D" w14:textId="77777777" w:rsidR="001A174B" w:rsidRPr="006B107B" w:rsidRDefault="001A174B" w:rsidP="001A174B">
      <w:pPr>
        <w:jc w:val="both"/>
        <w:rPr>
          <w:b/>
          <w:bCs/>
        </w:rPr>
      </w:pPr>
      <w:r w:rsidRPr="00B555F9">
        <w:rPr>
          <w:b/>
          <w:bCs/>
        </w:rPr>
        <w:t>What Now?</w:t>
      </w:r>
    </w:p>
    <w:p w14:paraId="40A3A6F7" w14:textId="77777777" w:rsidR="001A174B" w:rsidRPr="00B555F9" w:rsidRDefault="001A174B" w:rsidP="001A174B">
      <w:pPr>
        <w:jc w:val="both"/>
      </w:pPr>
      <w:r>
        <w:t xml:space="preserve">The feedback I have received in supervision and consultations with the safeguarding team has been positive, commending my measured approach. Going forward, this has given me confidence in my application professional judgment, and ability to review my approach as new information presents itself. I will continue to take on more complex cases, with opportunities to discuss and reflect on them in group peer meetings and with senior social worker. </w:t>
      </w:r>
    </w:p>
    <w:p w14:paraId="6149286C" w14:textId="77777777" w:rsidR="001A174B" w:rsidRDefault="001A174B" w:rsidP="001A174B">
      <w:pPr>
        <w:jc w:val="both"/>
      </w:pPr>
    </w:p>
    <w:p w14:paraId="4EA09724" w14:textId="77777777" w:rsidR="001A174B" w:rsidRDefault="001A174B" w:rsidP="001A174B">
      <w:r>
        <w:t>(Word Count 813)</w:t>
      </w:r>
    </w:p>
    <w:p w14:paraId="526850CA" w14:textId="77777777" w:rsidR="00FA2B47" w:rsidRDefault="00FA2B47" w:rsidP="00FA2B47">
      <w:pPr>
        <w:rPr>
          <w:b/>
          <w:sz w:val="28"/>
          <w:szCs w:val="28"/>
        </w:rPr>
      </w:pPr>
    </w:p>
    <w:p w14:paraId="47A0EBC2" w14:textId="77777777" w:rsidR="00FA2B47" w:rsidRDefault="00FA2B47" w:rsidP="004F0E93">
      <w:pPr>
        <w:jc w:val="center"/>
        <w:rPr>
          <w:b/>
          <w:sz w:val="28"/>
          <w:szCs w:val="28"/>
        </w:rPr>
      </w:pPr>
    </w:p>
    <w:p w14:paraId="12167565" w14:textId="77777777" w:rsidR="00FA2B47" w:rsidRDefault="00FA2B47" w:rsidP="004F0E93">
      <w:pPr>
        <w:jc w:val="center"/>
        <w:rPr>
          <w:b/>
          <w:sz w:val="28"/>
          <w:szCs w:val="28"/>
        </w:rPr>
      </w:pPr>
    </w:p>
    <w:p w14:paraId="2952DA28" w14:textId="77777777" w:rsidR="00FA2B47" w:rsidRDefault="00FA2B47" w:rsidP="004F0E93">
      <w:pPr>
        <w:jc w:val="center"/>
        <w:rPr>
          <w:b/>
          <w:sz w:val="28"/>
          <w:szCs w:val="28"/>
        </w:rPr>
      </w:pPr>
    </w:p>
    <w:p w14:paraId="09BFA144" w14:textId="77777777" w:rsidR="00FA2B47" w:rsidRDefault="00FA2B47" w:rsidP="001A174B">
      <w:pPr>
        <w:rPr>
          <w:b/>
          <w:sz w:val="28"/>
          <w:szCs w:val="28"/>
        </w:rPr>
      </w:pPr>
    </w:p>
    <w:p w14:paraId="5EBD4E32" w14:textId="17DCB95B"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FD14AF" w:rsidRDefault="00FD14AF"/>
    <w:p w14:paraId="096B46A3" w14:textId="77777777" w:rsidR="00FA2B47" w:rsidRDefault="00FA2B47"/>
    <w:p w14:paraId="4AFE7CF9" w14:textId="77777777" w:rsidR="00FA2B47" w:rsidRDefault="00FA2B47"/>
    <w:p w14:paraId="3883B547" w14:textId="77777777" w:rsidR="00FA2B47" w:rsidRDefault="00FA2B47"/>
    <w:p w14:paraId="16A75A21" w14:textId="77777777" w:rsidR="00FA2B47" w:rsidRDefault="00FA2B47"/>
    <w:p w14:paraId="0DCBABA9" w14:textId="77777777" w:rsidR="00FA2B47" w:rsidRDefault="00FA2B47"/>
    <w:p w14:paraId="66FBCBCC" w14:textId="77777777" w:rsidR="00FA2B47" w:rsidRDefault="00FA2B47"/>
    <w:p w14:paraId="26444615" w14:textId="77777777" w:rsidR="00FA2B47" w:rsidRDefault="00FA2B47"/>
    <w:p w14:paraId="7AAA41F0" w14:textId="77777777" w:rsidR="00FA2B47" w:rsidRDefault="00FA2B47"/>
    <w:p w14:paraId="411713A1" w14:textId="77777777" w:rsidR="00FA2B47" w:rsidRDefault="00FA2B47"/>
    <w:p w14:paraId="42AFC8E2" w14:textId="77777777" w:rsidR="00FA2B47" w:rsidRDefault="00FA2B47"/>
    <w:p w14:paraId="42E8CA47" w14:textId="77777777" w:rsidR="00FA2B47" w:rsidRDefault="00FA2B47"/>
    <w:p w14:paraId="0AF61D99" w14:textId="77777777" w:rsidR="00FA2B47" w:rsidRDefault="00FA2B47"/>
    <w:p w14:paraId="64C10D64" w14:textId="77777777" w:rsidR="001A174B" w:rsidRDefault="001A174B" w:rsidP="001A174B">
      <w:pPr>
        <w:jc w:val="both"/>
        <w:rPr>
          <w:rFonts w:ascii="Arial" w:hAnsi="Arial" w:cs="Arial"/>
          <w:b/>
          <w:bCs/>
        </w:rPr>
      </w:pPr>
      <w:r w:rsidRPr="00F63A4B">
        <w:rPr>
          <w:rFonts w:ascii="Arial" w:hAnsi="Arial" w:cs="Arial"/>
          <w:b/>
          <w:bCs/>
        </w:rPr>
        <w:t>Task 1 Part B</w:t>
      </w:r>
    </w:p>
    <w:p w14:paraId="5D2BB3CE" w14:textId="77777777" w:rsidR="001A174B" w:rsidRDefault="001A174B" w:rsidP="001A174B">
      <w:pPr>
        <w:jc w:val="both"/>
        <w:rPr>
          <w:rFonts w:ascii="Arial" w:hAnsi="Arial" w:cs="Arial"/>
          <w:b/>
          <w:bCs/>
        </w:rPr>
      </w:pPr>
    </w:p>
    <w:p w14:paraId="709DD70D" w14:textId="77777777" w:rsidR="001A174B" w:rsidRPr="00EE59BD" w:rsidRDefault="001A174B" w:rsidP="001A174B">
      <w:pPr>
        <w:jc w:val="center"/>
        <w:rPr>
          <w:rFonts w:ascii="Arial" w:hAnsi="Arial" w:cs="Arial"/>
          <w:b/>
          <w:bCs/>
          <w:u w:val="single"/>
        </w:rPr>
      </w:pPr>
      <w:r w:rsidRPr="00EE59BD">
        <w:rPr>
          <w:rFonts w:ascii="Arial" w:hAnsi="Arial" w:cs="Arial"/>
          <w:b/>
          <w:bCs/>
          <w:u w:val="single"/>
        </w:rPr>
        <w:t>Question 1</w:t>
      </w:r>
    </w:p>
    <w:p w14:paraId="724FF92B" w14:textId="77777777" w:rsidR="001A174B" w:rsidRDefault="001A174B" w:rsidP="001A174B">
      <w:pPr>
        <w:jc w:val="center"/>
        <w:rPr>
          <w:rFonts w:ascii="Arial" w:hAnsi="Arial" w:cs="Arial"/>
          <w:b/>
          <w:bCs/>
        </w:rPr>
      </w:pPr>
    </w:p>
    <w:p w14:paraId="0116D299" w14:textId="77777777" w:rsidR="001A174B" w:rsidRDefault="001A174B" w:rsidP="001A174B">
      <w:pPr>
        <w:jc w:val="both"/>
        <w:rPr>
          <w:rFonts w:ascii="Arial" w:hAnsi="Arial" w:cs="Arial"/>
        </w:rPr>
      </w:pPr>
      <w:r>
        <w:rPr>
          <w:rFonts w:ascii="Arial" w:hAnsi="Arial" w:cs="Arial"/>
        </w:rPr>
        <w:t>For this task</w:t>
      </w:r>
      <w:r w:rsidRPr="003C1D71">
        <w:rPr>
          <w:rFonts w:ascii="Arial" w:hAnsi="Arial" w:cs="Arial"/>
        </w:rPr>
        <w:t xml:space="preserve"> I have </w:t>
      </w:r>
      <w:r>
        <w:rPr>
          <w:rFonts w:ascii="Arial" w:hAnsi="Arial" w:cs="Arial"/>
        </w:rPr>
        <w:t xml:space="preserve">continued to </w:t>
      </w:r>
      <w:r w:rsidRPr="003C1D71">
        <w:rPr>
          <w:rFonts w:ascii="Arial" w:hAnsi="Arial" w:cs="Arial"/>
        </w:rPr>
        <w:t xml:space="preserve">used </w:t>
      </w:r>
      <w:r w:rsidRPr="003C1D71">
        <w:rPr>
          <w:rFonts w:ascii="Arial" w:hAnsi="Arial" w:cs="Arial"/>
          <w:noProof/>
        </w:rPr>
        <w:t>Rolfe, et al.’s</w:t>
      </w:r>
      <w:r w:rsidRPr="003C1D71">
        <w:rPr>
          <w:rFonts w:ascii="Arial" w:hAnsi="Arial" w:cs="Arial"/>
        </w:rPr>
        <w:t xml:space="preserve"> </w:t>
      </w:r>
      <w:sdt>
        <w:sdtPr>
          <w:rPr>
            <w:rFonts w:ascii="Arial" w:hAnsi="Arial" w:cs="Arial"/>
          </w:rPr>
          <w:id w:val="-1138110063"/>
          <w:citation/>
        </w:sdtPr>
        <w:sdtContent>
          <w:r w:rsidRPr="003C1D71">
            <w:rPr>
              <w:rFonts w:ascii="Arial" w:hAnsi="Arial" w:cs="Arial"/>
            </w:rPr>
            <w:fldChar w:fldCharType="begin"/>
          </w:r>
          <w:r w:rsidRPr="003C1D71">
            <w:rPr>
              <w:rFonts w:ascii="Arial" w:hAnsi="Arial" w:cs="Arial"/>
            </w:rPr>
            <w:instrText xml:space="preserve">CITATION Rol11 \n  \l 2057 </w:instrText>
          </w:r>
          <w:r w:rsidRPr="003C1D71">
            <w:rPr>
              <w:rFonts w:ascii="Arial" w:hAnsi="Arial" w:cs="Arial"/>
            </w:rPr>
            <w:fldChar w:fldCharType="separate"/>
          </w:r>
          <w:r w:rsidRPr="003C1D71">
            <w:rPr>
              <w:rFonts w:ascii="Arial" w:hAnsi="Arial" w:cs="Arial"/>
              <w:noProof/>
            </w:rPr>
            <w:t>(2011)</w:t>
          </w:r>
          <w:r w:rsidRPr="003C1D71">
            <w:rPr>
              <w:rFonts w:ascii="Arial" w:hAnsi="Arial" w:cs="Arial"/>
            </w:rPr>
            <w:fldChar w:fldCharType="end"/>
          </w:r>
        </w:sdtContent>
      </w:sdt>
      <w:r w:rsidRPr="003C1D71">
        <w:rPr>
          <w:rFonts w:ascii="Arial" w:hAnsi="Arial" w:cs="Arial"/>
        </w:rPr>
        <w:t xml:space="preserve"> model of reflection</w:t>
      </w:r>
      <w:r>
        <w:rPr>
          <w:rFonts w:ascii="Arial" w:hAnsi="Arial" w:cs="Arial"/>
        </w:rPr>
        <w:t xml:space="preserve">. Since the writing part A, I have transferred from a team dealing with older people, to an adult learning disability team. In my current role I have been presented with different challenges and responsibilities, while the Social Services and Well-being (Wales) Act </w:t>
      </w:r>
      <w:sdt>
        <w:sdtPr>
          <w:rPr>
            <w:rFonts w:ascii="Arial" w:hAnsi="Arial" w:cs="Arial"/>
          </w:rPr>
          <w:id w:val="-2074267576"/>
          <w:citation/>
        </w:sdtPr>
        <w:sdtContent>
          <w:r>
            <w:rPr>
              <w:rFonts w:ascii="Arial" w:hAnsi="Arial" w:cs="Arial"/>
            </w:rPr>
            <w:fldChar w:fldCharType="begin"/>
          </w:r>
          <w:r>
            <w:rPr>
              <w:rFonts w:ascii="Arial" w:hAnsi="Arial" w:cs="Arial"/>
            </w:rPr>
            <w:instrText xml:space="preserve">CITATION UKG14 \n  \l 2057 </w:instrText>
          </w:r>
          <w:r>
            <w:rPr>
              <w:rFonts w:ascii="Arial" w:hAnsi="Arial" w:cs="Arial"/>
            </w:rPr>
            <w:fldChar w:fldCharType="separate"/>
          </w:r>
          <w:r w:rsidRPr="00504B8A">
            <w:rPr>
              <w:rFonts w:ascii="Arial" w:hAnsi="Arial" w:cs="Arial"/>
              <w:noProof/>
            </w:rPr>
            <w:t>(2014)</w:t>
          </w:r>
          <w:r>
            <w:rPr>
              <w:rFonts w:ascii="Arial" w:hAnsi="Arial" w:cs="Arial"/>
            </w:rPr>
            <w:fldChar w:fldCharType="end"/>
          </w:r>
        </w:sdtContent>
      </w:sdt>
      <w:r>
        <w:rPr>
          <w:rFonts w:ascii="Arial" w:hAnsi="Arial" w:cs="Arial"/>
        </w:rPr>
        <w:t xml:space="preserve"> and Mental Capacity Act (2005) have still been the over-arching legislations I have worked to, there has more focus on Court of Protection (COP) work in this role. </w:t>
      </w:r>
    </w:p>
    <w:p w14:paraId="6399E151" w14:textId="77777777" w:rsidR="001A174B" w:rsidRPr="00D1538C" w:rsidRDefault="001A174B" w:rsidP="001A174B">
      <w:pPr>
        <w:jc w:val="both"/>
        <w:rPr>
          <w:rFonts w:ascii="Arial" w:hAnsi="Arial" w:cs="Arial"/>
          <w:b/>
          <w:bCs/>
        </w:rPr>
      </w:pPr>
    </w:p>
    <w:p w14:paraId="2165C0F0" w14:textId="77777777" w:rsidR="001A174B" w:rsidRPr="00E41F22" w:rsidRDefault="001A174B" w:rsidP="001A174B">
      <w:pPr>
        <w:jc w:val="both"/>
        <w:rPr>
          <w:rFonts w:ascii="Arial" w:hAnsi="Arial" w:cs="Arial"/>
          <w:b/>
          <w:bCs/>
        </w:rPr>
      </w:pPr>
      <w:r w:rsidRPr="00E41F22">
        <w:rPr>
          <w:rFonts w:ascii="Arial" w:hAnsi="Arial" w:cs="Arial"/>
          <w:b/>
          <w:bCs/>
        </w:rPr>
        <w:t>What?</w:t>
      </w:r>
    </w:p>
    <w:p w14:paraId="57A77454" w14:textId="77777777" w:rsidR="001A174B" w:rsidRDefault="001A174B" w:rsidP="001A174B">
      <w:pPr>
        <w:jc w:val="both"/>
        <w:rPr>
          <w:rFonts w:ascii="Arial" w:hAnsi="Arial" w:cs="Arial"/>
        </w:rPr>
      </w:pPr>
      <w:r>
        <w:rPr>
          <w:rFonts w:ascii="Arial" w:hAnsi="Arial" w:cs="Arial"/>
        </w:rPr>
        <w:t xml:space="preserve">In part A, I shared that I lacked confidence in managing difficult conversations and when </w:t>
      </w:r>
      <w:r>
        <w:t>professional curiosity is required, and</w:t>
      </w:r>
      <w:r>
        <w:rPr>
          <w:rFonts w:ascii="Arial" w:hAnsi="Arial" w:cs="Arial"/>
        </w:rPr>
        <w:t xml:space="preserve"> I felt it was impacted my effectiveness at gathering information in assessments. </w:t>
      </w:r>
    </w:p>
    <w:p w14:paraId="4E269CBF" w14:textId="77777777" w:rsidR="001A174B" w:rsidRDefault="001A174B" w:rsidP="001A174B">
      <w:pPr>
        <w:jc w:val="both"/>
        <w:rPr>
          <w:rFonts w:ascii="Arial" w:hAnsi="Arial" w:cs="Arial"/>
        </w:rPr>
      </w:pPr>
    </w:p>
    <w:p w14:paraId="3A582A3F" w14:textId="77777777" w:rsidR="001A174B" w:rsidRDefault="001A174B" w:rsidP="001A174B">
      <w:pPr>
        <w:jc w:val="both"/>
        <w:rPr>
          <w:rFonts w:ascii="Arial" w:hAnsi="Arial" w:cs="Arial"/>
        </w:rPr>
      </w:pPr>
      <w:r>
        <w:rPr>
          <w:rFonts w:ascii="Arial" w:hAnsi="Arial" w:cs="Arial"/>
        </w:rPr>
        <w:t xml:space="preserve">I also stated that I had had trouble transitioning to ‘in person’ working, after social distancing ended. I felt I had become too accustomed to, mostly collaborating with the family of carers, and needed to improve my direct working skills with people with cognitive decline and/or communication barriers. </w:t>
      </w:r>
    </w:p>
    <w:p w14:paraId="63598B13" w14:textId="77777777" w:rsidR="001A174B" w:rsidRDefault="001A174B" w:rsidP="001A174B">
      <w:pPr>
        <w:jc w:val="both"/>
        <w:rPr>
          <w:rFonts w:ascii="Arial" w:hAnsi="Arial" w:cs="Arial"/>
        </w:rPr>
      </w:pPr>
    </w:p>
    <w:p w14:paraId="7D395015" w14:textId="77777777" w:rsidR="001A174B" w:rsidRDefault="001A174B" w:rsidP="001A174B">
      <w:pPr>
        <w:jc w:val="both"/>
        <w:rPr>
          <w:rFonts w:ascii="Arial" w:hAnsi="Arial" w:cs="Arial"/>
        </w:rPr>
      </w:pPr>
      <w:r>
        <w:rPr>
          <w:rFonts w:ascii="Arial" w:hAnsi="Arial" w:cs="Arial"/>
        </w:rPr>
        <w:t xml:space="preserve">Finally, I discussed a case I was involved in with complex family dynamics that required a deeper level of analysis to effectively balance the person’s rights against the local authority’s need to safeguard its residents.  </w:t>
      </w:r>
    </w:p>
    <w:p w14:paraId="1AC24352" w14:textId="77777777" w:rsidR="001A174B" w:rsidRDefault="001A174B" w:rsidP="001A174B">
      <w:pPr>
        <w:jc w:val="both"/>
        <w:rPr>
          <w:rFonts w:ascii="Arial" w:hAnsi="Arial" w:cs="Arial"/>
        </w:rPr>
      </w:pPr>
    </w:p>
    <w:p w14:paraId="299D66D9" w14:textId="77777777" w:rsidR="001A174B" w:rsidRDefault="001A174B" w:rsidP="001A174B">
      <w:pPr>
        <w:jc w:val="both"/>
        <w:rPr>
          <w:rFonts w:ascii="Arial" w:hAnsi="Arial" w:cs="Arial"/>
          <w:b/>
          <w:bCs/>
        </w:rPr>
      </w:pPr>
      <w:r>
        <w:rPr>
          <w:rFonts w:ascii="Arial" w:hAnsi="Arial" w:cs="Arial"/>
          <w:b/>
          <w:bCs/>
        </w:rPr>
        <w:t>So What?</w:t>
      </w:r>
    </w:p>
    <w:p w14:paraId="167F664E" w14:textId="61894275" w:rsidR="001A174B" w:rsidRDefault="001A174B" w:rsidP="001A174B">
      <w:pPr>
        <w:jc w:val="both"/>
        <w:rPr>
          <w:rFonts w:ascii="Arial" w:hAnsi="Arial" w:cs="Arial"/>
        </w:rPr>
      </w:pPr>
      <w:r>
        <w:rPr>
          <w:rFonts w:ascii="Arial" w:hAnsi="Arial" w:cs="Arial"/>
        </w:rPr>
        <w:t xml:space="preserve">Recently I attended a joint visit to meet with a parent who was caring for an adult child with severe learning disabilities and a partner with advancing dementia. This was insightful as I was able to observe a very competent practitioner, managing difficult and emotional topics about future care planning for her daughter and husband </w:t>
      </w:r>
      <w:sdt>
        <w:sdtPr>
          <w:rPr>
            <w:rFonts w:ascii="Arial" w:hAnsi="Arial" w:cs="Arial"/>
          </w:rPr>
          <w:id w:val="1398324839"/>
          <w:citation/>
        </w:sdtPr>
        <w:sdtContent>
          <w:r>
            <w:rPr>
              <w:rFonts w:ascii="Arial" w:hAnsi="Arial" w:cs="Arial"/>
            </w:rPr>
            <w:fldChar w:fldCharType="begin"/>
          </w:r>
          <w:r>
            <w:rPr>
              <w:rFonts w:ascii="Arial" w:hAnsi="Arial" w:cs="Arial"/>
            </w:rPr>
            <w:instrText xml:space="preserve"> CITATION Sou17 \l 2057 </w:instrText>
          </w:r>
          <w:r>
            <w:rPr>
              <w:rFonts w:ascii="Arial" w:hAnsi="Arial" w:cs="Arial"/>
            </w:rPr>
            <w:fldChar w:fldCharType="separate"/>
          </w:r>
          <w:r w:rsidRPr="00C464A4">
            <w:rPr>
              <w:rFonts w:ascii="Arial" w:hAnsi="Arial" w:cs="Arial"/>
              <w:noProof/>
            </w:rPr>
            <w:t>(South, et al., 2017)</w:t>
          </w:r>
          <w:r>
            <w:rPr>
              <w:rFonts w:ascii="Arial" w:hAnsi="Arial" w:cs="Arial"/>
            </w:rPr>
            <w:fldChar w:fldCharType="end"/>
          </w:r>
        </w:sdtContent>
      </w:sdt>
      <w:r>
        <w:rPr>
          <w:rFonts w:ascii="Arial" w:hAnsi="Arial" w:cs="Arial"/>
        </w:rPr>
        <w:t>. They navigated the conversation with sensitivity, demonstrated compassion while maintaining an outcome-focused approach to the conversation. They verbally acknowledging the persons feelings and then supporting them to make difficult choices, allowed them to reach the decisions by themself, reassuring them that we were working with them and not against them</w:t>
      </w:r>
      <w:sdt>
        <w:sdtPr>
          <w:rPr>
            <w:rFonts w:ascii="Arial" w:hAnsi="Arial" w:cs="Arial"/>
          </w:rPr>
          <w:id w:val="1270821914"/>
          <w:citation/>
        </w:sdtPr>
        <w:sdtContent>
          <w:r>
            <w:rPr>
              <w:rFonts w:ascii="Arial" w:hAnsi="Arial" w:cs="Arial"/>
            </w:rPr>
            <w:fldChar w:fldCharType="begin"/>
          </w:r>
          <w:r>
            <w:rPr>
              <w:rFonts w:ascii="Arial" w:hAnsi="Arial" w:cs="Arial"/>
            </w:rPr>
            <w:instrText xml:space="preserve">CITATION Placeholder2 \l 2057 </w:instrText>
          </w:r>
          <w:r>
            <w:rPr>
              <w:rFonts w:ascii="Arial" w:hAnsi="Arial" w:cs="Arial"/>
            </w:rPr>
            <w:fldChar w:fldCharType="separate"/>
          </w:r>
          <w:r>
            <w:rPr>
              <w:rFonts w:ascii="Arial" w:hAnsi="Arial" w:cs="Arial"/>
              <w:noProof/>
            </w:rPr>
            <w:t xml:space="preserve"> </w:t>
          </w:r>
          <w:r w:rsidRPr="001A174B">
            <w:rPr>
              <w:rFonts w:ascii="Arial" w:hAnsi="Arial" w:cs="Arial"/>
              <w:noProof/>
            </w:rPr>
            <w:t>(The Secret Social Worker, 2020)</w:t>
          </w:r>
          <w:r>
            <w:rPr>
              <w:rFonts w:ascii="Arial" w:hAnsi="Arial" w:cs="Arial"/>
            </w:rPr>
            <w:fldChar w:fldCharType="end"/>
          </w:r>
        </w:sdtContent>
      </w:sdt>
      <w:r>
        <w:rPr>
          <w:rFonts w:ascii="Arial" w:hAnsi="Arial" w:cs="Arial"/>
        </w:rPr>
        <w:t xml:space="preserve">. </w:t>
      </w:r>
    </w:p>
    <w:p w14:paraId="30847F26" w14:textId="77777777" w:rsidR="001A174B" w:rsidRDefault="001A174B" w:rsidP="001A174B">
      <w:pPr>
        <w:jc w:val="both"/>
        <w:rPr>
          <w:rFonts w:ascii="Arial" w:hAnsi="Arial" w:cs="Arial"/>
        </w:rPr>
      </w:pPr>
    </w:p>
    <w:p w14:paraId="660EB336" w14:textId="77777777" w:rsidR="001A174B" w:rsidRDefault="001A174B" w:rsidP="001A174B">
      <w:pPr>
        <w:jc w:val="both"/>
        <w:rPr>
          <w:rFonts w:ascii="Arial" w:hAnsi="Arial" w:cs="Arial"/>
        </w:rPr>
      </w:pPr>
      <w:r>
        <w:rPr>
          <w:rFonts w:ascii="Arial" w:hAnsi="Arial" w:cs="Arial"/>
        </w:rPr>
        <w:t xml:space="preserve">Since writing </w:t>
      </w:r>
      <w:proofErr w:type="gramStart"/>
      <w:r>
        <w:rPr>
          <w:rFonts w:ascii="Arial" w:hAnsi="Arial" w:cs="Arial"/>
        </w:rPr>
        <w:t>part</w:t>
      </w:r>
      <w:proofErr w:type="gramEnd"/>
      <w:r>
        <w:rPr>
          <w:rFonts w:ascii="Arial" w:hAnsi="Arial" w:cs="Arial"/>
        </w:rPr>
        <w:t xml:space="preserve"> A, I have had many opportunities to develop my collaborative working skills with individuals, through training (on safeguarding vulnerable adults, improving empathetic approaches and emotional intelligence) along with observation and feedback from experienced social workers. Being in a learning disability team has also required me to work with a variety of health practitioners and family members who often hold dual roles as legal authorities (e.g., appointees for finance or rule 1.2 advocates) who have a higher level of input into the individuals care planning </w:t>
      </w:r>
      <w:sdt>
        <w:sdtPr>
          <w:rPr>
            <w:rFonts w:ascii="Arial" w:hAnsi="Arial" w:cs="Arial"/>
          </w:rPr>
          <w:id w:val="-1051454131"/>
          <w:citation/>
        </w:sdtPr>
        <w:sdtContent>
          <w:r>
            <w:rPr>
              <w:rFonts w:ascii="Arial" w:hAnsi="Arial" w:cs="Arial"/>
            </w:rPr>
            <w:fldChar w:fldCharType="begin"/>
          </w:r>
          <w:r>
            <w:rPr>
              <w:rFonts w:ascii="Arial" w:hAnsi="Arial" w:cs="Arial"/>
            </w:rPr>
            <w:instrText xml:space="preserve"> CITATION Jam21 \l 2057 </w:instrText>
          </w:r>
          <w:r>
            <w:rPr>
              <w:rFonts w:ascii="Arial" w:hAnsi="Arial" w:cs="Arial"/>
            </w:rPr>
            <w:fldChar w:fldCharType="separate"/>
          </w:r>
          <w:r w:rsidRPr="007858EE">
            <w:rPr>
              <w:rFonts w:ascii="Arial" w:hAnsi="Arial" w:cs="Arial"/>
              <w:noProof/>
            </w:rPr>
            <w:t>(James, 2021)</w:t>
          </w:r>
          <w:r>
            <w:rPr>
              <w:rFonts w:ascii="Arial" w:hAnsi="Arial" w:cs="Arial"/>
            </w:rPr>
            <w:fldChar w:fldCharType="end"/>
          </w:r>
        </w:sdtContent>
      </w:sdt>
      <w:r>
        <w:rPr>
          <w:rFonts w:ascii="Arial" w:hAnsi="Arial" w:cs="Arial"/>
        </w:rPr>
        <w:t xml:space="preserve">. When making applications the court of protection, it is an expectation that family members are consulted and provide their views of the care arrangement/restrictions are least retractive and appropriate. </w:t>
      </w:r>
    </w:p>
    <w:p w14:paraId="5CFE19B9" w14:textId="77777777" w:rsidR="001A174B" w:rsidRDefault="001A174B" w:rsidP="001A174B">
      <w:pPr>
        <w:jc w:val="both"/>
        <w:rPr>
          <w:rFonts w:ascii="Arial" w:hAnsi="Arial" w:cs="Arial"/>
        </w:rPr>
      </w:pPr>
    </w:p>
    <w:p w14:paraId="1B2DB8C2" w14:textId="77777777" w:rsidR="001A174B" w:rsidRDefault="001A174B" w:rsidP="001A174B">
      <w:pPr>
        <w:jc w:val="both"/>
        <w:rPr>
          <w:rFonts w:ascii="Arial" w:hAnsi="Arial" w:cs="Arial"/>
        </w:rPr>
      </w:pPr>
      <w:r>
        <w:rPr>
          <w:rFonts w:ascii="Arial" w:hAnsi="Arial" w:cs="Arial"/>
        </w:rPr>
        <w:lastRenderedPageBreak/>
        <w:t xml:space="preserve">Social work in a learning disability team by its nature has presented me with cases with an increased level of complexity. Cases now involve professionals from many different disciplines working from their own perspectives, as people with learning disabilities can have intersecting issues (e.g., substance misuse in the home, domestic violence, exportation, etc…) along with poor health and co-morbidities (e.g., early onset dementia, mental illness, chronic illnesses, etc...) </w:t>
      </w:r>
      <w:sdt>
        <w:sdtPr>
          <w:rPr>
            <w:rFonts w:ascii="Arial" w:hAnsi="Arial" w:cs="Arial"/>
          </w:rPr>
          <w:id w:val="-2060010425"/>
          <w:citation/>
        </w:sdtPr>
        <w:sdtContent>
          <w:r>
            <w:rPr>
              <w:rFonts w:ascii="Arial" w:hAnsi="Arial" w:cs="Arial"/>
            </w:rPr>
            <w:fldChar w:fldCharType="begin"/>
          </w:r>
          <w:r>
            <w:rPr>
              <w:rFonts w:ascii="Arial" w:hAnsi="Arial" w:cs="Arial"/>
            </w:rPr>
            <w:instrText xml:space="preserve"> CITATION Wil19 \l 2057 </w:instrText>
          </w:r>
          <w:r>
            <w:rPr>
              <w:rFonts w:ascii="Arial" w:hAnsi="Arial" w:cs="Arial"/>
            </w:rPr>
            <w:fldChar w:fldCharType="separate"/>
          </w:r>
          <w:r w:rsidRPr="007858EE">
            <w:rPr>
              <w:rFonts w:ascii="Arial" w:hAnsi="Arial" w:cs="Arial"/>
              <w:noProof/>
            </w:rPr>
            <w:t>(Willcutt, et al., 2019)</w:t>
          </w:r>
          <w:r>
            <w:rPr>
              <w:rFonts w:ascii="Arial" w:hAnsi="Arial" w:cs="Arial"/>
            </w:rPr>
            <w:fldChar w:fldCharType="end"/>
          </w:r>
        </w:sdtContent>
      </w:sdt>
      <w:r>
        <w:rPr>
          <w:rFonts w:ascii="Arial" w:hAnsi="Arial" w:cs="Arial"/>
        </w:rPr>
        <w:t>. My current role requires a higher level of organisation to effectively care coordinate individuals with such complex care needs, and involves having a deeper understanding of the legal, medical and social perspectives that factor into care and treatment planning.</w:t>
      </w:r>
    </w:p>
    <w:p w14:paraId="4415A931" w14:textId="77777777" w:rsidR="001A174B" w:rsidRDefault="001A174B" w:rsidP="001A174B">
      <w:pPr>
        <w:jc w:val="both"/>
        <w:rPr>
          <w:rFonts w:ascii="Arial" w:hAnsi="Arial" w:cs="Arial"/>
        </w:rPr>
      </w:pPr>
    </w:p>
    <w:p w14:paraId="0E0897EB" w14:textId="77777777" w:rsidR="001A174B" w:rsidRDefault="001A174B" w:rsidP="001A174B">
      <w:pPr>
        <w:jc w:val="both"/>
        <w:rPr>
          <w:rFonts w:ascii="Arial" w:hAnsi="Arial" w:cs="Arial"/>
        </w:rPr>
      </w:pPr>
    </w:p>
    <w:p w14:paraId="7AB8C10C" w14:textId="77777777" w:rsidR="001A174B" w:rsidRPr="00D1538C" w:rsidRDefault="001A174B" w:rsidP="001A174B">
      <w:pPr>
        <w:jc w:val="both"/>
        <w:rPr>
          <w:rFonts w:ascii="Arial" w:hAnsi="Arial" w:cs="Arial"/>
          <w:b/>
          <w:bCs/>
        </w:rPr>
      </w:pPr>
      <w:r w:rsidRPr="00D1538C">
        <w:rPr>
          <w:rFonts w:ascii="Arial" w:hAnsi="Arial" w:cs="Arial"/>
          <w:b/>
          <w:bCs/>
        </w:rPr>
        <w:t>What</w:t>
      </w:r>
      <w:r>
        <w:rPr>
          <w:rFonts w:ascii="Arial" w:hAnsi="Arial" w:cs="Arial"/>
          <w:b/>
          <w:bCs/>
        </w:rPr>
        <w:t xml:space="preserve"> Now</w:t>
      </w:r>
      <w:r w:rsidRPr="00D1538C">
        <w:rPr>
          <w:rFonts w:ascii="Arial" w:hAnsi="Arial" w:cs="Arial"/>
          <w:b/>
          <w:bCs/>
        </w:rPr>
        <w:t>?</w:t>
      </w:r>
    </w:p>
    <w:p w14:paraId="1CD2EFC8" w14:textId="77777777" w:rsidR="001A174B" w:rsidRDefault="001A174B" w:rsidP="001A174B">
      <w:pPr>
        <w:jc w:val="both"/>
        <w:rPr>
          <w:rFonts w:ascii="Arial" w:hAnsi="Arial" w:cs="Arial"/>
        </w:rPr>
      </w:pPr>
      <w:r>
        <w:rPr>
          <w:rFonts w:ascii="Arial" w:hAnsi="Arial" w:cs="Arial"/>
        </w:rPr>
        <w:t xml:space="preserve">Moving forward I have agreed in supervision that I will continue to take on cases where there is work relating to the court of protection and improve my report writing skills and get more familiar with the expectations of the court </w:t>
      </w:r>
      <w:sdt>
        <w:sdtPr>
          <w:rPr>
            <w:rFonts w:ascii="Arial" w:hAnsi="Arial" w:cs="Arial"/>
          </w:rPr>
          <w:id w:val="1490826613"/>
          <w:citation/>
        </w:sdtPr>
        <w:sdtContent>
          <w:r>
            <w:rPr>
              <w:rFonts w:ascii="Arial" w:hAnsi="Arial" w:cs="Arial"/>
            </w:rPr>
            <w:fldChar w:fldCharType="begin"/>
          </w:r>
          <w:r>
            <w:rPr>
              <w:rFonts w:ascii="Arial" w:hAnsi="Arial" w:cs="Arial"/>
            </w:rPr>
            <w:instrText xml:space="preserve"> CITATION Bro24 \l 2057 </w:instrText>
          </w:r>
          <w:r>
            <w:rPr>
              <w:rFonts w:ascii="Arial" w:hAnsi="Arial" w:cs="Arial"/>
            </w:rPr>
            <w:fldChar w:fldCharType="separate"/>
          </w:r>
          <w:r w:rsidRPr="0053719F">
            <w:rPr>
              <w:rFonts w:ascii="Arial" w:hAnsi="Arial" w:cs="Arial"/>
              <w:noProof/>
            </w:rPr>
            <w:t>(Brown, 2024)</w:t>
          </w:r>
          <w:r>
            <w:rPr>
              <w:rFonts w:ascii="Arial" w:hAnsi="Arial" w:cs="Arial"/>
            </w:rPr>
            <w:fldChar w:fldCharType="end"/>
          </w:r>
        </w:sdtContent>
      </w:sdt>
      <w:r>
        <w:rPr>
          <w:rFonts w:ascii="Arial" w:hAnsi="Arial" w:cs="Arial"/>
        </w:rPr>
        <w:t xml:space="preserve">. I will seek out related training on court work, understanding the Mental Capacity Act (2005) and gathering evidence. </w:t>
      </w:r>
    </w:p>
    <w:p w14:paraId="6345A040" w14:textId="77777777" w:rsidR="001A174B" w:rsidRDefault="001A174B" w:rsidP="001A174B">
      <w:pPr>
        <w:jc w:val="both"/>
        <w:rPr>
          <w:rFonts w:ascii="Arial" w:hAnsi="Arial" w:cs="Arial"/>
        </w:rPr>
      </w:pPr>
    </w:p>
    <w:p w14:paraId="012193DE" w14:textId="77777777" w:rsidR="001A174B" w:rsidRDefault="001A174B" w:rsidP="001A174B">
      <w:pPr>
        <w:jc w:val="both"/>
        <w:rPr>
          <w:rFonts w:ascii="Arial" w:hAnsi="Arial" w:cs="Arial"/>
        </w:rPr>
      </w:pPr>
      <w:r>
        <w:rPr>
          <w:rFonts w:ascii="Arial" w:hAnsi="Arial" w:cs="Arial"/>
        </w:rPr>
        <w:t xml:space="preserve">People with a learning disability can often have different levels and styles of communication. As part of my role, I have attended training on Makaton sign language but will seek out further training on using alternative communication  </w:t>
      </w:r>
      <w:sdt>
        <w:sdtPr>
          <w:rPr>
            <w:rFonts w:ascii="Arial" w:hAnsi="Arial" w:cs="Arial"/>
          </w:rPr>
          <w:id w:val="-1544902717"/>
          <w:citation/>
        </w:sdtPr>
        <w:sdtContent>
          <w:r>
            <w:rPr>
              <w:rFonts w:ascii="Arial" w:hAnsi="Arial" w:cs="Arial"/>
            </w:rPr>
            <w:fldChar w:fldCharType="begin"/>
          </w:r>
          <w:r>
            <w:rPr>
              <w:rFonts w:ascii="Arial" w:hAnsi="Arial" w:cs="Arial"/>
            </w:rPr>
            <w:instrText xml:space="preserve"> CITATION Rei22 \l 2057 </w:instrText>
          </w:r>
          <w:r>
            <w:rPr>
              <w:rFonts w:ascii="Arial" w:hAnsi="Arial" w:cs="Arial"/>
            </w:rPr>
            <w:fldChar w:fldCharType="separate"/>
          </w:r>
          <w:r w:rsidRPr="0053719F">
            <w:rPr>
              <w:rFonts w:ascii="Arial" w:hAnsi="Arial" w:cs="Arial"/>
              <w:noProof/>
            </w:rPr>
            <w:t>(Reith-Hall &amp; Montgomery, 2022)</w:t>
          </w:r>
          <w:r>
            <w:rPr>
              <w:rFonts w:ascii="Arial" w:hAnsi="Arial" w:cs="Arial"/>
            </w:rPr>
            <w:fldChar w:fldCharType="end"/>
          </w:r>
        </w:sdtContent>
      </w:sdt>
      <w:r>
        <w:rPr>
          <w:rFonts w:ascii="Arial" w:hAnsi="Arial" w:cs="Arial"/>
        </w:rPr>
        <w:t xml:space="preserve"> styles and continue to consult with speech and language therapists who specialise in assessing communication needs.</w:t>
      </w:r>
    </w:p>
    <w:p w14:paraId="00324C3F" w14:textId="77777777" w:rsidR="001A174B" w:rsidRDefault="001A174B" w:rsidP="001A174B">
      <w:pPr>
        <w:jc w:val="both"/>
        <w:rPr>
          <w:rFonts w:ascii="Arial" w:hAnsi="Arial" w:cs="Arial"/>
        </w:rPr>
      </w:pPr>
    </w:p>
    <w:p w14:paraId="24A3C0E4" w14:textId="77777777" w:rsidR="001A174B" w:rsidRDefault="001A174B" w:rsidP="001A174B">
      <w:pPr>
        <w:jc w:val="both"/>
        <w:rPr>
          <w:rFonts w:ascii="Arial" w:hAnsi="Arial" w:cs="Arial"/>
        </w:rPr>
      </w:pPr>
      <w:r w:rsidRPr="003F6570">
        <w:rPr>
          <w:rFonts w:ascii="Arial" w:hAnsi="Arial" w:cs="Arial"/>
        </w:rPr>
        <w:t>(Word Count 673)</w:t>
      </w:r>
    </w:p>
    <w:p w14:paraId="392BAC0D" w14:textId="77777777" w:rsidR="001A174B" w:rsidRDefault="001A174B" w:rsidP="001A174B">
      <w:pPr>
        <w:jc w:val="both"/>
        <w:rPr>
          <w:rFonts w:ascii="Arial" w:hAnsi="Arial" w:cs="Arial"/>
        </w:rPr>
      </w:pPr>
    </w:p>
    <w:p w14:paraId="5B744C28" w14:textId="77777777" w:rsidR="001A174B" w:rsidRDefault="001A174B" w:rsidP="001A174B">
      <w:pPr>
        <w:jc w:val="center"/>
        <w:rPr>
          <w:rFonts w:ascii="Arial" w:hAnsi="Arial" w:cs="Arial"/>
          <w:b/>
          <w:bCs/>
          <w:u w:val="single"/>
        </w:rPr>
      </w:pPr>
      <w:r w:rsidRPr="003F6570">
        <w:rPr>
          <w:rFonts w:ascii="Arial" w:hAnsi="Arial" w:cs="Arial"/>
          <w:b/>
          <w:bCs/>
          <w:u w:val="single"/>
        </w:rPr>
        <w:t>Question 2</w:t>
      </w:r>
    </w:p>
    <w:p w14:paraId="179A87C8" w14:textId="77777777" w:rsidR="001A174B" w:rsidRDefault="001A174B" w:rsidP="001A174B">
      <w:pPr>
        <w:jc w:val="both"/>
        <w:rPr>
          <w:rFonts w:ascii="Arial" w:hAnsi="Arial" w:cs="Arial"/>
        </w:rPr>
      </w:pPr>
    </w:p>
    <w:p w14:paraId="1E57B0B1" w14:textId="05CFE446" w:rsidR="001A174B" w:rsidRDefault="001A174B" w:rsidP="001A174B">
      <w:pPr>
        <w:jc w:val="both"/>
        <w:rPr>
          <w:rFonts w:ascii="Arial" w:hAnsi="Arial" w:cs="Arial"/>
        </w:rPr>
      </w:pPr>
      <w:r>
        <w:rPr>
          <w:rFonts w:ascii="Arial" w:hAnsi="Arial" w:cs="Arial"/>
        </w:rPr>
        <w:t>Generally, the f</w:t>
      </w:r>
      <w:r w:rsidRPr="000C38CA">
        <w:rPr>
          <w:rFonts w:ascii="Arial" w:hAnsi="Arial" w:cs="Arial"/>
        </w:rPr>
        <w:t xml:space="preserve">eedback </w:t>
      </w:r>
      <w:r>
        <w:rPr>
          <w:rFonts w:ascii="Arial" w:hAnsi="Arial" w:cs="Arial"/>
        </w:rPr>
        <w:t xml:space="preserve">I have received </w:t>
      </w:r>
      <w:r w:rsidRPr="000C38CA">
        <w:rPr>
          <w:rFonts w:ascii="Arial" w:hAnsi="Arial" w:cs="Arial"/>
        </w:rPr>
        <w:t xml:space="preserve">from individuals in need of care and support, and their </w:t>
      </w:r>
      <w:proofErr w:type="spellStart"/>
      <w:r w:rsidRPr="000C38CA">
        <w:rPr>
          <w:rFonts w:ascii="Arial" w:hAnsi="Arial" w:cs="Arial"/>
        </w:rPr>
        <w:t>carers</w:t>
      </w:r>
      <w:proofErr w:type="spellEnd"/>
      <w:r w:rsidRPr="000C38CA">
        <w:rPr>
          <w:rFonts w:ascii="Arial" w:hAnsi="Arial" w:cs="Arial"/>
        </w:rPr>
        <w:t xml:space="preserve">, has </w:t>
      </w:r>
      <w:r>
        <w:rPr>
          <w:rFonts w:ascii="Arial" w:hAnsi="Arial" w:cs="Arial"/>
        </w:rPr>
        <w:t xml:space="preserve">positive and continues to </w:t>
      </w:r>
      <w:r w:rsidRPr="000C38CA">
        <w:rPr>
          <w:rFonts w:ascii="Arial" w:hAnsi="Arial" w:cs="Arial"/>
        </w:rPr>
        <w:t xml:space="preserve">significantly shape my practice. After </w:t>
      </w:r>
      <w:r>
        <w:rPr>
          <w:rFonts w:ascii="Arial" w:hAnsi="Arial" w:cs="Arial"/>
        </w:rPr>
        <w:t>the observation for</w:t>
      </w:r>
      <w:r w:rsidRPr="000C38CA">
        <w:rPr>
          <w:rFonts w:ascii="Arial" w:hAnsi="Arial" w:cs="Arial"/>
        </w:rPr>
        <w:t xml:space="preserve"> Task 2, Mr 5 </w:t>
      </w:r>
      <w:r>
        <w:rPr>
          <w:rFonts w:ascii="Arial" w:hAnsi="Arial" w:cs="Arial"/>
        </w:rPr>
        <w:t>(</w:t>
      </w:r>
      <w:r w:rsidRPr="000C38CA">
        <w:rPr>
          <w:rFonts w:ascii="Arial" w:hAnsi="Arial" w:cs="Arial"/>
        </w:rPr>
        <w:t>a carer</w:t>
      </w:r>
      <w:r>
        <w:rPr>
          <w:rFonts w:ascii="Arial" w:hAnsi="Arial" w:cs="Arial"/>
        </w:rPr>
        <w:t>)</w:t>
      </w:r>
      <w:r w:rsidRPr="000C38CA">
        <w:rPr>
          <w:rFonts w:ascii="Arial" w:hAnsi="Arial" w:cs="Arial"/>
        </w:rPr>
        <w:t>, commended my friendly, approachable manner, effective communication, and non</w:t>
      </w:r>
      <w:r w:rsidRPr="000C38CA">
        <w:rPr>
          <w:rFonts w:ascii="Cambria Math" w:hAnsi="Cambria Math" w:cs="Cambria Math"/>
        </w:rPr>
        <w:t>‐</w:t>
      </w:r>
      <w:r w:rsidRPr="000C38CA">
        <w:rPr>
          <w:rFonts w:ascii="Arial" w:hAnsi="Arial" w:cs="Arial"/>
        </w:rPr>
        <w:t>jargon language</w:t>
      </w:r>
      <w:r>
        <w:rPr>
          <w:rFonts w:ascii="Arial" w:hAnsi="Arial" w:cs="Arial"/>
        </w:rPr>
        <w:t xml:space="preserve"> when reviewing Mr 4’s package of care</w:t>
      </w:r>
      <w:r w:rsidRPr="000C38CA">
        <w:rPr>
          <w:rFonts w:ascii="Arial" w:hAnsi="Arial" w:cs="Arial"/>
        </w:rPr>
        <w:t>. This positive input boosted my confidence and validated my commitment to person</w:t>
      </w:r>
      <w:r w:rsidRPr="000C38CA">
        <w:rPr>
          <w:rFonts w:ascii="Cambria Math" w:hAnsi="Cambria Math" w:cs="Cambria Math"/>
        </w:rPr>
        <w:t>‐</w:t>
      </w:r>
      <w:r w:rsidRPr="000C38CA">
        <w:rPr>
          <w:rFonts w:ascii="Arial" w:hAnsi="Arial" w:cs="Arial"/>
        </w:rPr>
        <w:t>centred</w:t>
      </w:r>
      <w:r>
        <w:rPr>
          <w:rFonts w:ascii="Arial" w:hAnsi="Arial" w:cs="Arial"/>
        </w:rPr>
        <w:t xml:space="preserve"> </w:t>
      </w:r>
      <w:sdt>
        <w:sdtPr>
          <w:rPr>
            <w:rFonts w:ascii="Arial" w:hAnsi="Arial" w:cs="Arial"/>
          </w:rPr>
          <w:id w:val="-539974890"/>
          <w:citation/>
        </w:sdtPr>
        <w:sdtContent>
          <w:r>
            <w:rPr>
              <w:rFonts w:ascii="Arial" w:hAnsi="Arial" w:cs="Arial"/>
            </w:rPr>
            <w:fldChar w:fldCharType="begin"/>
          </w:r>
          <w:r>
            <w:rPr>
              <w:rFonts w:ascii="Arial" w:hAnsi="Arial" w:cs="Arial"/>
            </w:rPr>
            <w:instrText xml:space="preserve">CITATION Sym20 \m McC \l 2057 </w:instrText>
          </w:r>
          <w:r>
            <w:rPr>
              <w:rFonts w:ascii="Arial" w:hAnsi="Arial" w:cs="Arial"/>
            </w:rPr>
            <w:fldChar w:fldCharType="separate"/>
          </w:r>
          <w:r w:rsidRPr="00833D76">
            <w:rPr>
              <w:rFonts w:ascii="Arial" w:hAnsi="Arial" w:cs="Arial"/>
              <w:noProof/>
            </w:rPr>
            <w:t>(Symonds, et al., 2020; McCausland, et al., 2021)</w:t>
          </w:r>
          <w:r>
            <w:rPr>
              <w:rFonts w:ascii="Arial" w:hAnsi="Arial" w:cs="Arial"/>
            </w:rPr>
            <w:fldChar w:fldCharType="end"/>
          </w:r>
        </w:sdtContent>
      </w:sdt>
      <w:r w:rsidRPr="000C38CA">
        <w:rPr>
          <w:rFonts w:ascii="Arial" w:hAnsi="Arial" w:cs="Arial"/>
        </w:rPr>
        <w:t>, anti</w:t>
      </w:r>
      <w:r w:rsidRPr="000C38CA">
        <w:rPr>
          <w:rFonts w:ascii="Cambria Math" w:hAnsi="Cambria Math" w:cs="Cambria Math"/>
        </w:rPr>
        <w:t>‐</w:t>
      </w:r>
      <w:r w:rsidRPr="000C38CA">
        <w:rPr>
          <w:rFonts w:ascii="Arial" w:hAnsi="Arial" w:cs="Arial"/>
        </w:rPr>
        <w:t>oppressive approaches</w:t>
      </w:r>
      <w:r>
        <w:rPr>
          <w:rFonts w:ascii="Arial" w:hAnsi="Arial" w:cs="Arial"/>
        </w:rPr>
        <w:t xml:space="preserve">. </w:t>
      </w:r>
      <w:r w:rsidRPr="000C38CA">
        <w:rPr>
          <w:rFonts w:ascii="Arial" w:hAnsi="Arial" w:cs="Arial"/>
        </w:rPr>
        <w:t>I now prioriti</w:t>
      </w:r>
      <w:r>
        <w:rPr>
          <w:rFonts w:ascii="Arial" w:hAnsi="Arial" w:cs="Arial"/>
        </w:rPr>
        <w:t>s</w:t>
      </w:r>
      <w:r w:rsidRPr="000C38CA">
        <w:rPr>
          <w:rFonts w:ascii="Arial" w:hAnsi="Arial" w:cs="Arial"/>
        </w:rPr>
        <w:t>e empathetic engagement and continuous skill development to address the core needs of those I support. This feedback has been instrumental in guiding my ongoing professional growth and future practice.</w:t>
      </w:r>
    </w:p>
    <w:p w14:paraId="25223026" w14:textId="77777777" w:rsidR="001A174B" w:rsidRDefault="001A174B" w:rsidP="001A174B">
      <w:pPr>
        <w:jc w:val="both"/>
        <w:rPr>
          <w:rFonts w:ascii="Arial" w:hAnsi="Arial" w:cs="Arial"/>
        </w:rPr>
      </w:pPr>
    </w:p>
    <w:p w14:paraId="2B9DDDF9" w14:textId="77777777" w:rsidR="001A174B" w:rsidRPr="003F6570" w:rsidRDefault="001A174B" w:rsidP="001A174B">
      <w:pPr>
        <w:jc w:val="both"/>
        <w:rPr>
          <w:rFonts w:ascii="Arial" w:hAnsi="Arial" w:cs="Arial"/>
        </w:rPr>
      </w:pPr>
      <w:r>
        <w:rPr>
          <w:rFonts w:ascii="Arial" w:hAnsi="Arial" w:cs="Arial"/>
        </w:rPr>
        <w:t>(Word Count 107)</w:t>
      </w:r>
    </w:p>
    <w:p w14:paraId="30E2E643" w14:textId="01D32D1A" w:rsidR="00FA2B47" w:rsidRDefault="00FA2B47"/>
    <w:sectPr w:rsidR="00FA2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A174B"/>
    <w:rsid w:val="00237B5B"/>
    <w:rsid w:val="003E2053"/>
    <w:rsid w:val="004F0E93"/>
    <w:rsid w:val="006248E0"/>
    <w:rsid w:val="00653641"/>
    <w:rsid w:val="007C6082"/>
    <w:rsid w:val="007F346B"/>
    <w:rsid w:val="00943FDB"/>
    <w:rsid w:val="009A4CCD"/>
    <w:rsid w:val="009F21E6"/>
    <w:rsid w:val="00A22077"/>
    <w:rsid w:val="00A47AFA"/>
    <w:rsid w:val="00A73D0B"/>
    <w:rsid w:val="00AB232D"/>
    <w:rsid w:val="00B930D3"/>
    <w:rsid w:val="00C0499C"/>
    <w:rsid w:val="00C243FA"/>
    <w:rsid w:val="00C86002"/>
    <w:rsid w:val="00CB2131"/>
    <w:rsid w:val="00D27A91"/>
    <w:rsid w:val="00DC3220"/>
    <w:rsid w:val="00DF2A2E"/>
    <w:rsid w:val="00E5092E"/>
    <w:rsid w:val="00EB16F5"/>
    <w:rsid w:val="00F14D32"/>
    <w:rsid w:val="00FA2B47"/>
    <w:rsid w:val="00FD14AF"/>
    <w:rsid w:val="00FF41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0946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Rol11</b:Tag>
    <b:SourceType>Book</b:SourceType>
    <b:Guid>{CDC9A452-B9B7-C44C-8413-8D8A987949B9}</b:Guid>
    <b:Title>Critical Reflection in Practice: Generating Knowledge for Care</b:Title>
    <b:City>London</b:City>
    <b:Publisher>Red Globe Press</b:Publisher>
    <b:Year>2011</b:Year>
    <b:Edition>Second</b:Edition>
    <b:Author>
      <b:Author>
        <b:NameList>
          <b:Person>
            <b:Last>Rolfe</b:Last>
            <b:First>Gary</b:First>
          </b:Person>
          <b:Person>
            <b:Last>Jasper</b:Last>
            <b:First>Melanie</b:First>
          </b:Person>
          <b:Person>
            <b:Last>Freshwater</b:Last>
            <b:First>Dawn</b:First>
          </b:Person>
        </b:NameList>
      </b:Author>
    </b:Author>
    <b:RefOrder>20</b:RefOrder>
  </b:Source>
  <b:Source>
    <b:Tag>Bor70</b:Tag>
    <b:SourceType>Book</b:SourceType>
    <b:Guid>{3070B14F-FD1D-6543-91C1-8B8E43BB2BDF}</b:Guid>
    <b:Title>Reach, touch and teach. Hutchinson</b:Title>
    <b:Year>1970</b:Year>
    <b:Author>
      <b:Author>
        <b:NameList>
          <b:Person>
            <b:Last>Borton</b:Last>
            <b:First>T</b:First>
          </b:Person>
        </b:NameList>
      </b:Author>
    </b:Author>
    <b:Publisher>McGraw Hill, Inc</b:Publisher>
    <b:City>New York</b:City>
    <b:LCID>en-GB</b:LCID>
    <b:Edition>1st</b:Edition>
    <b:RefOrder>23</b:RefOrder>
  </b:Source>
  <b:Source>
    <b:Tag>UKG14</b:Tag>
    <b:SourceType>DocumentFromInternetSite</b:SourceType>
    <b:Guid>{FEE4DE01-6275-234E-AF6F-EBAA914C718A}</b:Guid>
    <b:Author>
      <b:Author>
        <b:Corporate>Welsh Government</b:Corporate>
      </b:Author>
    </b:Author>
    <b:Title>Social Service and Well-being (Wales) Act 2014 [SSWBA2014]</b:Title>
    <b:InternetSiteTitle>legislation.gov.uk</b:InternetSiteTitle>
    <b:URL>https://www.legislation.gov.uk/anaw/2014/4/contents</b:URL>
    <b:Year>2014</b:Year>
    <b:Month>May</b:Month>
    <b:Day>1</b:Day>
    <b:LCID>en-GB</b:LCID>
    <b:RefOrder>3</b:RefOrder>
  </b:Source>
  <b:Source>
    <b:Tag>Placeholder1</b:Tag>
    <b:SourceType>DocumentFromInternetSite</b:SourceType>
    <b:Guid>{0C5F38AF-2D10-184B-BCA6-34B0523BD3E2}</b:Guid>
    <b:Title>Mental Capacity Act 2005</b:Title>
    <b:InternetSiteTitle>Legislation.gov.uk</b:InternetSiteTitle>
    <b:URL>https://www.legislation.gov.uk/ukpga/2005/9/contents?view=plain</b:URL>
    <b:Year>2005</b:Year>
    <b:Month>April</b:Month>
    <b:Day>7</b:Day>
    <b:Author>
      <b:Author>
        <b:Corporate>UK Government</b:Corporate>
      </b:Author>
    </b:Author>
    <b:YearAccessed>2023</b:YearAccessed>
    <b:MonthAccessed>February</b:MonthAccessed>
    <b:DayAccessed>5</b:DayAccessed>
    <b:LCID>en-GB</b:LCID>
    <b:RefOrder>2</b:RefOrder>
  </b:Source>
  <b:Source>
    <b:Tag>Hoc83</b:Tag>
    <b:SourceType>Book</b:SourceType>
    <b:Guid>{FB56E8C9-BAB7-B046-93F2-73D7C79BF92A}</b:Guid>
    <b:Title>The Managed Heart Commercialization of Human Feeling </b:Title>
    <b:Year>1983</b:Year>
    <b:Author>
      <b:Author>
        <b:NameList>
          <b:Person>
            <b:Last>Hochschild</b:Last>
            <b:Middle>Russell</b:Middle>
            <b:First>Arlie</b:First>
          </b:Person>
        </b:NameList>
      </b:Author>
    </b:Author>
    <b:City>Berkeley Los Angeles London</b:City>
    <b:Publisher>University of California Press</b:Publisher>
    <b:RefOrder>24</b:RefOrder>
  </b:Source>
  <b:Source>
    <b:Tag>Wil13</b:Tag>
    <b:SourceType>JournalArticle</b:SourceType>
    <b:Guid>{CC6166D7-D264-F14A-AC56-B4912702035A}</b:Guid>
    <b:Title>Hochschild (2003) — The managed heart: The recognition of emotional labour in public service work </b:Title>
    <b:Publisher>Elsevier Ltd</b:Publisher>
    <b:Year>2013</b:Year>
    <b:Pages>5 - 7 </b:Pages>
    <b:JournalName>Nurse Education Today </b:JournalName>
    <b:Issue>33</b:Issue>
    <b:Author>
      <b:Author>
        <b:NameList>
          <b:Person>
            <b:Last>Williams</b:Last>
            <b:First>Angela</b:First>
          </b:Person>
        </b:NameList>
      </b:Author>
    </b:Author>
    <b:RefOrder>25</b:RefOrder>
  </b:Source>
  <b:Source>
    <b:Tag>Gov24</b:Tag>
    <b:SourceType>InternetSite</b:SourceType>
    <b:Guid>{60556803-7098-954B-9CEC-F0EA0C1AA833}</b:Guid>
    <b:Title>Court of Protection</b:Title>
    <b:Year>2024</b:Year>
    <b:URL>https://www.gov.uk/courts-tribunals/court-of-protection</b:URL>
    <b:YearAccessed>2024</b:YearAccessed>
    <b:MonthAccessed>October</b:MonthAccessed>
    <b:DayAccessed>2</b:DayAccessed>
    <b:Author>
      <b:Author>
        <b:Corporate>Gov.uk</b:Corporate>
      </b:Author>
    </b:Author>
    <b:RefOrder>26</b:RefOrder>
  </b:Source>
  <b:Source>
    <b:Tag>The20</b:Tag>
    <b:SourceType>Book</b:SourceType>
    <b:Guid>{BFC68DF2-4CD4-2D4B-BF17-CB660E85FFCA}</b:Guid>
    <b:Title>A Simple Guide To Completing Strength-Based Assessments in Adult Social Care  Social Worker, The Secret. A Simple Guide To Completing Strength-Based Assessments in Adult Social Care</b:Title>
    <b:Publisher>The Secret Social Worker</b:Publisher>
    <b:Year>2020</b:Year>
    <b:Edition>Kindle</b:Edition>
    <b:Author>
      <b:Author>
        <b:NameList>
          <b:Person>
            <b:Last>Worker</b:Last>
            <b:First>The</b:First>
            <b:Middle>Secret Social</b:Middle>
          </b:Person>
        </b:NameList>
      </b:Author>
    </b:Author>
    <b:RefOrder>27</b:RefOrder>
  </b:Source>
  <b:Source>
    <b:Tag>Hin20</b:Tag>
    <b:SourceType>Book</b:SourceType>
    <b:Guid>{50976C27-5420-9B4D-85CE-6800F0B48A8E}</b:Guid>
    <b:Title>Communication and Interviewing Skills for Practice in Social Work, Counselling and the Health Professions  Higham, Patricia. Communication and Interviewing Skills for Practice in Social Work, Counselling and the Health Professions (Student Social Work) (p</b:Title>
    <b:City>London and New York</b:City>
    <b:Publisher>Routledge </b:Publisher>
    <b:Year>2020</b:Year>
    <b:Edition>Kindle</b:Edition>
    <b:Author>
      <b:Author>
        <b:NameList>
          <b:Person>
            <b:Last>Hingham</b:Last>
            <b:First>Patricia</b:First>
          </b:Person>
        </b:NameList>
      </b:Author>
    </b:Author>
    <b:RefOrder>28</b:RefOrder>
  </b:Source>
  <b:Source>
    <b:Tag>Mak24</b:Tag>
    <b:SourceType>InternetSite</b:SourceType>
    <b:Guid>{C36EFC6C-7351-FF40-A335-6106827013C5}</b:Guid>
    <b:Title>About Makaton</b:Title>
    <b:URL>https://www.makaton.org/TMC/TMC/AboutMakaton.aspx?hkey=c8a4263d-78cc-4c30-b135-153eb6ac3118</b:URL>
    <b:Year>2024</b:Year>
    <b:YearAccessed>2024</b:YearAccessed>
    <b:MonthAccessed>October</b:MonthAccessed>
    <b:DayAccessed>3</b:DayAccessed>
    <b:Author>
      <b:Author>
        <b:Corporate>Makaton.org</b:Corporate>
      </b:Author>
    </b:Author>
    <b:RefOrder>29</b:RefOrder>
  </b:Source>
  <b:Source>
    <b:Tag>Placeholder3</b:Tag>
    <b:SourceType>Book</b:SourceType>
    <b:Guid>{38B47C97-20C1-1C41-A6CB-C7C8DA55B887}</b:Guid>
    <b:Title>Critical Reflection in Practice: Generating Knowledge for Care</b:Title>
    <b:City>London</b:City>
    <b:Publisher>Red Globe Press</b:Publisher>
    <b:Year>2001</b:Year>
    <b:Edition>Second</b:Edition>
    <b:Author>
      <b:Author>
        <b:NameList>
          <b:Person>
            <b:Last>Rolfe</b:Last>
            <b:First>Gary</b:First>
          </b:Person>
          <b:Person>
            <b:Last>Jasper</b:Last>
            <b:First>Melanie</b:First>
          </b:Person>
          <b:Person>
            <b:Last>Freshwater</b:Last>
            <b:First>Dawn</b:First>
          </b:Person>
        </b:NameList>
      </b:Author>
    </b:Author>
    <b:RefOrder>1</b:RefOrder>
  </b:Source>
  <b:Source>
    <b:Tag>Pas22</b:Tag>
    <b:SourceType>JournalArticle</b:SourceType>
    <b:Guid>{066FA374-9345-4741-9AC3-76F4F6C3B733}</b:Guid>
    <b:Title>Remote service delivery during the COVID-19 pandemic: Questioning the impact of technology on relationship-based social work practice</b:Title>
    <b:Year>2022</b:Year>
    <b:Author>
      <b:Author>
        <b:NameList>
          <b:Person>
            <b:Last>Pascoe</b:Last>
            <b:Middle>Margaret</b:Middle>
            <b:First>Katheryn</b:First>
          </b:Person>
        </b:NameList>
      </b:Author>
    </b:Author>
    <b:JournalName>British Journal of Social Work</b:JournalName>
    <b:Issue>52</b:Issue>
    <b:Pages>3268 - 3287</b:Pages>
    <b:RefOrder>4</b:RefOrder>
  </b:Source>
  <b:Source>
    <b:Tag>Kin21</b:Tag>
    <b:SourceType>JournalArticle</b:SourceType>
    <b:Guid>{5F4232A2-B8D7-B643-A4F7-7D561880675A}</b:Guid>
    <b:Title>Exploring the Impact of the First Wave of COVID-19 on Social Work Practice: A Qualitative Study in England, UK</b:Title>
    <b:Year>2021</b:Year>
    <b:Volume>52</b:Volume>
    <b:Issue>4</b:Issue>
    <b:Pages>2043 - 2062</b:Pages>
    <b:Author>
      <b:Author>
        <b:NameList>
          <b:Person>
            <b:Last>Kingtone</b:Last>
            <b:First>Tom</b:First>
          </b:Person>
          <b:Person>
            <b:Last>Campbell</b:Last>
            <b:First>Paul</b:First>
          </b:Person>
          <b:Person>
            <b:Last>Andras</b:Last>
            <b:First>Alina</b:First>
          </b:Person>
          <b:Person>
            <b:Last>Nixon</b:Last>
            <b:First>Karen</b:First>
          </b:Person>
          <b:Person>
            <b:Last>Mallen</b:Last>
            <b:First>Christian</b:First>
          </b:Person>
          <b:Person>
            <b:Last>Dikomitis</b:Last>
            <b:First>Lisa</b:First>
          </b:Person>
        </b:NameList>
      </b:Author>
    </b:Author>
    <b:RefOrder>5</b:RefOrder>
  </b:Source>
  <b:Source>
    <b:Tag>Sen23</b:Tag>
    <b:SourceType>JournalArticle</b:SourceType>
    <b:Guid>{222CFF55-373B-0342-A648-E0657B39DD54}</b:Guid>
    <b:Title>Ontological (In)security in Early Career Social Work during COVID-19: Experiences in Scotland</b:Title>
    <b:Publisher>Oxford University Press on behalf of The British Association of Social Workers.</b:Publisher>
    <b:Year>2023</b:Year>
    <b:Pages>995 - 1013</b:Pages>
    <b:Author>
      <b:Author>
        <b:NameList>
          <b:Person>
            <b:Last>Sen</b:Last>
            <b:First>Robin</b:First>
          </b:Person>
          <b:Person>
            <b:Last>Dasly</b:Last>
            <b:First>Maura</b:First>
          </b:Person>
          <b:Person>
            <b:Last>McCulloch</b:Last>
            <b:First>Trish</b:First>
          </b:Person>
          <b:Person>
            <b:Last>Grant</b:Last>
            <b:First>Scott</b:First>
          </b:Person>
          <b:Person>
            <b:Last>Clarke</b:Last>
            <b:First>David</b:First>
          </b:Person>
          <b:Person>
            <b:Last>Ferrier</b:Last>
            <b:First>Claire</b:First>
          </b:Person>
        </b:NameList>
      </b:Author>
    </b:Author>
    <b:Issue>54</b:Issue>
    <b:RefOrder>6</b:RefOrder>
  </b:Source>
  <b:Source>
    <b:Tag>Wal23</b:Tag>
    <b:SourceType>JournalArticle</b:SourceType>
    <b:Guid>{30168EBB-6D19-E24C-9367-A28D51E680AA}</b:Guid>
    <b:Title>Working and learning from home during COVID-19: International experiences among social work educators and students</b:Title>
    <b:Year>2023</b:Year>
    <b:Author>
      <b:Author>
        <b:NameList>
          <b:Person>
            <b:Last>Wallengren-Lynch</b:Last>
            <b:First>Michael</b:First>
          </b:Person>
          <b:Person>
            <b:Last>Dominelli</b:Last>
            <b:First>Lena</b:First>
          </b:Person>
          <b:Person>
            <b:Last>Carin </b:Last>
            <b:First>Cuadra</b:First>
          </b:Person>
        </b:NameList>
      </b:Author>
    </b:Author>
    <b:JournalName>International Social Work</b:JournalName>
    <b:Volume>66</b:Volume>
    <b:Issue>4</b:Issue>
    <b:Pages>1045 - 1058</b:Pages>
    <b:RefOrder>7</b:RefOrder>
  </b:Source>
  <b:Source>
    <b:Tag>Apg24</b:Tag>
    <b:SourceType>DocumentFromInternetSite</b:SourceType>
    <b:Guid>{350CCB25-398D-494E-A28E-F3E6E81D60C6}</b:Guid>
    <b:Title>Imposter Syndrome in Social Work Practice: Clinical Considerations and Implications</b:Title>
    <b:JournalName>Clinical Social Work Journal</b:JournalName>
    <b:Year>2024</b:Year>
    <b:Month>November</b:Month>
    <b:Day>16</b:Day>
    <b:Author>
      <b:Author>
        <b:NameList>
          <b:Person>
            <b:Last>Apgar</b:Last>
            <b:First>Dawn</b:First>
          </b:Person>
          <b:Person>
            <b:Last>Zerrusen</b:Last>
            <b:First>Lori</b:First>
          </b:Person>
        </b:NameList>
      </b:Author>
    </b:Author>
    <b:URL>https://link.springer.com/article/10.1007/s10615-024-00971-w#citeas</b:URL>
    <b:YearAccessed>2025</b:YearAccessed>
    <b:MonthAccessed>February </b:MonthAccessed>
    <b:DayAccessed>12</b:DayAccessed>
    <b:RefOrder>8</b:RefOrder>
  </b:Source>
  <b:Source>
    <b:Tag>Cav24</b:Tag>
    <b:SourceType>JournalArticle</b:SourceType>
    <b:Guid>{CEB3EC6B-D85D-354D-9356-16455130A042}</b:Guid>
    <b:Title>Cultivating Safe Spaces for Critical Reflection and Staff Care: Lessons Learned Through a Study Exploring Lived Experiences of Child and Family Social Workers</b:Title>
    <b:JournalName>Child &amp; Family Social Work</b:JournalName>
    <b:Year>2024</b:Year>
    <b:Pages>1 - 11</b:Pages>
    <b:Author>
      <b:Author>
        <b:NameList>
          <b:Person>
            <b:Last>Cavener</b:Last>
            <b:First>John</b:First>
          </b:Person>
          <b:Person>
            <b:Last>McGovern</b:Last>
            <b:First>William</b:First>
          </b:Person>
          <b:Person>
            <b:Last>Lochhead</b:Last>
            <b:First>Lydia</b:First>
          </b:Person>
        </b:NameList>
      </b:Author>
    </b:Author>
    <b:RefOrder>9</b:RefOrder>
  </b:Source>
  <b:Source>
    <b:Tag>Soc22</b:Tag>
    <b:SourceType>InternetSite</b:SourceType>
    <b:Guid>{536C8C54-5CD7-BE4B-BEFB-3F9BBCD901D7}</b:Guid>
    <b:Title>Covid-19 impact report reveals newly qualified social workers need more support in the workplace</b:Title>
    <b:Year>2022</b:Year>
    <b:URL>https://socialcare.wales/news-stories/covid-19-report-reveals-nqsw-need-support?utm_source=chatgpt.com</b:URL>
    <b:YearAccessed>2025</b:YearAccessed>
    <b:MonthAccessed>February</b:MonthAccessed>
    <b:DayAccessed>12</b:DayAccessed>
    <b:Author>
      <b:Author>
        <b:Corporate>Social Care Wales</b:Corporate>
      </b:Author>
    </b:Author>
    <b:RefOrder>10</b:RefOrder>
  </b:Source>
  <b:Source>
    <b:Tag>Zap23</b:Tag>
    <b:SourceType>JournalArticle</b:SourceType>
    <b:Guid>{84EC64BB-B7BC-8D46-A741-63B5ABFE0573}</b:Guid>
    <b:Title>On the triple exclusion of older adults during COVID-19: Technology, digital literacy and social isolation</b:Title>
    <b:JournalName>Social Sciences &amp; Humanities Open</b:JournalName>
    <b:Year>2023</b:Year>
    <b:Volume>8</b:Volume>
    <b:Issue>1</b:Issue>
    <b:Pages>1 -6</b:Pages>
    <b:Author>
      <b:Author>
        <b:NameList>
          <b:Person>
            <b:Last>Zapletal</b:Last>
            <b:First>Amber</b:First>
          </b:Person>
          <b:Person>
            <b:Last>Wells</b:Last>
            <b:First>Tabytha</b:First>
          </b:Person>
          <b:Person>
            <b:Last>Russell</b:Last>
            <b:First>Elizabeth</b:First>
          </b:Person>
          <b:Person>
            <b:Last>Skinner</b:Last>
            <b:Middle>W.</b:Middle>
            <b:First>Mark</b:First>
          </b:Person>
        </b:NameList>
      </b:Author>
    </b:Author>
    <b:RefOrder>11</b:RefOrder>
  </b:Source>
  <b:Source>
    <b:Tag>Mac23</b:Tag>
    <b:SourceType>JournalArticle</b:SourceType>
    <b:Guid>{479696E6-7D20-0240-B9D5-15F747E0D4F7}</b:Guid>
    <b:Title>The COVID-19 Pandemic’s Impact on UK Older People’s Social Workers: A Mixed-Methods Study</b:Title>
    <b:JournalName>British Journal of Social Work</b:JournalName>
    <b:Year>2023</b:Year>
    <b:Volume>53</b:Volume>
    <b:Pages>3838 - 3859</b:Pages>
    <b:Author>
      <b:Author>
        <b:NameList>
          <b:Person>
            <b:Last>MacLochlainn</b:Last>
            <b:First>Justin</b:First>
          </b:Person>
          <b:Person>
            <b:Last>Manthorpe</b:Last>
            <b:First>Jill</b:First>
          </b:Person>
          <b:Person>
            <b:Last>Mallett</b:Last>
            <b:First>John</b:First>
          </b:Person>
          <b:Person>
            <b:Last>McGrory</b:Last>
            <b:First>Susan</b:First>
          </b:Person>
          <b:Person>
            <b:Last>Nicholl</b:Last>
            <b:First>Patricia</b:First>
          </b:Person>
          <b:Person>
            <b:Last>Schroder</b:Last>
            <b:First>Heike</b:First>
          </b:Person>
          <b:Person>
            <b:Last>Currie</b:Last>
            <b:First>Denise</b:First>
          </b:Person>
          <b:Person>
            <b:Last>McFadden</b:Last>
            <b:First>Paula</b:First>
          </b:Person>
        </b:NameList>
      </b:Author>
    </b:Author>
    <b:RefOrder>12</b:RefOrder>
  </b:Source>
  <b:Source>
    <b:Tag>Jup22</b:Tag>
    <b:SourceType>Report</b:SourceType>
    <b:Guid>{EC95CBF2-3791-4C47-AFE2-CA2E43A5F158}</b:Guid>
    <b:Title>COVID-19 and the impact on Newly Qualified Social Workers</b:Title>
    <b:Year>2022</b:Year>
    <b:Author>
      <b:Author>
        <b:NameList>
          <b:Person>
            <b:Last>Jupp</b:Last>
            <b:First>Daniel</b:First>
          </b:Person>
          <b:Person>
            <b:Last>Luff</b:Last>
            <b:First>Rebekah</b:First>
          </b:Person>
        </b:NameList>
      </b:Author>
    </b:Author>
    <b:Publisher>Social Care Institute for Excellence</b:Publisher>
    <b:City>London</b:City>
    <b:RefOrder>13</b:RefOrder>
  </b:Source>
  <b:Source>
    <b:Tag>Par07</b:Tag>
    <b:SourceType>JournalArticle</b:SourceType>
    <b:Guid>{4AF25E10-6361-0747-9BF5-4FBD8B82ACBE}</b:Guid>
    <b:Title>Shadowing’ and its place in preparing students for practice learning</b:Title>
    <b:JournalName>Journal of Practice Teaching &amp; Learning </b:JournalName>
    <b:Year>2006-07</b:Year>
    <b:Volume>7</b:Volume>
    <b:Issue>3</b:Issue>
    <b:Pages>49 - 69</b:Pages>
    <b:Author>
      <b:Author>
        <b:NameList>
          <b:Person>
            <b:Last>Parker</b:Last>
            <b:First>Jonathan</b:First>
          </b:Person>
          <b:Person>
            <b:Last>Hughes</b:Last>
            <b:First>Mel</b:First>
          </b:Person>
          <b:Person>
            <b:Last>Rutter</b:Last>
            <b:First>Lynne</b:First>
          </b:Person>
        </b:NameList>
      </b:Author>
    </b:Author>
    <b:RefOrder>14</b:RefOrder>
  </b:Source>
  <b:Source>
    <b:Tag>Der24</b:Tag>
    <b:SourceType>JournalArticle</b:SourceType>
    <b:Guid>{F084BBB7-2EE9-744A-9EE6-C7BBFFD4330F}</b:Guid>
    <b:Title>Older people’s family relationships in disequilibrium during the COVID-19 pandemic. What really matters?</b:Title>
    <b:JournalName>Ageing &amp; Society</b:JournalName>
    <b:Year>2024</b:Year>
    <b:Volume>44</b:Volume>
    <b:Pages>721 - 738</b:Pages>
    <b:Author>
      <b:Author>
        <b:NameList>
          <b:Person>
            <b:Last>Derrer-Merk</b:Last>
            <b:First>Elfriede</b:First>
          </b:Person>
          <b:Person>
            <b:Last>Ferson</b:Last>
            <b:First>Scott</b:First>
          </b:Person>
          <b:Person>
            <b:Last>Mannis</b:Last>
            <b:First>Adam</b:First>
          </b:Person>
          <b:Person>
            <b:Last>Bentall</b:Last>
            <b:First>Richard</b:First>
          </b:Person>
          <b:Person>
            <b:Last>Bennett</b:Last>
            <b:Middle>M.</b:Middle>
            <b:First>Kate</b:First>
          </b:Person>
        </b:NameList>
      </b:Author>
    </b:Author>
    <b:RefOrder>15</b:RefOrder>
  </b:Source>
  <b:Source>
    <b:Tag>Ben22</b:Tag>
    <b:SourceType>JournalArticle</b:SourceType>
    <b:Guid>{5F4DB104-1322-F846-94DD-31670CC5325F}</b:Guid>
    <b:Title>Invisible and at-risk: older adults during the COVID-19 pandemic</b:Title>
    <b:Year>2022</b:Year>
    <b:Volume>34</b:Volume>
    <b:Issue>1</b:Issue>
    <b:Pages>70 - 76</b:Pages>
    <b:Author>
      <b:Author>
        <b:NameList>
          <b:Person>
            <b:Last>Benbow</b:Last>
            <b:Middle>M.</b:Middle>
            <b:First>Susan</b:First>
          </b:Person>
          <b:Person>
            <b:Last>Bhattacharyya</b:Last>
            <b:First>Sarmishtha</b:First>
          </b:Person>
          <b:Person>
            <b:Last>Kingston</b:Last>
            <b:First>Paul</b:First>
          </b:Person>
          <b:Person>
            <b:Last>Peisah</b:Last>
            <b:First>Carmelle</b:First>
          </b:Person>
        </b:NameList>
      </b:Author>
    </b:Author>
    <b:RefOrder>16</b:RefOrder>
  </b:Source>
  <b:Source>
    <b:Tag>Lym06</b:Tag>
    <b:SourceType>JournalArticle</b:SourceType>
    <b:Guid>{4C4D69AF-6CB1-034B-B84E-02BD9212FB71}</b:Guid>
    <b:Title>United We Stand? Partnership Working in Health and Social Care and the Role of Social Work in Services for Older People</b:Title>
    <b:JournalName>British Journal of Social Work</b:JournalName>
    <b:Year>2006</b:Year>
    <b:Volume>36</b:Volume>
    <b:Issue>7</b:Issue>
    <b:Pages>1119 - 1134</b:Pages>
    <b:Author>
      <b:Author>
        <b:NameList>
          <b:Person>
            <b:Last>Lymbrey</b:Last>
            <b:First>Mark</b:First>
          </b:Person>
        </b:NameList>
      </b:Author>
    </b:Author>
    <b:RefOrder>17</b:RefOrder>
  </b:Source>
  <b:Source>
    <b:Tag>Tro20</b:Tag>
    <b:SourceType>JournalArticle</b:SourceType>
    <b:Guid>{B6D8E786-2E3B-AC46-82DC-F39F11034577}</b:Guid>
    <b:Title>Strategies for Work with Involuntary Clients</b:Title>
    <b:JournalName>Australian Social Work</b:JournalName>
    <b:Year>2020</b:Year>
    <b:Volume>73</b:Volume>
    <b:Issue>3</b:Issue>
    <b:Pages>263 - 266</b:Pages>
    <b:Author>
      <b:Author>
        <b:NameList>
          <b:Person>
            <b:Last>Trotter</b:Last>
            <b:First>Chris</b:First>
          </b:Person>
          <b:Person>
            <b:Last>Rooney</b:Last>
            <b:First>Ronald</b:First>
          </b:Person>
          <b:Person>
            <b:Last>Rooney</b:Last>
            <b:Middle>Dewberry</b:Middle>
            <b:First>Glenda</b:First>
          </b:Person>
        </b:NameList>
      </b:Author>
    </b:Author>
    <b:RefOrder>18</b:RefOrder>
  </b:Source>
  <b:Source>
    <b:Tag>Sal13</b:Tag>
    <b:SourceType>JournalArticle</b:SourceType>
    <b:Guid>{C969874E-8C0E-2342-BA50-648B60DCAFC3}</b:Guid>
    <b:Title>Understanding complexity in families’ lives: the usefulness of ‘family practices’ as an aid to decision-making </b:Title>
    <b:JournalName>Child and Family Social Work</b:JournalName>
    <b:Year>2013</b:Year>
    <b:Volume>18</b:Volume>
    <b:Issue>1</b:Issue>
    <b:Pages>15 - 24</b:Pages>
    <b:Author>
      <b:Author>
        <b:NameList>
          <b:Person>
            <b:Last>Saltiel</b:Last>
            <b:First>David</b:First>
          </b:Person>
        </b:NameList>
      </b:Author>
    </b:Author>
    <b:RefOrder>19</b:RefOrder>
  </b:Source>
  <b:Source>
    <b:Tag>Sou17</b:Tag>
    <b:SourceType>JournalArticle</b:SourceType>
    <b:Guid>{89E0B823-C23D-2040-86FF-F10CE3699A7B}</b:Guid>
    <b:Title>Getting past the dual logic: ﬁndings from a pilot asset mapping exercise in Shefﬁeld, UK</b:Title>
    <b:JournalName>Health and Social Care in the Community</b:JournalName>
    <b:Year>2017</b:Year>
    <b:Volume>25</b:Volume>
    <b:Issue>1</b:Issue>
    <b:Pages>105 - 113</b:Pages>
    <b:Author>
      <b:Author>
        <b:NameList>
          <b:Person>
            <b:Last>South</b:Last>
            <b:First>Jane</b:First>
          </b:Person>
          <b:Person>
            <b:Last>Giuntoli</b:Last>
            <b:First>Gianfranco</b:First>
          </b:Person>
          <b:Person>
            <b:Last>Kinsella</b:Last>
            <b:First>Karina</b:First>
          </b:Person>
        </b:NameList>
      </b:Author>
    </b:Author>
    <b:RefOrder>21</b:RefOrder>
  </b:Source>
  <b:Source>
    <b:Tag>Placeholder2</b:Tag>
    <b:SourceType>Book</b:SourceType>
    <b:Guid>{1D8E671A-15B1-854C-8FA8-6C2E67AA3484}</b:Guid>
    <b:Title>A Simple Guide To Completing Strength-Based Assessments in Adult Social Care  Social Worker, The Secret. A Simple Guide To Completing Strength-Based Assessments in Adult Social Care</b:Title>
    <b:Publisher>The Secret Social Worker</b:Publisher>
    <b:Year>2020</b:Year>
    <b:Edition>Kindle</b:Edition>
    <b:Author>
      <b:Author>
        <b:NameList>
          <b:Person>
            <b:Last>The Secret Social Worker</b:Last>
          </b:Person>
        </b:NameList>
      </b:Author>
    </b:Author>
    <b:RefOrder>22</b:RefOrder>
  </b:Source>
  <b:Source>
    <b:Tag>Jam21</b:Tag>
    <b:SourceType>JournalArticle</b:SourceType>
    <b:Guid>{8996F7A6-9A76-0A41-9102-9F847DC50833}</b:Guid>
    <b:Title>Rights-Based Social Work and the Named Social Worker for Adults with Learning Disabilities: A Policy Intervention 50 Years in the Making</b:Title>
    <b:JournalName>The British Journal of Social Work</b:JournalName>
    <b:Year>2021</b:Year>
    <b:Volume>51</b:Volume>
    <b:Issue>4</b:Issue>
    <b:Pages>1259 - 1276</b:Pages>
    <b:Author>
      <b:Author>
        <b:NameList>
          <b:Person>
            <b:Last>James</b:Last>
            <b:First>Elaine</b:First>
          </b:Person>
        </b:NameList>
      </b:Author>
    </b:Author>
    <b:RefOrder>5</b:RefOrder>
  </b:Source>
  <b:Source>
    <b:Tag>Wil19</b:Tag>
    <b:SourceType>JournalArticle</b:SourceType>
    <b:Guid>{0035DF56-A4B0-E444-A825-D6C2A78213F9}</b:Guid>
    <b:Title>Understanding comorbidity between specific learning disabilities</b:Title>
    <b:JournalName>New Dir Child Adolesc Dev</b:JournalName>
    <b:Year>2019</b:Year>
    <b:Volume>165</b:Volume>
    <b:Pages>91 - 109</b:Pages>
    <b:Author>
      <b:Author>
        <b:NameList>
          <b:Person>
            <b:Last>Willcutt</b:Last>
            <b:Middle>G.</b:Middle>
            <b:First>Erik</b:First>
          </b:Person>
          <b:Person>
            <b:Last>McGrath</b:Last>
            <b:First>Lauren</b:First>
          </b:Person>
          <b:Person>
            <b:Last>Pennington</b:Last>
            <b:Middle>F.</b:Middle>
            <b:First>Bruce</b:First>
          </b:Person>
          <b:Person>
            <b:Last>Keenan</b:Last>
            <b:Middle>M.</b:Middle>
            <b:First>Janice</b:First>
          </b:Person>
          <b:Person>
            <b:Last>DeFries</b:Last>
            <b:Middle>C.</b:Middle>
            <b:First>John</b:First>
          </b:Person>
          <b:Person>
            <b:Last>Olson</b:Last>
            <b:Middle>K.</b:Middle>
            <b:First>Richard</b:First>
          </b:Person>
          <b:Person>
            <b:Last>Wadsworth</b:Last>
            <b:Middle>J.</b:Middle>
            <b:First>Sally</b:First>
          </b:Person>
        </b:NameList>
      </b:Author>
    </b:Author>
    <b:RefOrder>6</b:RefOrder>
  </b:Source>
  <b:Source>
    <b:Tag>Bro24</b:Tag>
    <b:SourceType>JournalArticle</b:SourceType>
    <b:Guid>{E40B4CA9-ACAD-CB46-83BC-A60BA8035CA8}</b:Guid>
    <b:Title>Towards a ‘Social Model’ of Mental Capacity for Social Work</b:Title>
    <b:JournalName>The British Journal of Social Work</b:JournalName>
    <b:Year>2024</b:Year>
    <b:Volume>54</b:Volume>
    <b:Issue>4</b:Issue>
    <b:Pages>1610 - 1626</b:Pages>
    <b:Author>
      <b:Author>
        <b:NameList>
          <b:Person>
            <b:Last>Brown</b:Last>
            <b:First>Clare</b:First>
          </b:Person>
        </b:NameList>
      </b:Author>
    </b:Author>
    <b:RefOrder>7</b:RefOrder>
  </b:Source>
  <b:Source>
    <b:Tag>Rei22</b:Tag>
    <b:SourceType>JournalArticle</b:SourceType>
    <b:Guid>{170E4276-B9B1-CC4E-B316-5CEE578EAD5F}</b:Guid>
    <b:Title>The Teaching and Learning of Communication Skills in Social Work Education</b:Title>
    <b:JournalName>Research on Social Work Practice</b:JournalName>
    <b:Year>2022</b:Year>
    <b:Volume>32</b:Volume>
    <b:Issue>7</b:Issue>
    <b:Pages>793 -813</b:Pages>
    <b:Author>
      <b:Author>
        <b:NameList>
          <b:Person>
            <b:Last>Reith-Hall</b:Last>
            <b:First>Emma</b:First>
          </b:Person>
          <b:Person>
            <b:Last>Montgomery</b:Last>
            <b:First>Paul</b:First>
          </b:Person>
        </b:NameList>
      </b:Author>
    </b:Author>
    <b:RefOrder>8</b:RefOrder>
  </b:Source>
  <b:Source>
    <b:Tag>Sym20</b:Tag>
    <b:SourceType>JournalArticle</b:SourceType>
    <b:Guid>{A4C504F2-8C51-CD43-9C1A-59A0F1BAD2C9}</b:Guid>
    <b:Title>Making person-centred assessments</b:Title>
    <b:JournalName>Journal of Social Work</b:JournalName>
    <b:Year>2020</b:Year>
    <b:Volume>20</b:Volume>
    <b:Issue>4</b:Issue>
    <b:Pages>431 - 447</b:Pages>
    <b:Author>
      <b:Author>
        <b:NameList>
          <b:Person>
            <b:Last>Symonds</b:Last>
            <b:First>Jon</b:First>
          </b:Person>
          <b:Person>
            <b:Last>Miles</b:Last>
            <b:First>Caroline</b:First>
          </b:Person>
          <b:Person>
            <b:Last>Steel</b:Last>
            <b:First>Mike</b:First>
          </b:Person>
          <b:Person>
            <b:Last>Porter</b:Last>
            <b:First>Sue</b:First>
          </b:Person>
          <b:Person>
            <b:Last>Williams</b:Last>
            <b:First>Val</b:First>
          </b:Person>
        </b:NameList>
      </b:Author>
    </b:Author>
    <b:RefOrder>9</b:RefOrder>
  </b:Source>
  <b:Source>
    <b:Tag>McC</b:Tag>
    <b:SourceType>JournalArticle</b:SourceType>
    <b:Guid>{57A95E89-9941-AB45-85A0-A7996A058E3E}</b:Guid>
    <b:Title>The potential for person-centred planning to support the community participation of adults with an intellectual disability</b:Title>
    <b:Volume>26</b:Volume>
    <b:Issue>3</b:Issue>
    <b:Pages>603 - 623</b:Pages>
    <b:Author>
      <b:Author>
        <b:NameList>
          <b:Person>
            <b:Last>McCausland</b:Last>
            <b:First>Darren</b:First>
          </b:Person>
          <b:Person>
            <b:Last>Murphy</b:Last>
            <b:First>Esther</b:First>
          </b:Person>
          <b:Person>
            <b:Last>McCalliion</b:Last>
            <b:First>Phillip</b:First>
          </b:Person>
        </b:NameList>
      </b:Author>
    </b:Author>
    <b:JournalName>Journal of Intellectual Disabilities</b:JournalName>
    <b:Year>2021</b:Year>
    <b:RefOrder>10</b:RefOrder>
  </b:Source>
</b:Sources>
</file>

<file path=customXml/itemProps1.xml><?xml version="1.0" encoding="utf-8"?>
<ds:datastoreItem xmlns:ds="http://schemas.openxmlformats.org/officeDocument/2006/customXml" ds:itemID="{FAC28B89-4BE2-7B41-BB3B-B653DBB53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7</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David Langley (0951604)</cp:lastModifiedBy>
  <cp:revision>4</cp:revision>
  <cp:lastPrinted>2023-02-14T11:26:00Z</cp:lastPrinted>
  <dcterms:created xsi:type="dcterms:W3CDTF">2024-10-07T10:00:00Z</dcterms:created>
  <dcterms:modified xsi:type="dcterms:W3CDTF">2025-02-17T20:47:00Z</dcterms:modified>
</cp:coreProperties>
</file>