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31777" w14:textId="6B66E7C7" w:rsidR="009B0E7C" w:rsidRPr="00721B33" w:rsidRDefault="00CB734E" w:rsidP="00721B33">
      <w:pPr>
        <w:spacing w:line="360" w:lineRule="auto"/>
        <w:rPr>
          <w:rFonts w:ascii="Arial" w:hAnsi="Arial" w:cs="Arial"/>
          <w:sz w:val="22"/>
          <w:szCs w:val="22"/>
        </w:rPr>
      </w:pPr>
      <w:r w:rsidRPr="00721B33">
        <w:rPr>
          <w:rFonts w:ascii="Arial" w:hAnsi="Arial" w:cs="Arial"/>
          <w:noProof/>
          <w:sz w:val="22"/>
          <w:szCs w:val="22"/>
        </w:rPr>
        <w:drawing>
          <wp:inline distT="0" distB="0" distL="0" distR="0" wp14:anchorId="5F3A0A45" wp14:editId="5E75E1DE">
            <wp:extent cx="2621280" cy="1164590"/>
            <wp:effectExtent l="0" t="0" r="7620" b="0"/>
            <wp:docPr id="986926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51FEBC79" w14:textId="3E4C9292" w:rsidR="00CB734E" w:rsidRPr="00721B33" w:rsidRDefault="009F7F59" w:rsidP="00721B33">
      <w:pPr>
        <w:spacing w:line="360" w:lineRule="auto"/>
        <w:jc w:val="both"/>
        <w:rPr>
          <w:rFonts w:ascii="Arial" w:hAnsi="Arial" w:cs="Arial"/>
          <w:b/>
          <w:bCs/>
          <w:sz w:val="22"/>
          <w:szCs w:val="22"/>
        </w:rPr>
      </w:pPr>
      <w:r w:rsidRPr="00721B33">
        <w:rPr>
          <w:rFonts w:ascii="Arial" w:hAnsi="Arial" w:cs="Arial"/>
          <w:b/>
          <w:bCs/>
          <w:sz w:val="22"/>
          <w:szCs w:val="22"/>
        </w:rPr>
        <w:t>The Social Model of Disability: Implications for Person-Centred Health and Social Care</w:t>
      </w:r>
    </w:p>
    <w:p w14:paraId="3535E977" w14:textId="77777777" w:rsidR="009F7F59" w:rsidRPr="00721B33" w:rsidRDefault="009F7F59" w:rsidP="00721B33">
      <w:pPr>
        <w:spacing w:line="360" w:lineRule="auto"/>
        <w:jc w:val="both"/>
        <w:rPr>
          <w:rFonts w:ascii="Arial" w:hAnsi="Arial" w:cs="Arial"/>
          <w:sz w:val="22"/>
          <w:szCs w:val="22"/>
        </w:rPr>
      </w:pPr>
    </w:p>
    <w:p w14:paraId="34915223" w14:textId="77777777" w:rsidR="00CB734E" w:rsidRPr="00721B33" w:rsidRDefault="00CB734E" w:rsidP="00721B33">
      <w:pPr>
        <w:spacing w:line="360" w:lineRule="auto"/>
        <w:jc w:val="both"/>
        <w:rPr>
          <w:rFonts w:ascii="Arial" w:hAnsi="Arial" w:cs="Arial"/>
          <w:sz w:val="22"/>
          <w:szCs w:val="22"/>
        </w:rPr>
      </w:pPr>
    </w:p>
    <w:p w14:paraId="4608DCEF" w14:textId="77777777"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Name:</w:t>
      </w:r>
      <w:r w:rsidRPr="00721B33">
        <w:rPr>
          <w:rFonts w:ascii="Arial" w:hAnsi="Arial" w:cs="Arial"/>
          <w:b/>
          <w:bCs/>
          <w:sz w:val="22"/>
          <w:szCs w:val="22"/>
        </w:rPr>
        <w:tab/>
      </w:r>
      <w:r w:rsidRPr="00721B33">
        <w:rPr>
          <w:rFonts w:ascii="Arial" w:hAnsi="Arial" w:cs="Arial"/>
          <w:sz w:val="22"/>
          <w:szCs w:val="22"/>
        </w:rPr>
        <w:tab/>
      </w:r>
      <w:r w:rsidRPr="00721B33">
        <w:rPr>
          <w:rFonts w:ascii="Arial" w:hAnsi="Arial" w:cs="Arial"/>
          <w:sz w:val="22"/>
          <w:szCs w:val="22"/>
        </w:rPr>
        <w:tab/>
        <w:t>Mimi Alero Imo</w:t>
      </w:r>
    </w:p>
    <w:p w14:paraId="5D109CF5" w14:textId="77777777"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Student ID:</w:t>
      </w:r>
      <w:r w:rsidRPr="00721B33">
        <w:rPr>
          <w:rFonts w:ascii="Arial" w:hAnsi="Arial" w:cs="Arial"/>
          <w:sz w:val="22"/>
          <w:szCs w:val="22"/>
        </w:rPr>
        <w:tab/>
        <w:t xml:space="preserve"> </w:t>
      </w:r>
      <w:r w:rsidRPr="00721B33">
        <w:rPr>
          <w:rFonts w:ascii="Arial" w:hAnsi="Arial" w:cs="Arial"/>
          <w:sz w:val="22"/>
          <w:szCs w:val="22"/>
        </w:rPr>
        <w:tab/>
        <w:t>2414781</w:t>
      </w:r>
    </w:p>
    <w:p w14:paraId="61623E91" w14:textId="11B2B28F"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Module Code:</w:t>
      </w:r>
      <w:r w:rsidRPr="00721B33">
        <w:rPr>
          <w:rFonts w:ascii="Arial" w:hAnsi="Arial" w:cs="Arial"/>
          <w:sz w:val="22"/>
          <w:szCs w:val="22"/>
        </w:rPr>
        <w:tab/>
        <w:t>BMHP5016</w:t>
      </w:r>
    </w:p>
    <w:p w14:paraId="1107192B" w14:textId="7540FE11"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Module Title:</w:t>
      </w:r>
      <w:r w:rsidRPr="00721B33">
        <w:rPr>
          <w:rFonts w:ascii="Arial" w:hAnsi="Arial" w:cs="Arial"/>
          <w:b/>
          <w:bCs/>
          <w:sz w:val="22"/>
          <w:szCs w:val="22"/>
        </w:rPr>
        <w:tab/>
      </w:r>
      <w:r w:rsidRPr="00721B33">
        <w:rPr>
          <w:rFonts w:ascii="Arial" w:hAnsi="Arial" w:cs="Arial"/>
          <w:sz w:val="22"/>
          <w:szCs w:val="22"/>
        </w:rPr>
        <w:tab/>
        <w:t>Principles of Health and Social Care Practice</w:t>
      </w:r>
    </w:p>
    <w:p w14:paraId="585D4DF4" w14:textId="2FCEDB97"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Lecturer:</w:t>
      </w:r>
      <w:r w:rsidRPr="00721B33">
        <w:rPr>
          <w:rFonts w:ascii="Arial" w:hAnsi="Arial" w:cs="Arial"/>
          <w:sz w:val="22"/>
          <w:szCs w:val="22"/>
        </w:rPr>
        <w:tab/>
      </w:r>
      <w:r w:rsidRPr="00721B33">
        <w:rPr>
          <w:rFonts w:ascii="Arial" w:hAnsi="Arial" w:cs="Arial"/>
          <w:sz w:val="22"/>
          <w:szCs w:val="22"/>
        </w:rPr>
        <w:tab/>
        <w:t>Dr Itse Olaoye &amp; Dr Farah Wiita</w:t>
      </w:r>
    </w:p>
    <w:p w14:paraId="0E84607C" w14:textId="0F78D95D" w:rsidR="00CB734E" w:rsidRPr="00721B33" w:rsidRDefault="00CB734E" w:rsidP="00721B33">
      <w:pPr>
        <w:spacing w:line="360" w:lineRule="auto"/>
        <w:jc w:val="both"/>
        <w:rPr>
          <w:rFonts w:ascii="Arial" w:hAnsi="Arial" w:cs="Arial"/>
          <w:sz w:val="22"/>
          <w:szCs w:val="22"/>
        </w:rPr>
      </w:pPr>
      <w:r w:rsidRPr="00721B33">
        <w:rPr>
          <w:rFonts w:ascii="Arial" w:hAnsi="Arial" w:cs="Arial"/>
          <w:b/>
          <w:bCs/>
          <w:sz w:val="22"/>
          <w:szCs w:val="22"/>
        </w:rPr>
        <w:t>Word Count:</w:t>
      </w:r>
      <w:r w:rsidRPr="00721B33">
        <w:rPr>
          <w:rFonts w:ascii="Arial" w:hAnsi="Arial" w:cs="Arial"/>
          <w:sz w:val="22"/>
          <w:szCs w:val="22"/>
        </w:rPr>
        <w:t xml:space="preserve">   </w:t>
      </w:r>
      <w:r w:rsidRPr="00721B33">
        <w:rPr>
          <w:rFonts w:ascii="Arial" w:hAnsi="Arial" w:cs="Arial"/>
          <w:sz w:val="22"/>
          <w:szCs w:val="22"/>
        </w:rPr>
        <w:tab/>
        <w:t>2,000</w:t>
      </w:r>
    </w:p>
    <w:p w14:paraId="07763C88" w14:textId="77777777" w:rsidR="00CB734E" w:rsidRPr="00721B33" w:rsidRDefault="00CB734E" w:rsidP="00721B33">
      <w:pPr>
        <w:spacing w:line="360" w:lineRule="auto"/>
        <w:jc w:val="both"/>
        <w:rPr>
          <w:rFonts w:ascii="Arial" w:hAnsi="Arial" w:cs="Arial"/>
          <w:sz w:val="22"/>
          <w:szCs w:val="22"/>
        </w:rPr>
      </w:pPr>
    </w:p>
    <w:p w14:paraId="5DFCEBD2" w14:textId="77777777" w:rsidR="00CB734E" w:rsidRPr="00721B33" w:rsidRDefault="00CB734E" w:rsidP="00721B33">
      <w:pPr>
        <w:spacing w:line="360" w:lineRule="auto"/>
        <w:jc w:val="both"/>
        <w:rPr>
          <w:rFonts w:ascii="Arial" w:hAnsi="Arial" w:cs="Arial"/>
          <w:sz w:val="22"/>
          <w:szCs w:val="22"/>
        </w:rPr>
      </w:pPr>
    </w:p>
    <w:p w14:paraId="4AEFBCE4" w14:textId="77777777" w:rsidR="00CB734E" w:rsidRPr="00721B33" w:rsidRDefault="00CB734E" w:rsidP="00721B33">
      <w:pPr>
        <w:spacing w:line="360" w:lineRule="auto"/>
        <w:jc w:val="both"/>
        <w:rPr>
          <w:rFonts w:ascii="Arial" w:hAnsi="Arial" w:cs="Arial"/>
          <w:sz w:val="22"/>
          <w:szCs w:val="22"/>
        </w:rPr>
      </w:pPr>
    </w:p>
    <w:p w14:paraId="6A2E5C5B" w14:textId="77777777" w:rsidR="00CB734E" w:rsidRPr="00721B33" w:rsidRDefault="00CB734E" w:rsidP="00721B33">
      <w:pPr>
        <w:spacing w:line="360" w:lineRule="auto"/>
        <w:jc w:val="both"/>
        <w:rPr>
          <w:rFonts w:ascii="Arial" w:hAnsi="Arial" w:cs="Arial"/>
          <w:sz w:val="22"/>
          <w:szCs w:val="22"/>
        </w:rPr>
      </w:pPr>
    </w:p>
    <w:p w14:paraId="6FCCD998" w14:textId="77777777" w:rsidR="009F7F59" w:rsidRPr="00721B33" w:rsidRDefault="009F7F59" w:rsidP="00721B33">
      <w:pPr>
        <w:spacing w:line="360" w:lineRule="auto"/>
        <w:ind w:left="3600" w:firstLine="720"/>
        <w:jc w:val="both"/>
        <w:rPr>
          <w:rFonts w:ascii="Arial" w:hAnsi="Arial" w:cs="Arial"/>
          <w:sz w:val="22"/>
          <w:szCs w:val="22"/>
        </w:rPr>
      </w:pPr>
    </w:p>
    <w:p w14:paraId="770B575A" w14:textId="77777777" w:rsidR="00766AC5" w:rsidRPr="00721B33" w:rsidRDefault="00766AC5" w:rsidP="00721B33">
      <w:pPr>
        <w:spacing w:line="360" w:lineRule="auto"/>
        <w:ind w:left="3600" w:firstLine="720"/>
        <w:jc w:val="both"/>
        <w:rPr>
          <w:rFonts w:ascii="Arial" w:hAnsi="Arial" w:cs="Arial"/>
          <w:sz w:val="22"/>
          <w:szCs w:val="22"/>
        </w:rPr>
      </w:pPr>
    </w:p>
    <w:p w14:paraId="20EB94A7" w14:textId="77777777" w:rsidR="00766AC5" w:rsidRPr="00721B33" w:rsidRDefault="00766AC5" w:rsidP="00721B33">
      <w:pPr>
        <w:spacing w:line="360" w:lineRule="auto"/>
        <w:ind w:left="3600" w:firstLine="720"/>
        <w:jc w:val="both"/>
        <w:rPr>
          <w:rFonts w:ascii="Arial" w:hAnsi="Arial" w:cs="Arial"/>
          <w:sz w:val="22"/>
          <w:szCs w:val="22"/>
        </w:rPr>
      </w:pPr>
    </w:p>
    <w:p w14:paraId="463E9957" w14:textId="77777777" w:rsidR="00766AC5" w:rsidRPr="00721B33" w:rsidRDefault="00766AC5" w:rsidP="00721B33">
      <w:pPr>
        <w:spacing w:line="360" w:lineRule="auto"/>
        <w:ind w:left="3600" w:firstLine="720"/>
        <w:jc w:val="both"/>
        <w:rPr>
          <w:rFonts w:ascii="Arial" w:hAnsi="Arial" w:cs="Arial"/>
          <w:sz w:val="22"/>
          <w:szCs w:val="22"/>
        </w:rPr>
      </w:pPr>
    </w:p>
    <w:p w14:paraId="72018462" w14:textId="08B29659" w:rsidR="00CB734E" w:rsidRPr="00721B33" w:rsidRDefault="00CB734E" w:rsidP="00721B33">
      <w:pPr>
        <w:spacing w:line="360" w:lineRule="auto"/>
        <w:ind w:left="3600" w:firstLine="720"/>
        <w:jc w:val="both"/>
        <w:rPr>
          <w:rFonts w:ascii="Arial" w:hAnsi="Arial" w:cs="Arial"/>
          <w:sz w:val="22"/>
          <w:szCs w:val="22"/>
        </w:rPr>
      </w:pPr>
      <w:r w:rsidRPr="00721B33">
        <w:rPr>
          <w:rFonts w:ascii="Arial" w:hAnsi="Arial" w:cs="Arial"/>
          <w:b/>
          <w:bCs/>
          <w:sz w:val="22"/>
          <w:szCs w:val="22"/>
        </w:rPr>
        <w:t>Submission Date:</w:t>
      </w:r>
      <w:r w:rsidRPr="00721B33">
        <w:rPr>
          <w:rFonts w:ascii="Arial" w:hAnsi="Arial" w:cs="Arial"/>
          <w:sz w:val="22"/>
          <w:szCs w:val="22"/>
        </w:rPr>
        <w:t xml:space="preserve"> 12/12/2025</w:t>
      </w:r>
    </w:p>
    <w:p w14:paraId="51FECBD1" w14:textId="77777777" w:rsidR="00766AC5" w:rsidRPr="00721B33" w:rsidRDefault="00766AC5" w:rsidP="00721B33">
      <w:pPr>
        <w:spacing w:line="360" w:lineRule="auto"/>
        <w:ind w:left="3600" w:firstLine="720"/>
        <w:jc w:val="both"/>
        <w:rPr>
          <w:rFonts w:ascii="Arial" w:hAnsi="Arial" w:cs="Arial"/>
          <w:sz w:val="22"/>
          <w:szCs w:val="22"/>
        </w:rPr>
      </w:pPr>
    </w:p>
    <w:p w14:paraId="7A6A5409" w14:textId="77777777" w:rsidR="00766AC5" w:rsidRPr="00721B33" w:rsidRDefault="00766AC5" w:rsidP="00721B33">
      <w:pPr>
        <w:spacing w:line="360" w:lineRule="auto"/>
        <w:ind w:left="3600" w:firstLine="720"/>
        <w:jc w:val="both"/>
        <w:rPr>
          <w:rFonts w:ascii="Arial" w:hAnsi="Arial" w:cs="Arial"/>
          <w:sz w:val="22"/>
          <w:szCs w:val="22"/>
        </w:rPr>
      </w:pPr>
    </w:p>
    <w:p w14:paraId="59C91F9A" w14:textId="77777777" w:rsidR="00766AC5" w:rsidRPr="00721B33" w:rsidRDefault="00766AC5" w:rsidP="00721B33">
      <w:pPr>
        <w:spacing w:line="360" w:lineRule="auto"/>
        <w:ind w:left="3600" w:firstLine="720"/>
        <w:jc w:val="both"/>
        <w:rPr>
          <w:rFonts w:ascii="Arial" w:hAnsi="Arial" w:cs="Arial"/>
          <w:sz w:val="22"/>
          <w:szCs w:val="22"/>
        </w:rPr>
      </w:pPr>
    </w:p>
    <w:p w14:paraId="301CACE7" w14:textId="77777777" w:rsidR="00651D25" w:rsidRPr="00721B33" w:rsidRDefault="00651D25" w:rsidP="00721B33">
      <w:pPr>
        <w:spacing w:line="360" w:lineRule="auto"/>
        <w:jc w:val="both"/>
        <w:rPr>
          <w:rFonts w:ascii="Arial" w:hAnsi="Arial" w:cs="Arial"/>
          <w:sz w:val="22"/>
          <w:szCs w:val="22"/>
        </w:rPr>
      </w:pPr>
    </w:p>
    <w:p w14:paraId="04D427E6" w14:textId="45F055E9" w:rsidR="00766AC5" w:rsidRPr="00F02ACD" w:rsidRDefault="001F01BD" w:rsidP="00F02ACD">
      <w:pPr>
        <w:pStyle w:val="Heading1"/>
        <w:rPr>
          <w:rFonts w:ascii="Arial" w:hAnsi="Arial" w:cs="Arial"/>
          <w:b/>
          <w:bCs/>
          <w:sz w:val="22"/>
          <w:szCs w:val="22"/>
        </w:rPr>
      </w:pPr>
      <w:r w:rsidRPr="00721B33">
        <w:lastRenderedPageBreak/>
        <w:t xml:space="preserve"> </w:t>
      </w:r>
      <w:r w:rsidR="00766AC5" w:rsidRPr="00F02ACD">
        <w:rPr>
          <w:rFonts w:ascii="Arial" w:hAnsi="Arial" w:cs="Arial"/>
          <w:b/>
          <w:bCs/>
          <w:color w:val="auto"/>
          <w:sz w:val="22"/>
          <w:szCs w:val="22"/>
        </w:rPr>
        <w:t>Introduction</w:t>
      </w:r>
    </w:p>
    <w:p w14:paraId="5FA33247" w14:textId="521F2E50"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The social model of disability marks a transformative shift in how we understand disability, moving away from the notion of it as an individual deficit and recognising it </w:t>
      </w:r>
      <w:proofErr w:type="gramStart"/>
      <w:r w:rsidRPr="00721B33">
        <w:rPr>
          <w:rFonts w:ascii="Arial" w:hAnsi="Arial" w:cs="Arial"/>
          <w:sz w:val="22"/>
          <w:szCs w:val="22"/>
        </w:rPr>
        <w:t>as a consequence of</w:t>
      </w:r>
      <w:proofErr w:type="gramEnd"/>
      <w:r w:rsidRPr="00721B33">
        <w:rPr>
          <w:rFonts w:ascii="Arial" w:hAnsi="Arial" w:cs="Arial"/>
          <w:sz w:val="22"/>
          <w:szCs w:val="22"/>
        </w:rPr>
        <w:t xml:space="preserve"> social, environmental, and attitudinal barriers. This model has significantly impacted person-centred care in health and social services by challenging traditional medical perspectives and advocating for inclusive, rights-based practices. This essay explores the emergence of the social model, its implications for health and social care policy, and offers recommendations for enhancing person-centred care within contemporary healthcare settings.</w:t>
      </w:r>
    </w:p>
    <w:p w14:paraId="7E6C3409" w14:textId="78654208" w:rsidR="00766AC5" w:rsidRPr="00F02ACD" w:rsidRDefault="001F01BD" w:rsidP="00F02ACD">
      <w:pPr>
        <w:pStyle w:val="Heading1"/>
        <w:rPr>
          <w:rFonts w:ascii="Arial" w:hAnsi="Arial" w:cs="Arial"/>
          <w:b/>
          <w:bCs/>
          <w:color w:val="auto"/>
          <w:sz w:val="22"/>
          <w:szCs w:val="22"/>
        </w:rPr>
      </w:pPr>
      <w:r w:rsidRPr="00F02ACD">
        <w:rPr>
          <w:rFonts w:ascii="Arial" w:hAnsi="Arial" w:cs="Arial"/>
          <w:b/>
          <w:bCs/>
          <w:color w:val="auto"/>
          <w:sz w:val="22"/>
          <w:szCs w:val="22"/>
        </w:rPr>
        <w:t>1.</w:t>
      </w:r>
      <w:r w:rsidR="00651D25" w:rsidRPr="00F02ACD">
        <w:rPr>
          <w:rFonts w:ascii="Arial" w:hAnsi="Arial" w:cs="Arial"/>
          <w:b/>
          <w:bCs/>
          <w:color w:val="auto"/>
          <w:sz w:val="22"/>
          <w:szCs w:val="22"/>
        </w:rPr>
        <w:t>0</w:t>
      </w:r>
      <w:r w:rsidRPr="00F02ACD">
        <w:rPr>
          <w:rFonts w:ascii="Arial" w:hAnsi="Arial" w:cs="Arial"/>
          <w:b/>
          <w:bCs/>
          <w:color w:val="auto"/>
          <w:sz w:val="22"/>
          <w:szCs w:val="22"/>
        </w:rPr>
        <w:t xml:space="preserve"> </w:t>
      </w:r>
      <w:r w:rsidR="00766AC5" w:rsidRPr="00F02ACD">
        <w:rPr>
          <w:rFonts w:ascii="Arial" w:hAnsi="Arial" w:cs="Arial"/>
          <w:b/>
          <w:bCs/>
          <w:color w:val="auto"/>
          <w:sz w:val="22"/>
          <w:szCs w:val="22"/>
        </w:rPr>
        <w:t>Emergence, Development, Critiques and Responses</w:t>
      </w:r>
    </w:p>
    <w:p w14:paraId="181529EB" w14:textId="078640A6" w:rsidR="00766AC5" w:rsidRPr="00F02ACD" w:rsidRDefault="00651D25" w:rsidP="00F02ACD">
      <w:pPr>
        <w:pStyle w:val="Heading1"/>
        <w:rPr>
          <w:rFonts w:ascii="Arial" w:hAnsi="Arial" w:cs="Arial"/>
          <w:b/>
          <w:bCs/>
          <w:color w:val="auto"/>
          <w:sz w:val="22"/>
          <w:szCs w:val="22"/>
        </w:rPr>
      </w:pPr>
      <w:r w:rsidRPr="00F02ACD">
        <w:rPr>
          <w:rFonts w:ascii="Arial" w:hAnsi="Arial" w:cs="Arial"/>
          <w:b/>
          <w:bCs/>
          <w:color w:val="auto"/>
          <w:sz w:val="22"/>
          <w:szCs w:val="22"/>
        </w:rPr>
        <w:t xml:space="preserve">1.1 </w:t>
      </w:r>
      <w:r w:rsidR="00766AC5" w:rsidRPr="00F02ACD">
        <w:rPr>
          <w:rFonts w:ascii="Arial" w:hAnsi="Arial" w:cs="Arial"/>
          <w:b/>
          <w:bCs/>
          <w:color w:val="auto"/>
          <w:sz w:val="22"/>
          <w:szCs w:val="22"/>
        </w:rPr>
        <w:t>The Emergence of the Social Model</w:t>
      </w:r>
    </w:p>
    <w:p w14:paraId="3966F028" w14:textId="05E2DC33" w:rsidR="00766AC5" w:rsidRPr="00721B33" w:rsidRDefault="00CE25DD" w:rsidP="00721B33">
      <w:pPr>
        <w:spacing w:line="360" w:lineRule="auto"/>
        <w:jc w:val="both"/>
        <w:rPr>
          <w:rFonts w:ascii="Arial" w:hAnsi="Arial" w:cs="Arial"/>
          <w:sz w:val="22"/>
          <w:szCs w:val="22"/>
        </w:rPr>
      </w:pPr>
      <w:r w:rsidRPr="00721B33">
        <w:rPr>
          <w:rFonts w:ascii="Arial" w:hAnsi="Arial" w:cs="Arial"/>
          <w:sz w:val="22"/>
          <w:szCs w:val="22"/>
        </w:rPr>
        <w:t>The social model of disability emerged in the 1970s as a response to the medical model, which viewed disability mainly as an individual issue needing treatment (Oliver, 1990). The Union of the Physically Impaired Against Segregation (UPIAS) in the UK highlighted the distinction between 'impairment'—the physical, sensory, or cognitive condition—and 'disability,' the social disadvantages arising from those impairments (UPIAS, 1976). Mike Oliver (1983) emphasised that disability stems from society's failure to accommodate differences, stating that it is "imposed on top of our impairments" (Oliver, 1990, p.11). This perspective aligned with broader civil rights movements, framing disability as a social justice issue rather than merely a medical one (Barnes, 1991).</w:t>
      </w:r>
    </w:p>
    <w:p w14:paraId="47859C19" w14:textId="6B26571C" w:rsidR="000A1C91" w:rsidRPr="00721B33" w:rsidRDefault="008248AA" w:rsidP="00721B33">
      <w:pPr>
        <w:spacing w:line="360" w:lineRule="auto"/>
        <w:jc w:val="both"/>
        <w:rPr>
          <w:rFonts w:ascii="Arial" w:hAnsi="Arial" w:cs="Arial"/>
          <w:sz w:val="22"/>
          <w:szCs w:val="22"/>
        </w:rPr>
      </w:pPr>
      <w:r w:rsidRPr="00721B33">
        <w:rPr>
          <w:rFonts w:ascii="Arial" w:hAnsi="Arial" w:cs="Arial"/>
          <w:noProof/>
          <w:sz w:val="22"/>
          <w:szCs w:val="22"/>
        </w:rPr>
        <w:drawing>
          <wp:anchor distT="0" distB="0" distL="114300" distR="114300" simplePos="0" relativeHeight="251658240" behindDoc="1" locked="0" layoutInCell="1" allowOverlap="1" wp14:anchorId="29A10A92" wp14:editId="50F728DA">
            <wp:simplePos x="0" y="0"/>
            <wp:positionH relativeFrom="margin">
              <wp:posOffset>861695</wp:posOffset>
            </wp:positionH>
            <wp:positionV relativeFrom="margin">
              <wp:posOffset>5337810</wp:posOffset>
            </wp:positionV>
            <wp:extent cx="3947160" cy="2446020"/>
            <wp:effectExtent l="0" t="0" r="0" b="0"/>
            <wp:wrapTight wrapText="bothSides">
              <wp:wrapPolygon edited="0">
                <wp:start x="0" y="0"/>
                <wp:lineTo x="0" y="21364"/>
                <wp:lineTo x="21475" y="21364"/>
                <wp:lineTo x="21475" y="0"/>
                <wp:lineTo x="0" y="0"/>
              </wp:wrapPolygon>
            </wp:wrapTight>
            <wp:docPr id="17738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7160" cy="2446020"/>
                    </a:xfrm>
                    <a:prstGeom prst="rect">
                      <a:avLst/>
                    </a:prstGeom>
                    <a:noFill/>
                  </pic:spPr>
                </pic:pic>
              </a:graphicData>
            </a:graphic>
            <wp14:sizeRelH relativeFrom="margin">
              <wp14:pctWidth>0</wp14:pctWidth>
            </wp14:sizeRelH>
            <wp14:sizeRelV relativeFrom="margin">
              <wp14:pctHeight>0</wp14:pctHeight>
            </wp14:sizeRelV>
          </wp:anchor>
        </w:drawing>
      </w:r>
    </w:p>
    <w:p w14:paraId="161A4C13" w14:textId="135E9E38" w:rsidR="000A1C91" w:rsidRPr="00721B33" w:rsidRDefault="000A1C91" w:rsidP="00721B33">
      <w:pPr>
        <w:spacing w:line="360" w:lineRule="auto"/>
        <w:jc w:val="both"/>
        <w:rPr>
          <w:rFonts w:ascii="Arial" w:hAnsi="Arial" w:cs="Arial"/>
          <w:sz w:val="22"/>
          <w:szCs w:val="22"/>
        </w:rPr>
      </w:pPr>
    </w:p>
    <w:p w14:paraId="385ED67F" w14:textId="77777777" w:rsidR="000A1C91" w:rsidRPr="00721B33" w:rsidRDefault="000A1C91" w:rsidP="00721B33">
      <w:pPr>
        <w:spacing w:line="360" w:lineRule="auto"/>
        <w:jc w:val="both"/>
        <w:rPr>
          <w:rFonts w:ascii="Arial" w:hAnsi="Arial" w:cs="Arial"/>
          <w:sz w:val="22"/>
          <w:szCs w:val="22"/>
        </w:rPr>
      </w:pPr>
    </w:p>
    <w:p w14:paraId="5DE1ABF4" w14:textId="77777777" w:rsidR="000A1C91" w:rsidRPr="00721B33" w:rsidRDefault="000A1C91" w:rsidP="00721B33">
      <w:pPr>
        <w:spacing w:line="360" w:lineRule="auto"/>
        <w:jc w:val="both"/>
        <w:rPr>
          <w:rFonts w:ascii="Arial" w:hAnsi="Arial" w:cs="Arial"/>
          <w:sz w:val="22"/>
          <w:szCs w:val="22"/>
        </w:rPr>
      </w:pPr>
    </w:p>
    <w:p w14:paraId="3C3F3730" w14:textId="77777777" w:rsidR="000A1C91" w:rsidRPr="00721B33" w:rsidRDefault="000A1C91" w:rsidP="00721B33">
      <w:pPr>
        <w:spacing w:line="360" w:lineRule="auto"/>
        <w:jc w:val="both"/>
        <w:rPr>
          <w:rFonts w:ascii="Arial" w:hAnsi="Arial" w:cs="Arial"/>
          <w:sz w:val="22"/>
          <w:szCs w:val="22"/>
        </w:rPr>
      </w:pPr>
    </w:p>
    <w:p w14:paraId="5E5033E9" w14:textId="4861FC3F" w:rsidR="000A1C91" w:rsidRPr="00721B33" w:rsidRDefault="000A1C91" w:rsidP="00721B33">
      <w:pPr>
        <w:spacing w:line="360" w:lineRule="auto"/>
        <w:ind w:left="5760" w:firstLine="720"/>
        <w:jc w:val="both"/>
        <w:rPr>
          <w:rFonts w:ascii="Arial" w:hAnsi="Arial" w:cs="Arial"/>
          <w:sz w:val="18"/>
          <w:szCs w:val="18"/>
        </w:rPr>
      </w:pPr>
      <w:r w:rsidRPr="00721B33">
        <w:rPr>
          <w:rFonts w:ascii="Arial" w:hAnsi="Arial" w:cs="Arial"/>
          <w:sz w:val="18"/>
          <w:szCs w:val="18"/>
        </w:rPr>
        <w:t>©NeuroDiverCity</w:t>
      </w:r>
    </w:p>
    <w:p w14:paraId="74322CF8" w14:textId="7E7A3A90" w:rsidR="000A1C91" w:rsidRPr="00721B33" w:rsidRDefault="000A1C91" w:rsidP="00721B33">
      <w:pPr>
        <w:spacing w:line="360" w:lineRule="auto"/>
        <w:jc w:val="both"/>
        <w:rPr>
          <w:rFonts w:ascii="Arial" w:hAnsi="Arial" w:cs="Arial"/>
          <w:sz w:val="22"/>
          <w:szCs w:val="22"/>
        </w:rPr>
      </w:pPr>
    </w:p>
    <w:p w14:paraId="1FB60C8B" w14:textId="77777777" w:rsidR="008248AA" w:rsidRPr="00721B33" w:rsidRDefault="008248AA" w:rsidP="00721B33">
      <w:pPr>
        <w:spacing w:line="360" w:lineRule="auto"/>
        <w:jc w:val="both"/>
        <w:rPr>
          <w:rFonts w:ascii="Arial" w:hAnsi="Arial" w:cs="Arial"/>
          <w:b/>
          <w:bCs/>
          <w:sz w:val="22"/>
          <w:szCs w:val="22"/>
        </w:rPr>
      </w:pPr>
    </w:p>
    <w:p w14:paraId="5DA9FA52" w14:textId="41D1910A" w:rsidR="00766AC5" w:rsidRPr="00F02ACD" w:rsidRDefault="002832AA" w:rsidP="00F02ACD">
      <w:pPr>
        <w:pStyle w:val="Heading1"/>
        <w:rPr>
          <w:rFonts w:ascii="Arial" w:hAnsi="Arial" w:cs="Arial"/>
          <w:b/>
          <w:bCs/>
          <w:color w:val="auto"/>
          <w:sz w:val="22"/>
          <w:szCs w:val="22"/>
        </w:rPr>
      </w:pPr>
      <w:r w:rsidRPr="00F02ACD">
        <w:rPr>
          <w:rFonts w:ascii="Arial" w:hAnsi="Arial" w:cs="Arial"/>
          <w:b/>
          <w:bCs/>
          <w:color w:val="auto"/>
          <w:sz w:val="22"/>
          <w:szCs w:val="22"/>
        </w:rPr>
        <w:lastRenderedPageBreak/>
        <w:t xml:space="preserve">1.2 </w:t>
      </w:r>
      <w:r w:rsidR="00766AC5" w:rsidRPr="00F02ACD">
        <w:rPr>
          <w:rFonts w:ascii="Arial" w:hAnsi="Arial" w:cs="Arial"/>
          <w:b/>
          <w:bCs/>
          <w:color w:val="auto"/>
          <w:sz w:val="22"/>
          <w:szCs w:val="22"/>
        </w:rPr>
        <w:t>Development and Evolution</w:t>
      </w:r>
    </w:p>
    <w:p w14:paraId="30B2ABD3" w14:textId="63B8B91C"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The social model of disability, driven by the disabled people's movement, has profoundly influenced legislation, policy, and academic discourse worldwide (Shakespeare, 2006). It has established a framework for disability rights laws such as the Americans with Disabilities Act (1990) and the Equality Act (2010) (Lawson, 2008). Focusing on environmental and attitudinal barriers has prompted significant changes, including accessible building designs and inclusive employment practices.</w:t>
      </w:r>
    </w:p>
    <w:p w14:paraId="7B967172" w14:textId="3D930E32" w:rsidR="00766AC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Globally, this model has shaped the United Nations Convention on the Rights of Persons with Disabilities (2006), which asserts that "disability results from the interaction between persons with impairments and attitudinal and environmental barriers" (United Nations, 2006, Article 1). This marked a transition towards human rights frameworks prioritising participation and social inclusion (Kayess and French, 2008). Furthermore, the model now embraces intersectional perspectives, recognising how disability intersects with gender, race, class, and sexuality, and addressing the complexities of the multiple forms of discrimination encountered by disabled individuals (Vernon, 1999; Goodley, 2014).</w:t>
      </w:r>
    </w:p>
    <w:p w14:paraId="558B1BF2" w14:textId="627E5B49" w:rsidR="00766AC5" w:rsidRPr="004A0FF3" w:rsidRDefault="0026563C" w:rsidP="004A0FF3">
      <w:pPr>
        <w:pStyle w:val="Heading1"/>
        <w:rPr>
          <w:rFonts w:ascii="Arial" w:hAnsi="Arial" w:cs="Arial"/>
          <w:b/>
          <w:bCs/>
          <w:color w:val="auto"/>
          <w:sz w:val="22"/>
          <w:szCs w:val="22"/>
        </w:rPr>
      </w:pPr>
      <w:r w:rsidRPr="004A0FF3">
        <w:rPr>
          <w:rFonts w:ascii="Arial" w:hAnsi="Arial" w:cs="Arial"/>
          <w:b/>
          <w:bCs/>
          <w:color w:val="auto"/>
          <w:sz w:val="22"/>
          <w:szCs w:val="22"/>
        </w:rPr>
        <w:t xml:space="preserve">1.3 </w:t>
      </w:r>
      <w:r w:rsidR="00766AC5" w:rsidRPr="004A0FF3">
        <w:rPr>
          <w:rFonts w:ascii="Arial" w:hAnsi="Arial" w:cs="Arial"/>
          <w:b/>
          <w:bCs/>
          <w:color w:val="auto"/>
          <w:sz w:val="22"/>
          <w:szCs w:val="22"/>
        </w:rPr>
        <w:t>Critiques of the Social Model</w:t>
      </w:r>
    </w:p>
    <w:p w14:paraId="1D46E442" w14:textId="1A6E1548" w:rsidR="00766AC5"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The social model of disability, while transformative, has encountered considerable criticism. Detractors argue that the distinction between impairment and disability is artificial and fails to acknowledge the realities of pain and fatigue that affect individuals (Hughes and Paterson, 1997; Morris, 1991). Feminist disability scholars emphasise that this model marginalises experiences related to care and dependency, reflecting its origins in the lived experiences of physically disabled men (Morris, 1991; Thomas, 1999). Additionally, the model's focus on independence may not sufficiently address the needs of individuals with cognitive impairments or those who require extensive assistance. Some scholars argue that it oversimplifies the intricate relationship between biology and society (Shakespeare, 2006). Finally, critics from the Global South raise concerns about the model's cultural applicability in non-Western contexts and advocate for more culturally responsive approaches (Grech, 2011; Meekosha, 2011).</w:t>
      </w:r>
    </w:p>
    <w:p w14:paraId="43AF7558" w14:textId="3E732365" w:rsidR="00766AC5" w:rsidRPr="0037623C" w:rsidRDefault="0026563C" w:rsidP="0037623C">
      <w:pPr>
        <w:pStyle w:val="Heading1"/>
        <w:rPr>
          <w:rFonts w:ascii="Arial" w:hAnsi="Arial" w:cs="Arial"/>
          <w:b/>
          <w:bCs/>
          <w:color w:val="auto"/>
          <w:sz w:val="22"/>
          <w:szCs w:val="22"/>
        </w:rPr>
      </w:pPr>
      <w:r w:rsidRPr="0037623C">
        <w:rPr>
          <w:rFonts w:ascii="Arial" w:hAnsi="Arial" w:cs="Arial"/>
          <w:b/>
          <w:bCs/>
          <w:color w:val="auto"/>
          <w:sz w:val="22"/>
          <w:szCs w:val="22"/>
        </w:rPr>
        <w:t xml:space="preserve">1.4 </w:t>
      </w:r>
      <w:r w:rsidR="00766AC5" w:rsidRPr="0037623C">
        <w:rPr>
          <w:rFonts w:ascii="Arial" w:hAnsi="Arial" w:cs="Arial"/>
          <w:b/>
          <w:bCs/>
          <w:color w:val="auto"/>
          <w:sz w:val="22"/>
          <w:szCs w:val="22"/>
        </w:rPr>
        <w:t>Responses to Critiques</w:t>
      </w:r>
    </w:p>
    <w:p w14:paraId="5BFAFFAD" w14:textId="11AC95A0" w:rsidR="005601EC" w:rsidRPr="00721B33" w:rsidRDefault="005601EC" w:rsidP="00721B33">
      <w:pPr>
        <w:spacing w:line="360" w:lineRule="auto"/>
        <w:jc w:val="both"/>
        <w:rPr>
          <w:rFonts w:ascii="Arial" w:hAnsi="Arial" w:cs="Arial"/>
          <w:sz w:val="22"/>
          <w:szCs w:val="22"/>
        </w:rPr>
      </w:pPr>
      <w:r w:rsidRPr="00721B33">
        <w:rPr>
          <w:rFonts w:ascii="Arial" w:hAnsi="Arial" w:cs="Arial"/>
          <w:sz w:val="22"/>
          <w:szCs w:val="22"/>
        </w:rPr>
        <w:t>Proponents of the social model have addressed these critiques in various ways. Oliver (2009) recognised that the social model was never intended to serve as a comprehensive theory of disability; rather, it was designed as a practical tool for political activism aimed at identifying and eliminating barriers. From this perspective, critiques concerning the model's neglect of impairment fail to grasp its strategic intent.</w:t>
      </w:r>
    </w:p>
    <w:p w14:paraId="36DD1C4B" w14:textId="017112ED" w:rsidR="005601EC" w:rsidRPr="00721B33" w:rsidRDefault="005601EC" w:rsidP="00721B33">
      <w:pPr>
        <w:spacing w:line="360" w:lineRule="auto"/>
        <w:jc w:val="both"/>
        <w:rPr>
          <w:rFonts w:ascii="Arial" w:hAnsi="Arial" w:cs="Arial"/>
          <w:sz w:val="22"/>
          <w:szCs w:val="22"/>
        </w:rPr>
      </w:pPr>
      <w:r w:rsidRPr="00721B33">
        <w:rPr>
          <w:rFonts w:ascii="Arial" w:hAnsi="Arial" w:cs="Arial"/>
          <w:sz w:val="22"/>
          <w:szCs w:val="22"/>
        </w:rPr>
        <w:lastRenderedPageBreak/>
        <w:t>Some scholars have suggested refinements to the social model instead of advocating for its abandonment. Thomas (1999) introduced the concept of 'impairment effects' to acknowledge bodily experiences while preserving the social model's emphasis on socially imposed restrictions. Similarly, Swain and French (2000) put forth the 'affirmative model,' which highlights a positive identity for disabled individuals while maintaining the social model's structural critique.</w:t>
      </w:r>
    </w:p>
    <w:p w14:paraId="59066420" w14:textId="0DCE0D6A" w:rsidR="000A1C91" w:rsidRPr="00721B33" w:rsidRDefault="005601EC" w:rsidP="00721B33">
      <w:pPr>
        <w:spacing w:line="360" w:lineRule="auto"/>
        <w:jc w:val="both"/>
        <w:rPr>
          <w:rFonts w:ascii="Arial" w:hAnsi="Arial" w:cs="Arial"/>
          <w:sz w:val="22"/>
          <w:szCs w:val="22"/>
        </w:rPr>
      </w:pPr>
      <w:r w:rsidRPr="00721B33">
        <w:rPr>
          <w:rFonts w:ascii="Arial" w:hAnsi="Arial" w:cs="Arial"/>
          <w:sz w:val="22"/>
          <w:szCs w:val="22"/>
        </w:rPr>
        <w:t xml:space="preserve">Another response is provided by the Nordic relational model, which conceptualises disability </w:t>
      </w:r>
      <w:r w:rsidR="00EE4F25" w:rsidRPr="00721B33">
        <w:rPr>
          <w:rFonts w:ascii="Arial" w:hAnsi="Arial" w:cs="Arial"/>
          <w:sz w:val="22"/>
          <w:szCs w:val="22"/>
        </w:rPr>
        <w:t>as a</w:t>
      </w:r>
      <w:r w:rsidRPr="00721B33">
        <w:rPr>
          <w:rFonts w:ascii="Arial" w:hAnsi="Arial" w:cs="Arial"/>
          <w:sz w:val="22"/>
          <w:szCs w:val="22"/>
        </w:rPr>
        <w:t xml:space="preserve"> mismatch between individual characteristics and environmental demands. This approach incorporates both individual and social dimensions without prioritising one over the other (Tøssebro, 2004). It upholds the social model's commitment to the removal of barriers while recognising the complexity of disabled people's experiences.</w:t>
      </w:r>
    </w:p>
    <w:p w14:paraId="4D59084D" w14:textId="5FA34162" w:rsidR="000A1C91" w:rsidRPr="00721B33" w:rsidRDefault="00B81613" w:rsidP="00721B33">
      <w:pPr>
        <w:spacing w:line="360" w:lineRule="auto"/>
        <w:jc w:val="both"/>
        <w:rPr>
          <w:rFonts w:ascii="Arial" w:hAnsi="Arial" w:cs="Arial"/>
          <w:sz w:val="22"/>
          <w:szCs w:val="22"/>
        </w:rPr>
      </w:pPr>
      <w:r w:rsidRPr="00721B33">
        <w:rPr>
          <w:rFonts w:ascii="Arial" w:hAnsi="Arial" w:cs="Arial"/>
          <w:noProof/>
          <w:sz w:val="22"/>
          <w:szCs w:val="22"/>
        </w:rPr>
        <w:drawing>
          <wp:anchor distT="0" distB="0" distL="114300" distR="114300" simplePos="0" relativeHeight="251659264" behindDoc="1" locked="0" layoutInCell="1" allowOverlap="1" wp14:anchorId="0824EF21" wp14:editId="4450DE95">
            <wp:simplePos x="0" y="0"/>
            <wp:positionH relativeFrom="margin">
              <wp:posOffset>478155</wp:posOffset>
            </wp:positionH>
            <wp:positionV relativeFrom="margin">
              <wp:posOffset>2868930</wp:posOffset>
            </wp:positionV>
            <wp:extent cx="4610735" cy="2888615"/>
            <wp:effectExtent l="0" t="0" r="0" b="6985"/>
            <wp:wrapTight wrapText="bothSides">
              <wp:wrapPolygon edited="0">
                <wp:start x="0" y="0"/>
                <wp:lineTo x="0" y="21510"/>
                <wp:lineTo x="21508" y="21510"/>
                <wp:lineTo x="21508" y="0"/>
                <wp:lineTo x="0" y="0"/>
              </wp:wrapPolygon>
            </wp:wrapTight>
            <wp:docPr id="1587489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735" cy="2888615"/>
                    </a:xfrm>
                    <a:prstGeom prst="rect">
                      <a:avLst/>
                    </a:prstGeom>
                    <a:noFill/>
                  </pic:spPr>
                </pic:pic>
              </a:graphicData>
            </a:graphic>
            <wp14:sizeRelH relativeFrom="margin">
              <wp14:pctWidth>0</wp14:pctWidth>
            </wp14:sizeRelH>
            <wp14:sizeRelV relativeFrom="margin">
              <wp14:pctHeight>0</wp14:pctHeight>
            </wp14:sizeRelV>
          </wp:anchor>
        </w:drawing>
      </w:r>
    </w:p>
    <w:p w14:paraId="65EF8696" w14:textId="19C96E90" w:rsidR="0026563C" w:rsidRPr="00721B33" w:rsidRDefault="0026563C" w:rsidP="00721B33">
      <w:pPr>
        <w:spacing w:line="360" w:lineRule="auto"/>
        <w:jc w:val="both"/>
        <w:rPr>
          <w:rFonts w:ascii="Arial" w:hAnsi="Arial" w:cs="Arial"/>
          <w:b/>
          <w:bCs/>
          <w:sz w:val="22"/>
          <w:szCs w:val="22"/>
        </w:rPr>
      </w:pPr>
    </w:p>
    <w:p w14:paraId="1092EF77" w14:textId="77777777" w:rsidR="0026563C" w:rsidRPr="00721B33" w:rsidRDefault="0026563C" w:rsidP="00721B33">
      <w:pPr>
        <w:spacing w:line="360" w:lineRule="auto"/>
        <w:jc w:val="both"/>
        <w:rPr>
          <w:rFonts w:ascii="Arial" w:hAnsi="Arial" w:cs="Arial"/>
          <w:b/>
          <w:bCs/>
          <w:sz w:val="22"/>
          <w:szCs w:val="22"/>
        </w:rPr>
      </w:pPr>
    </w:p>
    <w:p w14:paraId="4D1A7699" w14:textId="77777777" w:rsidR="0026563C" w:rsidRPr="00721B33" w:rsidRDefault="0026563C" w:rsidP="00721B33">
      <w:pPr>
        <w:spacing w:line="360" w:lineRule="auto"/>
        <w:jc w:val="both"/>
        <w:rPr>
          <w:rFonts w:ascii="Arial" w:hAnsi="Arial" w:cs="Arial"/>
          <w:b/>
          <w:bCs/>
          <w:sz w:val="22"/>
          <w:szCs w:val="22"/>
        </w:rPr>
      </w:pPr>
    </w:p>
    <w:p w14:paraId="628DFD49" w14:textId="77777777" w:rsidR="0026563C" w:rsidRPr="00721B33" w:rsidRDefault="0026563C" w:rsidP="00721B33">
      <w:pPr>
        <w:spacing w:line="360" w:lineRule="auto"/>
        <w:jc w:val="both"/>
        <w:rPr>
          <w:rFonts w:ascii="Arial" w:hAnsi="Arial" w:cs="Arial"/>
          <w:b/>
          <w:bCs/>
          <w:sz w:val="22"/>
          <w:szCs w:val="22"/>
        </w:rPr>
      </w:pPr>
    </w:p>
    <w:p w14:paraId="758944DD" w14:textId="77777777" w:rsidR="0026563C" w:rsidRPr="00721B33" w:rsidRDefault="0026563C" w:rsidP="00721B33">
      <w:pPr>
        <w:spacing w:line="360" w:lineRule="auto"/>
        <w:jc w:val="both"/>
        <w:rPr>
          <w:rFonts w:ascii="Arial" w:hAnsi="Arial" w:cs="Arial"/>
          <w:b/>
          <w:bCs/>
          <w:sz w:val="22"/>
          <w:szCs w:val="22"/>
        </w:rPr>
      </w:pPr>
    </w:p>
    <w:p w14:paraId="2DA56A4C" w14:textId="77777777" w:rsidR="0026563C" w:rsidRPr="00721B33" w:rsidRDefault="0026563C" w:rsidP="00721B33">
      <w:pPr>
        <w:spacing w:line="360" w:lineRule="auto"/>
        <w:jc w:val="both"/>
        <w:rPr>
          <w:rFonts w:ascii="Arial" w:hAnsi="Arial" w:cs="Arial"/>
          <w:b/>
          <w:bCs/>
          <w:sz w:val="22"/>
          <w:szCs w:val="22"/>
        </w:rPr>
      </w:pPr>
    </w:p>
    <w:p w14:paraId="18810BED" w14:textId="77777777" w:rsidR="0026563C" w:rsidRPr="00721B33" w:rsidRDefault="0026563C" w:rsidP="00721B33">
      <w:pPr>
        <w:spacing w:line="360" w:lineRule="auto"/>
        <w:jc w:val="both"/>
        <w:rPr>
          <w:rFonts w:ascii="Arial" w:hAnsi="Arial" w:cs="Arial"/>
          <w:b/>
          <w:bCs/>
          <w:sz w:val="22"/>
          <w:szCs w:val="22"/>
        </w:rPr>
      </w:pPr>
    </w:p>
    <w:p w14:paraId="5C91C7F1" w14:textId="77777777" w:rsidR="0026563C" w:rsidRPr="00721B33" w:rsidRDefault="0026563C" w:rsidP="00721B33">
      <w:pPr>
        <w:spacing w:line="360" w:lineRule="auto"/>
        <w:jc w:val="both"/>
        <w:rPr>
          <w:rFonts w:ascii="Arial" w:hAnsi="Arial" w:cs="Arial"/>
          <w:b/>
          <w:bCs/>
          <w:sz w:val="22"/>
          <w:szCs w:val="22"/>
        </w:rPr>
      </w:pPr>
    </w:p>
    <w:p w14:paraId="0A59CC33" w14:textId="73AB0284" w:rsidR="0026563C" w:rsidRPr="00851224" w:rsidRDefault="0026563C" w:rsidP="00721B33">
      <w:pPr>
        <w:spacing w:line="360" w:lineRule="auto"/>
        <w:ind w:left="5040" w:firstLine="720"/>
        <w:jc w:val="both"/>
        <w:rPr>
          <w:rFonts w:ascii="Arial" w:hAnsi="Arial" w:cs="Arial"/>
          <w:sz w:val="18"/>
          <w:szCs w:val="18"/>
        </w:rPr>
      </w:pPr>
      <w:r w:rsidRPr="00851224">
        <w:rPr>
          <w:rFonts w:ascii="Arial" w:hAnsi="Arial" w:cs="Arial"/>
          <w:sz w:val="18"/>
          <w:szCs w:val="18"/>
        </w:rPr>
        <w:t>©leafcare.co.uk</w:t>
      </w:r>
    </w:p>
    <w:p w14:paraId="1860C096" w14:textId="77777777" w:rsidR="004547CC" w:rsidRPr="00721B33" w:rsidRDefault="004547CC" w:rsidP="00721B33">
      <w:pPr>
        <w:spacing w:line="360" w:lineRule="auto"/>
        <w:jc w:val="both"/>
        <w:rPr>
          <w:rFonts w:ascii="Arial" w:hAnsi="Arial" w:cs="Arial"/>
          <w:b/>
          <w:bCs/>
          <w:sz w:val="22"/>
          <w:szCs w:val="22"/>
        </w:rPr>
      </w:pPr>
    </w:p>
    <w:p w14:paraId="4CB7FD90" w14:textId="77777777" w:rsidR="00851224" w:rsidRDefault="00851224" w:rsidP="00721B33">
      <w:pPr>
        <w:spacing w:line="360" w:lineRule="auto"/>
        <w:jc w:val="both"/>
        <w:rPr>
          <w:rFonts w:ascii="Arial" w:hAnsi="Arial" w:cs="Arial"/>
          <w:b/>
          <w:bCs/>
          <w:sz w:val="22"/>
          <w:szCs w:val="22"/>
        </w:rPr>
      </w:pPr>
    </w:p>
    <w:p w14:paraId="67E807AF" w14:textId="77777777" w:rsidR="00851224" w:rsidRDefault="00851224" w:rsidP="00721B33">
      <w:pPr>
        <w:spacing w:line="360" w:lineRule="auto"/>
        <w:jc w:val="both"/>
        <w:rPr>
          <w:rFonts w:ascii="Arial" w:hAnsi="Arial" w:cs="Arial"/>
          <w:b/>
          <w:bCs/>
          <w:sz w:val="22"/>
          <w:szCs w:val="22"/>
        </w:rPr>
      </w:pPr>
    </w:p>
    <w:p w14:paraId="627E82E6" w14:textId="77777777" w:rsidR="00851224" w:rsidRDefault="00851224" w:rsidP="00721B33">
      <w:pPr>
        <w:spacing w:line="360" w:lineRule="auto"/>
        <w:jc w:val="both"/>
        <w:rPr>
          <w:rFonts w:ascii="Arial" w:hAnsi="Arial" w:cs="Arial"/>
          <w:b/>
          <w:bCs/>
          <w:sz w:val="22"/>
          <w:szCs w:val="22"/>
        </w:rPr>
      </w:pPr>
    </w:p>
    <w:p w14:paraId="3E60882B" w14:textId="77777777" w:rsidR="00851224" w:rsidRDefault="00851224" w:rsidP="00721B33">
      <w:pPr>
        <w:spacing w:line="360" w:lineRule="auto"/>
        <w:jc w:val="both"/>
        <w:rPr>
          <w:rFonts w:ascii="Arial" w:hAnsi="Arial" w:cs="Arial"/>
          <w:b/>
          <w:bCs/>
          <w:sz w:val="22"/>
          <w:szCs w:val="22"/>
        </w:rPr>
      </w:pPr>
    </w:p>
    <w:p w14:paraId="0516804D" w14:textId="77777777" w:rsidR="00851224" w:rsidRDefault="00851224" w:rsidP="00721B33">
      <w:pPr>
        <w:spacing w:line="360" w:lineRule="auto"/>
        <w:jc w:val="both"/>
        <w:rPr>
          <w:rFonts w:ascii="Arial" w:hAnsi="Arial" w:cs="Arial"/>
          <w:b/>
          <w:bCs/>
          <w:sz w:val="22"/>
          <w:szCs w:val="22"/>
        </w:rPr>
      </w:pPr>
    </w:p>
    <w:p w14:paraId="26FC7843" w14:textId="77777777" w:rsidR="00851224" w:rsidRDefault="00851224" w:rsidP="00721B33">
      <w:pPr>
        <w:spacing w:line="360" w:lineRule="auto"/>
        <w:jc w:val="both"/>
        <w:rPr>
          <w:rFonts w:ascii="Arial" w:hAnsi="Arial" w:cs="Arial"/>
          <w:b/>
          <w:bCs/>
          <w:sz w:val="22"/>
          <w:szCs w:val="22"/>
        </w:rPr>
      </w:pPr>
    </w:p>
    <w:p w14:paraId="5E236402" w14:textId="77777777" w:rsidR="00851224" w:rsidRDefault="00851224" w:rsidP="00721B33">
      <w:pPr>
        <w:spacing w:line="360" w:lineRule="auto"/>
        <w:jc w:val="both"/>
        <w:rPr>
          <w:rFonts w:ascii="Arial" w:hAnsi="Arial" w:cs="Arial"/>
          <w:b/>
          <w:bCs/>
          <w:sz w:val="22"/>
          <w:szCs w:val="22"/>
        </w:rPr>
      </w:pPr>
    </w:p>
    <w:p w14:paraId="2B3E1F0C" w14:textId="3E9E68B3" w:rsidR="00766AC5" w:rsidRPr="0037623C" w:rsidRDefault="00390139" w:rsidP="0037623C">
      <w:pPr>
        <w:pStyle w:val="Heading1"/>
        <w:rPr>
          <w:rFonts w:ascii="Arial" w:hAnsi="Arial" w:cs="Arial"/>
          <w:b/>
          <w:bCs/>
          <w:color w:val="auto"/>
          <w:sz w:val="22"/>
          <w:szCs w:val="22"/>
        </w:rPr>
      </w:pPr>
      <w:r w:rsidRPr="0037623C">
        <w:rPr>
          <w:rFonts w:ascii="Arial" w:hAnsi="Arial" w:cs="Arial"/>
          <w:b/>
          <w:bCs/>
          <w:color w:val="auto"/>
          <w:sz w:val="22"/>
          <w:szCs w:val="22"/>
        </w:rPr>
        <w:lastRenderedPageBreak/>
        <w:t>2.0</w:t>
      </w:r>
      <w:r w:rsidR="00766AC5" w:rsidRPr="0037623C">
        <w:rPr>
          <w:rFonts w:ascii="Arial" w:hAnsi="Arial" w:cs="Arial"/>
          <w:b/>
          <w:bCs/>
          <w:color w:val="auto"/>
          <w:sz w:val="22"/>
          <w:szCs w:val="22"/>
        </w:rPr>
        <w:t xml:space="preserve"> Application to Health and Social Care Policy and Practice</w:t>
      </w:r>
    </w:p>
    <w:p w14:paraId="0939DAF7" w14:textId="36448E63" w:rsidR="00766AC5" w:rsidRPr="0037623C" w:rsidRDefault="00582ADC" w:rsidP="0037623C">
      <w:pPr>
        <w:pStyle w:val="Heading1"/>
        <w:rPr>
          <w:rFonts w:ascii="Arial" w:hAnsi="Arial" w:cs="Arial"/>
          <w:b/>
          <w:bCs/>
          <w:color w:val="auto"/>
          <w:sz w:val="22"/>
          <w:szCs w:val="22"/>
        </w:rPr>
      </w:pPr>
      <w:r w:rsidRPr="0037623C">
        <w:rPr>
          <w:rFonts w:ascii="Arial" w:hAnsi="Arial" w:cs="Arial"/>
          <w:b/>
          <w:bCs/>
          <w:color w:val="auto"/>
          <w:sz w:val="22"/>
          <w:szCs w:val="22"/>
        </w:rPr>
        <w:t xml:space="preserve">2.1 </w:t>
      </w:r>
      <w:r w:rsidR="00766AC5" w:rsidRPr="0037623C">
        <w:rPr>
          <w:rFonts w:ascii="Arial" w:hAnsi="Arial" w:cs="Arial"/>
          <w:b/>
          <w:bCs/>
          <w:color w:val="auto"/>
          <w:sz w:val="22"/>
          <w:szCs w:val="22"/>
        </w:rPr>
        <w:t>Policy Applications</w:t>
      </w:r>
    </w:p>
    <w:p w14:paraId="421A0565" w14:textId="738721CF"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 xml:space="preserve">The social model has profoundly shaped health and social care policy by advocating for person-centred approaches that prioritise autonomy, choice, and social participation over paternalistic medical management (Department of Health, 2001). In the UK, initiatives such as Valuing People (2001) and the Care Act (2014) emphasise personalisation, independent living, and community inclusion for individuals with disabilities (Glasby and Littlechild, 2016). </w:t>
      </w:r>
    </w:p>
    <w:p w14:paraId="749EAE63" w14:textId="77777777" w:rsidR="008214EA" w:rsidRPr="00721B33" w:rsidRDefault="008214EA" w:rsidP="00721B33">
      <w:pPr>
        <w:spacing w:line="360" w:lineRule="auto"/>
        <w:jc w:val="both"/>
        <w:rPr>
          <w:rFonts w:ascii="Arial" w:hAnsi="Arial" w:cs="Arial"/>
          <w:sz w:val="22"/>
          <w:szCs w:val="22"/>
        </w:rPr>
      </w:pPr>
    </w:p>
    <w:p w14:paraId="68E41B12" w14:textId="23240F6E" w:rsidR="00766AC5"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Mechanisms like personal budgets and direct payments empower disabled individuals to manage their own support rather than merely receiving services (Needham, 2011). This aligns with the principles of person-centred care, which recognise that individuals are experts in their own needs (Beresford, 2014). Additionally, the social model has influenced healthcare policies related to accessibility, exemplified by NHS England's Accessible Information Standard (2016). This standard addresses the informational and communication needs of disabled individuals, working to eliminate both attitudinal and environmental barriers within healthcare (NHS England, 2016).</w:t>
      </w:r>
    </w:p>
    <w:p w14:paraId="11EF5E61" w14:textId="098F55A8" w:rsidR="00766AC5" w:rsidRPr="00065E6B" w:rsidRDefault="00582ADC" w:rsidP="00065E6B">
      <w:pPr>
        <w:pStyle w:val="Heading1"/>
        <w:rPr>
          <w:rFonts w:ascii="Arial" w:hAnsi="Arial" w:cs="Arial"/>
          <w:b/>
          <w:bCs/>
          <w:color w:val="auto"/>
          <w:sz w:val="22"/>
          <w:szCs w:val="22"/>
        </w:rPr>
      </w:pPr>
      <w:r w:rsidRPr="00065E6B">
        <w:rPr>
          <w:rFonts w:ascii="Arial" w:hAnsi="Arial" w:cs="Arial"/>
          <w:b/>
          <w:bCs/>
          <w:color w:val="auto"/>
          <w:sz w:val="22"/>
          <w:szCs w:val="22"/>
        </w:rPr>
        <w:t xml:space="preserve">2.2 </w:t>
      </w:r>
      <w:r w:rsidR="00766AC5" w:rsidRPr="00065E6B">
        <w:rPr>
          <w:rFonts w:ascii="Arial" w:hAnsi="Arial" w:cs="Arial"/>
          <w:b/>
          <w:bCs/>
          <w:color w:val="auto"/>
          <w:sz w:val="22"/>
          <w:szCs w:val="22"/>
        </w:rPr>
        <w:t>Practice Applications</w:t>
      </w:r>
    </w:p>
    <w:p w14:paraId="79D50E7E" w14:textId="78BC9574"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 xml:space="preserve">The social model of disability encourages healthcare professionals to adopt enabling attitudes, emphasising individuals' capabilities alongside appropriate support rather than focusing on their limitations (French and Swain, 2008). In rehabilitation, this model shifts the emphasis from 'normalising' disabilities to addressing environmental barriers and providing assistive technologies to facilitate participation (Hammell, 2006). Occupational therapy has embraced this approach by prioritising environmental modifications and client-centred goals (Townsend and Polatajko, 2007). </w:t>
      </w:r>
    </w:p>
    <w:p w14:paraId="504396A6" w14:textId="2ED77107" w:rsidR="00766AC5"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In mental health services, recovery models inspired by the social model underscore the importance of hope and social inclusion, recognising that stigma and discrimination can exacerbate mental distress (Slade, 2009). In learning disability services, person-centred planning has emerged to promote community living and individual aspirations over institutionalisation and care deficits (Sanderson et al., 2006).</w:t>
      </w:r>
    </w:p>
    <w:p w14:paraId="4BF73E10" w14:textId="1AC29A63" w:rsidR="00766AC5" w:rsidRPr="003D3B35" w:rsidRDefault="00582ADC" w:rsidP="003D3B35">
      <w:pPr>
        <w:pStyle w:val="Heading1"/>
        <w:rPr>
          <w:rFonts w:ascii="Arial" w:hAnsi="Arial" w:cs="Arial"/>
          <w:b/>
          <w:bCs/>
          <w:color w:val="auto"/>
          <w:sz w:val="22"/>
          <w:szCs w:val="22"/>
        </w:rPr>
      </w:pPr>
      <w:r w:rsidRPr="003D3B35">
        <w:rPr>
          <w:rFonts w:ascii="Arial" w:hAnsi="Arial" w:cs="Arial"/>
          <w:b/>
          <w:bCs/>
          <w:color w:val="auto"/>
          <w:sz w:val="22"/>
          <w:szCs w:val="22"/>
        </w:rPr>
        <w:t xml:space="preserve">2.3 </w:t>
      </w:r>
      <w:r w:rsidR="00766AC5" w:rsidRPr="003D3B35">
        <w:rPr>
          <w:rFonts w:ascii="Arial" w:hAnsi="Arial" w:cs="Arial"/>
          <w:b/>
          <w:bCs/>
          <w:color w:val="auto"/>
          <w:sz w:val="22"/>
          <w:szCs w:val="22"/>
        </w:rPr>
        <w:t>Problems in Application</w:t>
      </w:r>
    </w:p>
    <w:p w14:paraId="1F0A9806" w14:textId="125D890E"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 xml:space="preserve">While notable advancements have been made, the application of the social model within health and social care encounters several significant challenges. Firstly, there exists a fundamental tension between the social model's critique of medicalisation and the prevailing </w:t>
      </w:r>
      <w:r w:rsidRPr="00721B33">
        <w:rPr>
          <w:rFonts w:ascii="Arial" w:hAnsi="Arial" w:cs="Arial"/>
          <w:sz w:val="22"/>
          <w:szCs w:val="22"/>
        </w:rPr>
        <w:lastRenderedPageBreak/>
        <w:t>medical orientation of healthcare systems. This tension complicates the integration of the social model's principles (Samaha, 2007). Healthcare professionals typically focus on diagnosing and treating impairments, which stands in contrast to the social model's emphasis on moving away from individual pathology.</w:t>
      </w:r>
    </w:p>
    <w:p w14:paraId="172367D8" w14:textId="71589EAE"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Secondly, resource constraints significantly hinder the implementation of social model principles. Although person-centred care aims to enhance choice, austerity and budget limitations often restrict the options available to disabled individuals, thereby undermining efforts toward personalisation (Pearson et al., 2014). For instance, while personal budgets are intended to empower disabled individuals, they can inadvertently shift responsibility onto them without providing adequate support (Needham, 2011).</w:t>
      </w:r>
    </w:p>
    <w:p w14:paraId="72E7C275" w14:textId="47389B1F"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Moreover, a cultural transformation among healthcare professionals is both necessary and challenging. Research indicates that medical students and practitioners often hold deficit-oriented views of disability, despite the presence of policies advocating for inclusivity (Shakespeare et al., 2009), reflecting persistent, resistant professional identities.</w:t>
      </w:r>
    </w:p>
    <w:p w14:paraId="1E171809" w14:textId="397BB27A"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Applying the social model to individuals with cognitive impairments, including those with advanced dementia, presents complex issues regarding autonomy and representation (Goodley, 2001). While self-advocacy is emphasised, some individuals may require surrogate advocates, thereby complicating power dynamics.</w:t>
      </w:r>
    </w:p>
    <w:p w14:paraId="25CAA846" w14:textId="568772E3"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Additionally, the social model's focus on removing barriers may not fully address the pain and functional limitations associated with the impairments themselves (Morris, 1991). Effective management of these aspects remains critical within healthcare.</w:t>
      </w:r>
    </w:p>
    <w:p w14:paraId="173B9FCE" w14:textId="6AC69224" w:rsidR="00766AC5"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Lastly, intersectional considerations are frequently overlooked in the application of the social model. Disabled individuals from minority ethnic backgrounds may face compounded discrimination and possess culturally specific needs that generic approaches fail to address adequately (Vernon, 1999). Furthermore, the intersections of gender and care relationships in disability services require deeper examination than the social model offers.</w:t>
      </w:r>
    </w:p>
    <w:p w14:paraId="656E6425" w14:textId="194FD7EA" w:rsidR="00766AC5" w:rsidRPr="00F84BE5" w:rsidRDefault="00582ADC" w:rsidP="00F84BE5">
      <w:pPr>
        <w:pStyle w:val="Heading1"/>
        <w:rPr>
          <w:rFonts w:ascii="Arial" w:hAnsi="Arial" w:cs="Arial"/>
          <w:b/>
          <w:bCs/>
          <w:color w:val="auto"/>
          <w:sz w:val="22"/>
          <w:szCs w:val="22"/>
        </w:rPr>
      </w:pPr>
      <w:r w:rsidRPr="00F84BE5">
        <w:rPr>
          <w:rFonts w:ascii="Arial" w:hAnsi="Arial" w:cs="Arial"/>
          <w:b/>
          <w:bCs/>
          <w:color w:val="auto"/>
          <w:sz w:val="22"/>
          <w:szCs w:val="22"/>
        </w:rPr>
        <w:t>3.0</w:t>
      </w:r>
      <w:r w:rsidR="00766AC5" w:rsidRPr="00F84BE5">
        <w:rPr>
          <w:rFonts w:ascii="Arial" w:hAnsi="Arial" w:cs="Arial"/>
          <w:b/>
          <w:bCs/>
          <w:color w:val="auto"/>
          <w:sz w:val="22"/>
          <w:szCs w:val="22"/>
        </w:rPr>
        <w:t xml:space="preserve"> Recommendations and Conclusion</w:t>
      </w:r>
    </w:p>
    <w:p w14:paraId="5704D620" w14:textId="46D58AE7" w:rsidR="00766AC5" w:rsidRPr="00F84BE5" w:rsidRDefault="00582ADC" w:rsidP="00F84BE5">
      <w:pPr>
        <w:pStyle w:val="Heading1"/>
        <w:rPr>
          <w:rFonts w:ascii="Arial" w:hAnsi="Arial" w:cs="Arial"/>
          <w:b/>
          <w:bCs/>
          <w:color w:val="auto"/>
          <w:sz w:val="22"/>
          <w:szCs w:val="22"/>
        </w:rPr>
      </w:pPr>
      <w:r w:rsidRPr="00F84BE5">
        <w:rPr>
          <w:rFonts w:ascii="Arial" w:hAnsi="Arial" w:cs="Arial"/>
          <w:b/>
          <w:bCs/>
          <w:color w:val="auto"/>
          <w:sz w:val="22"/>
          <w:szCs w:val="22"/>
        </w:rPr>
        <w:t xml:space="preserve">3.1 </w:t>
      </w:r>
      <w:r w:rsidR="00766AC5" w:rsidRPr="00F84BE5">
        <w:rPr>
          <w:rFonts w:ascii="Arial" w:hAnsi="Arial" w:cs="Arial"/>
          <w:b/>
          <w:bCs/>
          <w:color w:val="auto"/>
          <w:sz w:val="22"/>
          <w:szCs w:val="22"/>
        </w:rPr>
        <w:t>Recommendations for Health and Social Care Policy</w:t>
      </w:r>
    </w:p>
    <w:p w14:paraId="3BAD581E" w14:textId="32FAAD7A"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 xml:space="preserve">Policies should incorporate the principles of the social model alongside a thorough understanding of impairments and care needs, fostering a holistic approach to tackling environmental barriers and individual experiences (Shakespeare, 2006). The implementation of the biopsychosocial model is crucial. </w:t>
      </w:r>
    </w:p>
    <w:p w14:paraId="0F2A896F" w14:textId="55DDE7E7"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lastRenderedPageBreak/>
        <w:t xml:space="preserve">Person-centred care necessitates adequate funding for personal budgets, assistive technologies, and support services. Policymakers must commit to investing in these essential principles (Glasby and Littlechild, 2016). </w:t>
      </w:r>
    </w:p>
    <w:p w14:paraId="5C01E797" w14:textId="1F72B72B" w:rsidR="008214EA" w:rsidRPr="00721B33" w:rsidRDefault="008214EA" w:rsidP="00721B33">
      <w:pPr>
        <w:spacing w:line="360" w:lineRule="auto"/>
        <w:jc w:val="both"/>
        <w:rPr>
          <w:rFonts w:ascii="Arial" w:hAnsi="Arial" w:cs="Arial"/>
          <w:sz w:val="22"/>
          <w:szCs w:val="22"/>
        </w:rPr>
      </w:pPr>
      <w:r w:rsidRPr="00721B33">
        <w:rPr>
          <w:rFonts w:ascii="Arial" w:hAnsi="Arial" w:cs="Arial"/>
          <w:sz w:val="22"/>
          <w:szCs w:val="22"/>
        </w:rPr>
        <w:t xml:space="preserve">Disabled individuals need to play an active role in the design and evaluation of health and social care services, ensuring that their lived experiences are reflected (Beresford, 2014). Additionally, policies should address how disability intersects with other characteristics, developing strategies for those facing multiple disadvantages (Goodley, 2014). </w:t>
      </w:r>
    </w:p>
    <w:p w14:paraId="74B3B07E" w14:textId="5E2BFF47" w:rsidR="00090EC5" w:rsidRPr="00F84BE5" w:rsidRDefault="008214EA" w:rsidP="00721B33">
      <w:pPr>
        <w:spacing w:line="360" w:lineRule="auto"/>
        <w:jc w:val="both"/>
        <w:rPr>
          <w:rFonts w:ascii="Arial" w:hAnsi="Arial" w:cs="Arial"/>
          <w:sz w:val="22"/>
          <w:szCs w:val="22"/>
        </w:rPr>
      </w:pPr>
      <w:r w:rsidRPr="00721B33">
        <w:rPr>
          <w:rFonts w:ascii="Arial" w:hAnsi="Arial" w:cs="Arial"/>
          <w:sz w:val="22"/>
          <w:szCs w:val="22"/>
        </w:rPr>
        <w:t>Finally, robust monitoring systems are required to guarantee compliance with accessibility standards, as current mechanisms often fall short in effectively addressing discrimination (Lawson, 2008).</w:t>
      </w:r>
    </w:p>
    <w:p w14:paraId="45093C26" w14:textId="2C9895B3" w:rsidR="00766AC5" w:rsidRPr="00F84BE5" w:rsidRDefault="00582ADC" w:rsidP="00F84BE5">
      <w:pPr>
        <w:pStyle w:val="Heading1"/>
        <w:rPr>
          <w:rFonts w:ascii="Arial" w:hAnsi="Arial" w:cs="Arial"/>
          <w:b/>
          <w:bCs/>
          <w:color w:val="auto"/>
          <w:sz w:val="22"/>
          <w:szCs w:val="22"/>
        </w:rPr>
      </w:pPr>
      <w:r w:rsidRPr="00F84BE5">
        <w:rPr>
          <w:rFonts w:ascii="Arial" w:hAnsi="Arial" w:cs="Arial"/>
          <w:b/>
          <w:bCs/>
          <w:color w:val="auto"/>
          <w:sz w:val="22"/>
          <w:szCs w:val="22"/>
        </w:rPr>
        <w:t xml:space="preserve">3.2 </w:t>
      </w:r>
      <w:r w:rsidR="00766AC5" w:rsidRPr="00F84BE5">
        <w:rPr>
          <w:rFonts w:ascii="Arial" w:hAnsi="Arial" w:cs="Arial"/>
          <w:b/>
          <w:bCs/>
          <w:color w:val="auto"/>
          <w:sz w:val="22"/>
          <w:szCs w:val="22"/>
        </w:rPr>
        <w:t>Recommendations for Health and Social Care Practice</w:t>
      </w:r>
    </w:p>
    <w:p w14:paraId="28D575D6" w14:textId="2128F300"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Medical and allied health curricula should incorporate the social model of disability, emphasising the insights and experiences of individuals with disabilities. This integration requires embedding the principles of the social model throughout the training process, rather than merely offering token awareness sessions (Shakespeare et al., 2009). </w:t>
      </w:r>
    </w:p>
    <w:p w14:paraId="1F11C79E" w14:textId="4385D27D"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Healthcare organisations need to cultivate a culture that respects the rights and expertise of disabled individuals, actively challenging paternalistic attitudes and promoting collaboration (French and Swain, 2008). Practitioners should employ communication methods that honour the preferences and decision-making capabilities of disabled individuals, prioritising dialogue over discussions about them (Townsend and Polatajko, 2007). </w:t>
      </w:r>
    </w:p>
    <w:p w14:paraId="0CA04C66" w14:textId="369A97A7"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It is crucial to balance respect for autonomy with the provision of support, especially for those with cognitive impairments. This calls for a nuanced understanding of capacity and advocacy, shifting away from a reliance on professional control (Goodley, 2001). </w:t>
      </w:r>
    </w:p>
    <w:p w14:paraId="1C879F9F" w14:textId="49DDCD93" w:rsidR="00525FD1"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Healthcare settings should take proactive measures to eliminate barriers that obstruct access for disabled individuals, ensuring that facilities are accessible and that information is available in multiple formats (NHS England, 2016). Practitioners must recognise the cultural diversity of disability experiences and tailor their </w:t>
      </w:r>
      <w:proofErr w:type="gramStart"/>
      <w:r w:rsidRPr="00721B33">
        <w:rPr>
          <w:rFonts w:ascii="Arial" w:hAnsi="Arial" w:cs="Arial"/>
          <w:sz w:val="22"/>
          <w:szCs w:val="22"/>
        </w:rPr>
        <w:t>approaches</w:t>
      </w:r>
      <w:proofErr w:type="gramEnd"/>
      <w:r w:rsidRPr="00721B33">
        <w:rPr>
          <w:rFonts w:ascii="Arial" w:hAnsi="Arial" w:cs="Arial"/>
          <w:sz w:val="22"/>
          <w:szCs w:val="22"/>
        </w:rPr>
        <w:t xml:space="preserve"> accordingly, avoiding the imposition of Western models while advocating for rights and inclusion (Grech, 2011).</w:t>
      </w:r>
    </w:p>
    <w:p w14:paraId="0E90F1D0" w14:textId="77777777" w:rsidR="00525FD1" w:rsidRPr="00721B33" w:rsidRDefault="00525FD1" w:rsidP="00721B33">
      <w:pPr>
        <w:spacing w:line="360" w:lineRule="auto"/>
        <w:jc w:val="both"/>
        <w:rPr>
          <w:rFonts w:ascii="Arial" w:hAnsi="Arial" w:cs="Arial"/>
          <w:sz w:val="22"/>
          <w:szCs w:val="22"/>
        </w:rPr>
      </w:pPr>
    </w:p>
    <w:p w14:paraId="40287268" w14:textId="77777777" w:rsidR="00525FD1" w:rsidRPr="00721B33" w:rsidRDefault="00525FD1" w:rsidP="00721B33">
      <w:pPr>
        <w:spacing w:line="360" w:lineRule="auto"/>
        <w:jc w:val="both"/>
        <w:rPr>
          <w:rFonts w:ascii="Arial" w:hAnsi="Arial" w:cs="Arial"/>
          <w:sz w:val="22"/>
          <w:szCs w:val="22"/>
        </w:rPr>
      </w:pPr>
    </w:p>
    <w:p w14:paraId="74D351F8" w14:textId="77777777" w:rsidR="00525FD1" w:rsidRPr="00721B33" w:rsidRDefault="00525FD1" w:rsidP="00721B33">
      <w:pPr>
        <w:spacing w:line="360" w:lineRule="auto"/>
        <w:jc w:val="both"/>
        <w:rPr>
          <w:rFonts w:ascii="Arial" w:hAnsi="Arial" w:cs="Arial"/>
          <w:sz w:val="22"/>
          <w:szCs w:val="22"/>
        </w:rPr>
      </w:pPr>
    </w:p>
    <w:p w14:paraId="179EAEE1" w14:textId="77777777" w:rsidR="00525FD1" w:rsidRPr="00721B33" w:rsidRDefault="00525FD1" w:rsidP="00721B33">
      <w:pPr>
        <w:spacing w:line="360" w:lineRule="auto"/>
        <w:jc w:val="both"/>
        <w:rPr>
          <w:rFonts w:ascii="Arial" w:hAnsi="Arial" w:cs="Arial"/>
          <w:sz w:val="22"/>
          <w:szCs w:val="22"/>
        </w:rPr>
      </w:pPr>
    </w:p>
    <w:p w14:paraId="4017F52A" w14:textId="3E080D2F" w:rsidR="00766AC5" w:rsidRPr="00571F00" w:rsidRDefault="00582ADC" w:rsidP="00571F00">
      <w:pPr>
        <w:pStyle w:val="Heading1"/>
        <w:rPr>
          <w:rFonts w:ascii="Arial" w:hAnsi="Arial" w:cs="Arial"/>
          <w:b/>
          <w:bCs/>
          <w:color w:val="auto"/>
          <w:sz w:val="22"/>
          <w:szCs w:val="22"/>
        </w:rPr>
      </w:pPr>
      <w:r w:rsidRPr="00571F00">
        <w:rPr>
          <w:rFonts w:ascii="Arial" w:hAnsi="Arial" w:cs="Arial"/>
          <w:b/>
          <w:bCs/>
          <w:color w:val="auto"/>
          <w:sz w:val="22"/>
          <w:szCs w:val="22"/>
        </w:rPr>
        <w:lastRenderedPageBreak/>
        <w:t xml:space="preserve">4.0 </w:t>
      </w:r>
      <w:r w:rsidR="00766AC5" w:rsidRPr="00571F00">
        <w:rPr>
          <w:rFonts w:ascii="Arial" w:hAnsi="Arial" w:cs="Arial"/>
          <w:b/>
          <w:bCs/>
          <w:color w:val="auto"/>
          <w:sz w:val="22"/>
          <w:szCs w:val="22"/>
        </w:rPr>
        <w:t>Conclusion</w:t>
      </w:r>
    </w:p>
    <w:p w14:paraId="3B14C0AF" w14:textId="615E38F4"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The social model of disability has fundamentally transformed our understanding of disability by shifting the emphasis from individual deficits to societal barriers. This change has paved the way for a more person-centred approach in health and social services. Although the model faces critiques regarding its treatment of impairment and its cultural specificity, it remains vital for challenging disabling practices and advocating for inclusion and rights.</w:t>
      </w:r>
    </w:p>
    <w:p w14:paraId="57DAC044" w14:textId="76BBD3EF" w:rsidR="00EE4F25"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Implementing the social model within health and social care necessitates navigating the tensions between medical and social approaches while addressing the diverse needs of disabled individuals. These challenges underscore the importance of integrated strategies that blend social insights with an understanding of individual experiences and caregiving.</w:t>
      </w:r>
    </w:p>
    <w:p w14:paraId="5FAE08EB" w14:textId="1274EC5F" w:rsidR="00525FD1" w:rsidRPr="00721B33" w:rsidRDefault="00EE4F25" w:rsidP="00721B33">
      <w:pPr>
        <w:spacing w:line="360" w:lineRule="auto"/>
        <w:jc w:val="both"/>
        <w:rPr>
          <w:rFonts w:ascii="Arial" w:hAnsi="Arial" w:cs="Arial"/>
          <w:sz w:val="22"/>
          <w:szCs w:val="22"/>
        </w:rPr>
      </w:pPr>
      <w:r w:rsidRPr="00721B33">
        <w:rPr>
          <w:rFonts w:ascii="Arial" w:hAnsi="Arial" w:cs="Arial"/>
          <w:sz w:val="22"/>
          <w:szCs w:val="22"/>
        </w:rPr>
        <w:t xml:space="preserve">Future health and social care policies must refine their interpretations of the social model, ensuring the availability of resources, fostering cultural shifts among professionals, and facilitating meaningful collaboration with disabled individuals. Such a comprehensive approach is essential for empowering disabled people to lead full and equitable lives. </w:t>
      </w:r>
    </w:p>
    <w:p w14:paraId="34100219" w14:textId="77777777" w:rsidR="00525FD1" w:rsidRPr="00721B33" w:rsidRDefault="00525FD1" w:rsidP="00721B33">
      <w:pPr>
        <w:spacing w:line="360" w:lineRule="auto"/>
        <w:jc w:val="both"/>
        <w:rPr>
          <w:rFonts w:ascii="Arial" w:hAnsi="Arial" w:cs="Arial"/>
          <w:sz w:val="22"/>
          <w:szCs w:val="22"/>
        </w:rPr>
      </w:pPr>
    </w:p>
    <w:p w14:paraId="145A95DC" w14:textId="77777777" w:rsidR="00525FD1" w:rsidRPr="00721B33" w:rsidRDefault="00525FD1" w:rsidP="00721B33">
      <w:pPr>
        <w:spacing w:line="360" w:lineRule="auto"/>
        <w:jc w:val="both"/>
        <w:rPr>
          <w:rFonts w:ascii="Arial" w:hAnsi="Arial" w:cs="Arial"/>
          <w:sz w:val="22"/>
          <w:szCs w:val="22"/>
        </w:rPr>
      </w:pPr>
    </w:p>
    <w:p w14:paraId="4BC74D9A" w14:textId="77777777" w:rsidR="00525FD1" w:rsidRPr="00721B33" w:rsidRDefault="00525FD1" w:rsidP="00721B33">
      <w:pPr>
        <w:spacing w:line="360" w:lineRule="auto"/>
        <w:jc w:val="both"/>
        <w:rPr>
          <w:rFonts w:ascii="Arial" w:hAnsi="Arial" w:cs="Arial"/>
          <w:sz w:val="22"/>
          <w:szCs w:val="22"/>
        </w:rPr>
      </w:pPr>
    </w:p>
    <w:p w14:paraId="61BD8A12" w14:textId="77777777" w:rsidR="00525FD1" w:rsidRPr="00721B33" w:rsidRDefault="00525FD1" w:rsidP="00721B33">
      <w:pPr>
        <w:spacing w:line="360" w:lineRule="auto"/>
        <w:jc w:val="both"/>
        <w:rPr>
          <w:rFonts w:ascii="Arial" w:hAnsi="Arial" w:cs="Arial"/>
          <w:sz w:val="22"/>
          <w:szCs w:val="22"/>
        </w:rPr>
      </w:pPr>
    </w:p>
    <w:p w14:paraId="63C633AE" w14:textId="77777777" w:rsidR="00525FD1" w:rsidRPr="00721B33" w:rsidRDefault="00525FD1" w:rsidP="00721B33">
      <w:pPr>
        <w:spacing w:line="360" w:lineRule="auto"/>
        <w:jc w:val="both"/>
        <w:rPr>
          <w:rFonts w:ascii="Arial" w:hAnsi="Arial" w:cs="Arial"/>
          <w:sz w:val="22"/>
          <w:szCs w:val="22"/>
        </w:rPr>
      </w:pPr>
    </w:p>
    <w:p w14:paraId="7ABC3951" w14:textId="77777777" w:rsidR="00525FD1" w:rsidRPr="00721B33" w:rsidRDefault="00525FD1" w:rsidP="00721B33">
      <w:pPr>
        <w:spacing w:line="360" w:lineRule="auto"/>
        <w:jc w:val="both"/>
        <w:rPr>
          <w:rFonts w:ascii="Arial" w:hAnsi="Arial" w:cs="Arial"/>
          <w:sz w:val="22"/>
          <w:szCs w:val="22"/>
        </w:rPr>
      </w:pPr>
    </w:p>
    <w:p w14:paraId="08AFB1BD" w14:textId="77777777" w:rsidR="00525FD1" w:rsidRPr="00721B33" w:rsidRDefault="00525FD1" w:rsidP="00721B33">
      <w:pPr>
        <w:spacing w:line="360" w:lineRule="auto"/>
        <w:jc w:val="both"/>
        <w:rPr>
          <w:rFonts w:ascii="Arial" w:hAnsi="Arial" w:cs="Arial"/>
          <w:sz w:val="22"/>
          <w:szCs w:val="22"/>
        </w:rPr>
      </w:pPr>
    </w:p>
    <w:p w14:paraId="1C9CDDE7" w14:textId="77777777" w:rsidR="006F4B40" w:rsidRPr="00721B33" w:rsidRDefault="006F4B40" w:rsidP="00721B33">
      <w:pPr>
        <w:spacing w:line="360" w:lineRule="auto"/>
        <w:jc w:val="both"/>
        <w:rPr>
          <w:rFonts w:ascii="Arial" w:hAnsi="Arial" w:cs="Arial"/>
          <w:b/>
          <w:bCs/>
          <w:sz w:val="22"/>
          <w:szCs w:val="22"/>
        </w:rPr>
      </w:pPr>
    </w:p>
    <w:p w14:paraId="2EE3757B" w14:textId="77777777" w:rsidR="006F4B40" w:rsidRPr="00721B33" w:rsidRDefault="006F4B40" w:rsidP="00721B33">
      <w:pPr>
        <w:spacing w:line="360" w:lineRule="auto"/>
        <w:jc w:val="both"/>
        <w:rPr>
          <w:rFonts w:ascii="Arial" w:hAnsi="Arial" w:cs="Arial"/>
          <w:b/>
          <w:bCs/>
          <w:sz w:val="22"/>
          <w:szCs w:val="22"/>
        </w:rPr>
      </w:pPr>
    </w:p>
    <w:p w14:paraId="1F999439" w14:textId="77777777" w:rsidR="006F4B40" w:rsidRPr="00721B33" w:rsidRDefault="006F4B40" w:rsidP="00721B33">
      <w:pPr>
        <w:spacing w:line="360" w:lineRule="auto"/>
        <w:jc w:val="both"/>
        <w:rPr>
          <w:rFonts w:ascii="Arial" w:hAnsi="Arial" w:cs="Arial"/>
          <w:b/>
          <w:bCs/>
          <w:sz w:val="22"/>
          <w:szCs w:val="22"/>
        </w:rPr>
      </w:pPr>
    </w:p>
    <w:p w14:paraId="3676DB25" w14:textId="77777777" w:rsidR="006F4B40" w:rsidRPr="00721B33" w:rsidRDefault="006F4B40" w:rsidP="00721B33">
      <w:pPr>
        <w:spacing w:line="360" w:lineRule="auto"/>
        <w:jc w:val="both"/>
        <w:rPr>
          <w:rFonts w:ascii="Arial" w:hAnsi="Arial" w:cs="Arial"/>
          <w:b/>
          <w:bCs/>
          <w:sz w:val="22"/>
          <w:szCs w:val="22"/>
        </w:rPr>
      </w:pPr>
    </w:p>
    <w:p w14:paraId="11B457A1" w14:textId="77777777" w:rsidR="006F4B40" w:rsidRPr="00721B33" w:rsidRDefault="006F4B40" w:rsidP="00721B33">
      <w:pPr>
        <w:spacing w:line="360" w:lineRule="auto"/>
        <w:jc w:val="both"/>
        <w:rPr>
          <w:rFonts w:ascii="Arial" w:hAnsi="Arial" w:cs="Arial"/>
          <w:b/>
          <w:bCs/>
          <w:sz w:val="22"/>
          <w:szCs w:val="22"/>
        </w:rPr>
      </w:pPr>
    </w:p>
    <w:p w14:paraId="614D9BB2" w14:textId="77777777" w:rsidR="006F4B40" w:rsidRPr="00721B33" w:rsidRDefault="006F4B40" w:rsidP="00721B33">
      <w:pPr>
        <w:spacing w:line="360" w:lineRule="auto"/>
        <w:jc w:val="both"/>
        <w:rPr>
          <w:rFonts w:ascii="Arial" w:hAnsi="Arial" w:cs="Arial"/>
          <w:b/>
          <w:bCs/>
          <w:sz w:val="22"/>
          <w:szCs w:val="22"/>
        </w:rPr>
      </w:pPr>
    </w:p>
    <w:p w14:paraId="0810C298" w14:textId="77777777" w:rsidR="00EE4F25" w:rsidRPr="00721B33" w:rsidRDefault="00EE4F25" w:rsidP="00721B33">
      <w:pPr>
        <w:spacing w:line="360" w:lineRule="auto"/>
        <w:jc w:val="both"/>
        <w:rPr>
          <w:rFonts w:ascii="Arial" w:hAnsi="Arial" w:cs="Arial"/>
          <w:b/>
          <w:bCs/>
          <w:sz w:val="22"/>
          <w:szCs w:val="22"/>
        </w:rPr>
      </w:pPr>
    </w:p>
    <w:p w14:paraId="2FF60667" w14:textId="77777777" w:rsidR="00EE4F25" w:rsidRPr="00721B33" w:rsidRDefault="00EE4F25" w:rsidP="00721B33">
      <w:pPr>
        <w:spacing w:line="360" w:lineRule="auto"/>
        <w:jc w:val="both"/>
        <w:rPr>
          <w:rFonts w:ascii="Arial" w:hAnsi="Arial" w:cs="Arial"/>
          <w:b/>
          <w:bCs/>
          <w:sz w:val="22"/>
          <w:szCs w:val="22"/>
        </w:rPr>
      </w:pPr>
    </w:p>
    <w:p w14:paraId="41C1EAB8" w14:textId="060604E2" w:rsidR="00766AC5" w:rsidRPr="00010939" w:rsidRDefault="00766AC5" w:rsidP="00010939">
      <w:pPr>
        <w:pStyle w:val="Heading1"/>
        <w:rPr>
          <w:rFonts w:ascii="Arial" w:hAnsi="Arial" w:cs="Arial"/>
          <w:b/>
          <w:bCs/>
          <w:color w:val="auto"/>
          <w:sz w:val="22"/>
          <w:szCs w:val="22"/>
        </w:rPr>
      </w:pPr>
      <w:r w:rsidRPr="00010939">
        <w:rPr>
          <w:rFonts w:ascii="Arial" w:hAnsi="Arial" w:cs="Arial"/>
          <w:b/>
          <w:bCs/>
          <w:color w:val="auto"/>
          <w:sz w:val="22"/>
          <w:szCs w:val="22"/>
        </w:rPr>
        <w:lastRenderedPageBreak/>
        <w:t>References</w:t>
      </w:r>
    </w:p>
    <w:p w14:paraId="6726FFB1" w14:textId="26832900" w:rsidR="00BA566B" w:rsidRPr="00721B33" w:rsidRDefault="00BA566B" w:rsidP="00721B33">
      <w:pPr>
        <w:spacing w:line="360" w:lineRule="auto"/>
        <w:jc w:val="both"/>
        <w:rPr>
          <w:rFonts w:ascii="Arial" w:hAnsi="Arial" w:cs="Arial"/>
          <w:sz w:val="22"/>
          <w:szCs w:val="22"/>
        </w:rPr>
      </w:pPr>
      <w:r w:rsidRPr="00721B33">
        <w:rPr>
          <w:rFonts w:ascii="Arial" w:hAnsi="Arial" w:cs="Arial"/>
          <w:sz w:val="22"/>
          <w:szCs w:val="22"/>
        </w:rPr>
        <w:t xml:space="preserve">Barnes, C. and British Council </w:t>
      </w:r>
      <w:r w:rsidRPr="00721B33">
        <w:rPr>
          <w:rFonts w:ascii="Arial" w:hAnsi="Arial" w:cs="Arial"/>
          <w:sz w:val="22"/>
          <w:szCs w:val="22"/>
        </w:rPr>
        <w:t>of</w:t>
      </w:r>
      <w:r w:rsidRPr="00721B33">
        <w:rPr>
          <w:rFonts w:ascii="Arial" w:hAnsi="Arial" w:cs="Arial"/>
          <w:sz w:val="22"/>
          <w:szCs w:val="22"/>
        </w:rPr>
        <w:t xml:space="preserve"> </w:t>
      </w:r>
      <w:r w:rsidRPr="00721B33">
        <w:rPr>
          <w:rFonts w:ascii="Arial" w:hAnsi="Arial" w:cs="Arial"/>
          <w:sz w:val="22"/>
          <w:szCs w:val="22"/>
        </w:rPr>
        <w:t>Organisations of</w:t>
      </w:r>
      <w:r w:rsidRPr="00721B33">
        <w:rPr>
          <w:rFonts w:ascii="Arial" w:hAnsi="Arial" w:cs="Arial"/>
          <w:sz w:val="22"/>
          <w:szCs w:val="22"/>
        </w:rPr>
        <w:t xml:space="preserve"> Disabled People (1991). Disabled people in Britain and discrimination: a case for anti-discrimination legislation. London Hurst In Association </w:t>
      </w:r>
      <w:r w:rsidRPr="00721B33">
        <w:rPr>
          <w:rFonts w:ascii="Arial" w:hAnsi="Arial" w:cs="Arial"/>
          <w:sz w:val="22"/>
          <w:szCs w:val="22"/>
        </w:rPr>
        <w:t>with</w:t>
      </w:r>
      <w:r w:rsidRPr="00721B33">
        <w:rPr>
          <w:rFonts w:ascii="Arial" w:hAnsi="Arial" w:cs="Arial"/>
          <w:sz w:val="22"/>
          <w:szCs w:val="22"/>
        </w:rPr>
        <w:t xml:space="preserve"> The British Council </w:t>
      </w:r>
      <w:r w:rsidRPr="00721B33">
        <w:rPr>
          <w:rFonts w:ascii="Arial" w:hAnsi="Arial" w:cs="Arial"/>
          <w:sz w:val="22"/>
          <w:szCs w:val="22"/>
        </w:rPr>
        <w:t>o</w:t>
      </w:r>
      <w:r w:rsidRPr="00721B33">
        <w:rPr>
          <w:rFonts w:ascii="Arial" w:hAnsi="Arial" w:cs="Arial"/>
          <w:sz w:val="22"/>
          <w:szCs w:val="22"/>
        </w:rPr>
        <w:t xml:space="preserve">f </w:t>
      </w:r>
      <w:r w:rsidRPr="00721B33">
        <w:rPr>
          <w:rFonts w:ascii="Arial" w:hAnsi="Arial" w:cs="Arial"/>
          <w:sz w:val="22"/>
          <w:szCs w:val="22"/>
        </w:rPr>
        <w:t>Organisations</w:t>
      </w:r>
      <w:r w:rsidRPr="00721B33">
        <w:rPr>
          <w:rFonts w:ascii="Arial" w:hAnsi="Arial" w:cs="Arial"/>
          <w:sz w:val="22"/>
          <w:szCs w:val="22"/>
        </w:rPr>
        <w:t xml:space="preserve"> </w:t>
      </w:r>
      <w:r w:rsidRPr="00721B33">
        <w:rPr>
          <w:rFonts w:ascii="Arial" w:hAnsi="Arial" w:cs="Arial"/>
          <w:sz w:val="22"/>
          <w:szCs w:val="22"/>
        </w:rPr>
        <w:t>o</w:t>
      </w:r>
      <w:r w:rsidRPr="00721B33">
        <w:rPr>
          <w:rFonts w:ascii="Arial" w:hAnsi="Arial" w:cs="Arial"/>
          <w:sz w:val="22"/>
          <w:szCs w:val="22"/>
        </w:rPr>
        <w:t>f Disabled People.</w:t>
      </w:r>
    </w:p>
    <w:p w14:paraId="1E4EE59C" w14:textId="5E2C0A55" w:rsidR="00BA566B" w:rsidRPr="00721B33" w:rsidRDefault="00BA566B" w:rsidP="00721B33">
      <w:pPr>
        <w:spacing w:line="360" w:lineRule="auto"/>
        <w:jc w:val="both"/>
        <w:rPr>
          <w:rFonts w:ascii="Arial" w:hAnsi="Arial" w:cs="Arial"/>
          <w:sz w:val="22"/>
          <w:szCs w:val="22"/>
        </w:rPr>
      </w:pPr>
      <w:r w:rsidRPr="00721B33">
        <w:rPr>
          <w:rFonts w:ascii="Arial" w:hAnsi="Arial" w:cs="Arial"/>
          <w:sz w:val="22"/>
          <w:szCs w:val="22"/>
        </w:rPr>
        <w:t>‌Beresford, N. (2022). Personalisation: from solution to problem? Peter. pp.73–98.</w:t>
      </w:r>
      <w:r w:rsidRPr="00721B33">
        <w:rPr>
          <w:rFonts w:ascii="Arial" w:hAnsi="Arial" w:cs="Arial"/>
          <w:sz w:val="22"/>
          <w:szCs w:val="22"/>
        </w:rPr>
        <w:t xml:space="preserve"> </w:t>
      </w:r>
      <w:r w:rsidRPr="00721B33">
        <w:rPr>
          <w:rFonts w:ascii="Arial" w:hAnsi="Arial" w:cs="Arial"/>
          <w:sz w:val="22"/>
          <w:szCs w:val="22"/>
        </w:rPr>
        <w:t>https://doi.org/10.46692/9781447317357.009.</w:t>
      </w:r>
    </w:p>
    <w:p w14:paraId="170DAFE5" w14:textId="75E44810" w:rsidR="00BA566B" w:rsidRPr="00721B33" w:rsidRDefault="00BA566B" w:rsidP="00721B33">
      <w:pPr>
        <w:spacing w:line="360" w:lineRule="auto"/>
        <w:jc w:val="both"/>
        <w:rPr>
          <w:rFonts w:ascii="Arial" w:hAnsi="Arial" w:cs="Arial"/>
          <w:sz w:val="22"/>
          <w:szCs w:val="22"/>
        </w:rPr>
      </w:pPr>
      <w:r w:rsidRPr="00721B33">
        <w:rPr>
          <w:rFonts w:ascii="Arial" w:hAnsi="Arial" w:cs="Arial"/>
          <w:sz w:val="22"/>
          <w:szCs w:val="22"/>
        </w:rPr>
        <w:t>Crow, L. (1996). Including All of Our Lives: Renewing the Social Model of Disability. [online] Available</w:t>
      </w:r>
      <w:r w:rsidRPr="00721B33">
        <w:rPr>
          <w:rFonts w:ascii="Arial" w:hAnsi="Arial" w:cs="Arial"/>
          <w:sz w:val="22"/>
          <w:szCs w:val="22"/>
        </w:rPr>
        <w:t xml:space="preserve"> </w:t>
      </w:r>
      <w:r w:rsidRPr="00721B33">
        <w:rPr>
          <w:rFonts w:ascii="Arial" w:hAnsi="Arial" w:cs="Arial"/>
          <w:sz w:val="22"/>
          <w:szCs w:val="22"/>
        </w:rPr>
        <w:t>at: https://www.researchgate.net/publication/246453360_Including_All_of_Our_Lives_Renewing_the_Social_Model_of_Disability.</w:t>
      </w:r>
    </w:p>
    <w:p w14:paraId="2F1E1DC6" w14:textId="03219C3E" w:rsidR="00766AC5" w:rsidRPr="00721B33" w:rsidRDefault="00BA566B" w:rsidP="00721B33">
      <w:pPr>
        <w:spacing w:line="360" w:lineRule="auto"/>
        <w:jc w:val="both"/>
        <w:rPr>
          <w:rFonts w:ascii="Arial" w:hAnsi="Arial" w:cs="Arial"/>
          <w:sz w:val="22"/>
          <w:szCs w:val="22"/>
        </w:rPr>
      </w:pPr>
      <w:r w:rsidRPr="00721B33">
        <w:rPr>
          <w:rFonts w:ascii="Arial" w:hAnsi="Arial" w:cs="Arial"/>
          <w:sz w:val="22"/>
          <w:szCs w:val="22"/>
        </w:rPr>
        <w:t>‌</w:t>
      </w:r>
      <w:r w:rsidR="00766AC5" w:rsidRPr="00721B33">
        <w:rPr>
          <w:rFonts w:ascii="Arial" w:hAnsi="Arial" w:cs="Arial"/>
          <w:sz w:val="22"/>
          <w:szCs w:val="22"/>
        </w:rPr>
        <w:t>Department of Health (2001) Valuing People: A New Strategy for Learning Disability for the 21st Century. London: Department of Health.</w:t>
      </w:r>
    </w:p>
    <w:p w14:paraId="167FB783" w14:textId="78E20EE2" w:rsidR="00BA566B" w:rsidRPr="00721B33" w:rsidRDefault="00BA566B" w:rsidP="00721B33">
      <w:pPr>
        <w:spacing w:line="360" w:lineRule="auto"/>
        <w:jc w:val="both"/>
        <w:rPr>
          <w:rFonts w:ascii="Arial" w:hAnsi="Arial" w:cs="Arial"/>
          <w:sz w:val="22"/>
          <w:szCs w:val="22"/>
        </w:rPr>
      </w:pPr>
      <w:r w:rsidRPr="00721B33">
        <w:rPr>
          <w:rFonts w:ascii="Arial" w:hAnsi="Arial" w:cs="Arial"/>
          <w:sz w:val="22"/>
          <w:szCs w:val="22"/>
        </w:rPr>
        <w:t>French, S. and Swain, J. (2008). Understanding disability: a guide for health professionals. Edinburgh Churchill Livingstone.</w:t>
      </w:r>
    </w:p>
    <w:p w14:paraId="26880BD1" w14:textId="20F10B00" w:rsidR="00766AC5" w:rsidRPr="00721B33" w:rsidRDefault="0034290F" w:rsidP="00721B33">
      <w:pPr>
        <w:spacing w:line="360" w:lineRule="auto"/>
        <w:jc w:val="both"/>
        <w:rPr>
          <w:rFonts w:ascii="Arial" w:hAnsi="Arial" w:cs="Arial"/>
          <w:sz w:val="22"/>
          <w:szCs w:val="22"/>
        </w:rPr>
      </w:pPr>
      <w:r w:rsidRPr="00721B33">
        <w:rPr>
          <w:rFonts w:ascii="Arial" w:hAnsi="Arial" w:cs="Arial"/>
          <w:sz w:val="22"/>
          <w:szCs w:val="22"/>
        </w:rPr>
        <w:t>Glasby, J. (2016). Direct Payments and Personal Budgets. [online] Policy Press. Available at: https://policy.bristoluniversitypress.co.uk/direct-payments-and-personal-budgets-8 [Accessed 5 Dec. 2025].</w:t>
      </w:r>
    </w:p>
    <w:p w14:paraId="04109FD6" w14:textId="5A3FD0F8" w:rsidR="0034290F" w:rsidRPr="00721B33" w:rsidRDefault="0034290F" w:rsidP="00721B33">
      <w:pPr>
        <w:spacing w:line="360" w:lineRule="auto"/>
        <w:jc w:val="both"/>
        <w:rPr>
          <w:rFonts w:ascii="Arial" w:hAnsi="Arial" w:cs="Arial"/>
          <w:sz w:val="22"/>
          <w:szCs w:val="22"/>
        </w:rPr>
      </w:pPr>
      <w:r w:rsidRPr="00721B33">
        <w:rPr>
          <w:rFonts w:ascii="Arial" w:hAnsi="Arial" w:cs="Arial"/>
          <w:sz w:val="22"/>
          <w:szCs w:val="22"/>
        </w:rPr>
        <w:t>Goodley, D. (2001). ‘Learning Difficulties’, the Social Model of Disability and Impairment: Challenging epistemologies. Disability &amp; Society, [online] 16(2), pp.207–231. https://doi.org/10.1080/09687590120035816.</w:t>
      </w:r>
    </w:p>
    <w:p w14:paraId="54139BEA" w14:textId="48152192" w:rsidR="00BC557D" w:rsidRPr="00721B33" w:rsidRDefault="00BC557D" w:rsidP="00721B33">
      <w:pPr>
        <w:spacing w:line="360" w:lineRule="auto"/>
        <w:jc w:val="both"/>
        <w:rPr>
          <w:rFonts w:ascii="Arial" w:hAnsi="Arial" w:cs="Arial"/>
          <w:sz w:val="22"/>
          <w:szCs w:val="22"/>
        </w:rPr>
      </w:pPr>
      <w:r w:rsidRPr="00721B33">
        <w:rPr>
          <w:rFonts w:ascii="Arial" w:hAnsi="Arial" w:cs="Arial"/>
          <w:sz w:val="22"/>
          <w:szCs w:val="22"/>
        </w:rPr>
        <w:t>Goodley, D. (2014). Dis/ability studies: Theorising disablism and ableism. New York: Routledge, Taylor &amp; Francis Group.</w:t>
      </w:r>
    </w:p>
    <w:p w14:paraId="1D690578" w14:textId="6F70B634" w:rsidR="00BC557D" w:rsidRPr="00721B33" w:rsidRDefault="00BC557D" w:rsidP="00721B33">
      <w:pPr>
        <w:spacing w:line="360" w:lineRule="auto"/>
        <w:jc w:val="both"/>
        <w:rPr>
          <w:rFonts w:ascii="Arial" w:hAnsi="Arial" w:cs="Arial"/>
          <w:sz w:val="22"/>
          <w:szCs w:val="22"/>
        </w:rPr>
      </w:pPr>
      <w:r w:rsidRPr="00721B33">
        <w:rPr>
          <w:rFonts w:ascii="Arial" w:hAnsi="Arial" w:cs="Arial"/>
          <w:sz w:val="22"/>
          <w:szCs w:val="22"/>
        </w:rPr>
        <w:t xml:space="preserve">Grech, S. (2011). Recolonising debates or </w:t>
      </w:r>
      <w:r w:rsidRPr="00721B33">
        <w:rPr>
          <w:rFonts w:ascii="Arial" w:hAnsi="Arial" w:cs="Arial"/>
          <w:sz w:val="22"/>
          <w:szCs w:val="22"/>
        </w:rPr>
        <w:t>perpetuating</w:t>
      </w:r>
      <w:r w:rsidRPr="00721B33">
        <w:rPr>
          <w:rFonts w:ascii="Arial" w:hAnsi="Arial" w:cs="Arial"/>
          <w:sz w:val="22"/>
          <w:szCs w:val="22"/>
        </w:rPr>
        <w:t xml:space="preserve"> coloniality? Decentring the spaces of disability, development and community in the global South. International Journal of Inclusive Education, 15(1), pp.87–100. https://doi.org/10.1080/13603116.2010.496198.</w:t>
      </w:r>
    </w:p>
    <w:p w14:paraId="55BDB5EF" w14:textId="7E894167" w:rsidR="00BC557D" w:rsidRPr="00721B33" w:rsidRDefault="00BC557D" w:rsidP="00721B33">
      <w:pPr>
        <w:spacing w:line="360" w:lineRule="auto"/>
        <w:jc w:val="both"/>
        <w:rPr>
          <w:rFonts w:ascii="Arial" w:hAnsi="Arial" w:cs="Arial"/>
          <w:sz w:val="22"/>
          <w:szCs w:val="22"/>
        </w:rPr>
      </w:pPr>
      <w:r w:rsidRPr="00721B33">
        <w:rPr>
          <w:rFonts w:ascii="Arial" w:hAnsi="Arial" w:cs="Arial"/>
          <w:sz w:val="22"/>
          <w:szCs w:val="22"/>
        </w:rPr>
        <w:t>Hammell, K.W. (2006). Perspectives on disability &amp; rehabilitation: contesting assumptions, challenging practice. [online] Available at: https://www.researchgate.net/publication/235930819_Perspectives_on_disability_rehabilitation_contesting_assumptions_challenging_practice.</w:t>
      </w:r>
    </w:p>
    <w:p w14:paraId="36953D0E" w14:textId="6A9C63BF" w:rsidR="00BC557D" w:rsidRPr="00721B33" w:rsidRDefault="00BC557D" w:rsidP="00721B33">
      <w:pPr>
        <w:spacing w:line="360" w:lineRule="auto"/>
        <w:jc w:val="both"/>
        <w:rPr>
          <w:rFonts w:ascii="Arial" w:hAnsi="Arial" w:cs="Arial"/>
          <w:sz w:val="22"/>
          <w:szCs w:val="22"/>
        </w:rPr>
      </w:pPr>
      <w:r w:rsidRPr="00721B33">
        <w:rPr>
          <w:rFonts w:ascii="Arial" w:hAnsi="Arial" w:cs="Arial"/>
          <w:sz w:val="22"/>
          <w:szCs w:val="22"/>
        </w:rPr>
        <w:t>H</w:t>
      </w:r>
      <w:r w:rsidRPr="00721B33">
        <w:rPr>
          <w:rFonts w:ascii="Arial" w:hAnsi="Arial" w:cs="Arial"/>
          <w:sz w:val="22"/>
          <w:szCs w:val="22"/>
        </w:rPr>
        <w:t>ughes</w:t>
      </w:r>
      <w:r w:rsidRPr="00721B33">
        <w:rPr>
          <w:rFonts w:ascii="Arial" w:hAnsi="Arial" w:cs="Arial"/>
          <w:sz w:val="22"/>
          <w:szCs w:val="22"/>
        </w:rPr>
        <w:t>, B. and P</w:t>
      </w:r>
      <w:r w:rsidRPr="00721B33">
        <w:rPr>
          <w:rFonts w:ascii="Arial" w:hAnsi="Arial" w:cs="Arial"/>
          <w:sz w:val="22"/>
          <w:szCs w:val="22"/>
        </w:rPr>
        <w:t>aterson</w:t>
      </w:r>
      <w:r w:rsidR="00E82812">
        <w:rPr>
          <w:rFonts w:ascii="Arial" w:hAnsi="Arial" w:cs="Arial"/>
          <w:sz w:val="22"/>
          <w:szCs w:val="22"/>
        </w:rPr>
        <w:t>,</w:t>
      </w:r>
      <w:r w:rsidRPr="00721B33">
        <w:rPr>
          <w:rFonts w:ascii="Arial" w:hAnsi="Arial" w:cs="Arial"/>
          <w:sz w:val="22"/>
          <w:szCs w:val="22"/>
        </w:rPr>
        <w:t xml:space="preserve"> K. (1997). The Social Model of Disability and the Disappearing Body: Towards a sociology of impairment. Disability &amp; Society, 12(3), pp.325–340. https://doi.org/10.1080/09687599727209.</w:t>
      </w:r>
    </w:p>
    <w:p w14:paraId="3C4A927D" w14:textId="15C3DC5D" w:rsidR="00BC557D" w:rsidRPr="00721B33" w:rsidRDefault="00BC557D" w:rsidP="00721B33">
      <w:pPr>
        <w:spacing w:line="360" w:lineRule="auto"/>
        <w:jc w:val="both"/>
        <w:rPr>
          <w:rFonts w:ascii="Arial" w:hAnsi="Arial" w:cs="Arial"/>
          <w:sz w:val="22"/>
          <w:szCs w:val="22"/>
        </w:rPr>
      </w:pPr>
      <w:r w:rsidRPr="00721B33">
        <w:rPr>
          <w:rFonts w:ascii="Arial" w:hAnsi="Arial" w:cs="Arial"/>
          <w:sz w:val="22"/>
          <w:szCs w:val="22"/>
        </w:rPr>
        <w:lastRenderedPageBreak/>
        <w:t>Kayess, R. and French, P. (2008). Out of Darkness into Light? Introducing the Convention on the Rights of Persons with Disabilities. Human Rights Law Review, 8(1), pp.1–34. https://doi.org/10.1093/hrlr/ngm044.</w:t>
      </w:r>
    </w:p>
    <w:p w14:paraId="730EBFAA" w14:textId="1DF7305A" w:rsidR="0003671F" w:rsidRPr="00721B33" w:rsidRDefault="0003671F" w:rsidP="00721B33">
      <w:pPr>
        <w:spacing w:line="360" w:lineRule="auto"/>
        <w:jc w:val="both"/>
        <w:rPr>
          <w:rFonts w:ascii="Arial" w:hAnsi="Arial" w:cs="Arial"/>
          <w:sz w:val="22"/>
          <w:szCs w:val="22"/>
        </w:rPr>
      </w:pPr>
      <w:r w:rsidRPr="00721B33">
        <w:rPr>
          <w:rFonts w:ascii="Arial" w:hAnsi="Arial" w:cs="Arial"/>
          <w:sz w:val="22"/>
          <w:szCs w:val="22"/>
        </w:rPr>
        <w:t xml:space="preserve">Lawson, A. (2008). Disability and equality law in Britain: the role of reasonable adjustment. </w:t>
      </w:r>
      <w:r w:rsidRPr="00721B33">
        <w:rPr>
          <w:rFonts w:ascii="Arial" w:hAnsi="Arial" w:cs="Arial"/>
          <w:sz w:val="22"/>
          <w:szCs w:val="22"/>
        </w:rPr>
        <w:t>Oxford;</w:t>
      </w:r>
      <w:r w:rsidRPr="00721B33">
        <w:rPr>
          <w:rFonts w:ascii="Arial" w:hAnsi="Arial" w:cs="Arial"/>
          <w:sz w:val="22"/>
          <w:szCs w:val="22"/>
        </w:rPr>
        <w:t xml:space="preserve"> Portland, Or.: Hart Pub.</w:t>
      </w:r>
    </w:p>
    <w:p w14:paraId="0536006D" w14:textId="439489BE" w:rsidR="0003671F" w:rsidRPr="00721B33" w:rsidRDefault="0003671F" w:rsidP="00721B33">
      <w:pPr>
        <w:spacing w:line="360" w:lineRule="auto"/>
        <w:jc w:val="both"/>
        <w:rPr>
          <w:rFonts w:ascii="Arial" w:hAnsi="Arial" w:cs="Arial"/>
          <w:sz w:val="22"/>
          <w:szCs w:val="22"/>
        </w:rPr>
      </w:pPr>
      <w:r w:rsidRPr="00721B33">
        <w:rPr>
          <w:rFonts w:ascii="Arial" w:hAnsi="Arial" w:cs="Arial"/>
          <w:sz w:val="22"/>
          <w:szCs w:val="22"/>
        </w:rPr>
        <w:t>Meekosha, H. (2011). Decolonising disability: thinking and acting globally. Disability &amp; Society, [online] 26(6), pp.667–682. https://doi.org/10.1080/09687599.2011.602860.</w:t>
      </w:r>
    </w:p>
    <w:p w14:paraId="7C1707D9" w14:textId="6F0ADABE" w:rsidR="0003671F" w:rsidRPr="00721B33" w:rsidRDefault="0003671F" w:rsidP="00721B33">
      <w:pPr>
        <w:spacing w:line="360" w:lineRule="auto"/>
        <w:jc w:val="both"/>
        <w:rPr>
          <w:rFonts w:ascii="Arial" w:hAnsi="Arial" w:cs="Arial"/>
          <w:sz w:val="22"/>
          <w:szCs w:val="22"/>
        </w:rPr>
      </w:pPr>
      <w:r w:rsidRPr="00721B33">
        <w:rPr>
          <w:rFonts w:ascii="Arial" w:hAnsi="Arial" w:cs="Arial"/>
          <w:sz w:val="22"/>
          <w:szCs w:val="22"/>
        </w:rPr>
        <w:t>Morris, J. (1991). Pride Against Prejudice. Women’s Press (UK).</w:t>
      </w:r>
    </w:p>
    <w:p w14:paraId="70694ACC" w14:textId="6190146C" w:rsidR="003B2D6F" w:rsidRPr="00721B33" w:rsidRDefault="003B2D6F" w:rsidP="00721B33">
      <w:pPr>
        <w:spacing w:line="360" w:lineRule="auto"/>
        <w:jc w:val="both"/>
        <w:rPr>
          <w:rFonts w:ascii="Arial" w:hAnsi="Arial" w:cs="Arial"/>
          <w:sz w:val="22"/>
          <w:szCs w:val="22"/>
        </w:rPr>
      </w:pPr>
      <w:r w:rsidRPr="00721B33">
        <w:rPr>
          <w:rFonts w:ascii="Arial" w:hAnsi="Arial" w:cs="Arial"/>
          <w:sz w:val="22"/>
          <w:szCs w:val="22"/>
        </w:rPr>
        <w:t>Needham, C. (2011). Personalising public services: understanding the personalisation narrative. Bristol Policy.</w:t>
      </w:r>
    </w:p>
    <w:p w14:paraId="55875547" w14:textId="12676747" w:rsidR="00766AC5" w:rsidRPr="00721B33" w:rsidRDefault="003B2D6F" w:rsidP="00721B33">
      <w:pPr>
        <w:spacing w:line="360" w:lineRule="auto"/>
        <w:jc w:val="both"/>
        <w:rPr>
          <w:rFonts w:ascii="Arial" w:hAnsi="Arial" w:cs="Arial"/>
          <w:sz w:val="22"/>
          <w:szCs w:val="22"/>
        </w:rPr>
      </w:pPr>
      <w:r w:rsidRPr="00721B33">
        <w:rPr>
          <w:rFonts w:ascii="Arial" w:hAnsi="Arial" w:cs="Arial"/>
          <w:sz w:val="22"/>
          <w:szCs w:val="22"/>
        </w:rPr>
        <w:t>‌</w:t>
      </w:r>
      <w:r w:rsidR="00766AC5" w:rsidRPr="00721B33">
        <w:rPr>
          <w:rFonts w:ascii="Arial" w:hAnsi="Arial" w:cs="Arial"/>
          <w:sz w:val="22"/>
          <w:szCs w:val="22"/>
        </w:rPr>
        <w:t>NHS England (2016) Accessible Information Standard. Available at: https://www.england.nhs.uk/ourwork/accessibleinfo/ (Accessed: 2 December 2025).</w:t>
      </w:r>
    </w:p>
    <w:p w14:paraId="63E1CF73" w14:textId="112DFBEA" w:rsidR="00375264" w:rsidRPr="00721B33" w:rsidRDefault="00375264" w:rsidP="00721B33">
      <w:pPr>
        <w:spacing w:line="360" w:lineRule="auto"/>
        <w:jc w:val="both"/>
        <w:rPr>
          <w:rFonts w:ascii="Arial" w:hAnsi="Arial" w:cs="Arial"/>
          <w:sz w:val="22"/>
          <w:szCs w:val="22"/>
        </w:rPr>
      </w:pPr>
      <w:r w:rsidRPr="00721B33">
        <w:rPr>
          <w:rFonts w:ascii="Arial" w:hAnsi="Arial" w:cs="Arial"/>
          <w:sz w:val="22"/>
          <w:szCs w:val="22"/>
        </w:rPr>
        <w:t>Oliver, M. (1983). Social Work with Disabled People. [online] London: Macmillan Education UK. https://doi.org/10.1007/978-1-349-86058-6.</w:t>
      </w:r>
    </w:p>
    <w:p w14:paraId="2055110F" w14:textId="2E129FD3" w:rsidR="00375264" w:rsidRPr="00721B33" w:rsidRDefault="00375264" w:rsidP="00721B33">
      <w:pPr>
        <w:spacing w:line="360" w:lineRule="auto"/>
        <w:jc w:val="both"/>
        <w:rPr>
          <w:rFonts w:ascii="Arial" w:hAnsi="Arial" w:cs="Arial"/>
          <w:sz w:val="22"/>
          <w:szCs w:val="22"/>
        </w:rPr>
      </w:pPr>
      <w:r w:rsidRPr="00721B33">
        <w:rPr>
          <w:rFonts w:ascii="Arial" w:hAnsi="Arial" w:cs="Arial"/>
          <w:sz w:val="22"/>
          <w:szCs w:val="22"/>
        </w:rPr>
        <w:t>Oliver, M. (1990). The politics of disablement. London: Macmillan Education.</w:t>
      </w:r>
    </w:p>
    <w:p w14:paraId="16EF2A8A" w14:textId="149C4F99" w:rsidR="00375264" w:rsidRPr="00721B33" w:rsidRDefault="00375264" w:rsidP="00721B33">
      <w:pPr>
        <w:spacing w:line="360" w:lineRule="auto"/>
        <w:jc w:val="both"/>
        <w:rPr>
          <w:rFonts w:ascii="Arial" w:hAnsi="Arial" w:cs="Arial"/>
          <w:sz w:val="22"/>
          <w:szCs w:val="22"/>
        </w:rPr>
      </w:pPr>
      <w:r w:rsidRPr="00721B33">
        <w:rPr>
          <w:rFonts w:ascii="Arial" w:hAnsi="Arial" w:cs="Arial"/>
          <w:sz w:val="22"/>
          <w:szCs w:val="22"/>
        </w:rPr>
        <w:t xml:space="preserve">Oliver, M. (2009). Understanding Disability. London Macmillan Education </w:t>
      </w:r>
      <w:r w:rsidR="00E82812">
        <w:rPr>
          <w:rFonts w:ascii="Arial" w:hAnsi="Arial" w:cs="Arial"/>
          <w:sz w:val="22"/>
          <w:szCs w:val="22"/>
        </w:rPr>
        <w:t>UK</w:t>
      </w:r>
      <w:r w:rsidRPr="00721B33">
        <w:rPr>
          <w:rFonts w:ascii="Arial" w:hAnsi="Arial" w:cs="Arial"/>
          <w:sz w:val="22"/>
          <w:szCs w:val="22"/>
        </w:rPr>
        <w:t>.</w:t>
      </w:r>
    </w:p>
    <w:p w14:paraId="661EA480" w14:textId="3DC721CB" w:rsidR="004900F0" w:rsidRPr="00721B33" w:rsidRDefault="004900F0" w:rsidP="00721B33">
      <w:pPr>
        <w:spacing w:line="360" w:lineRule="auto"/>
        <w:jc w:val="both"/>
        <w:rPr>
          <w:rFonts w:ascii="Arial" w:hAnsi="Arial" w:cs="Arial"/>
          <w:sz w:val="22"/>
          <w:szCs w:val="22"/>
        </w:rPr>
      </w:pPr>
      <w:r w:rsidRPr="00721B33">
        <w:rPr>
          <w:rFonts w:ascii="Arial" w:hAnsi="Arial" w:cs="Arial"/>
          <w:sz w:val="22"/>
          <w:szCs w:val="22"/>
        </w:rPr>
        <w:t>Pearson, C., Watson, N. and Manji, K. (201</w:t>
      </w:r>
      <w:r w:rsidRPr="00721B33">
        <w:rPr>
          <w:rFonts w:ascii="Arial" w:hAnsi="Arial" w:cs="Arial"/>
          <w:sz w:val="22"/>
          <w:szCs w:val="22"/>
        </w:rPr>
        <w:t>4</w:t>
      </w:r>
      <w:r w:rsidRPr="00721B33">
        <w:rPr>
          <w:rFonts w:ascii="Arial" w:hAnsi="Arial" w:cs="Arial"/>
          <w:sz w:val="22"/>
          <w:szCs w:val="22"/>
        </w:rPr>
        <w:t>). Changing the culture of social care in Scotland: Has a shift to personalization brought about transformative change? Social Policy &amp; Administration, 52(3), pp.662–676. https://doi.org/10.1111/spol.12352.</w:t>
      </w:r>
    </w:p>
    <w:p w14:paraId="31A686E5" w14:textId="4099AAF3" w:rsidR="00766AC5" w:rsidRPr="00721B33" w:rsidRDefault="004900F0" w:rsidP="00721B33">
      <w:pPr>
        <w:spacing w:line="360" w:lineRule="auto"/>
        <w:jc w:val="both"/>
        <w:rPr>
          <w:rFonts w:ascii="Arial" w:hAnsi="Arial" w:cs="Arial"/>
          <w:sz w:val="22"/>
          <w:szCs w:val="22"/>
        </w:rPr>
      </w:pPr>
      <w:r w:rsidRPr="00721B33">
        <w:rPr>
          <w:rFonts w:ascii="Arial" w:hAnsi="Arial" w:cs="Arial"/>
          <w:sz w:val="22"/>
          <w:szCs w:val="22"/>
        </w:rPr>
        <w:t>‌</w:t>
      </w:r>
      <w:r w:rsidR="00766AC5" w:rsidRPr="00721B33">
        <w:rPr>
          <w:rFonts w:ascii="Arial" w:hAnsi="Arial" w:cs="Arial"/>
          <w:sz w:val="22"/>
          <w:szCs w:val="22"/>
        </w:rPr>
        <w:t>Samaha, A.M. (2007) 'What Good is the Social Model of Disability?', University of Chicago Law Review, 74(4), pp. 1251-1308.</w:t>
      </w:r>
    </w:p>
    <w:p w14:paraId="5C91BE34" w14:textId="77777777" w:rsidR="00766AC5" w:rsidRPr="00721B33" w:rsidRDefault="00766AC5" w:rsidP="00721B33">
      <w:pPr>
        <w:spacing w:line="360" w:lineRule="auto"/>
        <w:jc w:val="both"/>
        <w:rPr>
          <w:rFonts w:ascii="Arial" w:hAnsi="Arial" w:cs="Arial"/>
          <w:sz w:val="22"/>
          <w:szCs w:val="22"/>
        </w:rPr>
      </w:pPr>
      <w:r w:rsidRPr="00721B33">
        <w:rPr>
          <w:rFonts w:ascii="Arial" w:hAnsi="Arial" w:cs="Arial"/>
          <w:sz w:val="22"/>
          <w:szCs w:val="22"/>
        </w:rPr>
        <w:t>Sanderson, H., Kennedy, J., Ritchie, P. and Goodwin, G. (2006) People, Plans and Possibilities: Exploring Person Centred Planning. Edinburgh: SHS Ltd.</w:t>
      </w:r>
    </w:p>
    <w:p w14:paraId="1FE33A27" w14:textId="77777777" w:rsidR="007C050E" w:rsidRPr="00721B33" w:rsidRDefault="007C050E" w:rsidP="00721B33">
      <w:pPr>
        <w:spacing w:line="360" w:lineRule="auto"/>
        <w:jc w:val="both"/>
        <w:rPr>
          <w:rFonts w:ascii="Arial" w:hAnsi="Arial" w:cs="Arial"/>
          <w:sz w:val="22"/>
          <w:szCs w:val="22"/>
        </w:rPr>
      </w:pPr>
      <w:r w:rsidRPr="00721B33">
        <w:rPr>
          <w:rFonts w:ascii="Arial" w:hAnsi="Arial" w:cs="Arial"/>
          <w:sz w:val="22"/>
          <w:szCs w:val="22"/>
        </w:rPr>
        <w:t>Shakespeare, T. (2006). Disability Rights and Wrongs. Routledge.</w:t>
      </w:r>
    </w:p>
    <w:p w14:paraId="44889ACF" w14:textId="4B4CA4DA" w:rsidR="007C050E" w:rsidRPr="00721B33" w:rsidRDefault="007C050E" w:rsidP="00721B33">
      <w:pPr>
        <w:spacing w:line="360" w:lineRule="auto"/>
        <w:jc w:val="both"/>
        <w:rPr>
          <w:rFonts w:ascii="Arial" w:hAnsi="Arial" w:cs="Arial"/>
          <w:sz w:val="22"/>
          <w:szCs w:val="22"/>
        </w:rPr>
      </w:pPr>
      <w:r w:rsidRPr="00721B33">
        <w:rPr>
          <w:rFonts w:ascii="Arial" w:hAnsi="Arial" w:cs="Arial"/>
          <w:sz w:val="22"/>
          <w:szCs w:val="22"/>
        </w:rPr>
        <w:t>Shakespeare, T., Iezzoni, L.I. and Groce, N.E. (2009). Disability and the training of health professionals. The Lancet, [online] 374(9704), pp.1815–1816. https://doi.org/10.1016/s0140-6736(09)62050-x.</w:t>
      </w:r>
    </w:p>
    <w:p w14:paraId="47B91C3E" w14:textId="3557B411" w:rsidR="007C050E" w:rsidRPr="00721B33" w:rsidRDefault="007C050E" w:rsidP="00721B33">
      <w:pPr>
        <w:spacing w:line="360" w:lineRule="auto"/>
        <w:jc w:val="both"/>
        <w:rPr>
          <w:rFonts w:ascii="Arial" w:hAnsi="Arial" w:cs="Arial"/>
          <w:sz w:val="22"/>
          <w:szCs w:val="22"/>
        </w:rPr>
      </w:pPr>
      <w:r w:rsidRPr="00721B33">
        <w:rPr>
          <w:rFonts w:ascii="Arial" w:hAnsi="Arial" w:cs="Arial"/>
          <w:sz w:val="22"/>
          <w:szCs w:val="22"/>
        </w:rPr>
        <w:t>Shakespeare, T. and Watson, N. (2002). The social model of disability: An outdated ideology? Research in Social Science and Disability, 2(2), pp.9–28. https://doi.org/10.1016/s1479-3547(01)80018-x.</w:t>
      </w:r>
    </w:p>
    <w:p w14:paraId="237D444D" w14:textId="77777777" w:rsidR="007C050E" w:rsidRPr="007C050E" w:rsidRDefault="007C050E" w:rsidP="007C050E">
      <w:pPr>
        <w:spacing w:line="360" w:lineRule="auto"/>
        <w:jc w:val="both"/>
        <w:rPr>
          <w:rFonts w:ascii="Arial" w:hAnsi="Arial" w:cs="Arial"/>
          <w:sz w:val="22"/>
          <w:szCs w:val="22"/>
        </w:rPr>
      </w:pPr>
    </w:p>
    <w:p w14:paraId="09A5D51B" w14:textId="08311BEE" w:rsidR="00A319F2" w:rsidRPr="00A319F2" w:rsidRDefault="00A319F2" w:rsidP="00A319F2">
      <w:pPr>
        <w:spacing w:line="360" w:lineRule="auto"/>
        <w:jc w:val="both"/>
        <w:rPr>
          <w:rFonts w:ascii="Arial" w:hAnsi="Arial" w:cs="Arial"/>
          <w:sz w:val="22"/>
          <w:szCs w:val="22"/>
        </w:rPr>
      </w:pPr>
      <w:r w:rsidRPr="00A319F2">
        <w:rPr>
          <w:rFonts w:ascii="Arial" w:hAnsi="Arial" w:cs="Arial"/>
          <w:sz w:val="22"/>
          <w:szCs w:val="22"/>
        </w:rPr>
        <w:t>Slade, M. (2009). Personal Recovery and Mental Illness. Personal Recovery and Mental Illness. [online] https://doi.org/10.1017/cbo9780511581649.</w:t>
      </w:r>
    </w:p>
    <w:p w14:paraId="30B3DB61" w14:textId="47C5F7AE" w:rsidR="00A319F2" w:rsidRPr="00A319F2" w:rsidRDefault="00A319F2" w:rsidP="00A319F2">
      <w:pPr>
        <w:spacing w:line="360" w:lineRule="auto"/>
        <w:jc w:val="both"/>
        <w:rPr>
          <w:rFonts w:ascii="Arial" w:hAnsi="Arial" w:cs="Arial"/>
          <w:sz w:val="22"/>
          <w:szCs w:val="22"/>
        </w:rPr>
      </w:pPr>
      <w:r w:rsidRPr="00A319F2">
        <w:rPr>
          <w:rFonts w:ascii="Arial" w:hAnsi="Arial" w:cs="Arial"/>
          <w:sz w:val="22"/>
          <w:szCs w:val="22"/>
        </w:rPr>
        <w:t>Swain, J. and French, S. (2000). Towards an Affirmation Model of Disability. Disability &amp; Society, [online] 15(4), pp.569–582. Available at: https://www.tandfonline.com/doi/abs/10.1080/09687590050058189.</w:t>
      </w:r>
    </w:p>
    <w:p w14:paraId="78F4A29C" w14:textId="4925C852" w:rsidR="00A319F2" w:rsidRPr="00A319F2" w:rsidRDefault="00A319F2" w:rsidP="00A319F2">
      <w:pPr>
        <w:spacing w:line="360" w:lineRule="auto"/>
        <w:jc w:val="both"/>
        <w:rPr>
          <w:rFonts w:ascii="Arial" w:hAnsi="Arial" w:cs="Arial"/>
          <w:sz w:val="22"/>
          <w:szCs w:val="22"/>
        </w:rPr>
      </w:pPr>
      <w:r w:rsidRPr="00A319F2">
        <w:rPr>
          <w:rFonts w:ascii="Arial" w:hAnsi="Arial" w:cs="Arial"/>
          <w:sz w:val="22"/>
          <w:szCs w:val="22"/>
        </w:rPr>
        <w:t xml:space="preserve">Thomas, C. (1999). Female </w:t>
      </w:r>
      <w:r w:rsidR="00196513" w:rsidRPr="00A319F2">
        <w:rPr>
          <w:rFonts w:ascii="Arial" w:hAnsi="Arial" w:cs="Arial"/>
          <w:sz w:val="22"/>
          <w:szCs w:val="22"/>
        </w:rPr>
        <w:t>forms:</w:t>
      </w:r>
      <w:r w:rsidRPr="00A319F2">
        <w:rPr>
          <w:rFonts w:ascii="Arial" w:hAnsi="Arial" w:cs="Arial"/>
          <w:sz w:val="22"/>
          <w:szCs w:val="22"/>
        </w:rPr>
        <w:t xml:space="preserve"> experiencing and understanding disability. Buckingham; Philadelphia Open University Press Cop.</w:t>
      </w:r>
    </w:p>
    <w:p w14:paraId="4E276377" w14:textId="34693FE0" w:rsidR="0051171F" w:rsidRPr="0051171F" w:rsidRDefault="0051171F" w:rsidP="0051171F">
      <w:pPr>
        <w:spacing w:line="360" w:lineRule="auto"/>
        <w:jc w:val="both"/>
        <w:rPr>
          <w:rFonts w:ascii="Arial" w:hAnsi="Arial" w:cs="Arial"/>
          <w:sz w:val="22"/>
          <w:szCs w:val="22"/>
        </w:rPr>
      </w:pPr>
      <w:r w:rsidRPr="0051171F">
        <w:rPr>
          <w:rFonts w:ascii="Arial" w:hAnsi="Arial" w:cs="Arial"/>
          <w:sz w:val="22"/>
          <w:szCs w:val="22"/>
        </w:rPr>
        <w:t>Tøssebro, J. (2004). Introduction to the special issue: Understanding disability. Scandinavian Journal of Disability Research, 6(1), pp.3–7. https://doi.org/10.1080/15017410409512635.</w:t>
      </w:r>
    </w:p>
    <w:p w14:paraId="148E701B" w14:textId="50EAC1EC" w:rsidR="00196513" w:rsidRPr="00196513" w:rsidRDefault="00196513" w:rsidP="00196513">
      <w:pPr>
        <w:spacing w:line="360" w:lineRule="auto"/>
        <w:jc w:val="both"/>
        <w:rPr>
          <w:rFonts w:ascii="Arial" w:hAnsi="Arial" w:cs="Arial"/>
          <w:sz w:val="22"/>
          <w:szCs w:val="22"/>
        </w:rPr>
      </w:pPr>
      <w:r w:rsidRPr="00196513">
        <w:rPr>
          <w:rFonts w:ascii="Arial" w:hAnsi="Arial" w:cs="Arial"/>
          <w:sz w:val="22"/>
          <w:szCs w:val="22"/>
        </w:rPr>
        <w:t>Townsend, E.A. and Polatajko, H.J. (2007). Enabling occupation II: Advancing an occupational therapy vision for health, well-being, &amp; justice through occupation. Ottawa, Ont.: Caot Publications Ace.</w:t>
      </w:r>
    </w:p>
    <w:p w14:paraId="749B17D1" w14:textId="376F6E9C" w:rsidR="00766AC5" w:rsidRPr="001F01BD" w:rsidRDefault="00196513" w:rsidP="00196513">
      <w:pPr>
        <w:spacing w:line="360" w:lineRule="auto"/>
        <w:jc w:val="both"/>
        <w:rPr>
          <w:rFonts w:ascii="Arial" w:hAnsi="Arial" w:cs="Arial"/>
          <w:sz w:val="22"/>
          <w:szCs w:val="22"/>
        </w:rPr>
      </w:pPr>
      <w:r w:rsidRPr="00196513">
        <w:rPr>
          <w:rFonts w:ascii="Arial" w:hAnsi="Arial" w:cs="Arial" w:hint="cs"/>
          <w:sz w:val="22"/>
          <w:szCs w:val="22"/>
        </w:rPr>
        <w:t>‌</w:t>
      </w:r>
      <w:r w:rsidR="00766AC5" w:rsidRPr="001F01BD">
        <w:rPr>
          <w:rFonts w:ascii="Arial" w:hAnsi="Arial" w:cs="Arial"/>
          <w:sz w:val="22"/>
          <w:szCs w:val="22"/>
        </w:rPr>
        <w:t>UPIAS (1976) Fundamental Principles of Disability. London: Union of the Physically Impaired Against Segregation.</w:t>
      </w:r>
    </w:p>
    <w:p w14:paraId="7CED9D2A" w14:textId="77777777" w:rsidR="00766AC5" w:rsidRPr="001F01BD" w:rsidRDefault="00766AC5" w:rsidP="00525FD1">
      <w:pPr>
        <w:spacing w:line="360" w:lineRule="auto"/>
        <w:jc w:val="both"/>
        <w:rPr>
          <w:rFonts w:ascii="Arial" w:hAnsi="Arial" w:cs="Arial"/>
          <w:sz w:val="22"/>
          <w:szCs w:val="22"/>
        </w:rPr>
      </w:pPr>
      <w:r w:rsidRPr="001F01BD">
        <w:rPr>
          <w:rFonts w:ascii="Arial" w:hAnsi="Arial" w:cs="Arial"/>
          <w:sz w:val="22"/>
          <w:szCs w:val="22"/>
        </w:rPr>
        <w:t>United Nations (2006) Convention on the Rights of Persons with Disabilities. New York: United Nations.</w:t>
      </w:r>
    </w:p>
    <w:p w14:paraId="1716F30C" w14:textId="2C5AEFC9" w:rsidR="00196513" w:rsidRPr="00196513" w:rsidRDefault="00196513" w:rsidP="00196513">
      <w:pPr>
        <w:spacing w:line="360" w:lineRule="auto"/>
        <w:jc w:val="both"/>
        <w:rPr>
          <w:rFonts w:ascii="Arial" w:hAnsi="Arial" w:cs="Arial"/>
          <w:sz w:val="22"/>
          <w:szCs w:val="22"/>
        </w:rPr>
      </w:pPr>
      <w:r w:rsidRPr="00196513">
        <w:rPr>
          <w:rFonts w:ascii="Arial" w:hAnsi="Arial" w:cs="Arial"/>
          <w:sz w:val="22"/>
          <w:szCs w:val="22"/>
        </w:rPr>
        <w:t>VERNON, A. (1999). The Dialectics of Multiple Identities and the Disabled People’s Movement. Disability &amp; Society, 14(3), pp.385–398. https://doi.org/10.1080/09687599926217.</w:t>
      </w:r>
    </w:p>
    <w:p w14:paraId="6676C509" w14:textId="77777777" w:rsidR="00196513" w:rsidRPr="00196513" w:rsidRDefault="00196513" w:rsidP="00196513">
      <w:pPr>
        <w:spacing w:line="360" w:lineRule="auto"/>
        <w:jc w:val="both"/>
        <w:rPr>
          <w:rFonts w:ascii="Arial" w:hAnsi="Arial" w:cs="Arial"/>
          <w:sz w:val="22"/>
          <w:szCs w:val="22"/>
        </w:rPr>
      </w:pPr>
    </w:p>
    <w:p w14:paraId="7E2A2144" w14:textId="7571D484" w:rsidR="00766AC5" w:rsidRPr="001F01BD" w:rsidRDefault="00196513" w:rsidP="00196513">
      <w:pPr>
        <w:spacing w:line="360" w:lineRule="auto"/>
        <w:jc w:val="both"/>
        <w:rPr>
          <w:rFonts w:ascii="Arial" w:hAnsi="Arial" w:cs="Arial"/>
          <w:sz w:val="22"/>
          <w:szCs w:val="22"/>
        </w:rPr>
      </w:pPr>
      <w:r w:rsidRPr="00196513">
        <w:rPr>
          <w:rFonts w:ascii="Arial" w:hAnsi="Arial" w:cs="Arial" w:hint="cs"/>
          <w:sz w:val="22"/>
          <w:szCs w:val="22"/>
        </w:rPr>
        <w:t>‌</w:t>
      </w:r>
    </w:p>
    <w:sectPr w:rsidR="00766AC5" w:rsidRPr="001F01BD" w:rsidSect="00B055C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4FD86" w14:textId="77777777" w:rsidR="00290B9B" w:rsidRDefault="00290B9B" w:rsidP="00B055CF">
      <w:pPr>
        <w:spacing w:after="0" w:line="240" w:lineRule="auto"/>
      </w:pPr>
      <w:r>
        <w:separator/>
      </w:r>
    </w:p>
  </w:endnote>
  <w:endnote w:type="continuationSeparator" w:id="0">
    <w:p w14:paraId="5B81D5D0" w14:textId="77777777" w:rsidR="00290B9B" w:rsidRDefault="00290B9B" w:rsidP="00B05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4082028"/>
      <w:docPartObj>
        <w:docPartGallery w:val="Page Numbers (Bottom of Page)"/>
        <w:docPartUnique/>
      </w:docPartObj>
    </w:sdtPr>
    <w:sdtContent>
      <w:p w14:paraId="09D12958" w14:textId="01D5592D" w:rsidR="00B055CF" w:rsidRDefault="00B055CF">
        <w:pPr>
          <w:pStyle w:val="Footer"/>
          <w:jc w:val="right"/>
        </w:pPr>
        <w:r>
          <w:fldChar w:fldCharType="begin"/>
        </w:r>
        <w:r>
          <w:instrText>PAGE   \* MERGEFORMAT</w:instrText>
        </w:r>
        <w:r>
          <w:fldChar w:fldCharType="separate"/>
        </w:r>
        <w:r>
          <w:t>2</w:t>
        </w:r>
        <w:r>
          <w:fldChar w:fldCharType="end"/>
        </w:r>
      </w:p>
    </w:sdtContent>
  </w:sdt>
  <w:p w14:paraId="609142A0" w14:textId="77777777" w:rsidR="00B055CF" w:rsidRDefault="00B05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B8741" w14:textId="77777777" w:rsidR="00290B9B" w:rsidRDefault="00290B9B" w:rsidP="00B055CF">
      <w:pPr>
        <w:spacing w:after="0" w:line="240" w:lineRule="auto"/>
      </w:pPr>
      <w:r>
        <w:separator/>
      </w:r>
    </w:p>
  </w:footnote>
  <w:footnote w:type="continuationSeparator" w:id="0">
    <w:p w14:paraId="5C4E08B2" w14:textId="77777777" w:rsidR="00290B9B" w:rsidRDefault="00290B9B" w:rsidP="00B055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34E"/>
    <w:rsid w:val="00010939"/>
    <w:rsid w:val="000324E9"/>
    <w:rsid w:val="0003671F"/>
    <w:rsid w:val="00065E6B"/>
    <w:rsid w:val="00090EC5"/>
    <w:rsid w:val="000A1C91"/>
    <w:rsid w:val="00180C71"/>
    <w:rsid w:val="00196513"/>
    <w:rsid w:val="001F01BD"/>
    <w:rsid w:val="0026563C"/>
    <w:rsid w:val="002832AA"/>
    <w:rsid w:val="00290B9B"/>
    <w:rsid w:val="0034290F"/>
    <w:rsid w:val="00375264"/>
    <w:rsid w:val="0037623C"/>
    <w:rsid w:val="00390139"/>
    <w:rsid w:val="003B2D6F"/>
    <w:rsid w:val="003D3B35"/>
    <w:rsid w:val="004547CC"/>
    <w:rsid w:val="004900F0"/>
    <w:rsid w:val="004A0FF3"/>
    <w:rsid w:val="0051171F"/>
    <w:rsid w:val="00525FD1"/>
    <w:rsid w:val="005601EC"/>
    <w:rsid w:val="00571F00"/>
    <w:rsid w:val="00582ADC"/>
    <w:rsid w:val="00651D25"/>
    <w:rsid w:val="006F4B40"/>
    <w:rsid w:val="00710EB5"/>
    <w:rsid w:val="00721B33"/>
    <w:rsid w:val="00766AC5"/>
    <w:rsid w:val="007B6B80"/>
    <w:rsid w:val="007C050E"/>
    <w:rsid w:val="007E0806"/>
    <w:rsid w:val="008214EA"/>
    <w:rsid w:val="008248AA"/>
    <w:rsid w:val="00851224"/>
    <w:rsid w:val="009361A5"/>
    <w:rsid w:val="009B0E7C"/>
    <w:rsid w:val="009F7F59"/>
    <w:rsid w:val="00A21FF7"/>
    <w:rsid w:val="00A22AC8"/>
    <w:rsid w:val="00A319F2"/>
    <w:rsid w:val="00AB0EDC"/>
    <w:rsid w:val="00B055CF"/>
    <w:rsid w:val="00B4486F"/>
    <w:rsid w:val="00B66B93"/>
    <w:rsid w:val="00B81613"/>
    <w:rsid w:val="00BA566B"/>
    <w:rsid w:val="00BC557D"/>
    <w:rsid w:val="00C5444C"/>
    <w:rsid w:val="00CA289D"/>
    <w:rsid w:val="00CB734E"/>
    <w:rsid w:val="00CE25DD"/>
    <w:rsid w:val="00DC302C"/>
    <w:rsid w:val="00E82812"/>
    <w:rsid w:val="00EE4F25"/>
    <w:rsid w:val="00F02ACD"/>
    <w:rsid w:val="00F5472A"/>
    <w:rsid w:val="00F84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A4AF2"/>
  <w15:chartTrackingRefBased/>
  <w15:docId w15:val="{0D518EFC-E535-4518-8B40-A127916F8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7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7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34E"/>
    <w:rPr>
      <w:rFonts w:eastAsiaTheme="majorEastAsia" w:cstheme="majorBidi"/>
      <w:color w:val="272727" w:themeColor="text1" w:themeTint="D8"/>
    </w:rPr>
  </w:style>
  <w:style w:type="paragraph" w:styleId="Title">
    <w:name w:val="Title"/>
    <w:basedOn w:val="Normal"/>
    <w:next w:val="Normal"/>
    <w:link w:val="TitleChar"/>
    <w:uiPriority w:val="10"/>
    <w:qFormat/>
    <w:rsid w:val="00CB7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34E"/>
    <w:pPr>
      <w:spacing w:before="160"/>
      <w:jc w:val="center"/>
    </w:pPr>
    <w:rPr>
      <w:i/>
      <w:iCs/>
      <w:color w:val="404040" w:themeColor="text1" w:themeTint="BF"/>
    </w:rPr>
  </w:style>
  <w:style w:type="character" w:customStyle="1" w:styleId="QuoteChar">
    <w:name w:val="Quote Char"/>
    <w:basedOn w:val="DefaultParagraphFont"/>
    <w:link w:val="Quote"/>
    <w:uiPriority w:val="29"/>
    <w:rsid w:val="00CB734E"/>
    <w:rPr>
      <w:i/>
      <w:iCs/>
      <w:color w:val="404040" w:themeColor="text1" w:themeTint="BF"/>
    </w:rPr>
  </w:style>
  <w:style w:type="paragraph" w:styleId="ListParagraph">
    <w:name w:val="List Paragraph"/>
    <w:basedOn w:val="Normal"/>
    <w:uiPriority w:val="34"/>
    <w:qFormat/>
    <w:rsid w:val="00CB734E"/>
    <w:pPr>
      <w:ind w:left="720"/>
      <w:contextualSpacing/>
    </w:pPr>
  </w:style>
  <w:style w:type="character" w:styleId="IntenseEmphasis">
    <w:name w:val="Intense Emphasis"/>
    <w:basedOn w:val="DefaultParagraphFont"/>
    <w:uiPriority w:val="21"/>
    <w:qFormat/>
    <w:rsid w:val="00CB734E"/>
    <w:rPr>
      <w:i/>
      <w:iCs/>
      <w:color w:val="0F4761" w:themeColor="accent1" w:themeShade="BF"/>
    </w:rPr>
  </w:style>
  <w:style w:type="paragraph" w:styleId="IntenseQuote">
    <w:name w:val="Intense Quote"/>
    <w:basedOn w:val="Normal"/>
    <w:next w:val="Normal"/>
    <w:link w:val="IntenseQuoteChar"/>
    <w:uiPriority w:val="30"/>
    <w:qFormat/>
    <w:rsid w:val="00CB7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34E"/>
    <w:rPr>
      <w:i/>
      <w:iCs/>
      <w:color w:val="0F4761" w:themeColor="accent1" w:themeShade="BF"/>
    </w:rPr>
  </w:style>
  <w:style w:type="character" w:styleId="IntenseReference">
    <w:name w:val="Intense Reference"/>
    <w:basedOn w:val="DefaultParagraphFont"/>
    <w:uiPriority w:val="32"/>
    <w:qFormat/>
    <w:rsid w:val="00CB734E"/>
    <w:rPr>
      <w:b/>
      <w:bCs/>
      <w:smallCaps/>
      <w:color w:val="0F4761" w:themeColor="accent1" w:themeShade="BF"/>
      <w:spacing w:val="5"/>
    </w:rPr>
  </w:style>
  <w:style w:type="paragraph" w:styleId="Header">
    <w:name w:val="header"/>
    <w:basedOn w:val="Normal"/>
    <w:link w:val="HeaderChar"/>
    <w:uiPriority w:val="99"/>
    <w:unhideWhenUsed/>
    <w:rsid w:val="00B05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5CF"/>
  </w:style>
  <w:style w:type="paragraph" w:styleId="Footer">
    <w:name w:val="footer"/>
    <w:basedOn w:val="Normal"/>
    <w:link w:val="FooterChar"/>
    <w:uiPriority w:val="99"/>
    <w:unhideWhenUsed/>
    <w:rsid w:val="00B05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5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A8E11-1D88-4EA0-A74B-180A6151D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11</Pages>
  <Words>2935</Words>
  <Characters>16733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Taiwo-Badejo | Age UK Bristol</dc:creator>
  <cp:keywords/>
  <dc:description/>
  <cp:lastModifiedBy>Abosede Taiwo-Badejo | Age UK Bristol</cp:lastModifiedBy>
  <cp:revision>44</cp:revision>
  <dcterms:created xsi:type="dcterms:W3CDTF">2025-12-02T13:13:00Z</dcterms:created>
  <dcterms:modified xsi:type="dcterms:W3CDTF">2025-12-05T02:44:00Z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364e3099-2290-4f5b-b616-029cf9d5985d</vt:lpwstr>
  </property>
</Properties>
</file>