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tbl>
      <w:tblPr>
        <w:tblW w:w="5122" w:type="dxa"/>
        <w:jc w:val="center"/>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dd4e9"/>
        <w:tblLayout w:type="fixed"/>
      </w:tblPr>
      <w:tblGrid>
        <w:gridCol w:w="1928"/>
        <w:gridCol w:w="3194"/>
      </w:tblGrid>
      <w:tr>
        <w:tblPrEx>
          <w:shd w:val="clear" w:color="auto" w:fill="cdd4e9"/>
        </w:tblPrEx>
        <w:trPr>
          <w:trHeight w:val="2039" w:hRule="atLeast"/>
        </w:trPr>
        <w:tc>
          <w:tcPr>
            <w:tcW w:type="dxa" w:w="192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header"/>
              <w:tabs>
                <w:tab w:val="clear" w:pos="4680"/>
                <w:tab w:val="clear" w:pos="9360"/>
              </w:tabs>
              <w:spacing w:after="160" w:line="259" w:lineRule="auto"/>
            </w:pPr>
            <w:r>
              <w:rPr>
                <w:rFonts w:ascii="Times New Roman" w:cs="Times New Roman" w:hAnsi="Times New Roman" w:eastAsia="Times New Roman"/>
                <w:sz w:val="24"/>
                <w:szCs w:val="24"/>
                <w:lang w:val="en-US"/>
                <w14:textOutline w14:w="12700" w14:cap="flat">
                  <w14:noFill/>
                  <w14:miter w14:lim="400000"/>
                </w14:textOutline>
              </w:rPr>
              <w:drawing>
                <wp:inline distT="0" distB="0" distL="0" distR="0">
                  <wp:extent cx="904875" cy="1219200"/>
                  <wp:effectExtent l="0" t="0" r="0" b="0"/>
                  <wp:docPr id="1073741825" name="officeArt object" descr="image1.png"/>
                  <wp:cNvGraphicFramePr/>
                  <a:graphic xmlns:a="http://schemas.openxmlformats.org/drawingml/2006/main">
                    <a:graphicData uri="http://schemas.openxmlformats.org/drawingml/2006/picture">
                      <pic:pic xmlns:pic="http://schemas.openxmlformats.org/drawingml/2006/picture">
                        <pic:nvPicPr>
                          <pic:cNvPr id="1073741825" name="image1.png" descr="image1.png"/>
                          <pic:cNvPicPr>
                            <a:picLocks noChangeAspect="1"/>
                          </pic:cNvPicPr>
                        </pic:nvPicPr>
                        <pic:blipFill>
                          <a:blip r:embed="rId4">
                            <a:extLst/>
                          </a:blip>
                          <a:stretch>
                            <a:fillRect/>
                          </a:stretch>
                        </pic:blipFill>
                        <pic:spPr>
                          <a:xfrm>
                            <a:off x="0" y="0"/>
                            <a:ext cx="904875" cy="1219200"/>
                          </a:xfrm>
                          <a:prstGeom prst="rect">
                            <a:avLst/>
                          </a:prstGeom>
                          <a:ln w="12700" cap="flat">
                            <a:noFill/>
                            <a:miter lim="400000"/>
                          </a:ln>
                          <a:effectLst/>
                        </pic:spPr>
                      </pic:pic>
                    </a:graphicData>
                  </a:graphic>
                </wp:inline>
              </w:drawing>
            </w:r>
          </w:p>
        </w:tc>
        <w:tc>
          <w:tcPr>
            <w:tcW w:type="dxa" w:w="319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header"/>
              <w:tabs>
                <w:tab w:val="clear" w:pos="4680"/>
                <w:tab w:val="clear" w:pos="9360"/>
              </w:tabs>
              <w:jc w:val="center"/>
              <w:rPr>
                <w:rFonts w:ascii="Times New Roman" w:cs="Times New Roman" w:hAnsi="Times New Roman" w:eastAsia="Times New Roman"/>
                <w:b w:val="1"/>
                <w:bCs w:val="1"/>
                <w:sz w:val="34"/>
                <w:szCs w:val="34"/>
                <w:lang w:val="en-US"/>
                <w14:textOutline w14:w="12700" w14:cap="flat">
                  <w14:noFill/>
                  <w14:miter w14:lim="400000"/>
                </w14:textOutline>
              </w:rPr>
            </w:pPr>
          </w:p>
          <w:p>
            <w:pPr>
              <w:pStyle w:val="header"/>
              <w:tabs>
                <w:tab w:val="clear" w:pos="4680"/>
                <w:tab w:val="clear" w:pos="9360"/>
              </w:tabs>
              <w:bidi w:val="0"/>
              <w:ind w:left="0" w:right="0" w:firstLine="0"/>
              <w:jc w:val="center"/>
              <w:rPr>
                <w:rFonts w:ascii="Times New Roman" w:cs="Times New Roman" w:hAnsi="Times New Roman" w:eastAsia="Times New Roman"/>
                <w:b w:val="1"/>
                <w:bCs w:val="1"/>
                <w:sz w:val="34"/>
                <w:szCs w:val="34"/>
                <w:rtl w:val="0"/>
                <w14:textOutline w14:w="12700" w14:cap="flat">
                  <w14:noFill/>
                  <w14:miter w14:lim="400000"/>
                </w14:textOutline>
              </w:rPr>
            </w:pPr>
            <w:r>
              <w:rPr>
                <w:rFonts w:ascii="Times New Roman" w:hAnsi="Times New Roman"/>
                <w:b w:val="1"/>
                <w:bCs w:val="1"/>
                <w:sz w:val="34"/>
                <w:szCs w:val="34"/>
                <w:rtl w:val="0"/>
                <w:lang w:val="en-US"/>
                <w14:textOutline w14:w="12700" w14:cap="flat">
                  <w14:noFill/>
                  <w14:miter w14:lim="400000"/>
                </w14:textOutline>
              </w:rPr>
              <w:t>University of Wales</w:t>
            </w:r>
          </w:p>
          <w:p>
            <w:pPr>
              <w:pStyle w:val="header"/>
              <w:tabs>
                <w:tab w:val="clear" w:pos="4680"/>
                <w:tab w:val="clear" w:pos="9360"/>
              </w:tabs>
              <w:bidi w:val="0"/>
              <w:ind w:left="0" w:right="0" w:firstLine="0"/>
              <w:jc w:val="center"/>
              <w:rPr>
                <w:rtl w:val="0"/>
              </w:rPr>
            </w:pPr>
            <w:r>
              <w:rPr>
                <w:rFonts w:ascii="Times New Roman" w:hAnsi="Times New Roman"/>
                <w:b w:val="1"/>
                <w:bCs w:val="1"/>
                <w:sz w:val="34"/>
                <w:szCs w:val="34"/>
                <w:rtl w:val="0"/>
                <w:lang w:val="en-US"/>
                <w14:textOutline w14:w="12700" w14:cap="flat">
                  <w14:noFill/>
                  <w14:miter w14:lim="400000"/>
                </w14:textOutline>
              </w:rPr>
              <w:t>Trinity Saint David</w:t>
            </w:r>
          </w:p>
        </w:tc>
      </w:tr>
    </w:tbl>
    <w:p>
      <w:pPr>
        <w:pStyle w:val="Body"/>
        <w:widowControl w:val="0"/>
        <w:ind w:left="108" w:hanging="108"/>
        <w:jc w:val="center"/>
      </w:pPr>
    </w:p>
    <w:p>
      <w:pPr>
        <w:pStyle w:val="Body A"/>
        <w:spacing w:line="480" w:lineRule="auto"/>
        <w:jc w:val="center"/>
        <w:rPr>
          <w:rFonts w:ascii="Times New Roman" w:cs="Times New Roman" w:hAnsi="Times New Roman" w:eastAsia="Times New Roman"/>
          <w:sz w:val="24"/>
          <w:szCs w:val="24"/>
        </w:rPr>
      </w:pPr>
    </w:p>
    <w:p>
      <w:pPr>
        <w:pStyle w:val="Body A"/>
        <w:spacing w:line="480" w:lineRule="auto"/>
        <w:jc w:val="center"/>
        <w:rPr>
          <w:rFonts w:ascii="Times New Roman" w:cs="Times New Roman" w:hAnsi="Times New Roman" w:eastAsia="Times New Roman"/>
          <w:sz w:val="24"/>
          <w:szCs w:val="24"/>
        </w:rPr>
      </w:pPr>
    </w:p>
    <w:p>
      <w:pPr>
        <w:pStyle w:val="Body A"/>
        <w:spacing w:line="240" w:lineRule="auto"/>
        <w:jc w:val="center"/>
        <w:rPr>
          <w:rFonts w:ascii="Times New Roman" w:cs="Times New Roman" w:hAnsi="Times New Roman" w:eastAsia="Times New Roman"/>
          <w:b w:val="1"/>
          <w:bCs w:val="1"/>
          <w:sz w:val="24"/>
          <w:szCs w:val="24"/>
        </w:rPr>
      </w:pPr>
      <w:r>
        <w:rPr>
          <w:rFonts w:ascii="Times New Roman" w:hAnsi="Times New Roman"/>
          <w:b w:val="1"/>
          <w:bCs w:val="1"/>
          <w:sz w:val="24"/>
          <w:szCs w:val="24"/>
          <w:rtl w:val="0"/>
          <w:lang w:val="en-US"/>
        </w:rPr>
        <w:t>BA Business management</w:t>
      </w:r>
    </w:p>
    <w:p>
      <w:pPr>
        <w:pStyle w:val="Body A"/>
        <w:spacing w:line="240" w:lineRule="auto"/>
        <w:jc w:val="center"/>
        <w:rPr>
          <w:rFonts w:ascii="Times New Roman" w:cs="Times New Roman" w:hAnsi="Times New Roman" w:eastAsia="Times New Roman"/>
        </w:rPr>
      </w:pPr>
      <w:r>
        <w:rPr>
          <w:rFonts w:ascii="Times New Roman" w:hAnsi="Times New Roman"/>
          <w:sz w:val="24"/>
          <w:szCs w:val="24"/>
          <w:rtl w:val="0"/>
          <w:lang w:val="en-US"/>
        </w:rPr>
        <w:t>LCBB5002</w:t>
      </w:r>
    </w:p>
    <w:p>
      <w:pPr>
        <w:pStyle w:val="Body A"/>
        <w:spacing w:line="480" w:lineRule="auto"/>
        <w:jc w:val="center"/>
        <w:rPr>
          <w:rFonts w:ascii="Times New Roman" w:cs="Times New Roman" w:hAnsi="Times New Roman" w:eastAsia="Times New Roman"/>
          <w:sz w:val="24"/>
          <w:szCs w:val="24"/>
        </w:rPr>
      </w:pPr>
      <w:r>
        <w:rPr>
          <w:rFonts w:ascii="Times New Roman" w:hAnsi="Times New Roman"/>
          <w:sz w:val="24"/>
          <w:szCs w:val="24"/>
          <w:rtl w:val="0"/>
          <w:lang w:val="en-US"/>
        </w:rPr>
        <w:t>Lecturer: Widin Sha`ven</w:t>
      </w:r>
    </w:p>
    <w:p>
      <w:pPr>
        <w:pStyle w:val="Body A"/>
        <w:spacing w:line="240" w:lineRule="auto"/>
        <w:jc w:val="center"/>
        <w:rPr>
          <w:rFonts w:ascii="Times New Roman" w:cs="Times New Roman" w:hAnsi="Times New Roman" w:eastAsia="Times New Roman"/>
          <w:b w:val="1"/>
          <w:bCs w:val="1"/>
          <w:sz w:val="24"/>
          <w:szCs w:val="24"/>
        </w:rPr>
      </w:pPr>
      <w:r>
        <w:rPr>
          <w:rFonts w:ascii="Times New Roman" w:hAnsi="Times New Roman"/>
          <w:b w:val="1"/>
          <w:bCs w:val="1"/>
          <w:sz w:val="24"/>
          <w:szCs w:val="24"/>
          <w:rtl w:val="0"/>
          <w:lang w:val="en-US"/>
        </w:rPr>
        <w:t>Management Accounting</w:t>
      </w:r>
    </w:p>
    <w:p>
      <w:pPr>
        <w:pStyle w:val="Body A"/>
        <w:spacing w:line="240" w:lineRule="auto"/>
        <w:jc w:val="center"/>
        <w:rPr>
          <w:rFonts w:ascii="Times New Roman" w:cs="Times New Roman" w:hAnsi="Times New Roman" w:eastAsia="Times New Roman"/>
          <w:sz w:val="24"/>
          <w:szCs w:val="24"/>
        </w:rPr>
      </w:pPr>
      <w:r>
        <w:rPr>
          <w:rFonts w:ascii="Times New Roman" w:hAnsi="Times New Roman"/>
          <w:sz w:val="24"/>
          <w:szCs w:val="24"/>
          <w:rtl w:val="0"/>
          <w:lang w:val="en-US"/>
        </w:rPr>
        <w:t>Assignment 1-Essay</w:t>
      </w:r>
    </w:p>
    <w:p>
      <w:pPr>
        <w:pStyle w:val="Body A"/>
        <w:spacing w:line="240" w:lineRule="auto"/>
        <w:jc w:val="center"/>
        <w:rPr>
          <w:rFonts w:ascii="Times New Roman" w:cs="Times New Roman" w:hAnsi="Times New Roman" w:eastAsia="Times New Roman"/>
          <w:sz w:val="24"/>
          <w:szCs w:val="24"/>
        </w:rPr>
      </w:pPr>
      <w:r>
        <w:rPr>
          <w:rFonts w:ascii="Times New Roman" w:hAnsi="Times New Roman"/>
          <w:sz w:val="24"/>
          <w:szCs w:val="24"/>
          <w:rtl w:val="0"/>
          <w:lang w:val="en-US"/>
        </w:rPr>
        <w:t>A work of Petya Niklenova</w:t>
      </w:r>
    </w:p>
    <w:p>
      <w:pPr>
        <w:pStyle w:val="Body A"/>
        <w:spacing w:line="240" w:lineRule="auto"/>
        <w:jc w:val="center"/>
        <w:rPr>
          <w:rFonts w:ascii="Times New Roman" w:cs="Times New Roman" w:hAnsi="Times New Roman" w:eastAsia="Times New Roman"/>
          <w:sz w:val="24"/>
          <w:szCs w:val="24"/>
        </w:rPr>
      </w:pPr>
      <w:r>
        <w:rPr>
          <w:rFonts w:ascii="Times New Roman" w:hAnsi="Times New Roman"/>
          <w:sz w:val="24"/>
          <w:szCs w:val="24"/>
          <w:rtl w:val="0"/>
          <w:lang w:val="en-US"/>
        </w:rPr>
        <w:t>ID:1916916</w:t>
      </w:r>
    </w:p>
    <w:p>
      <w:pPr>
        <w:pStyle w:val="Body A"/>
        <w:spacing w:line="240" w:lineRule="auto"/>
        <w:jc w:val="center"/>
        <w:rPr>
          <w:rFonts w:ascii="Times New Roman" w:cs="Times New Roman" w:hAnsi="Times New Roman" w:eastAsia="Times New Roman"/>
          <w:sz w:val="24"/>
          <w:szCs w:val="24"/>
        </w:rPr>
      </w:pPr>
    </w:p>
    <w:p>
      <w:pPr>
        <w:pStyle w:val="Body A"/>
        <w:spacing w:line="480" w:lineRule="auto"/>
        <w:jc w:val="center"/>
        <w:rPr>
          <w:rFonts w:ascii="Times New Roman" w:cs="Times New Roman" w:hAnsi="Times New Roman" w:eastAsia="Times New Roman"/>
          <w:sz w:val="24"/>
          <w:szCs w:val="24"/>
        </w:rPr>
      </w:pPr>
      <w:r>
        <w:rPr>
          <w:rFonts w:ascii="Times New Roman" w:hAnsi="Times New Roman"/>
          <w:sz w:val="24"/>
          <w:szCs w:val="24"/>
          <w:rtl w:val="0"/>
          <w:lang w:val="de-DE"/>
        </w:rPr>
        <w:t>Date:</w:t>
      </w:r>
      <w:r>
        <w:rPr>
          <w:rFonts w:ascii="Times New Roman" w:hAnsi="Times New Roman"/>
          <w:sz w:val="24"/>
          <w:szCs w:val="24"/>
          <w:rtl w:val="0"/>
          <w:lang w:val="en-US"/>
        </w:rPr>
        <w:t xml:space="preserve"> 1</w:t>
      </w:r>
      <w:r>
        <w:rPr>
          <w:rFonts w:ascii="Times New Roman" w:hAnsi="Times New Roman"/>
          <w:sz w:val="24"/>
          <w:szCs w:val="24"/>
          <w:rtl w:val="0"/>
          <w:lang w:val="en-US"/>
        </w:rPr>
        <w:t>0</w:t>
      </w:r>
      <w:r>
        <w:rPr>
          <w:rFonts w:ascii="Times New Roman" w:hAnsi="Times New Roman"/>
          <w:sz w:val="24"/>
          <w:szCs w:val="24"/>
          <w:rtl w:val="0"/>
          <w:lang w:val="en-US"/>
        </w:rPr>
        <w:t>/04/2021</w:t>
      </w:r>
    </w:p>
    <w:p>
      <w:pPr>
        <w:pStyle w:val="Body A"/>
        <w:spacing w:line="480" w:lineRule="auto"/>
      </w:pPr>
      <w:r>
        <w:rPr>
          <w:rFonts w:ascii="Arial Unicode MS" w:cs="Arial Unicode MS" w:hAnsi="Arial Unicode MS" w:eastAsia="Arial Unicode MS"/>
          <w:b w:val="0"/>
          <w:bCs w:val="0"/>
          <w:i w:val="0"/>
          <w:iCs w:val="0"/>
          <w:sz w:val="24"/>
          <w:szCs w:val="24"/>
        </w:rPr>
        <w:br w:type="page"/>
      </w:r>
    </w:p>
    <w:p>
      <w:pPr>
        <w:pStyle w:val="TOC Heading"/>
        <w:spacing w:line="480" w:lineRule="auto"/>
        <w:rPr>
          <w:rFonts w:ascii="Times New Roman" w:cs="Times New Roman" w:hAnsi="Times New Roman" w:eastAsia="Times New Roman"/>
          <w:sz w:val="24"/>
          <w:szCs w:val="24"/>
        </w:rPr>
      </w:pPr>
      <w:r>
        <w:rPr>
          <w:rFonts w:ascii="Times New Roman" w:hAnsi="Times New Roman"/>
          <w:sz w:val="24"/>
          <w:szCs w:val="24"/>
          <w:rtl w:val="0"/>
          <w:lang w:val="en-US"/>
        </w:rPr>
        <w:t>Contents</w:t>
      </w:r>
    </w:p>
    <w:p>
      <w:pPr>
        <w:pStyle w:val="Body"/>
        <w:spacing w:line="480" w:lineRule="auto"/>
      </w:pPr>
      <w:r>
        <w:rPr>
          <w:sz w:val="24"/>
          <w:szCs w:val="24"/>
        </w:rPr>
        <w:fldChar w:fldCharType="begin" w:fldLock="0"/>
      </w:r>
      <w:r>
        <w:rPr>
          <w:sz w:val="24"/>
          <w:szCs w:val="24"/>
        </w:rPr>
        <w:instrText xml:space="preserve"> TOC \o 2-3 </w:instrText>
      </w:r>
      <w:r>
        <w:rPr>
          <w:sz w:val="24"/>
          <w:szCs w:val="24"/>
        </w:rPr>
        <w:fldChar w:fldCharType="separate" w:fldLock="0"/>
      </w:r>
    </w:p>
    <w:p>
      <w:pPr>
        <w:pStyle w:val="TOC 2"/>
      </w:pPr>
      <w:r>
        <w:rPr>
          <w:rtl w:val="0"/>
        </w:rPr>
        <w:t>Introduction</w:t>
        <w:tab/>
      </w:r>
      <w:r>
        <w:rPr/>
        <w:fldChar w:fldCharType="begin" w:fldLock="0"/>
      </w:r>
      <w:r>
        <w:instrText xml:space="preserve"> PAGEREF _Toc \h </w:instrText>
      </w:r>
      <w:r>
        <w:rPr/>
        <w:fldChar w:fldCharType="separate" w:fldLock="0"/>
      </w:r>
      <w:r>
        <w:rPr>
          <w:rtl w:val="0"/>
        </w:rPr>
        <w:t>3</w:t>
      </w:r>
      <w:r>
        <w:rPr/>
        <w:fldChar w:fldCharType="end" w:fldLock="0"/>
      </w:r>
    </w:p>
    <w:p>
      <w:pPr>
        <w:pStyle w:val="TOC 2"/>
      </w:pPr>
      <w:r>
        <w:rPr>
          <w:rtl w:val="0"/>
        </w:rPr>
        <w:t>Harriot Hotel’s Approach to business amid Covid-19</w:t>
        <w:tab/>
      </w:r>
      <w:r>
        <w:rPr/>
        <w:fldChar w:fldCharType="begin" w:fldLock="0"/>
      </w:r>
      <w:r>
        <w:instrText xml:space="preserve"> PAGEREF _Toc1 \h </w:instrText>
      </w:r>
      <w:r>
        <w:rPr/>
        <w:fldChar w:fldCharType="separate" w:fldLock="0"/>
      </w:r>
      <w:r>
        <w:rPr>
          <w:rtl w:val="0"/>
        </w:rPr>
        <w:t>3</w:t>
      </w:r>
      <w:r>
        <w:rPr/>
        <w:fldChar w:fldCharType="end" w:fldLock="0"/>
      </w:r>
    </w:p>
    <w:p>
      <w:pPr>
        <w:pStyle w:val="TOC 3"/>
      </w:pPr>
      <w:r>
        <w:rPr>
          <w:rtl w:val="0"/>
        </w:rPr>
        <w:t>Supply and Demand in the Hotel Industry</w:t>
        <w:tab/>
      </w:r>
      <w:r>
        <w:rPr/>
        <w:fldChar w:fldCharType="begin" w:fldLock="0"/>
      </w:r>
      <w:r>
        <w:instrText xml:space="preserve"> PAGEREF _Toc2 \h </w:instrText>
      </w:r>
      <w:r>
        <w:rPr/>
        <w:fldChar w:fldCharType="separate" w:fldLock="0"/>
      </w:r>
      <w:r>
        <w:rPr>
          <w:rtl w:val="0"/>
        </w:rPr>
        <w:t>4</w:t>
      </w:r>
      <w:r>
        <w:rPr/>
        <w:fldChar w:fldCharType="end" w:fldLock="0"/>
      </w:r>
    </w:p>
    <w:p>
      <w:pPr>
        <w:pStyle w:val="TOC 2"/>
      </w:pPr>
      <w:r>
        <w:rPr>
          <w:rtl w:val="0"/>
        </w:rPr>
        <w:t>Employee Wages</w:t>
        <w:tab/>
      </w:r>
      <w:r>
        <w:rPr/>
        <w:fldChar w:fldCharType="begin" w:fldLock="0"/>
      </w:r>
      <w:r>
        <w:instrText xml:space="preserve"> PAGEREF _Toc3 \h </w:instrText>
      </w:r>
      <w:r>
        <w:rPr/>
        <w:fldChar w:fldCharType="separate" w:fldLock="0"/>
      </w:r>
      <w:r>
        <w:rPr>
          <w:rtl w:val="0"/>
        </w:rPr>
        <w:t>6</w:t>
      </w:r>
      <w:r>
        <w:rPr/>
        <w:fldChar w:fldCharType="end" w:fldLock="0"/>
      </w:r>
    </w:p>
    <w:p>
      <w:pPr>
        <w:pStyle w:val="TOC 2"/>
      </w:pPr>
      <w:r>
        <w:rPr>
          <w:rtl w:val="0"/>
        </w:rPr>
        <w:t>Interest on Loans</w:t>
        <w:tab/>
      </w:r>
      <w:r>
        <w:rPr/>
        <w:fldChar w:fldCharType="begin" w:fldLock="0"/>
      </w:r>
      <w:r>
        <w:instrText xml:space="preserve"> PAGEREF _Toc4 \h </w:instrText>
      </w:r>
      <w:r>
        <w:rPr/>
        <w:fldChar w:fldCharType="separate" w:fldLock="0"/>
      </w:r>
      <w:r>
        <w:rPr>
          <w:rtl w:val="0"/>
        </w:rPr>
        <w:t>7</w:t>
      </w:r>
      <w:r>
        <w:rPr/>
        <w:fldChar w:fldCharType="end" w:fldLock="0"/>
      </w:r>
    </w:p>
    <w:p>
      <w:pPr>
        <w:pStyle w:val="TOC 2"/>
      </w:pPr>
      <w:r>
        <w:rPr>
          <w:rtl w:val="0"/>
        </w:rPr>
        <w:t>Advertising</w:t>
        <w:tab/>
      </w:r>
      <w:r>
        <w:rPr/>
        <w:fldChar w:fldCharType="begin" w:fldLock="0"/>
      </w:r>
      <w:r>
        <w:instrText xml:space="preserve"> PAGEREF _Toc5 \h </w:instrText>
      </w:r>
      <w:r>
        <w:rPr/>
        <w:fldChar w:fldCharType="separate" w:fldLock="0"/>
      </w:r>
      <w:r>
        <w:rPr>
          <w:rtl w:val="0"/>
        </w:rPr>
        <w:t>7</w:t>
      </w:r>
      <w:r>
        <w:rPr/>
        <w:fldChar w:fldCharType="end" w:fldLock="0"/>
      </w:r>
    </w:p>
    <w:p>
      <w:pPr>
        <w:pStyle w:val="TOC 2"/>
      </w:pPr>
      <w:r>
        <w:rPr>
          <w:rtl w:val="0"/>
        </w:rPr>
        <w:t>Stationeries</w:t>
        <w:tab/>
      </w:r>
      <w:r>
        <w:rPr/>
        <w:fldChar w:fldCharType="begin" w:fldLock="0"/>
      </w:r>
      <w:r>
        <w:instrText xml:space="preserve"> PAGEREF _Toc6 \h </w:instrText>
      </w:r>
      <w:r>
        <w:rPr/>
        <w:fldChar w:fldCharType="separate" w:fldLock="0"/>
      </w:r>
      <w:r>
        <w:rPr>
          <w:rtl w:val="0"/>
        </w:rPr>
        <w:t>8</w:t>
      </w:r>
      <w:r>
        <w:rPr/>
        <w:fldChar w:fldCharType="end" w:fldLock="0"/>
      </w:r>
    </w:p>
    <w:p>
      <w:pPr>
        <w:pStyle w:val="TOC 2"/>
      </w:pPr>
      <w:r>
        <w:rPr>
          <w:rtl w:val="0"/>
        </w:rPr>
        <w:t>Conclusion</w:t>
        <w:tab/>
      </w:r>
      <w:r>
        <w:rPr/>
        <w:fldChar w:fldCharType="begin" w:fldLock="0"/>
      </w:r>
      <w:r>
        <w:instrText xml:space="preserve"> PAGEREF _Toc7 \h </w:instrText>
      </w:r>
      <w:r>
        <w:rPr/>
        <w:fldChar w:fldCharType="separate" w:fldLock="0"/>
      </w:r>
      <w:r>
        <w:rPr>
          <w:rtl w:val="0"/>
        </w:rPr>
        <w:t>8</w:t>
      </w:r>
      <w:r>
        <w:rPr/>
        <w:fldChar w:fldCharType="end" w:fldLock="0"/>
      </w:r>
    </w:p>
    <w:p>
      <w:pPr>
        <w:pStyle w:val="TOC 2"/>
      </w:pPr>
      <w:r>
        <w:rPr>
          <w:rtl w:val="0"/>
        </w:rPr>
        <w:t>References</w:t>
        <w:tab/>
      </w:r>
      <w:r>
        <w:rPr/>
        <w:fldChar w:fldCharType="begin" w:fldLock="0"/>
      </w:r>
      <w:r>
        <w:instrText xml:space="preserve"> PAGEREF _Toc8 \h </w:instrText>
      </w:r>
      <w:r>
        <w:rPr/>
        <w:fldChar w:fldCharType="separate" w:fldLock="0"/>
      </w:r>
      <w:r>
        <w:rPr>
          <w:rtl w:val="0"/>
        </w:rPr>
        <w:t>10</w:t>
      </w:r>
      <w:r>
        <w:rPr/>
        <w:fldChar w:fldCharType="end" w:fldLock="0"/>
      </w:r>
    </w:p>
    <w:p>
      <w:pPr>
        <w:spacing w:line="480" w:lineRule="auto"/>
      </w:pPr>
      <w:r>
        <w:rPr>
          <w:sz w:val="24"/>
          <w:szCs w:val="24"/>
        </w:rPr>
        <w:fldChar w:fldCharType="end" w:fldLock="0"/>
      </w:r>
    </w:p>
    <w:p>
      <w:pPr>
        <w:pStyle w:val="Body A"/>
        <w:spacing w:line="480" w:lineRule="auto"/>
        <w:rPr>
          <w:rFonts w:ascii="Times New Roman" w:cs="Times New Roman" w:hAnsi="Times New Roman" w:eastAsia="Times New Roman"/>
          <w:sz w:val="24"/>
          <w:szCs w:val="24"/>
        </w:rPr>
      </w:pPr>
    </w:p>
    <w:p>
      <w:pPr>
        <w:pStyle w:val="Body A"/>
        <w:spacing w:line="480" w:lineRule="auto"/>
      </w:pPr>
      <w:r>
        <w:rPr>
          <w:rFonts w:ascii="Arial Unicode MS" w:cs="Arial Unicode MS" w:hAnsi="Arial Unicode MS" w:eastAsia="Arial Unicode MS"/>
          <w:b w:val="0"/>
          <w:bCs w:val="0"/>
          <w:i w:val="0"/>
          <w:iCs w:val="0"/>
          <w:sz w:val="24"/>
          <w:szCs w:val="24"/>
        </w:rPr>
        <w:br w:type="page"/>
      </w:r>
    </w:p>
    <w:p>
      <w:pPr>
        <w:pStyle w:val="Heading 2"/>
        <w:spacing w:line="480" w:lineRule="auto"/>
        <w:rPr>
          <w:rFonts w:ascii="Times New Roman" w:cs="Times New Roman" w:hAnsi="Times New Roman" w:eastAsia="Times New Roman"/>
          <w:sz w:val="24"/>
          <w:szCs w:val="24"/>
        </w:rPr>
      </w:pPr>
      <w:bookmarkStart w:name="_Toc" w:id="0"/>
      <w:r>
        <w:rPr>
          <w:rFonts w:ascii="Times New Roman" w:hAnsi="Times New Roman"/>
          <w:sz w:val="24"/>
          <w:szCs w:val="24"/>
          <w:rtl w:val="0"/>
          <w:lang w:val="fr-FR"/>
        </w:rPr>
        <w:t>Introduction</w:t>
      </w:r>
      <w:bookmarkEnd w:id="0"/>
    </w:p>
    <w:p>
      <w:pPr>
        <w:pStyle w:val="Body A"/>
        <w:spacing w:line="480" w:lineRule="auto"/>
        <w:ind w:firstLine="720"/>
        <w:rPr>
          <w:rFonts w:ascii="Times New Roman" w:cs="Times New Roman" w:hAnsi="Times New Roman" w:eastAsia="Times New Roman"/>
          <w:sz w:val="24"/>
          <w:szCs w:val="24"/>
        </w:rPr>
      </w:pPr>
      <w:r>
        <w:rPr>
          <w:rFonts w:ascii="Times New Roman" w:hAnsi="Times New Roman"/>
          <w:sz w:val="24"/>
          <w:szCs w:val="24"/>
          <w:rtl w:val="0"/>
          <w:lang w:val="en-US"/>
        </w:rPr>
        <w:t>Management accounting refers to the process of analysing costs in business and the operations that are involved in preparing internal financial reports, records, and accounts in order to help the managers in making decisions aimed at achieving the goals of the business (Raiborn, Kinney and Barfield, 2020). Management accounting is important because it helps managers make sense of financial and costing data as well as in translation of that data into meaningful patterns and trends that can be used to steer the organisation towards its set goals. There are various types of cost accounting in management, which include direct cost accounting, indirect cost accounting, fixed cost accounting, and variable cost accounting (Raiborn, Kinney and Barfield, 2020). Direct cost accounting involves the management of costs involved in the production of goods or services from raw materials while indirect cost accounting involves the management of costs that are not directly related to the production of a good or a service. Fixed cost accounting involves the management of costs that do not vary with the number of goods or service produces while variable cost accounting involves managing costs that fluctuate according to the level of production (Raiborn, Kinney and Barfield, 2020).</w:t>
      </w:r>
    </w:p>
    <w:p>
      <w:pPr>
        <w:pStyle w:val="Heading 2"/>
        <w:spacing w:line="480" w:lineRule="auto"/>
        <w:rPr>
          <w:rFonts w:ascii="Times New Roman" w:cs="Times New Roman" w:hAnsi="Times New Roman" w:eastAsia="Times New Roman"/>
          <w:sz w:val="24"/>
          <w:szCs w:val="24"/>
        </w:rPr>
      </w:pPr>
      <w:bookmarkStart w:name="_Toc1" w:id="1"/>
      <w:r>
        <w:rPr>
          <w:rFonts w:ascii="Times New Roman" w:hAnsi="Times New Roman"/>
          <w:sz w:val="24"/>
          <w:szCs w:val="24"/>
          <w:rtl w:val="0"/>
          <w:lang w:val="en-US"/>
        </w:rPr>
        <w:t>Harriot Hotel</w:t>
      </w:r>
      <w:r>
        <w:rPr>
          <w:rFonts w:ascii="Times New Roman" w:hAnsi="Times New Roman" w:hint="default"/>
          <w:sz w:val="24"/>
          <w:szCs w:val="24"/>
          <w:rtl w:val="0"/>
          <w:lang w:val="en-US"/>
        </w:rPr>
        <w:t>’</w:t>
      </w:r>
      <w:r>
        <w:rPr>
          <w:rFonts w:ascii="Times New Roman" w:hAnsi="Times New Roman"/>
          <w:sz w:val="24"/>
          <w:szCs w:val="24"/>
          <w:rtl w:val="0"/>
          <w:lang w:val="en-US"/>
        </w:rPr>
        <w:t>s Approach to business amid Covid-19</w:t>
      </w:r>
      <w:bookmarkEnd w:id="1"/>
    </w:p>
    <w:p>
      <w:pPr>
        <w:pStyle w:val="Body A"/>
        <w:spacing w:line="480" w:lineRule="auto"/>
        <w:ind w:firstLine="720"/>
        <w:rPr>
          <w:rFonts w:ascii="Times New Roman" w:cs="Times New Roman" w:hAnsi="Times New Roman" w:eastAsia="Times New Roman"/>
          <w:sz w:val="24"/>
          <w:szCs w:val="24"/>
        </w:rPr>
      </w:pPr>
      <w:r>
        <w:rPr>
          <w:rFonts w:ascii="Times New Roman" w:hAnsi="Times New Roman"/>
          <w:sz w:val="24"/>
          <w:szCs w:val="24"/>
          <w:rtl w:val="0"/>
          <w:lang w:val="en-US"/>
        </w:rPr>
        <w:t>Like in any commercial organisation, the management of revenues and costs in Harriot Hotel is based on the principle of demand-based pricing. The last year has tested the businesses that depend on this principle to the limit since the ongoing global health crisis has decimated demand for many businesses</w:t>
      </w:r>
      <w:r>
        <w:rPr>
          <w:rFonts w:ascii="Times New Roman" w:hAnsi="Times New Roman" w:hint="default"/>
          <w:sz w:val="24"/>
          <w:szCs w:val="24"/>
          <w:rtl w:val="0"/>
          <w:lang w:val="en-US"/>
        </w:rPr>
        <w:t xml:space="preserve">’ </w:t>
      </w:r>
      <w:r>
        <w:rPr>
          <w:rFonts w:ascii="Times New Roman" w:hAnsi="Times New Roman"/>
          <w:sz w:val="24"/>
          <w:szCs w:val="24"/>
          <w:rtl w:val="0"/>
          <w:lang w:val="en-US"/>
        </w:rPr>
        <w:t xml:space="preserve">products and services (Kaushal and Srivastava, 2021). There are many reasons why demand has plummeted. One of these reasons is that many people have lost their sources of income while others are not making nearly as much as they used to do before the pandemic broke out (Gursoy and Chi, 2020). The diminishing demand has caused hotel managers, as well as other business managers, to rethink their approach to attracting and serving their customers. Significantly, the pandemic has made businesses to treat almost all consumers as price-sensitive customers, which is one thing that has largely exposed the fragile hotel and tourism industries to the effects of the pandemic (Kaushal and Srivastava, 2021). </w:t>
      </w:r>
    </w:p>
    <w:p>
      <w:pPr>
        <w:pStyle w:val="Body A"/>
        <w:spacing w:line="480" w:lineRule="auto"/>
        <w:ind w:firstLine="720"/>
        <w:rPr>
          <w:rFonts w:ascii="Times New Roman" w:cs="Times New Roman" w:hAnsi="Times New Roman" w:eastAsia="Times New Roman"/>
          <w:sz w:val="24"/>
          <w:szCs w:val="24"/>
        </w:rPr>
      </w:pPr>
      <w:r>
        <w:rPr>
          <w:rFonts w:ascii="Times New Roman" w:hAnsi="Times New Roman"/>
          <w:sz w:val="24"/>
          <w:szCs w:val="24"/>
          <w:rtl w:val="0"/>
          <w:lang w:val="en-US"/>
        </w:rPr>
        <w:t>Following health guidelines makes sure that the premises are safe places for then individuals in there, be they employees, executives, or customers and also helps the businesses remain operational. However, these guidelines significantly reduce the capacity of these premises at any single time. For organisations that are demand-driven in their operations, like all hotels are, this has been a significant factor that determines whether they succeed or they are forced out of business. Crucially, this has been a dilemmatic situation for hotel managers because with reduced demand, prices tend to rise (del Rio-Chanona et al., 2020). While the prices increase in response to demand shifts according to the law of supply and demand, the economic situation caused by the disease also forces the businesses to reconsider how far they hike their prices because the pandemic has also affected the consumers</w:t>
      </w:r>
      <w:r>
        <w:rPr>
          <w:rFonts w:ascii="Times New Roman" w:hAnsi="Times New Roman" w:hint="default"/>
          <w:sz w:val="24"/>
          <w:szCs w:val="24"/>
          <w:rtl w:val="0"/>
          <w:lang w:val="en-US"/>
        </w:rPr>
        <w:t xml:space="preserve">’ </w:t>
      </w:r>
      <w:r>
        <w:rPr>
          <w:rFonts w:ascii="Times New Roman" w:hAnsi="Times New Roman"/>
          <w:sz w:val="24"/>
          <w:szCs w:val="24"/>
          <w:rtl w:val="0"/>
          <w:lang w:val="en-US"/>
        </w:rPr>
        <w:t xml:space="preserve">disposable incomes, making it less likely that they will afford pricier goods and services. Furthermore, hotels may not necessarily strike many consumers as essential services, and thus, they may have to fall down the pecking order in terms of priority by the consumers (del Rio-Chanona et al., 2020). </w:t>
      </w:r>
    </w:p>
    <w:p>
      <w:pPr>
        <w:pStyle w:val="Heading 3"/>
        <w:spacing w:line="480" w:lineRule="auto"/>
        <w:rPr>
          <w:rFonts w:ascii="Times New Roman" w:cs="Times New Roman" w:hAnsi="Times New Roman" w:eastAsia="Times New Roman"/>
        </w:rPr>
      </w:pPr>
      <w:bookmarkStart w:name="_Toc2" w:id="2"/>
      <w:r>
        <w:rPr>
          <w:rFonts w:ascii="Times New Roman" w:hAnsi="Times New Roman"/>
          <w:rtl w:val="0"/>
          <w:lang w:val="en-US"/>
        </w:rPr>
        <w:t xml:space="preserve">Supply and Demand in the Hotel Industry </w:t>
      </w:r>
      <w:bookmarkEnd w:id="2"/>
    </w:p>
    <w:p>
      <w:pPr>
        <w:pStyle w:val="Body A"/>
        <w:spacing w:line="480" w:lineRule="auto"/>
        <w:ind w:firstLine="720"/>
        <w:rPr>
          <w:rFonts w:ascii="Times New Roman" w:cs="Times New Roman" w:hAnsi="Times New Roman" w:eastAsia="Times New Roman"/>
          <w:sz w:val="24"/>
          <w:szCs w:val="24"/>
        </w:rPr>
      </w:pPr>
      <w:r>
        <w:rPr>
          <w:rFonts w:ascii="Times New Roman" w:hAnsi="Times New Roman"/>
          <w:sz w:val="24"/>
          <w:szCs w:val="24"/>
          <w:rtl w:val="0"/>
          <w:lang w:val="en-US"/>
        </w:rPr>
        <w:t xml:space="preserve">Faced with a situation where demand and supply have been affected and the prices may not be easily increased, many hotels have had to close down entirely or partially. Those that remain in operation have to come up with strategies to attract more customers with the hope of the market situation getting better in the near future (Filimonau, Derqui and Matute, 2020). In most cases, the businesses have experienced the need to change their target customer base since the travel restrictions mean that most people will remain within their local areas until they are able to travel again. In the UK, current Covid-19 restrictions state that members of the public must stay home, or, for those in Wales, they must stay local. Traveling abroad is prohibited and, as a result, hotels can only serve the people who are living within the immediate environs, or serve members of the health care fraternity (Guillet and Chu, 2021). </w:t>
      </w:r>
    </w:p>
    <w:p>
      <w:pPr>
        <w:pStyle w:val="Body A"/>
        <w:spacing w:line="480" w:lineRule="auto"/>
        <w:ind w:firstLine="720"/>
        <w:rPr>
          <w:rFonts w:ascii="Times New Roman" w:cs="Times New Roman" w:hAnsi="Times New Roman" w:eastAsia="Times New Roman"/>
          <w:sz w:val="24"/>
          <w:szCs w:val="24"/>
        </w:rPr>
      </w:pPr>
      <w:r>
        <w:rPr>
          <w:rFonts w:ascii="Times New Roman" w:hAnsi="Times New Roman"/>
          <w:sz w:val="24"/>
          <w:szCs w:val="24"/>
          <w:rtl w:val="0"/>
          <w:lang w:val="en-US"/>
        </w:rPr>
        <w:t>The prevailing economic conditions have made financial assistance an invaluable factor of survival for hotels and restaurants. There are multiple sources of this financial support, which has helped many businesses remain afloat during the pandemic. The UK government has helped many of these businesses through the Restart Grant Scheme, and there are multiple other financiers who have come to the businesses</w:t>
      </w:r>
      <w:r>
        <w:rPr>
          <w:rFonts w:ascii="Times New Roman" w:hAnsi="Times New Roman" w:hint="default"/>
          <w:sz w:val="24"/>
          <w:szCs w:val="24"/>
          <w:rtl w:val="0"/>
          <w:lang w:val="en-US"/>
        </w:rPr>
        <w:t xml:space="preserve">’ </w:t>
      </w:r>
      <w:r>
        <w:rPr>
          <w:rFonts w:ascii="Times New Roman" w:hAnsi="Times New Roman"/>
          <w:sz w:val="24"/>
          <w:szCs w:val="24"/>
          <w:rtl w:val="0"/>
          <w:lang w:val="en-US"/>
        </w:rPr>
        <w:t>aid when it was most needed (Ozili and Arun, 2020). The management of Harriot Hotel in the United Kingdom face the same situations that other hotels face, and that means financial assistance from external sources is a necessity for survival (Davahli et al., 2020). For this reason, the recommendation would be for the company to retain the current portion of its revenue that it uses to service the loans as interests. The company</w:t>
      </w:r>
      <w:r>
        <w:rPr>
          <w:rFonts w:ascii="Times New Roman" w:hAnsi="Times New Roman" w:hint="default"/>
          <w:sz w:val="24"/>
          <w:szCs w:val="24"/>
          <w:rtl w:val="0"/>
          <w:lang w:val="en-US"/>
        </w:rPr>
        <w:t>’</w:t>
      </w:r>
      <w:r>
        <w:rPr>
          <w:rFonts w:ascii="Times New Roman" w:hAnsi="Times New Roman"/>
          <w:sz w:val="24"/>
          <w:szCs w:val="24"/>
          <w:rtl w:val="0"/>
          <w:lang w:val="en-US"/>
        </w:rPr>
        <w:t>s overall strategy depends on loans from global financiers to enable its strategy of expansion. In markets like China where the economy opened much earlier than the rest of the world, expansion can be prioritised with the goal of taking more branches closer to the people who are still not capable of freely traveling as was the case before the pandemic.</w:t>
      </w:r>
    </w:p>
    <w:p>
      <w:pPr>
        <w:pStyle w:val="Body A"/>
        <w:spacing w:line="480" w:lineRule="auto"/>
        <w:ind w:firstLine="720"/>
        <w:rPr>
          <w:rFonts w:ascii="Times New Roman" w:cs="Times New Roman" w:hAnsi="Times New Roman" w:eastAsia="Times New Roman"/>
          <w:sz w:val="24"/>
          <w:szCs w:val="24"/>
        </w:rPr>
      </w:pPr>
      <w:r>
        <w:rPr>
          <w:rFonts w:ascii="Times New Roman" w:hAnsi="Times New Roman"/>
          <w:sz w:val="24"/>
          <w:szCs w:val="24"/>
          <w:rtl w:val="0"/>
          <w:lang w:val="en-US"/>
        </w:rPr>
        <w:t xml:space="preserve">In the United Kingdom, such an expansionist strategy would not be possible. The hotel cannot embark on such a strategy while it is currently serving only a fraction of its target number of customers. On the contrary, the company should focus on attracting business from the local community through a number of approaches (Hao et al., 2020). First of all, the company requires to show support to the community by playing its role as an employer as it would do in the absence of the pandemic. While business is difficult, and the demand is low for its products and services, the company needs to find ways to retain its staff. The community needs to have its members retaining their sources of livelihood, and retrenchments are a great concern as they cause the loss of income on which many families depend (Hao et al., 2020). </w:t>
      </w:r>
    </w:p>
    <w:p>
      <w:pPr>
        <w:pStyle w:val="Heading 2"/>
        <w:spacing w:line="480" w:lineRule="auto"/>
        <w:rPr>
          <w:rFonts w:ascii="Times New Roman" w:cs="Times New Roman" w:hAnsi="Times New Roman" w:eastAsia="Times New Roman"/>
          <w:sz w:val="24"/>
          <w:szCs w:val="24"/>
        </w:rPr>
      </w:pPr>
      <w:bookmarkStart w:name="_Toc3" w:id="3"/>
      <w:r>
        <w:rPr>
          <w:rFonts w:ascii="Times New Roman" w:hAnsi="Times New Roman"/>
          <w:sz w:val="24"/>
          <w:szCs w:val="24"/>
          <w:rtl w:val="0"/>
          <w:lang w:val="en-US"/>
        </w:rPr>
        <w:t>Employee Wages</w:t>
      </w:r>
      <w:bookmarkEnd w:id="3"/>
    </w:p>
    <w:p>
      <w:pPr>
        <w:pStyle w:val="Body A"/>
        <w:spacing w:line="480" w:lineRule="auto"/>
        <w:ind w:firstLine="720"/>
        <w:rPr>
          <w:rFonts w:ascii="Times New Roman" w:cs="Times New Roman" w:hAnsi="Times New Roman" w:eastAsia="Times New Roman"/>
          <w:sz w:val="24"/>
          <w:szCs w:val="24"/>
        </w:rPr>
      </w:pPr>
      <w:r>
        <w:rPr>
          <w:rFonts w:ascii="Times New Roman" w:hAnsi="Times New Roman"/>
          <w:sz w:val="24"/>
          <w:szCs w:val="24"/>
          <w:rtl w:val="0"/>
          <w:lang w:val="en-US"/>
        </w:rPr>
        <w:t>The company should retain the portion of its income dedicated for employee wages. To retain their employees, the management of Harriot Hotel requires to have a different outlook of its products and services delivery. Diversifying the company</w:t>
      </w:r>
      <w:r>
        <w:rPr>
          <w:rFonts w:ascii="Times New Roman" w:hAnsi="Times New Roman" w:hint="default"/>
          <w:sz w:val="24"/>
          <w:szCs w:val="24"/>
          <w:rtl w:val="0"/>
          <w:lang w:val="en-US"/>
        </w:rPr>
        <w:t>’</w:t>
      </w:r>
      <w:r>
        <w:rPr>
          <w:rFonts w:ascii="Times New Roman" w:hAnsi="Times New Roman"/>
          <w:sz w:val="24"/>
          <w:szCs w:val="24"/>
          <w:rtl w:val="0"/>
          <w:lang w:val="en-US"/>
        </w:rPr>
        <w:t>s portfolio is one of these approaches. Since the company cannot host many people as traveling is restricted, the focus of its business should be primarily on production of the products it serves in the restaurants. Devising an online ordering and home delivery service would be a boost for the company as that would ensure that it remains operational and also it retains its workforce (Chinazzi et al., 2020). This move would endear the brand to the local community as it would be supporting them financially at a time when many other businesses are incapable of that support. Therefore, the company</w:t>
      </w:r>
      <w:r>
        <w:rPr>
          <w:rFonts w:ascii="Times New Roman" w:hAnsi="Times New Roman" w:hint="default"/>
          <w:sz w:val="24"/>
          <w:szCs w:val="24"/>
          <w:rtl w:val="0"/>
          <w:lang w:val="en-US"/>
        </w:rPr>
        <w:t>’</w:t>
      </w:r>
      <w:r>
        <w:rPr>
          <w:rFonts w:ascii="Times New Roman" w:hAnsi="Times New Roman"/>
          <w:sz w:val="24"/>
          <w:szCs w:val="24"/>
          <w:rtl w:val="0"/>
          <w:lang w:val="en-US"/>
        </w:rPr>
        <w:t xml:space="preserve">s portion of revenue that is set aside for employee wages should not be reduced. </w:t>
      </w:r>
    </w:p>
    <w:p>
      <w:pPr>
        <w:pStyle w:val="Heading 2"/>
        <w:spacing w:line="480" w:lineRule="auto"/>
        <w:rPr>
          <w:rFonts w:ascii="Times New Roman" w:cs="Times New Roman" w:hAnsi="Times New Roman" w:eastAsia="Times New Roman"/>
          <w:sz w:val="24"/>
          <w:szCs w:val="24"/>
        </w:rPr>
      </w:pPr>
      <w:bookmarkStart w:name="_Toc4" w:id="4"/>
      <w:r>
        <w:rPr>
          <w:rFonts w:ascii="Times New Roman" w:hAnsi="Times New Roman"/>
          <w:sz w:val="24"/>
          <w:szCs w:val="24"/>
          <w:rtl w:val="0"/>
          <w:lang w:val="en-US"/>
        </w:rPr>
        <w:t xml:space="preserve">Interest on Loans </w:t>
      </w:r>
      <w:bookmarkEnd w:id="4"/>
    </w:p>
    <w:p>
      <w:pPr>
        <w:pStyle w:val="Body A"/>
        <w:spacing w:line="480" w:lineRule="auto"/>
        <w:ind w:firstLine="720"/>
        <w:rPr>
          <w:rFonts w:ascii="Times New Roman" w:cs="Times New Roman" w:hAnsi="Times New Roman" w:eastAsia="Times New Roman"/>
          <w:sz w:val="24"/>
          <w:szCs w:val="24"/>
        </w:rPr>
      </w:pPr>
      <w:r>
        <w:rPr>
          <w:rFonts w:ascii="Times New Roman" w:hAnsi="Times New Roman"/>
          <w:sz w:val="24"/>
          <w:szCs w:val="24"/>
          <w:rtl w:val="0"/>
          <w:lang w:val="en-US"/>
        </w:rPr>
        <w:t>The amount spent on loan interest should also be retained since the company requires the finances from external financial institutions to execute its strategies (Chinazzi et al., 2020). Executing a strategy to produce foodstuff and deliver to the customers</w:t>
      </w:r>
      <w:r>
        <w:rPr>
          <w:rFonts w:ascii="Times New Roman" w:hAnsi="Times New Roman" w:hint="default"/>
          <w:sz w:val="24"/>
          <w:szCs w:val="24"/>
          <w:rtl w:val="0"/>
          <w:lang w:val="en-US"/>
        </w:rPr>
        <w:t xml:space="preserve">’ </w:t>
      </w:r>
      <w:r>
        <w:rPr>
          <w:rFonts w:ascii="Times New Roman" w:hAnsi="Times New Roman"/>
          <w:sz w:val="24"/>
          <w:szCs w:val="24"/>
          <w:rtl w:val="0"/>
          <w:lang w:val="en-US"/>
        </w:rPr>
        <w:t xml:space="preserve">homes requires the company to invest on technology that would enable the service. The company should acquire online commerce software that is needed to enhance online activity, which would go a long way to make the company operational while limiting human contact between its staff and customers, thus maintain the health and safety of all stakeholders involved (Nicola et al., 2020). Such an acquisition would need significant marketing to make the public aware of the services and the products they can get from the company. </w:t>
      </w:r>
    </w:p>
    <w:p>
      <w:pPr>
        <w:pStyle w:val="Heading 2"/>
        <w:spacing w:line="480" w:lineRule="auto"/>
        <w:rPr>
          <w:rFonts w:ascii="Times New Roman" w:cs="Times New Roman" w:hAnsi="Times New Roman" w:eastAsia="Times New Roman"/>
          <w:sz w:val="24"/>
          <w:szCs w:val="24"/>
        </w:rPr>
      </w:pPr>
      <w:bookmarkStart w:name="_Toc5" w:id="5"/>
      <w:r>
        <w:rPr>
          <w:rFonts w:ascii="Times New Roman" w:hAnsi="Times New Roman"/>
          <w:sz w:val="24"/>
          <w:szCs w:val="24"/>
          <w:rtl w:val="0"/>
          <w:lang w:val="en-US"/>
        </w:rPr>
        <w:t>Advertising</w:t>
      </w:r>
      <w:bookmarkEnd w:id="5"/>
    </w:p>
    <w:p>
      <w:pPr>
        <w:pStyle w:val="Body A"/>
        <w:spacing w:line="480" w:lineRule="auto"/>
        <w:ind w:firstLine="720"/>
        <w:rPr>
          <w:rFonts w:ascii="Times New Roman" w:cs="Times New Roman" w:hAnsi="Times New Roman" w:eastAsia="Times New Roman"/>
          <w:sz w:val="24"/>
          <w:szCs w:val="24"/>
        </w:rPr>
      </w:pPr>
      <w:r>
        <w:rPr>
          <w:rFonts w:ascii="Times New Roman" w:hAnsi="Times New Roman"/>
          <w:sz w:val="24"/>
          <w:szCs w:val="24"/>
          <w:rtl w:val="0"/>
          <w:lang w:val="en-US"/>
        </w:rPr>
        <w:t>The company should increase the amount of money set aside for advertisements. Similarly, the company should also increase the portion of its revenue that is set aside for customer discounts. The logic behind this recommendation is that since the company is approaching the market with a new product and service, the company should approach pricing with penetration in the market as the main goal. The pricing adopted should therefore entail customer discounts and, therefore, increase the chances of new customers ordering for foods from the company</w:t>
      </w:r>
      <w:r>
        <w:rPr>
          <w:rFonts w:ascii="Times New Roman" w:hAnsi="Times New Roman" w:hint="default"/>
          <w:sz w:val="24"/>
          <w:szCs w:val="24"/>
          <w:rtl w:val="0"/>
          <w:lang w:val="en-US"/>
        </w:rPr>
        <w:t>’</w:t>
      </w:r>
      <w:r>
        <w:rPr>
          <w:rFonts w:ascii="Times New Roman" w:hAnsi="Times New Roman"/>
          <w:sz w:val="24"/>
          <w:szCs w:val="24"/>
          <w:rtl w:val="0"/>
          <w:lang w:val="en-US"/>
        </w:rPr>
        <w:t>s branches (Whang, 2020). These discounts would also include the company providing occasional free meals for families or individuals who most need such help. That would cement the company</w:t>
      </w:r>
      <w:r>
        <w:rPr>
          <w:rFonts w:ascii="Times New Roman" w:hAnsi="Times New Roman" w:hint="default"/>
          <w:sz w:val="24"/>
          <w:szCs w:val="24"/>
          <w:rtl w:val="0"/>
          <w:lang w:val="en-US"/>
        </w:rPr>
        <w:t>’</w:t>
      </w:r>
      <w:r>
        <w:rPr>
          <w:rFonts w:ascii="Times New Roman" w:hAnsi="Times New Roman"/>
          <w:sz w:val="24"/>
          <w:szCs w:val="24"/>
          <w:rtl w:val="0"/>
          <w:lang w:val="en-US"/>
        </w:rPr>
        <w:t>s image in the community and, in the long term, that would be to the brand</w:t>
      </w:r>
      <w:r>
        <w:rPr>
          <w:rFonts w:ascii="Times New Roman" w:hAnsi="Times New Roman" w:hint="default"/>
          <w:sz w:val="24"/>
          <w:szCs w:val="24"/>
          <w:rtl w:val="0"/>
          <w:lang w:val="en-US"/>
        </w:rPr>
        <w:t>’</w:t>
      </w:r>
      <w:r>
        <w:rPr>
          <w:rFonts w:ascii="Times New Roman" w:hAnsi="Times New Roman"/>
          <w:sz w:val="24"/>
          <w:szCs w:val="24"/>
          <w:rtl w:val="0"/>
          <w:lang w:val="en-US"/>
        </w:rPr>
        <w:t xml:space="preserve">s advantage when the travel restrictions get lifted. </w:t>
      </w:r>
    </w:p>
    <w:p>
      <w:pPr>
        <w:pStyle w:val="Heading 2"/>
        <w:spacing w:line="480" w:lineRule="auto"/>
        <w:rPr>
          <w:rFonts w:ascii="Times New Roman" w:cs="Times New Roman" w:hAnsi="Times New Roman" w:eastAsia="Times New Roman"/>
          <w:sz w:val="24"/>
          <w:szCs w:val="24"/>
        </w:rPr>
      </w:pPr>
      <w:bookmarkStart w:name="_Toc6" w:id="6"/>
      <w:r>
        <w:rPr>
          <w:rFonts w:ascii="Times New Roman" w:hAnsi="Times New Roman"/>
          <w:sz w:val="24"/>
          <w:szCs w:val="24"/>
          <w:rtl w:val="0"/>
        </w:rPr>
        <w:t>Stationeries</w:t>
      </w:r>
      <w:bookmarkEnd w:id="6"/>
    </w:p>
    <w:p>
      <w:pPr>
        <w:pStyle w:val="Body A"/>
        <w:spacing w:line="480" w:lineRule="auto"/>
        <w:ind w:firstLine="720"/>
        <w:rPr>
          <w:rFonts w:ascii="Times New Roman" w:cs="Times New Roman" w:hAnsi="Times New Roman" w:eastAsia="Times New Roman"/>
          <w:sz w:val="24"/>
          <w:szCs w:val="24"/>
        </w:rPr>
      </w:pPr>
      <w:r>
        <w:rPr>
          <w:rFonts w:ascii="Times New Roman" w:hAnsi="Times New Roman"/>
          <w:sz w:val="24"/>
          <w:szCs w:val="24"/>
          <w:rtl w:val="0"/>
          <w:lang w:val="en-US"/>
        </w:rPr>
        <w:t>Moving online would also mean that the company would not require physical bookkeeping and attendance at the front desk and in restaurants. Until services resume normalcy as was before the pandemic, the company can do away with the costs it incurs to acquire stationeries. In turn, the portion set aside for this purpose can be channeled towards marketing or discounts to customers (Lai and Wong, 2020). With these changes, the company would be able to reinvent its service delivery and remain operational as the industry awaits further improvements in overall global commerce.</w:t>
      </w:r>
    </w:p>
    <w:p>
      <w:pPr>
        <w:pStyle w:val="Heading 2"/>
        <w:spacing w:line="480" w:lineRule="auto"/>
        <w:rPr>
          <w:rFonts w:ascii="Times New Roman" w:cs="Times New Roman" w:hAnsi="Times New Roman" w:eastAsia="Times New Roman"/>
          <w:sz w:val="24"/>
          <w:szCs w:val="24"/>
        </w:rPr>
      </w:pPr>
      <w:bookmarkStart w:name="_Toc7" w:id="7"/>
      <w:r>
        <w:rPr>
          <w:rFonts w:ascii="Times New Roman" w:hAnsi="Times New Roman"/>
          <w:sz w:val="24"/>
          <w:szCs w:val="24"/>
          <w:rtl w:val="0"/>
          <w:lang w:val="it-IT"/>
        </w:rPr>
        <w:t>Conclusion</w:t>
      </w:r>
      <w:bookmarkEnd w:id="7"/>
    </w:p>
    <w:p>
      <w:pPr>
        <w:pStyle w:val="Body A"/>
        <w:spacing w:line="480" w:lineRule="auto"/>
        <w:rPr>
          <w:rFonts w:ascii="Times New Roman" w:cs="Times New Roman" w:hAnsi="Times New Roman" w:eastAsia="Times New Roman"/>
          <w:sz w:val="24"/>
          <w:szCs w:val="24"/>
        </w:rPr>
      </w:pPr>
      <w:r>
        <w:rPr>
          <w:rFonts w:ascii="Times New Roman" w:hAnsi="Times New Roman"/>
          <w:sz w:val="24"/>
          <w:szCs w:val="24"/>
          <w:rtl w:val="0"/>
          <w:lang w:val="en-US"/>
        </w:rPr>
        <w:t>In conclusion, the hotel industry continues to face a significant challenge as the ongoing pandemic continues to be a cause for global economic crisis. One of the major steps that hotels and restaurants have taken to reduce the risk of spreading the virus within their premises has been the reduction of people within any premise at any one time. This has been in line with the WHO</w:t>
      </w:r>
      <w:r>
        <w:rPr>
          <w:rFonts w:ascii="Times New Roman" w:hAnsi="Times New Roman" w:hint="default"/>
          <w:sz w:val="24"/>
          <w:szCs w:val="24"/>
          <w:rtl w:val="0"/>
          <w:lang w:val="en-US"/>
        </w:rPr>
        <w:t>’</w:t>
      </w:r>
      <w:r>
        <w:rPr>
          <w:rFonts w:ascii="Times New Roman" w:hAnsi="Times New Roman"/>
          <w:sz w:val="24"/>
          <w:szCs w:val="24"/>
          <w:rtl w:val="0"/>
          <w:lang w:val="en-US"/>
        </w:rPr>
        <w:t>s and NHS</w:t>
      </w:r>
      <w:r>
        <w:rPr>
          <w:rFonts w:ascii="Times New Roman" w:hAnsi="Times New Roman" w:hint="default"/>
          <w:sz w:val="24"/>
          <w:szCs w:val="24"/>
          <w:rtl w:val="0"/>
          <w:lang w:val="en-US"/>
        </w:rPr>
        <w:t>’</w:t>
      </w:r>
      <w:r>
        <w:rPr>
          <w:rFonts w:ascii="Times New Roman" w:hAnsi="Times New Roman"/>
          <w:sz w:val="24"/>
          <w:szCs w:val="24"/>
          <w:rtl w:val="0"/>
          <w:lang w:val="en-US"/>
        </w:rPr>
        <w:t>s guidelines on maintaining a social distance between one individual and the next, and it has had contrasting effects on the hotel industry</w:t>
      </w:r>
      <w:r>
        <w:rPr>
          <w:rFonts w:ascii="Times New Roman" w:hAnsi="Times New Roman" w:hint="default"/>
          <w:sz w:val="24"/>
          <w:szCs w:val="24"/>
          <w:rtl w:val="0"/>
          <w:lang w:val="en-US"/>
        </w:rPr>
        <w:t>’</w:t>
      </w:r>
      <w:r>
        <w:rPr>
          <w:rFonts w:ascii="Times New Roman" w:hAnsi="Times New Roman"/>
          <w:sz w:val="24"/>
          <w:szCs w:val="24"/>
          <w:rtl w:val="0"/>
          <w:lang w:val="en-US"/>
        </w:rPr>
        <w:t xml:space="preserve">s performance. On one hand, following these guidelines makes sure that the premises are safe places for then individuals in there, be they employees, executives, or customers. Following the guidelines also helps the hotels remain within the requirements by the government for them to remain operational, or to resume operations in the case of businesses that had closed down. On the other hand, these guidelines significantly reduce the capacity of these premises at any single time. These are some of the factors that make the future of the UK hotel industry unpredictable. </w:t>
      </w:r>
    </w:p>
    <w:p>
      <w:pPr>
        <w:pStyle w:val="Body A"/>
        <w:spacing w:line="480" w:lineRule="auto"/>
        <w:rPr>
          <w:rFonts w:ascii="Times New Roman" w:cs="Times New Roman" w:hAnsi="Times New Roman" w:eastAsia="Times New Roman"/>
          <w:sz w:val="24"/>
          <w:szCs w:val="24"/>
        </w:rPr>
      </w:pPr>
    </w:p>
    <w:p>
      <w:pPr>
        <w:pStyle w:val="Body A"/>
        <w:spacing w:line="480" w:lineRule="auto"/>
      </w:pPr>
      <w:r>
        <w:rPr>
          <w:rFonts w:ascii="Arial Unicode MS" w:cs="Arial Unicode MS" w:hAnsi="Arial Unicode MS" w:eastAsia="Arial Unicode MS"/>
          <w:b w:val="0"/>
          <w:bCs w:val="0"/>
          <w:i w:val="0"/>
          <w:iCs w:val="0"/>
          <w:sz w:val="24"/>
          <w:szCs w:val="24"/>
        </w:rPr>
        <w:br w:type="page"/>
      </w:r>
    </w:p>
    <w:p>
      <w:pPr>
        <w:pStyle w:val="Heading 2"/>
        <w:spacing w:line="480" w:lineRule="auto"/>
        <w:rPr>
          <w:rFonts w:ascii="Times New Roman" w:cs="Times New Roman" w:hAnsi="Times New Roman" w:eastAsia="Times New Roman"/>
          <w:sz w:val="24"/>
          <w:szCs w:val="24"/>
        </w:rPr>
      </w:pPr>
      <w:bookmarkStart w:name="_Toc8" w:id="8"/>
      <w:r>
        <w:rPr>
          <w:rFonts w:ascii="Times New Roman" w:hAnsi="Times New Roman"/>
          <w:sz w:val="24"/>
          <w:szCs w:val="24"/>
          <w:rtl w:val="0"/>
          <w:lang w:val="fr-FR"/>
        </w:rPr>
        <w:t>References</w:t>
      </w:r>
      <w:bookmarkEnd w:id="8"/>
    </w:p>
    <w:p>
      <w:pPr>
        <w:pStyle w:val="Body A"/>
        <w:spacing w:line="480" w:lineRule="auto"/>
        <w:ind w:left="720" w:hanging="720"/>
        <w:rPr>
          <w:rFonts w:ascii="Times New Roman" w:cs="Times New Roman" w:hAnsi="Times New Roman" w:eastAsia="Times New Roman"/>
          <w:sz w:val="24"/>
          <w:szCs w:val="24"/>
        </w:rPr>
      </w:pPr>
      <w:r>
        <w:rPr>
          <w:rFonts w:ascii="Times New Roman" w:hAnsi="Times New Roman"/>
          <w:sz w:val="24"/>
          <w:szCs w:val="24"/>
          <w:rtl w:val="0"/>
          <w:lang w:val="en-US"/>
        </w:rPr>
        <w:t xml:space="preserve">Chinazzi, M., Davis, J.T., Ajelli, M., Gioannini, C., Litvinova, M., Merler, S., y Piontti, A.P., Mu, K., Rossi, L., Sun, K. and Viboud, C., 2020. The effect of travel restrictions on the spread of the 2019 novel coronavirus (COVID-19) outbreak. </w:t>
      </w:r>
      <w:r>
        <w:rPr>
          <w:rFonts w:ascii="Times New Roman" w:hAnsi="Times New Roman"/>
          <w:i w:val="1"/>
          <w:iCs w:val="1"/>
          <w:sz w:val="24"/>
          <w:szCs w:val="24"/>
          <w:rtl w:val="0"/>
          <w:lang w:val="en-US"/>
        </w:rPr>
        <w:t>Science</w:t>
      </w:r>
      <w:r>
        <w:rPr>
          <w:rFonts w:ascii="Times New Roman" w:hAnsi="Times New Roman"/>
          <w:sz w:val="24"/>
          <w:szCs w:val="24"/>
          <w:rtl w:val="0"/>
        </w:rPr>
        <w:t xml:space="preserve">, </w:t>
      </w:r>
      <w:r>
        <w:rPr>
          <w:rFonts w:ascii="Times New Roman" w:hAnsi="Times New Roman"/>
          <w:i w:val="1"/>
          <w:iCs w:val="1"/>
          <w:sz w:val="24"/>
          <w:szCs w:val="24"/>
          <w:rtl w:val="0"/>
        </w:rPr>
        <w:t>368</w:t>
      </w:r>
      <w:r>
        <w:rPr>
          <w:rFonts w:ascii="Times New Roman" w:hAnsi="Times New Roman"/>
          <w:sz w:val="24"/>
          <w:szCs w:val="24"/>
          <w:rtl w:val="0"/>
        </w:rPr>
        <w:t>(6489), pp.395-400.</w:t>
      </w:r>
    </w:p>
    <w:p>
      <w:pPr>
        <w:pStyle w:val="Body A"/>
        <w:spacing w:line="480" w:lineRule="auto"/>
        <w:ind w:left="720" w:hanging="720"/>
        <w:rPr>
          <w:rFonts w:ascii="Times New Roman" w:cs="Times New Roman" w:hAnsi="Times New Roman" w:eastAsia="Times New Roman"/>
          <w:sz w:val="24"/>
          <w:szCs w:val="24"/>
        </w:rPr>
      </w:pPr>
      <w:r>
        <w:rPr>
          <w:rFonts w:ascii="Times New Roman" w:hAnsi="Times New Roman"/>
          <w:sz w:val="24"/>
          <w:szCs w:val="24"/>
          <w:rtl w:val="0"/>
          <w:lang w:val="en-US"/>
        </w:rPr>
        <w:t xml:space="preserve">Davahli, M.R., Karwowski, W., Sonmez, S. and Apostolopoulos, Y., 2020. The hospitality industry in the face of the COVID-19 pandemic: Current topics and research methods. </w:t>
      </w:r>
      <w:r>
        <w:rPr>
          <w:rFonts w:ascii="Times New Roman" w:hAnsi="Times New Roman"/>
          <w:i w:val="1"/>
          <w:iCs w:val="1"/>
          <w:sz w:val="24"/>
          <w:szCs w:val="24"/>
          <w:rtl w:val="0"/>
          <w:lang w:val="en-US"/>
        </w:rPr>
        <w:t>International Journal of Environmental Research and Public Health</w:t>
      </w:r>
      <w:r>
        <w:rPr>
          <w:rFonts w:ascii="Times New Roman" w:hAnsi="Times New Roman"/>
          <w:sz w:val="24"/>
          <w:szCs w:val="24"/>
          <w:rtl w:val="0"/>
        </w:rPr>
        <w:t xml:space="preserve">, </w:t>
      </w:r>
      <w:r>
        <w:rPr>
          <w:rFonts w:ascii="Times New Roman" w:hAnsi="Times New Roman"/>
          <w:i w:val="1"/>
          <w:iCs w:val="1"/>
          <w:sz w:val="24"/>
          <w:szCs w:val="24"/>
          <w:rtl w:val="0"/>
        </w:rPr>
        <w:t>17</w:t>
      </w:r>
      <w:r>
        <w:rPr>
          <w:rFonts w:ascii="Times New Roman" w:hAnsi="Times New Roman"/>
          <w:sz w:val="24"/>
          <w:szCs w:val="24"/>
          <w:rtl w:val="0"/>
        </w:rPr>
        <w:t>(20), p.7366.</w:t>
      </w:r>
    </w:p>
    <w:p>
      <w:pPr>
        <w:pStyle w:val="Body A"/>
        <w:spacing w:after="0" w:line="480" w:lineRule="auto"/>
        <w:ind w:left="720" w:hanging="720"/>
        <w:rPr>
          <w:rFonts w:ascii="Times New Roman" w:cs="Times New Roman" w:hAnsi="Times New Roman" w:eastAsia="Times New Roman"/>
          <w:sz w:val="24"/>
          <w:szCs w:val="24"/>
        </w:rPr>
      </w:pPr>
      <w:r>
        <w:rPr>
          <w:rFonts w:ascii="Times New Roman" w:hAnsi="Times New Roman"/>
          <w:sz w:val="24"/>
          <w:szCs w:val="24"/>
          <w:rtl w:val="0"/>
          <w:lang w:val="en-US"/>
        </w:rPr>
        <w:t xml:space="preserve">del Rio-Chanona, R.M., Mealy, P., Pichler, A., Lafond, F. and Farmer, J.D., 2020. Supply and demand shocks in the COVID-19 pandemic: An industry and occupation perspective. </w:t>
      </w:r>
      <w:r>
        <w:rPr>
          <w:rFonts w:ascii="Times New Roman" w:hAnsi="Times New Roman"/>
          <w:i w:val="1"/>
          <w:iCs w:val="1"/>
          <w:sz w:val="24"/>
          <w:szCs w:val="24"/>
          <w:rtl w:val="0"/>
          <w:lang w:val="en-US"/>
        </w:rPr>
        <w:t>Oxford Review of Economic Policy</w:t>
      </w:r>
      <w:r>
        <w:rPr>
          <w:rFonts w:ascii="Times New Roman" w:hAnsi="Times New Roman"/>
          <w:sz w:val="24"/>
          <w:szCs w:val="24"/>
          <w:rtl w:val="0"/>
        </w:rPr>
        <w:t xml:space="preserve">, </w:t>
      </w:r>
      <w:r>
        <w:rPr>
          <w:rFonts w:ascii="Times New Roman" w:hAnsi="Times New Roman"/>
          <w:i w:val="1"/>
          <w:iCs w:val="1"/>
          <w:sz w:val="24"/>
          <w:szCs w:val="24"/>
          <w:rtl w:val="0"/>
        </w:rPr>
        <w:t>36</w:t>
      </w:r>
      <w:r>
        <w:rPr>
          <w:rFonts w:ascii="Times New Roman" w:hAnsi="Times New Roman"/>
          <w:sz w:val="24"/>
          <w:szCs w:val="24"/>
          <w:rtl w:val="0"/>
        </w:rPr>
        <w:t>(Supplement_1), pp.S94-S137.</w:t>
      </w:r>
    </w:p>
    <w:p>
      <w:pPr>
        <w:pStyle w:val="Body A"/>
        <w:spacing w:line="480" w:lineRule="auto"/>
        <w:ind w:left="720" w:hanging="720"/>
        <w:rPr>
          <w:rFonts w:ascii="Times New Roman" w:cs="Times New Roman" w:hAnsi="Times New Roman" w:eastAsia="Times New Roman"/>
          <w:sz w:val="24"/>
          <w:szCs w:val="24"/>
        </w:rPr>
      </w:pPr>
      <w:r>
        <w:rPr>
          <w:rFonts w:ascii="Times New Roman" w:hAnsi="Times New Roman"/>
          <w:sz w:val="24"/>
          <w:szCs w:val="24"/>
          <w:rtl w:val="0"/>
          <w:lang w:val="en-US"/>
        </w:rPr>
        <w:t xml:space="preserve">Denizci Guillet, B. and Chu, A.M.C., 2021. Managing hotel revenue amid the COVID-19 crisis. </w:t>
      </w:r>
      <w:r>
        <w:rPr>
          <w:rFonts w:ascii="Times New Roman" w:hAnsi="Times New Roman"/>
          <w:i w:val="1"/>
          <w:iCs w:val="1"/>
          <w:sz w:val="24"/>
          <w:szCs w:val="24"/>
          <w:rtl w:val="0"/>
          <w:lang w:val="en-US"/>
        </w:rPr>
        <w:t>International Journal of Contemporary Hospitality Management</w:t>
      </w:r>
      <w:r>
        <w:rPr>
          <w:rFonts w:ascii="Times New Roman" w:hAnsi="Times New Roman"/>
          <w:sz w:val="24"/>
          <w:szCs w:val="24"/>
          <w:rtl w:val="0"/>
        </w:rPr>
        <w:t>.</w:t>
      </w:r>
    </w:p>
    <w:p>
      <w:pPr>
        <w:pStyle w:val="Body A"/>
        <w:spacing w:line="480" w:lineRule="auto"/>
        <w:ind w:left="720" w:hanging="720"/>
        <w:rPr>
          <w:rFonts w:ascii="Times New Roman" w:cs="Times New Roman" w:hAnsi="Times New Roman" w:eastAsia="Times New Roman"/>
          <w:sz w:val="24"/>
          <w:szCs w:val="24"/>
        </w:rPr>
      </w:pPr>
      <w:r>
        <w:rPr>
          <w:rFonts w:ascii="Times New Roman" w:hAnsi="Times New Roman"/>
          <w:sz w:val="24"/>
          <w:szCs w:val="24"/>
          <w:rtl w:val="0"/>
          <w:lang w:val="en-US"/>
        </w:rPr>
        <w:t xml:space="preserve">Filimonau, V., Derqui, B. and Matute, J., 2020. The COVID-19 pandemic and organisational commitment of senior hotel managers. </w:t>
      </w:r>
      <w:r>
        <w:rPr>
          <w:rFonts w:ascii="Times New Roman" w:hAnsi="Times New Roman"/>
          <w:i w:val="1"/>
          <w:iCs w:val="1"/>
          <w:sz w:val="24"/>
          <w:szCs w:val="24"/>
          <w:rtl w:val="0"/>
          <w:lang w:val="en-US"/>
        </w:rPr>
        <w:t>International Journal of Hospitality Management</w:t>
      </w:r>
      <w:r>
        <w:rPr>
          <w:rFonts w:ascii="Times New Roman" w:hAnsi="Times New Roman"/>
          <w:sz w:val="24"/>
          <w:szCs w:val="24"/>
          <w:rtl w:val="0"/>
        </w:rPr>
        <w:t xml:space="preserve">, </w:t>
      </w:r>
      <w:r>
        <w:rPr>
          <w:rFonts w:ascii="Times New Roman" w:hAnsi="Times New Roman"/>
          <w:i w:val="1"/>
          <w:iCs w:val="1"/>
          <w:sz w:val="24"/>
          <w:szCs w:val="24"/>
          <w:rtl w:val="0"/>
        </w:rPr>
        <w:t>91</w:t>
      </w:r>
      <w:r>
        <w:rPr>
          <w:rFonts w:ascii="Times New Roman" w:hAnsi="Times New Roman"/>
          <w:sz w:val="24"/>
          <w:szCs w:val="24"/>
          <w:rtl w:val="0"/>
        </w:rPr>
        <w:t>, p.102659.</w:t>
      </w:r>
    </w:p>
    <w:p>
      <w:pPr>
        <w:pStyle w:val="Body A"/>
        <w:spacing w:line="480" w:lineRule="auto"/>
        <w:ind w:left="720" w:hanging="720"/>
        <w:rPr>
          <w:rFonts w:ascii="Times New Roman" w:cs="Times New Roman" w:hAnsi="Times New Roman" w:eastAsia="Times New Roman"/>
          <w:sz w:val="24"/>
          <w:szCs w:val="24"/>
        </w:rPr>
      </w:pPr>
      <w:r>
        <w:rPr>
          <w:rFonts w:ascii="Times New Roman" w:hAnsi="Times New Roman"/>
          <w:sz w:val="24"/>
          <w:szCs w:val="24"/>
          <w:rtl w:val="0"/>
          <w:lang w:val="en-US"/>
        </w:rPr>
        <w:t>Gursoy, D. and Chi, C.G., 2020. Effects of COVID-19 pandemic on hospitality industry: review of the current situations and a research agenda.</w:t>
      </w:r>
    </w:p>
    <w:p>
      <w:pPr>
        <w:pStyle w:val="Body A"/>
        <w:spacing w:line="480" w:lineRule="auto"/>
        <w:ind w:left="720" w:hanging="720"/>
        <w:rPr>
          <w:rFonts w:ascii="Times New Roman" w:cs="Times New Roman" w:hAnsi="Times New Roman" w:eastAsia="Times New Roman"/>
          <w:sz w:val="24"/>
          <w:szCs w:val="24"/>
        </w:rPr>
      </w:pPr>
      <w:r>
        <w:rPr>
          <w:rFonts w:ascii="Times New Roman" w:hAnsi="Times New Roman"/>
          <w:sz w:val="24"/>
          <w:szCs w:val="24"/>
          <w:rtl w:val="0"/>
          <w:lang w:val="en-US"/>
        </w:rPr>
        <w:t>Hao, F., Xiao, Q. and Chon, K., 2020. COVID-19 and China</w:t>
      </w:r>
      <w:r>
        <w:rPr>
          <w:rFonts w:ascii="Times New Roman" w:hAnsi="Times New Roman" w:hint="default"/>
          <w:sz w:val="24"/>
          <w:szCs w:val="24"/>
          <w:rtl w:val="0"/>
          <w:lang w:val="en-US"/>
        </w:rPr>
        <w:t>’</w:t>
      </w:r>
      <w:r>
        <w:rPr>
          <w:rFonts w:ascii="Times New Roman" w:hAnsi="Times New Roman"/>
          <w:sz w:val="24"/>
          <w:szCs w:val="24"/>
          <w:rtl w:val="0"/>
          <w:lang w:val="en-US"/>
        </w:rPr>
        <w:t xml:space="preserve">s hotel industry: Impacts, a disaster management framework, and post-pandemic agenda. </w:t>
      </w:r>
      <w:r>
        <w:rPr>
          <w:rFonts w:ascii="Times New Roman" w:hAnsi="Times New Roman"/>
          <w:i w:val="1"/>
          <w:iCs w:val="1"/>
          <w:sz w:val="24"/>
          <w:szCs w:val="24"/>
          <w:rtl w:val="0"/>
          <w:lang w:val="en-US"/>
        </w:rPr>
        <w:t>International journal of hospitality management</w:t>
      </w:r>
      <w:r>
        <w:rPr>
          <w:rFonts w:ascii="Times New Roman" w:hAnsi="Times New Roman"/>
          <w:sz w:val="24"/>
          <w:szCs w:val="24"/>
          <w:rtl w:val="0"/>
        </w:rPr>
        <w:t xml:space="preserve">, </w:t>
      </w:r>
      <w:r>
        <w:rPr>
          <w:rFonts w:ascii="Times New Roman" w:hAnsi="Times New Roman"/>
          <w:i w:val="1"/>
          <w:iCs w:val="1"/>
          <w:sz w:val="24"/>
          <w:szCs w:val="24"/>
          <w:rtl w:val="0"/>
        </w:rPr>
        <w:t>90</w:t>
      </w:r>
      <w:r>
        <w:rPr>
          <w:rFonts w:ascii="Times New Roman" w:hAnsi="Times New Roman"/>
          <w:sz w:val="24"/>
          <w:szCs w:val="24"/>
          <w:rtl w:val="0"/>
        </w:rPr>
        <w:t>, p.102636.</w:t>
      </w:r>
    </w:p>
    <w:p>
      <w:pPr>
        <w:pStyle w:val="Body A"/>
        <w:spacing w:line="480" w:lineRule="auto"/>
        <w:ind w:left="720" w:hanging="720"/>
        <w:rPr>
          <w:rFonts w:ascii="Times New Roman" w:cs="Times New Roman" w:hAnsi="Times New Roman" w:eastAsia="Times New Roman"/>
          <w:sz w:val="24"/>
          <w:szCs w:val="24"/>
        </w:rPr>
      </w:pPr>
      <w:r>
        <w:rPr>
          <w:rFonts w:ascii="Times New Roman" w:hAnsi="Times New Roman"/>
          <w:sz w:val="24"/>
          <w:szCs w:val="24"/>
          <w:rtl w:val="0"/>
          <w:lang w:val="en-US"/>
        </w:rPr>
        <w:t xml:space="preserve">Kaushal, V. and Srivastava, S., 2021. Hospitality and tourism industry amid COVID-19 pandemic: Perspectives on challenges and learnings from India. </w:t>
      </w:r>
      <w:r>
        <w:rPr>
          <w:rFonts w:ascii="Times New Roman" w:hAnsi="Times New Roman"/>
          <w:i w:val="1"/>
          <w:iCs w:val="1"/>
          <w:sz w:val="24"/>
          <w:szCs w:val="24"/>
          <w:rtl w:val="0"/>
          <w:lang w:val="en-US"/>
        </w:rPr>
        <w:t>International journal of hospitality management</w:t>
      </w:r>
      <w:r>
        <w:rPr>
          <w:rFonts w:ascii="Times New Roman" w:hAnsi="Times New Roman"/>
          <w:sz w:val="24"/>
          <w:szCs w:val="24"/>
          <w:rtl w:val="0"/>
        </w:rPr>
        <w:t xml:space="preserve">, </w:t>
      </w:r>
      <w:r>
        <w:rPr>
          <w:rFonts w:ascii="Times New Roman" w:hAnsi="Times New Roman"/>
          <w:i w:val="1"/>
          <w:iCs w:val="1"/>
          <w:sz w:val="24"/>
          <w:szCs w:val="24"/>
          <w:rtl w:val="0"/>
        </w:rPr>
        <w:t>92</w:t>
      </w:r>
      <w:r>
        <w:rPr>
          <w:rFonts w:ascii="Times New Roman" w:hAnsi="Times New Roman"/>
          <w:sz w:val="24"/>
          <w:szCs w:val="24"/>
          <w:rtl w:val="0"/>
        </w:rPr>
        <w:t>, p.102707.</w:t>
      </w:r>
    </w:p>
    <w:p>
      <w:pPr>
        <w:pStyle w:val="Body A"/>
        <w:spacing w:after="0" w:line="480" w:lineRule="auto"/>
        <w:ind w:left="720" w:hanging="720"/>
        <w:rPr>
          <w:rFonts w:ascii="Times New Roman" w:cs="Times New Roman" w:hAnsi="Times New Roman" w:eastAsia="Times New Roman"/>
          <w:sz w:val="24"/>
          <w:szCs w:val="24"/>
        </w:rPr>
      </w:pPr>
      <w:r>
        <w:rPr>
          <w:rFonts w:ascii="Times New Roman" w:hAnsi="Times New Roman"/>
          <w:sz w:val="24"/>
          <w:szCs w:val="24"/>
          <w:rtl w:val="0"/>
          <w:lang w:val="en-US"/>
        </w:rPr>
        <w:t xml:space="preserve">Lai, I.K.W. and Wong, J.W.C., 2020. Comparing crisis management practices in the hotel industry between initial and pandemic stages of COVID-19. </w:t>
      </w:r>
      <w:r>
        <w:rPr>
          <w:rFonts w:ascii="Times New Roman" w:hAnsi="Times New Roman"/>
          <w:i w:val="1"/>
          <w:iCs w:val="1"/>
          <w:sz w:val="24"/>
          <w:szCs w:val="24"/>
          <w:rtl w:val="0"/>
          <w:lang w:val="en-US"/>
        </w:rPr>
        <w:t>International Journal of Contemporary Hospitality Management</w:t>
      </w:r>
      <w:r>
        <w:rPr>
          <w:rFonts w:ascii="Times New Roman" w:hAnsi="Times New Roman"/>
          <w:sz w:val="24"/>
          <w:szCs w:val="24"/>
          <w:rtl w:val="0"/>
        </w:rPr>
        <w:t>.</w:t>
      </w:r>
    </w:p>
    <w:p>
      <w:pPr>
        <w:pStyle w:val="Body A"/>
        <w:spacing w:line="480" w:lineRule="auto"/>
        <w:ind w:left="720" w:hanging="720"/>
        <w:rPr>
          <w:rFonts w:ascii="Times New Roman" w:cs="Times New Roman" w:hAnsi="Times New Roman" w:eastAsia="Times New Roman"/>
          <w:sz w:val="24"/>
          <w:szCs w:val="24"/>
        </w:rPr>
      </w:pPr>
      <w:r>
        <w:rPr>
          <w:rFonts w:ascii="Times New Roman" w:hAnsi="Times New Roman"/>
          <w:sz w:val="24"/>
          <w:szCs w:val="24"/>
          <w:rtl w:val="0"/>
          <w:lang w:val="en-US"/>
        </w:rPr>
        <w:t xml:space="preserve">Nicola, M., Alsafi, Z., Sohrabi, C., Kerwan, A., Al-Jabir, A., Iosifidis, C., Agha, M. and Agha, R., 2020. The socio-economic implications of the coronavirus and COVID-19 pandemic: a review. </w:t>
      </w:r>
      <w:r>
        <w:rPr>
          <w:rFonts w:ascii="Times New Roman" w:hAnsi="Times New Roman"/>
          <w:i w:val="1"/>
          <w:iCs w:val="1"/>
          <w:sz w:val="24"/>
          <w:szCs w:val="24"/>
          <w:rtl w:val="0"/>
          <w:lang w:val="en-US"/>
        </w:rPr>
        <w:t>International journal of surgery</w:t>
      </w:r>
      <w:r>
        <w:rPr>
          <w:rFonts w:ascii="Times New Roman" w:hAnsi="Times New Roman"/>
          <w:sz w:val="24"/>
          <w:szCs w:val="24"/>
          <w:rtl w:val="0"/>
        </w:rPr>
        <w:t>.</w:t>
      </w:r>
    </w:p>
    <w:p>
      <w:pPr>
        <w:pStyle w:val="Body A"/>
        <w:spacing w:line="480" w:lineRule="auto"/>
        <w:ind w:left="720" w:hanging="720"/>
        <w:rPr>
          <w:rFonts w:ascii="Times New Roman" w:cs="Times New Roman" w:hAnsi="Times New Roman" w:eastAsia="Times New Roman"/>
          <w:sz w:val="24"/>
          <w:szCs w:val="24"/>
        </w:rPr>
      </w:pPr>
      <w:r>
        <w:rPr>
          <w:rFonts w:ascii="Times New Roman" w:hAnsi="Times New Roman"/>
          <w:sz w:val="24"/>
          <w:szCs w:val="24"/>
          <w:rtl w:val="0"/>
          <w:lang w:val="en-US"/>
        </w:rPr>
        <w:t xml:space="preserve">Ozili, P.K. and Arun, T., 2020. Spillover of COVID-19: impact on the Global Economy. </w:t>
      </w:r>
      <w:r>
        <w:rPr>
          <w:rFonts w:ascii="Times New Roman" w:hAnsi="Times New Roman"/>
          <w:i w:val="1"/>
          <w:iCs w:val="1"/>
          <w:sz w:val="24"/>
          <w:szCs w:val="24"/>
          <w:rtl w:val="0"/>
          <w:lang w:val="en-US"/>
        </w:rPr>
        <w:t>Available at SSRN 3562570</w:t>
      </w:r>
      <w:r>
        <w:rPr>
          <w:rFonts w:ascii="Times New Roman" w:hAnsi="Times New Roman"/>
          <w:sz w:val="24"/>
          <w:szCs w:val="24"/>
          <w:rtl w:val="0"/>
        </w:rPr>
        <w:t>.</w:t>
      </w:r>
    </w:p>
    <w:p>
      <w:pPr>
        <w:pStyle w:val="Body A"/>
        <w:spacing w:after="0" w:line="480" w:lineRule="auto"/>
        <w:ind w:left="720" w:hanging="720"/>
        <w:rPr>
          <w:rFonts w:ascii="Times New Roman" w:cs="Times New Roman" w:hAnsi="Times New Roman" w:eastAsia="Times New Roman"/>
          <w:sz w:val="24"/>
          <w:szCs w:val="24"/>
        </w:rPr>
      </w:pPr>
      <w:r>
        <w:rPr>
          <w:rFonts w:ascii="Times New Roman" w:hAnsi="Times New Roman"/>
          <w:sz w:val="24"/>
          <w:szCs w:val="24"/>
          <w:rtl w:val="0"/>
          <w:lang w:val="en-US"/>
        </w:rPr>
        <w:t xml:space="preserve">Whang, E., 2020. </w:t>
      </w:r>
      <w:r>
        <w:rPr>
          <w:rFonts w:ascii="Times New Roman" w:hAnsi="Times New Roman"/>
          <w:i w:val="1"/>
          <w:iCs w:val="1"/>
          <w:sz w:val="24"/>
          <w:szCs w:val="24"/>
          <w:rtl w:val="0"/>
          <w:lang w:val="en-US"/>
        </w:rPr>
        <w:t>The Link Between Strategic Positioning and Operational Control: A Field Study of a Restaurant Business</w:t>
      </w:r>
      <w:r>
        <w:rPr>
          <w:rFonts w:ascii="Times New Roman" w:hAnsi="Times New Roman"/>
          <w:sz w:val="24"/>
          <w:szCs w:val="24"/>
          <w:rtl w:val="0"/>
          <w:lang w:val="en-US"/>
        </w:rPr>
        <w:t xml:space="preserve"> (Doctoral dissertation, Temple University. Libraries).</w:t>
      </w:r>
    </w:p>
    <w:p>
      <w:pPr>
        <w:pStyle w:val="Body A"/>
        <w:spacing w:after="0" w:line="480"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Raiborn, C.A., Kinney, M.R. and Barfield, J.T., 2020. </w:t>
      </w:r>
      <w:r>
        <w:rPr>
          <w:rFonts w:ascii="Times New Roman" w:hAnsi="Times New Roman"/>
          <w:i w:val="1"/>
          <w:iCs w:val="1"/>
          <w:sz w:val="24"/>
          <w:szCs w:val="24"/>
          <w:rtl w:val="0"/>
          <w:lang w:val="en-US"/>
        </w:rPr>
        <w:t>Cost Accounting Traditions &amp; Innovations</w:t>
      </w:r>
      <w:r>
        <w:rPr>
          <w:rFonts w:ascii="Times New Roman" w:hAnsi="Times New Roman"/>
          <w:sz w:val="24"/>
          <w:szCs w:val="24"/>
          <w:rtl w:val="0"/>
          <w:lang w:val="en-US"/>
        </w:rPr>
        <w:t>. South-Western College.</w:t>
      </w:r>
    </w:p>
    <w:p>
      <w:pPr>
        <w:pStyle w:val="Body A"/>
        <w:spacing w:after="0" w:line="480" w:lineRule="auto"/>
        <w:ind w:left="720" w:hanging="720"/>
      </w:pPr>
      <w:r>
        <w:rPr>
          <w:rFonts w:ascii="Times New Roman" w:cs="Times New Roman" w:hAnsi="Times New Roman" w:eastAsia="Times New Roman"/>
          <w:sz w:val="24"/>
          <w:szCs w:val="24"/>
        </w:rPr>
      </w:r>
    </w:p>
    <w:sectPr>
      <w:headerReference w:type="default" r:id="rId5"/>
      <w:footerReference w:type="default" r:id="rId6"/>
      <w:pgSz w:w="12240" w:h="15840"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Calibri">
    <w:charset w:val="00"/>
    <w:family w:val="roman"/>
    <w:pitch w:val="default"/>
  </w:font>
  <w:font w:name="Helvetica Neue">
    <w:charset w:val="00"/>
    <w:family w:val="roman"/>
    <w:pitch w:val="default"/>
  </w:font>
  <w:font w:name="Calibri Light">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w:tabs>
        <w:tab w:val="right" w:pos="9340"/>
        <w:tab w:val="clear" w:pos="9360"/>
      </w:tabs>
      <w:jc w:val="right"/>
    </w:pPr>
    <w:r>
      <w:rPr>
        <w:rFonts w:ascii="Times New Roman" w:hAnsi="Times New Roman"/>
        <w:sz w:val="24"/>
        <w:szCs w:val="24"/>
        <w:rtl w:val="0"/>
        <w:lang w:val="en-US"/>
      </w:rPr>
      <w:t xml:space="preserve">MANAGEMENT ACCOUNTING 1 </w:t>
    </w:r>
    <w:r>
      <w:rPr>
        <w:rFonts w:ascii="Times New Roman" w:cs="Times New Roman" w:hAnsi="Times New Roman" w:eastAsia="Times New Roman"/>
        <w:sz w:val="24"/>
        <w:szCs w:val="24"/>
        <w:rtl w:val="0"/>
      </w:rPr>
      <w:fldChar w:fldCharType="begin" w:fldLock="0"/>
    </w:r>
    <w:r>
      <w:rPr>
        <w:rFonts w:ascii="Times New Roman" w:cs="Times New Roman" w:hAnsi="Times New Roman" w:eastAsia="Times New Roman"/>
        <w:sz w:val="24"/>
        <w:szCs w:val="24"/>
        <w:rtl w:val="0"/>
      </w:rPr>
      <w:instrText xml:space="preserve"> PAGE </w:instrText>
    </w:r>
    <w:r>
      <w:rPr>
        <w:rFonts w:ascii="Times New Roman" w:cs="Times New Roman" w:hAnsi="Times New Roman" w:eastAsia="Times New Roman"/>
        <w:sz w:val="24"/>
        <w:szCs w:val="24"/>
        <w:rtl w:val="0"/>
      </w:rPr>
      <w:fldChar w:fldCharType="separate" w:fldLock="0"/>
    </w:r>
    <w:r>
      <w:rPr>
        <w:rFonts w:ascii="Times New Roman" w:cs="Times New Roman" w:hAnsi="Times New Roman" w:eastAsia="Times New Roman"/>
        <w:sz w:val="24"/>
        <w:szCs w:val="24"/>
        <w:rtl w:val="0"/>
      </w:rPr>
      <w:t>1</w:t>
    </w:r>
    <w:r>
      <w:rPr>
        <w:rFonts w:ascii="Times New Roman" w:cs="Times New Roman" w:hAnsi="Times New Roman" w:eastAsia="Times New Roman"/>
        <w:sz w:val="24"/>
        <w:szCs w:val="24"/>
        <w:rtl w:val="0"/>
      </w:rPr>
      <w:fldChar w:fldCharType="end" w:fldLock="0"/>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1"/>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w:name w:val="header"/>
    <w:next w:val="header"/>
    <w:pPr>
      <w:keepNext w:val="0"/>
      <w:keepLines w:val="0"/>
      <w:pageBreakBefore w:val="0"/>
      <w:widowControl w:val="1"/>
      <w:shd w:val="clear" w:color="auto" w:fill="auto"/>
      <w:tabs>
        <w:tab w:val="center" w:pos="4680"/>
        <w:tab w:val="right" w:pos="9360"/>
      </w:tabs>
      <w:suppressAutoHyphens w:val="0"/>
      <w:bidi w:val="0"/>
      <w:spacing w:before="0" w:after="0" w:line="240" w:lineRule="auto"/>
      <w:ind w:left="0" w:right="0" w:firstLine="0"/>
      <w:jc w:val="left"/>
      <w:outlineLvl w:val="9"/>
    </w:pP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vertAlign w:val="baseline"/>
      <w:lang w:val="en-US"/>
      <w14:textFill>
        <w14:solidFill>
          <w14:srgbClr w14:val="000000"/>
        </w14:solidFill>
      </w14:textFill>
    </w:r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vertAlign w:val="baseline"/>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vertAlign w:val="baseline"/>
      <w14:textOutline>
        <w14:noFill/>
      </w14:textOutline>
      <w14:textFill>
        <w14:solidFill>
          <w14:srgbClr w14:val="000000"/>
        </w14:solidFill>
      </w14:textFill>
    </w:rPr>
  </w:style>
  <w:style w:type="paragraph" w:styleId="Body A">
    <w:name w:val="Body A"/>
    <w:next w:val="Body A"/>
    <w:pPr>
      <w:keepNext w:val="0"/>
      <w:keepLines w:val="0"/>
      <w:pageBreakBefore w:val="0"/>
      <w:widowControl w:val="1"/>
      <w:shd w:val="clear" w:color="auto" w:fill="auto"/>
      <w:suppressAutoHyphens w:val="0"/>
      <w:bidi w:val="0"/>
      <w:spacing w:before="0" w:after="160" w:line="259" w:lineRule="auto"/>
      <w:ind w:left="0" w:right="0" w:firstLine="0"/>
      <w:jc w:val="left"/>
      <w:outlineLvl w:val="9"/>
    </w:pP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vertAlign w:val="baseline"/>
      <w14:textOutline w14:w="12700" w14:cap="flat">
        <w14:noFill/>
        <w14:miter w14:lim="400000"/>
      </w14:textOutline>
      <w14:textFill>
        <w14:solidFill>
          <w14:srgbClr w14:val="000000"/>
        </w14:solidFill>
      </w14:textFill>
    </w:rPr>
  </w:style>
  <w:style w:type="paragraph" w:styleId="TOC Heading">
    <w:name w:val="TOC Heading"/>
    <w:next w:val="Body A"/>
    <w:pPr>
      <w:keepNext w:val="1"/>
      <w:keepLines w:val="1"/>
      <w:pageBreakBefore w:val="0"/>
      <w:widowControl w:val="1"/>
      <w:shd w:val="clear" w:color="auto" w:fill="auto"/>
      <w:suppressAutoHyphens w:val="0"/>
      <w:bidi w:val="0"/>
      <w:spacing w:before="240" w:after="0" w:line="259" w:lineRule="auto"/>
      <w:ind w:left="0" w:right="0" w:firstLine="0"/>
      <w:jc w:val="left"/>
      <w:outlineLvl w:val="9"/>
    </w:pPr>
    <w:rPr>
      <w:rFonts w:ascii="Calibri Light" w:cs="Calibri Light" w:hAnsi="Calibri Light" w:eastAsia="Calibri Light"/>
      <w:b w:val="0"/>
      <w:bCs w:val="0"/>
      <w:i w:val="0"/>
      <w:iCs w:val="0"/>
      <w:caps w:val="0"/>
      <w:smallCaps w:val="0"/>
      <w:strike w:val="0"/>
      <w:dstrike w:val="0"/>
      <w:outline w:val="0"/>
      <w:color w:val="2f5496"/>
      <w:spacing w:val="0"/>
      <w:kern w:val="0"/>
      <w:position w:val="0"/>
      <w:sz w:val="32"/>
      <w:szCs w:val="32"/>
      <w:u w:val="none" w:color="2f5496"/>
      <w:vertAlign w:val="baseline"/>
      <w:lang w:val="en-US"/>
      <w14:textFill>
        <w14:solidFill>
          <w14:srgbClr w14:val="2F5496"/>
        </w14:solidFill>
      </w14:textFill>
    </w:rPr>
  </w:style>
  <w:style w:type="paragraph" w:styleId="TOC 2">
    <w:name w:val="TOC 2"/>
    <w:next w:val="TOC 2"/>
    <w:pPr>
      <w:keepNext w:val="0"/>
      <w:keepLines w:val="0"/>
      <w:pageBreakBefore w:val="0"/>
      <w:widowControl w:val="1"/>
      <w:shd w:val="clear" w:color="auto" w:fill="auto"/>
      <w:tabs>
        <w:tab w:val="right" w:pos="9340" w:leader="dot"/>
      </w:tabs>
      <w:suppressAutoHyphens w:val="0"/>
      <w:bidi w:val="0"/>
      <w:spacing w:before="0" w:after="100" w:line="480" w:lineRule="auto"/>
      <w:ind w:left="220" w:right="0" w:firstLine="0"/>
      <w:jc w:val="left"/>
      <w:outlineLvl w:val="9"/>
    </w:pP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vertAlign w:val="baseline"/>
      <w:lang w:val="en-US"/>
      <w14:textFill>
        <w14:solidFill>
          <w14:srgbClr w14:val="000000"/>
        </w14:solidFill>
      </w14:textFill>
    </w:rPr>
  </w:style>
  <w:style w:type="paragraph" w:styleId="Heading 2">
    <w:name w:val="Heading 2"/>
    <w:next w:val="Body A"/>
    <w:pPr>
      <w:keepNext w:val="1"/>
      <w:keepLines w:val="1"/>
      <w:pageBreakBefore w:val="0"/>
      <w:widowControl w:val="1"/>
      <w:shd w:val="clear" w:color="auto" w:fill="auto"/>
      <w:suppressAutoHyphens w:val="0"/>
      <w:bidi w:val="0"/>
      <w:spacing w:before="40" w:after="0" w:line="259" w:lineRule="auto"/>
      <w:ind w:left="0" w:right="0" w:firstLine="0"/>
      <w:jc w:val="left"/>
      <w:outlineLvl w:val="1"/>
    </w:pPr>
    <w:rPr>
      <w:rFonts w:ascii="Calibri Light" w:cs="Calibri Light" w:hAnsi="Calibri Light" w:eastAsia="Calibri Light"/>
      <w:b w:val="0"/>
      <w:bCs w:val="0"/>
      <w:i w:val="0"/>
      <w:iCs w:val="0"/>
      <w:caps w:val="0"/>
      <w:smallCaps w:val="0"/>
      <w:strike w:val="0"/>
      <w:dstrike w:val="0"/>
      <w:outline w:val="0"/>
      <w:color w:val="2f5496"/>
      <w:spacing w:val="0"/>
      <w:kern w:val="0"/>
      <w:position w:val="0"/>
      <w:sz w:val="26"/>
      <w:szCs w:val="26"/>
      <w:u w:val="none" w:color="2f5496"/>
      <w:vertAlign w:val="baseline"/>
      <w14:textOutline w14:w="12700" w14:cap="flat">
        <w14:noFill/>
        <w14:miter w14:lim="400000"/>
      </w14:textOutline>
      <w14:textFill>
        <w14:solidFill>
          <w14:srgbClr w14:val="2F5496"/>
        </w14:solidFill>
      </w14:textFill>
    </w:rPr>
  </w:style>
  <w:style w:type="paragraph" w:styleId="TOC 3">
    <w:name w:val="TOC 3"/>
    <w:next w:val="TOC 3"/>
    <w:pPr>
      <w:keepNext w:val="0"/>
      <w:keepLines w:val="0"/>
      <w:pageBreakBefore w:val="0"/>
      <w:widowControl w:val="1"/>
      <w:shd w:val="clear" w:color="auto" w:fill="auto"/>
      <w:tabs>
        <w:tab w:val="right" w:pos="9340" w:leader="dot"/>
      </w:tabs>
      <w:suppressAutoHyphens w:val="0"/>
      <w:bidi w:val="0"/>
      <w:spacing w:before="0" w:after="100" w:line="480" w:lineRule="auto"/>
      <w:ind w:left="440" w:right="0" w:firstLine="0"/>
      <w:jc w:val="left"/>
      <w:outlineLvl w:val="9"/>
    </w:pP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vertAlign w:val="baseline"/>
      <w:lang w:val="en-US"/>
      <w14:textFill>
        <w14:solidFill>
          <w14:srgbClr w14:val="000000"/>
        </w14:solidFill>
      </w14:textFill>
    </w:rPr>
  </w:style>
  <w:style w:type="paragraph" w:styleId="Heading 3">
    <w:name w:val="Heading 3"/>
    <w:next w:val="Body A"/>
    <w:pPr>
      <w:keepNext w:val="1"/>
      <w:keepLines w:val="1"/>
      <w:pageBreakBefore w:val="0"/>
      <w:widowControl w:val="1"/>
      <w:shd w:val="clear" w:color="auto" w:fill="auto"/>
      <w:suppressAutoHyphens w:val="0"/>
      <w:bidi w:val="0"/>
      <w:spacing w:before="40" w:after="0" w:line="259" w:lineRule="auto"/>
      <w:ind w:left="0" w:right="0" w:firstLine="0"/>
      <w:jc w:val="left"/>
      <w:outlineLvl w:val="2"/>
    </w:pPr>
    <w:rPr>
      <w:rFonts w:ascii="Calibri Light" w:cs="Calibri Light" w:hAnsi="Calibri Light" w:eastAsia="Calibri Light"/>
      <w:b w:val="0"/>
      <w:bCs w:val="0"/>
      <w:i w:val="0"/>
      <w:iCs w:val="0"/>
      <w:caps w:val="0"/>
      <w:smallCaps w:val="0"/>
      <w:strike w:val="0"/>
      <w:dstrike w:val="0"/>
      <w:outline w:val="0"/>
      <w:color w:val="1f3763"/>
      <w:spacing w:val="0"/>
      <w:kern w:val="0"/>
      <w:position w:val="0"/>
      <w:sz w:val="24"/>
      <w:szCs w:val="24"/>
      <w:u w:val="none" w:color="1f3763"/>
      <w:vertAlign w:val="baseline"/>
      <w14:textOutline w14:w="12700" w14:cap="flat">
        <w14:noFill/>
        <w14:miter w14:lim="400000"/>
      </w14:textOutline>
      <w14:textFill>
        <w14:solidFill>
          <w14:srgbClr w14:val="1F3763"/>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45718" tIns="45718" rIns="45718" bIns="45718"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