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64C6" w14:textId="77777777" w:rsidR="00CA58D4" w:rsidRDefault="00CA58D4" w:rsidP="00CA58D4">
      <w:pPr>
        <w:pStyle w:val="Title"/>
        <w:jc w:val="center"/>
      </w:pPr>
    </w:p>
    <w:p w14:paraId="779A684D" w14:textId="77777777" w:rsidR="00CA58D4" w:rsidRDefault="00CA58D4" w:rsidP="00CA58D4">
      <w:pPr>
        <w:pStyle w:val="Title"/>
        <w:jc w:val="center"/>
      </w:pPr>
    </w:p>
    <w:p w14:paraId="12756873" w14:textId="77777777" w:rsidR="00CA58D4" w:rsidRDefault="00CA58D4" w:rsidP="00CA58D4">
      <w:pPr>
        <w:pStyle w:val="Title"/>
        <w:jc w:val="center"/>
      </w:pPr>
    </w:p>
    <w:p w14:paraId="2D97658F" w14:textId="77777777" w:rsidR="00CA58D4" w:rsidRDefault="00CA58D4" w:rsidP="00CA58D4">
      <w:pPr>
        <w:pStyle w:val="Title"/>
        <w:jc w:val="center"/>
      </w:pPr>
    </w:p>
    <w:p w14:paraId="769B9174" w14:textId="77777777" w:rsidR="00CA58D4" w:rsidRDefault="00CA58D4" w:rsidP="00CA58D4">
      <w:pPr>
        <w:pStyle w:val="Title"/>
        <w:jc w:val="center"/>
      </w:pPr>
    </w:p>
    <w:p w14:paraId="1E5D91B0" w14:textId="77777777" w:rsidR="00CA58D4" w:rsidRDefault="00CA58D4" w:rsidP="00CA58D4">
      <w:pPr>
        <w:pStyle w:val="Title"/>
        <w:jc w:val="center"/>
      </w:pPr>
    </w:p>
    <w:p w14:paraId="60FA84CA" w14:textId="77777777" w:rsidR="00CA58D4" w:rsidRDefault="00CA58D4" w:rsidP="00CA58D4">
      <w:pPr>
        <w:pStyle w:val="Title"/>
        <w:jc w:val="center"/>
      </w:pPr>
    </w:p>
    <w:p w14:paraId="112D5F36" w14:textId="05C51B18" w:rsidR="00C7508B" w:rsidRDefault="00CA58D4" w:rsidP="00CA58D4">
      <w:pPr>
        <w:pStyle w:val="Title"/>
        <w:jc w:val="center"/>
      </w:pPr>
      <w:r w:rsidRPr="00CA58D4">
        <w:t xml:space="preserve">Name: Addis Richardson </w:t>
      </w:r>
      <w:r w:rsidRPr="00CA58D4">
        <w:br/>
      </w:r>
      <w:r>
        <w:t>L</w:t>
      </w:r>
      <w:r w:rsidRPr="00CA58D4">
        <w:t>ecturer: S</w:t>
      </w:r>
      <w:r>
        <w:t>ujeewa</w:t>
      </w:r>
      <w:r w:rsidRPr="00CA58D4">
        <w:t xml:space="preserve"> </w:t>
      </w:r>
      <w:r>
        <w:t>Herath</w:t>
      </w:r>
      <w:r w:rsidRPr="00CA58D4">
        <w:br/>
      </w:r>
      <w:r>
        <w:t>Student ID</w:t>
      </w:r>
      <w:r w:rsidRPr="00CA58D4">
        <w:t>: 2028001</w:t>
      </w:r>
      <w:r w:rsidRPr="00CA58D4">
        <w:br/>
      </w:r>
      <w:r>
        <w:t>Module Code</w:t>
      </w:r>
      <w:r w:rsidRPr="00CA58D4">
        <w:t>: BMSW4004</w:t>
      </w:r>
    </w:p>
    <w:p w14:paraId="75AD15CC" w14:textId="0C2A2827" w:rsidR="00CA58D4" w:rsidRDefault="00CA58D4" w:rsidP="00CA58D4"/>
    <w:p w14:paraId="48530927" w14:textId="4668A96F" w:rsidR="00CA58D4" w:rsidRDefault="00CA58D4" w:rsidP="00CA58D4"/>
    <w:p w14:paraId="3838F3BF" w14:textId="77777777" w:rsidR="00CA58D4" w:rsidRDefault="00CA58D4">
      <w:r>
        <w:br w:type="page"/>
      </w:r>
    </w:p>
    <w:sdt>
      <w:sdtPr>
        <w:rPr>
          <w:rFonts w:asciiTheme="minorHAnsi" w:eastAsiaTheme="minorHAnsi" w:hAnsiTheme="minorHAnsi" w:cstheme="minorBidi"/>
          <w:b w:val="0"/>
          <w:bCs w:val="0"/>
          <w:color w:val="auto"/>
          <w:sz w:val="24"/>
          <w:szCs w:val="24"/>
          <w:lang w:val="en-GB"/>
        </w:rPr>
        <w:id w:val="1130282091"/>
        <w:docPartObj>
          <w:docPartGallery w:val="Table of Contents"/>
          <w:docPartUnique/>
        </w:docPartObj>
      </w:sdtPr>
      <w:sdtEndPr>
        <w:rPr>
          <w:noProof/>
        </w:rPr>
      </w:sdtEndPr>
      <w:sdtContent>
        <w:p w14:paraId="40D29E91" w14:textId="0D5219AA" w:rsidR="00CA58D4" w:rsidRDefault="00CA58D4">
          <w:pPr>
            <w:pStyle w:val="TOCHeading"/>
          </w:pPr>
          <w:r>
            <w:t>Table of Contents</w:t>
          </w:r>
        </w:p>
        <w:p w14:paraId="7F815616" w14:textId="19F0E21D" w:rsidR="008E0153" w:rsidRDefault="00CA58D4">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8848547" w:history="1">
            <w:r w:rsidR="008E0153" w:rsidRPr="00DC4567">
              <w:rPr>
                <w:rStyle w:val="Hyperlink"/>
                <w:noProof/>
              </w:rPr>
              <w:t>Introduction</w:t>
            </w:r>
            <w:r w:rsidR="008E0153">
              <w:rPr>
                <w:noProof/>
                <w:webHidden/>
              </w:rPr>
              <w:tab/>
            </w:r>
            <w:r w:rsidR="008E0153">
              <w:rPr>
                <w:noProof/>
                <w:webHidden/>
              </w:rPr>
              <w:fldChar w:fldCharType="begin"/>
            </w:r>
            <w:r w:rsidR="008E0153">
              <w:rPr>
                <w:noProof/>
                <w:webHidden/>
              </w:rPr>
              <w:instrText xml:space="preserve"> PAGEREF _Toc88848547 \h </w:instrText>
            </w:r>
            <w:r w:rsidR="008E0153">
              <w:rPr>
                <w:noProof/>
                <w:webHidden/>
              </w:rPr>
            </w:r>
            <w:r w:rsidR="008E0153">
              <w:rPr>
                <w:noProof/>
                <w:webHidden/>
              </w:rPr>
              <w:fldChar w:fldCharType="separate"/>
            </w:r>
            <w:r w:rsidR="008E0153">
              <w:rPr>
                <w:noProof/>
                <w:webHidden/>
              </w:rPr>
              <w:t>3</w:t>
            </w:r>
            <w:r w:rsidR="008E0153">
              <w:rPr>
                <w:noProof/>
                <w:webHidden/>
              </w:rPr>
              <w:fldChar w:fldCharType="end"/>
            </w:r>
          </w:hyperlink>
        </w:p>
        <w:p w14:paraId="1FD07F55" w14:textId="156373B9" w:rsidR="008E0153" w:rsidRDefault="00F23727">
          <w:pPr>
            <w:pStyle w:val="TOC1"/>
            <w:tabs>
              <w:tab w:val="right" w:leader="dot" w:pos="9016"/>
            </w:tabs>
            <w:rPr>
              <w:rFonts w:eastAsiaTheme="minorEastAsia" w:cstheme="minorBidi"/>
              <w:b w:val="0"/>
              <w:bCs w:val="0"/>
              <w:i w:val="0"/>
              <w:iCs w:val="0"/>
              <w:noProof/>
              <w:lang w:eastAsia="en-GB"/>
            </w:rPr>
          </w:pPr>
          <w:hyperlink w:anchor="_Toc88848548" w:history="1">
            <w:r w:rsidR="008E0153" w:rsidRPr="00DC4567">
              <w:rPr>
                <w:rStyle w:val="Hyperlink"/>
                <w:noProof/>
              </w:rPr>
              <w:t>Nature and Impact of Work-Related Stress</w:t>
            </w:r>
            <w:r w:rsidR="008E0153">
              <w:rPr>
                <w:noProof/>
                <w:webHidden/>
              </w:rPr>
              <w:tab/>
            </w:r>
            <w:r w:rsidR="008E0153">
              <w:rPr>
                <w:noProof/>
                <w:webHidden/>
              </w:rPr>
              <w:fldChar w:fldCharType="begin"/>
            </w:r>
            <w:r w:rsidR="008E0153">
              <w:rPr>
                <w:noProof/>
                <w:webHidden/>
              </w:rPr>
              <w:instrText xml:space="preserve"> PAGEREF _Toc88848548 \h </w:instrText>
            </w:r>
            <w:r w:rsidR="008E0153">
              <w:rPr>
                <w:noProof/>
                <w:webHidden/>
              </w:rPr>
            </w:r>
            <w:r w:rsidR="008E0153">
              <w:rPr>
                <w:noProof/>
                <w:webHidden/>
              </w:rPr>
              <w:fldChar w:fldCharType="separate"/>
            </w:r>
            <w:r w:rsidR="008E0153">
              <w:rPr>
                <w:noProof/>
                <w:webHidden/>
              </w:rPr>
              <w:t>3</w:t>
            </w:r>
            <w:r w:rsidR="008E0153">
              <w:rPr>
                <w:noProof/>
                <w:webHidden/>
              </w:rPr>
              <w:fldChar w:fldCharType="end"/>
            </w:r>
          </w:hyperlink>
        </w:p>
        <w:p w14:paraId="1CB1A4BE" w14:textId="01F91684" w:rsidR="008E0153" w:rsidRDefault="00F23727">
          <w:pPr>
            <w:pStyle w:val="TOC1"/>
            <w:tabs>
              <w:tab w:val="right" w:leader="dot" w:pos="9016"/>
            </w:tabs>
            <w:rPr>
              <w:rFonts w:eastAsiaTheme="minorEastAsia" w:cstheme="minorBidi"/>
              <w:b w:val="0"/>
              <w:bCs w:val="0"/>
              <w:i w:val="0"/>
              <w:iCs w:val="0"/>
              <w:noProof/>
              <w:lang w:eastAsia="en-GB"/>
            </w:rPr>
          </w:pPr>
          <w:hyperlink w:anchor="_Toc88848549" w:history="1">
            <w:r w:rsidR="008E0153" w:rsidRPr="00DC4567">
              <w:rPr>
                <w:rStyle w:val="Hyperlink"/>
                <w:noProof/>
              </w:rPr>
              <w:t>PESTLE Analysis</w:t>
            </w:r>
            <w:r w:rsidR="008E0153">
              <w:rPr>
                <w:noProof/>
                <w:webHidden/>
              </w:rPr>
              <w:tab/>
            </w:r>
            <w:r w:rsidR="008E0153">
              <w:rPr>
                <w:noProof/>
                <w:webHidden/>
              </w:rPr>
              <w:fldChar w:fldCharType="begin"/>
            </w:r>
            <w:r w:rsidR="008E0153">
              <w:rPr>
                <w:noProof/>
                <w:webHidden/>
              </w:rPr>
              <w:instrText xml:space="preserve"> PAGEREF _Toc88848549 \h </w:instrText>
            </w:r>
            <w:r w:rsidR="008E0153">
              <w:rPr>
                <w:noProof/>
                <w:webHidden/>
              </w:rPr>
            </w:r>
            <w:r w:rsidR="008E0153">
              <w:rPr>
                <w:noProof/>
                <w:webHidden/>
              </w:rPr>
              <w:fldChar w:fldCharType="separate"/>
            </w:r>
            <w:r w:rsidR="008E0153">
              <w:rPr>
                <w:noProof/>
                <w:webHidden/>
              </w:rPr>
              <w:t>3</w:t>
            </w:r>
            <w:r w:rsidR="008E0153">
              <w:rPr>
                <w:noProof/>
                <w:webHidden/>
              </w:rPr>
              <w:fldChar w:fldCharType="end"/>
            </w:r>
          </w:hyperlink>
        </w:p>
        <w:p w14:paraId="6609BDBA" w14:textId="17DE10E9" w:rsidR="008E0153" w:rsidRDefault="00F23727">
          <w:pPr>
            <w:pStyle w:val="TOC1"/>
            <w:tabs>
              <w:tab w:val="right" w:leader="dot" w:pos="9016"/>
            </w:tabs>
            <w:rPr>
              <w:rFonts w:eastAsiaTheme="minorEastAsia" w:cstheme="minorBidi"/>
              <w:b w:val="0"/>
              <w:bCs w:val="0"/>
              <w:i w:val="0"/>
              <w:iCs w:val="0"/>
              <w:noProof/>
              <w:lang w:eastAsia="en-GB"/>
            </w:rPr>
          </w:pPr>
          <w:hyperlink w:anchor="_Toc88848550" w:history="1">
            <w:r w:rsidR="008E0153" w:rsidRPr="00DC4567">
              <w:rPr>
                <w:rStyle w:val="Hyperlink"/>
                <w:noProof/>
              </w:rPr>
              <w:t>Cause and Effective Analysis</w:t>
            </w:r>
            <w:r w:rsidR="008E0153">
              <w:rPr>
                <w:noProof/>
                <w:webHidden/>
              </w:rPr>
              <w:tab/>
            </w:r>
            <w:r w:rsidR="008E0153">
              <w:rPr>
                <w:noProof/>
                <w:webHidden/>
              </w:rPr>
              <w:fldChar w:fldCharType="begin"/>
            </w:r>
            <w:r w:rsidR="008E0153">
              <w:rPr>
                <w:noProof/>
                <w:webHidden/>
              </w:rPr>
              <w:instrText xml:space="preserve"> PAGEREF _Toc88848550 \h </w:instrText>
            </w:r>
            <w:r w:rsidR="008E0153">
              <w:rPr>
                <w:noProof/>
                <w:webHidden/>
              </w:rPr>
            </w:r>
            <w:r w:rsidR="008E0153">
              <w:rPr>
                <w:noProof/>
                <w:webHidden/>
              </w:rPr>
              <w:fldChar w:fldCharType="separate"/>
            </w:r>
            <w:r w:rsidR="008E0153">
              <w:rPr>
                <w:noProof/>
                <w:webHidden/>
              </w:rPr>
              <w:t>5</w:t>
            </w:r>
            <w:r w:rsidR="008E0153">
              <w:rPr>
                <w:noProof/>
                <w:webHidden/>
              </w:rPr>
              <w:fldChar w:fldCharType="end"/>
            </w:r>
          </w:hyperlink>
        </w:p>
        <w:p w14:paraId="1EC064F6" w14:textId="2746AFD3" w:rsidR="008E0153" w:rsidRDefault="00F23727">
          <w:pPr>
            <w:pStyle w:val="TOC1"/>
            <w:tabs>
              <w:tab w:val="right" w:leader="dot" w:pos="9016"/>
            </w:tabs>
            <w:rPr>
              <w:rFonts w:eastAsiaTheme="minorEastAsia" w:cstheme="minorBidi"/>
              <w:b w:val="0"/>
              <w:bCs w:val="0"/>
              <w:i w:val="0"/>
              <w:iCs w:val="0"/>
              <w:noProof/>
              <w:lang w:eastAsia="en-GB"/>
            </w:rPr>
          </w:pPr>
          <w:hyperlink w:anchor="_Toc88848551" w:history="1">
            <w:r w:rsidR="008E0153" w:rsidRPr="00DC4567">
              <w:rPr>
                <w:rStyle w:val="Hyperlink"/>
                <w:noProof/>
              </w:rPr>
              <w:t>Solutions</w:t>
            </w:r>
            <w:r w:rsidR="008E0153">
              <w:rPr>
                <w:noProof/>
                <w:webHidden/>
              </w:rPr>
              <w:tab/>
            </w:r>
            <w:r w:rsidR="008E0153">
              <w:rPr>
                <w:noProof/>
                <w:webHidden/>
              </w:rPr>
              <w:fldChar w:fldCharType="begin"/>
            </w:r>
            <w:r w:rsidR="008E0153">
              <w:rPr>
                <w:noProof/>
                <w:webHidden/>
              </w:rPr>
              <w:instrText xml:space="preserve"> PAGEREF _Toc88848551 \h </w:instrText>
            </w:r>
            <w:r w:rsidR="008E0153">
              <w:rPr>
                <w:noProof/>
                <w:webHidden/>
              </w:rPr>
            </w:r>
            <w:r w:rsidR="008E0153">
              <w:rPr>
                <w:noProof/>
                <w:webHidden/>
              </w:rPr>
              <w:fldChar w:fldCharType="separate"/>
            </w:r>
            <w:r w:rsidR="008E0153">
              <w:rPr>
                <w:noProof/>
                <w:webHidden/>
              </w:rPr>
              <w:t>5</w:t>
            </w:r>
            <w:r w:rsidR="008E0153">
              <w:rPr>
                <w:noProof/>
                <w:webHidden/>
              </w:rPr>
              <w:fldChar w:fldCharType="end"/>
            </w:r>
          </w:hyperlink>
        </w:p>
        <w:p w14:paraId="55EDE36B" w14:textId="58C6BA92" w:rsidR="008E0153" w:rsidRDefault="00F23727">
          <w:pPr>
            <w:pStyle w:val="TOC1"/>
            <w:tabs>
              <w:tab w:val="right" w:leader="dot" w:pos="9016"/>
            </w:tabs>
            <w:rPr>
              <w:rFonts w:eastAsiaTheme="minorEastAsia" w:cstheme="minorBidi"/>
              <w:b w:val="0"/>
              <w:bCs w:val="0"/>
              <w:i w:val="0"/>
              <w:iCs w:val="0"/>
              <w:noProof/>
              <w:lang w:eastAsia="en-GB"/>
            </w:rPr>
          </w:pPr>
          <w:hyperlink w:anchor="_Toc88848552" w:history="1">
            <w:r w:rsidR="008E0153" w:rsidRPr="00DC4567">
              <w:rPr>
                <w:rStyle w:val="Hyperlink"/>
                <w:noProof/>
              </w:rPr>
              <w:t>Action Plan</w:t>
            </w:r>
            <w:r w:rsidR="008E0153">
              <w:rPr>
                <w:noProof/>
                <w:webHidden/>
              </w:rPr>
              <w:tab/>
            </w:r>
            <w:r w:rsidR="008E0153">
              <w:rPr>
                <w:noProof/>
                <w:webHidden/>
              </w:rPr>
              <w:fldChar w:fldCharType="begin"/>
            </w:r>
            <w:r w:rsidR="008E0153">
              <w:rPr>
                <w:noProof/>
                <w:webHidden/>
              </w:rPr>
              <w:instrText xml:space="preserve"> PAGEREF _Toc88848552 \h </w:instrText>
            </w:r>
            <w:r w:rsidR="008E0153">
              <w:rPr>
                <w:noProof/>
                <w:webHidden/>
              </w:rPr>
            </w:r>
            <w:r w:rsidR="008E0153">
              <w:rPr>
                <w:noProof/>
                <w:webHidden/>
              </w:rPr>
              <w:fldChar w:fldCharType="separate"/>
            </w:r>
            <w:r w:rsidR="008E0153">
              <w:rPr>
                <w:noProof/>
                <w:webHidden/>
              </w:rPr>
              <w:t>6</w:t>
            </w:r>
            <w:r w:rsidR="008E0153">
              <w:rPr>
                <w:noProof/>
                <w:webHidden/>
              </w:rPr>
              <w:fldChar w:fldCharType="end"/>
            </w:r>
          </w:hyperlink>
        </w:p>
        <w:p w14:paraId="223A669A" w14:textId="5698346D" w:rsidR="008E0153" w:rsidRDefault="00F23727">
          <w:pPr>
            <w:pStyle w:val="TOC1"/>
            <w:tabs>
              <w:tab w:val="right" w:leader="dot" w:pos="9016"/>
            </w:tabs>
            <w:rPr>
              <w:rFonts w:eastAsiaTheme="minorEastAsia" w:cstheme="minorBidi"/>
              <w:b w:val="0"/>
              <w:bCs w:val="0"/>
              <w:i w:val="0"/>
              <w:iCs w:val="0"/>
              <w:noProof/>
              <w:lang w:eastAsia="en-GB"/>
            </w:rPr>
          </w:pPr>
          <w:hyperlink w:anchor="_Toc88848553" w:history="1">
            <w:r w:rsidR="008E0153" w:rsidRPr="00DC4567">
              <w:rPr>
                <w:rStyle w:val="Hyperlink"/>
                <w:noProof/>
              </w:rPr>
              <w:t>Conclusion</w:t>
            </w:r>
            <w:r w:rsidR="008E0153">
              <w:rPr>
                <w:noProof/>
                <w:webHidden/>
              </w:rPr>
              <w:tab/>
            </w:r>
            <w:r w:rsidR="008E0153">
              <w:rPr>
                <w:noProof/>
                <w:webHidden/>
              </w:rPr>
              <w:fldChar w:fldCharType="begin"/>
            </w:r>
            <w:r w:rsidR="008E0153">
              <w:rPr>
                <w:noProof/>
                <w:webHidden/>
              </w:rPr>
              <w:instrText xml:space="preserve"> PAGEREF _Toc88848553 \h </w:instrText>
            </w:r>
            <w:r w:rsidR="008E0153">
              <w:rPr>
                <w:noProof/>
                <w:webHidden/>
              </w:rPr>
            </w:r>
            <w:r w:rsidR="008E0153">
              <w:rPr>
                <w:noProof/>
                <w:webHidden/>
              </w:rPr>
              <w:fldChar w:fldCharType="separate"/>
            </w:r>
            <w:r w:rsidR="008E0153">
              <w:rPr>
                <w:noProof/>
                <w:webHidden/>
              </w:rPr>
              <w:t>6</w:t>
            </w:r>
            <w:r w:rsidR="008E0153">
              <w:rPr>
                <w:noProof/>
                <w:webHidden/>
              </w:rPr>
              <w:fldChar w:fldCharType="end"/>
            </w:r>
          </w:hyperlink>
        </w:p>
        <w:p w14:paraId="357ED68C" w14:textId="3BE4429B" w:rsidR="008E0153" w:rsidRDefault="00F23727">
          <w:pPr>
            <w:pStyle w:val="TOC1"/>
            <w:tabs>
              <w:tab w:val="right" w:leader="dot" w:pos="9016"/>
            </w:tabs>
            <w:rPr>
              <w:rFonts w:eastAsiaTheme="minorEastAsia" w:cstheme="minorBidi"/>
              <w:b w:val="0"/>
              <w:bCs w:val="0"/>
              <w:i w:val="0"/>
              <w:iCs w:val="0"/>
              <w:noProof/>
              <w:lang w:eastAsia="en-GB"/>
            </w:rPr>
          </w:pPr>
          <w:hyperlink w:anchor="_Toc88848554" w:history="1">
            <w:r w:rsidR="008E0153" w:rsidRPr="00DC4567">
              <w:rPr>
                <w:rStyle w:val="Hyperlink"/>
                <w:noProof/>
              </w:rPr>
              <w:t>References</w:t>
            </w:r>
            <w:r w:rsidR="008E0153">
              <w:rPr>
                <w:noProof/>
                <w:webHidden/>
              </w:rPr>
              <w:tab/>
            </w:r>
            <w:r w:rsidR="008E0153">
              <w:rPr>
                <w:noProof/>
                <w:webHidden/>
              </w:rPr>
              <w:fldChar w:fldCharType="begin"/>
            </w:r>
            <w:r w:rsidR="008E0153">
              <w:rPr>
                <w:noProof/>
                <w:webHidden/>
              </w:rPr>
              <w:instrText xml:space="preserve"> PAGEREF _Toc88848554 \h </w:instrText>
            </w:r>
            <w:r w:rsidR="008E0153">
              <w:rPr>
                <w:noProof/>
                <w:webHidden/>
              </w:rPr>
            </w:r>
            <w:r w:rsidR="008E0153">
              <w:rPr>
                <w:noProof/>
                <w:webHidden/>
              </w:rPr>
              <w:fldChar w:fldCharType="separate"/>
            </w:r>
            <w:r w:rsidR="008E0153">
              <w:rPr>
                <w:noProof/>
                <w:webHidden/>
              </w:rPr>
              <w:t>8</w:t>
            </w:r>
            <w:r w:rsidR="008E0153">
              <w:rPr>
                <w:noProof/>
                <w:webHidden/>
              </w:rPr>
              <w:fldChar w:fldCharType="end"/>
            </w:r>
          </w:hyperlink>
        </w:p>
        <w:p w14:paraId="6B19FD82" w14:textId="5DF97FF7" w:rsidR="00CA58D4" w:rsidRDefault="00CA58D4">
          <w:r>
            <w:rPr>
              <w:b/>
              <w:bCs/>
              <w:noProof/>
            </w:rPr>
            <w:fldChar w:fldCharType="end"/>
          </w:r>
        </w:p>
      </w:sdtContent>
    </w:sdt>
    <w:p w14:paraId="0728E1BC" w14:textId="2101EBF4" w:rsidR="00CA58D4" w:rsidRDefault="00CA58D4" w:rsidP="00CA58D4"/>
    <w:p w14:paraId="61C5C2F6" w14:textId="77777777" w:rsidR="00CA58D4" w:rsidRDefault="00CA58D4">
      <w:r>
        <w:br w:type="page"/>
      </w:r>
    </w:p>
    <w:p w14:paraId="1C45134B" w14:textId="51648C8D" w:rsidR="00CA58D4" w:rsidRDefault="00CA58D4" w:rsidP="00CA58D4">
      <w:pPr>
        <w:pStyle w:val="Heading1"/>
      </w:pPr>
      <w:bookmarkStart w:id="0" w:name="_Toc88848547"/>
      <w:r>
        <w:lastRenderedPageBreak/>
        <w:t>Introduction</w:t>
      </w:r>
      <w:bookmarkEnd w:id="0"/>
    </w:p>
    <w:p w14:paraId="1970F09D" w14:textId="0FDDE37B" w:rsidR="00CA58D4" w:rsidRDefault="00CA58D4" w:rsidP="00CA58D4">
      <w:r>
        <w:t xml:space="preserve">This report is concerned with driving a research-informed discussion related to the nature and the impact of work-related stress on employees and organisations as per the case study at hand. Moreover, a Cause-and-Effect Analysis alongside a PESTLE Analysis are presented as to ensure a more comprehensive understanding of the complex problem. Finally, an evaluation of different solutions is delivered as well as an action plan of implementation for the most optimal solution presented. </w:t>
      </w:r>
    </w:p>
    <w:p w14:paraId="4E6C91F7" w14:textId="6B917699" w:rsidR="00CA58D4" w:rsidRDefault="00CA58D4" w:rsidP="00CA58D4"/>
    <w:p w14:paraId="4E5B5D90" w14:textId="6A0C2979" w:rsidR="00CA58D4" w:rsidRPr="000F43C1" w:rsidRDefault="00CA58D4" w:rsidP="00CA58D4">
      <w:pPr>
        <w:rPr>
          <w:color w:val="000000" w:themeColor="text1"/>
        </w:rPr>
      </w:pPr>
      <w:r>
        <w:t>Within the past two years, stress-related absenteeism has been on the rise in the U</w:t>
      </w:r>
      <w:r w:rsidR="00D062C4">
        <w:t>K (Cartwright and Roach, 2021)</w:t>
      </w:r>
      <w:r>
        <w:rPr>
          <w:color w:val="000000" w:themeColor="text1"/>
        </w:rPr>
        <w:t xml:space="preserve">. </w:t>
      </w:r>
      <w:r w:rsidR="000F43C1">
        <w:rPr>
          <w:color w:val="000000" w:themeColor="text1"/>
        </w:rPr>
        <w:t>The main areas that drive this increase in stress are organisational politics followed by performance related pressures and the working environment. Moreover, the customer service sector with direct exposure to consumer complaints and unsatisfied consumers is the field that is currently leading in terms of degree of stress. The overall nature of the problem as dynamic and highly influenced by a great number of factors translates in a need for recognition of the issue and corrective action.</w:t>
      </w:r>
    </w:p>
    <w:p w14:paraId="204FF1DA" w14:textId="0C298510" w:rsidR="00CA58D4" w:rsidRDefault="00CA58D4" w:rsidP="00CA58D4">
      <w:pPr>
        <w:pStyle w:val="Heading1"/>
      </w:pPr>
      <w:bookmarkStart w:id="1" w:name="_Toc88848548"/>
      <w:r>
        <w:t>Nature and Impact of Work-Related Stress</w:t>
      </w:r>
      <w:bookmarkEnd w:id="1"/>
    </w:p>
    <w:p w14:paraId="2FE276E1" w14:textId="01726495" w:rsidR="000F43C1" w:rsidRDefault="000F43C1" w:rsidP="000F43C1">
      <w:r>
        <w:t>First of all, stress in general is a psychological state that is comprised of a combination of emotional and cognitive factor</w:t>
      </w:r>
      <w:r w:rsidR="00D062C4">
        <w:t>s (Pearline et. Al., 1981)</w:t>
      </w:r>
      <w:r>
        <w:t>. In other words, the issue related to stress can be defined as the result of the sum of pressures that an individual is presented with and that negatively impacts their mental, emotional or physical performance. Secondly, however, work-related stress is a more specific problem. It refers to the stressors that become excessive and prolonged in the professional environment in relation to the ability of an employee to cope with thes</w:t>
      </w:r>
      <w:r w:rsidR="00D062C4">
        <w:t>e (Cox, Griffiths and Rial-Gonzalez, 2000)</w:t>
      </w:r>
      <w:r>
        <w:t xml:space="preserve">. On one hand, experiencing work challenges can drive motivation and energise the workforce. On the other hand, these excessive and prolonged pressures can translate in an unsustainable psychological state. </w:t>
      </w:r>
    </w:p>
    <w:p w14:paraId="289B0EEA" w14:textId="0C5BF873" w:rsidR="000F43C1" w:rsidRDefault="000F43C1" w:rsidP="000F43C1"/>
    <w:p w14:paraId="3F570F45" w14:textId="3EA7BC9A" w:rsidR="000F43C1" w:rsidRDefault="000F43C1" w:rsidP="000F43C1">
      <w:r>
        <w:t>The impact of work-related stress is direct for both employees as well as employers. This is argued b</w:t>
      </w:r>
      <w:r w:rsidR="00D062C4">
        <w:t xml:space="preserve">y Rowden et. Al. (2011) </w:t>
      </w:r>
      <w:r>
        <w:t>as:</w:t>
      </w:r>
    </w:p>
    <w:p w14:paraId="41C3E0F1" w14:textId="6B5D07A4" w:rsidR="00196E61" w:rsidRDefault="000F43C1" w:rsidP="000F43C1">
      <w:pPr>
        <w:pStyle w:val="ListParagraph"/>
        <w:numPr>
          <w:ilvl w:val="0"/>
          <w:numId w:val="1"/>
        </w:numPr>
      </w:pPr>
      <w:r>
        <w:t xml:space="preserve">Impact on the employee – physical and psychological symptoms (e.g., depression and anxiety), </w:t>
      </w:r>
      <w:r w:rsidR="00196E61">
        <w:t xml:space="preserve">cardiovascular and other clinical diseases connected to stress, the threat of losing one’s job due to an inability to cope (therefore a loss of income) and finally, an inability to benefit from a vital work-life balance. </w:t>
      </w:r>
      <w:r w:rsidR="008E0153">
        <w:t xml:space="preserve">Consequently, the impact on employees as individuals can be life changing and long lasting. </w:t>
      </w:r>
    </w:p>
    <w:p w14:paraId="61C7C025" w14:textId="043BF3AF" w:rsidR="000F43C1" w:rsidRPr="000F43C1" w:rsidRDefault="00196E61" w:rsidP="000F43C1">
      <w:pPr>
        <w:pStyle w:val="ListParagraph"/>
        <w:numPr>
          <w:ilvl w:val="0"/>
          <w:numId w:val="1"/>
        </w:numPr>
      </w:pPr>
      <w:r>
        <w:t xml:space="preserve">Impact on the employer – an increase in absenteeism, low performance related to low morale and lack of concentration due to stress, a negative brand image due to an inability to effectively manage human resources and ultimately, a critical loss of revenue. </w:t>
      </w:r>
      <w:r w:rsidR="008E0153">
        <w:t xml:space="preserve">Additionally, significant non-value adding costs can be registered by businesses that do not effectively address work-related stress such as costs related to morale, motivation, staff turnover, recruitment and staff training. </w:t>
      </w:r>
    </w:p>
    <w:p w14:paraId="1466408F" w14:textId="7F88C1D4" w:rsidR="000F43C1" w:rsidRDefault="00CA58D4" w:rsidP="000F43C1">
      <w:pPr>
        <w:pStyle w:val="Heading1"/>
      </w:pPr>
      <w:bookmarkStart w:id="2" w:name="_Toc88848549"/>
      <w:r>
        <w:t>PESTLE Analysis</w:t>
      </w:r>
      <w:bookmarkEnd w:id="2"/>
      <w:r w:rsidR="00196E61">
        <w:t xml:space="preserve"> </w:t>
      </w:r>
    </w:p>
    <w:p w14:paraId="3C80E73D" w14:textId="5DC55836" w:rsidR="00196E61" w:rsidRDefault="00196E61" w:rsidP="00196E61">
      <w:r>
        <w:t>The following PESTLE Analysis has been conducted to gain a better understanding related to the complex problem of work-related stress:</w:t>
      </w:r>
    </w:p>
    <w:p w14:paraId="76D5F00C" w14:textId="6CF18375" w:rsidR="00196E61" w:rsidRDefault="00196E61" w:rsidP="00196E61">
      <w:pPr>
        <w:pStyle w:val="ListParagraph"/>
        <w:numPr>
          <w:ilvl w:val="0"/>
          <w:numId w:val="2"/>
        </w:numPr>
      </w:pPr>
      <w:r>
        <w:t>Political factors that influence the problem:</w:t>
      </w:r>
    </w:p>
    <w:p w14:paraId="084D1991" w14:textId="6254C071" w:rsidR="00196E61" w:rsidRDefault="00196E61" w:rsidP="00196E61">
      <w:pPr>
        <w:pStyle w:val="ListParagraph"/>
        <w:numPr>
          <w:ilvl w:val="0"/>
          <w:numId w:val="3"/>
        </w:numPr>
      </w:pPr>
      <w:r>
        <w:lastRenderedPageBreak/>
        <w:t xml:space="preserve">Tax policy and its impact on employer revenues, this includes policies of the government. High taxes result in less funds for the business to invest into employee wellbeing. </w:t>
      </w:r>
    </w:p>
    <w:p w14:paraId="68678810" w14:textId="7DAFB29A" w:rsidR="00196E61" w:rsidRPr="00196E61" w:rsidRDefault="00196E61" w:rsidP="00196E61">
      <w:pPr>
        <w:pStyle w:val="ListParagraph"/>
        <w:numPr>
          <w:ilvl w:val="0"/>
          <w:numId w:val="3"/>
        </w:numPr>
      </w:pPr>
      <w:r>
        <w:t>Laws that protect the employer at the expense of the employee such as contractual laws that enable employers to request staff to work additional responsibilities as required by the busines</w:t>
      </w:r>
      <w:r w:rsidR="00D062C4">
        <w:t>s (Hill, 2004)</w:t>
      </w:r>
      <w:r>
        <w:rPr>
          <w:color w:val="000000" w:themeColor="text1"/>
        </w:rPr>
        <w:t xml:space="preserve">. </w:t>
      </w:r>
    </w:p>
    <w:p w14:paraId="02D616FE" w14:textId="21CDCB68" w:rsidR="00196E61" w:rsidRPr="00196E61" w:rsidRDefault="00196E61" w:rsidP="00196E61">
      <w:pPr>
        <w:pStyle w:val="ListParagraph"/>
        <w:numPr>
          <w:ilvl w:val="0"/>
          <w:numId w:val="3"/>
        </w:numPr>
      </w:pPr>
      <w:r>
        <w:rPr>
          <w:color w:val="000000" w:themeColor="text1"/>
        </w:rPr>
        <w:t>International trade policy and trade bans that can lead to further pressures on the employee’s daily life as work objectives cannot be achieved due to external factors.</w:t>
      </w:r>
    </w:p>
    <w:p w14:paraId="530BA988" w14:textId="2C477F9D" w:rsidR="00196E61" w:rsidRDefault="00196E61" w:rsidP="00196E61">
      <w:pPr>
        <w:pStyle w:val="ListParagraph"/>
        <w:numPr>
          <w:ilvl w:val="0"/>
          <w:numId w:val="2"/>
        </w:numPr>
      </w:pPr>
      <w:r>
        <w:t>Economic factors that influence the problem:</w:t>
      </w:r>
    </w:p>
    <w:p w14:paraId="4DF7787C" w14:textId="6F012A92" w:rsidR="00196E61" w:rsidRDefault="00196E61" w:rsidP="00196E61">
      <w:pPr>
        <w:pStyle w:val="ListParagraph"/>
        <w:numPr>
          <w:ilvl w:val="0"/>
          <w:numId w:val="4"/>
        </w:numPr>
      </w:pPr>
      <w:r>
        <w:t xml:space="preserve">Economic recovery in terms of spending power and ability to afford basic needs on, for example, minimum wage contracts. </w:t>
      </w:r>
    </w:p>
    <w:p w14:paraId="1ACB226B" w14:textId="7ED7011A" w:rsidR="00196E61" w:rsidRDefault="00196E61" w:rsidP="00196E61">
      <w:pPr>
        <w:pStyle w:val="ListParagraph"/>
        <w:numPr>
          <w:ilvl w:val="0"/>
          <w:numId w:val="4"/>
        </w:numPr>
      </w:pPr>
      <w:r>
        <w:t>The COVID-19 pandemic and Brexit have both led to staff shortages and loss of revenues for businesses at a national scal</w:t>
      </w:r>
      <w:r w:rsidR="00D062C4">
        <w:t>e (</w:t>
      </w:r>
      <w:proofErr w:type="spellStart"/>
      <w:r w:rsidR="00D062C4">
        <w:t>Fernanez</w:t>
      </w:r>
      <w:proofErr w:type="spellEnd"/>
      <w:r w:rsidR="00D062C4">
        <w:t>-Reino, Sumption and Vargas-Silva, 2020)</w:t>
      </w:r>
      <w:r>
        <w:t xml:space="preserve">. Hence, additional pressure is applied on existing staff. </w:t>
      </w:r>
    </w:p>
    <w:p w14:paraId="0288A135" w14:textId="11949D81" w:rsidR="00196E61" w:rsidRDefault="00196E61" w:rsidP="00196E61">
      <w:pPr>
        <w:pStyle w:val="ListParagraph"/>
        <w:numPr>
          <w:ilvl w:val="0"/>
          <w:numId w:val="4"/>
        </w:numPr>
      </w:pPr>
      <w:r>
        <w:t xml:space="preserve">Unemployment rates and the overall fear of unemployment (lack of security) can affect one’s mindset and ability to concentrate. </w:t>
      </w:r>
    </w:p>
    <w:p w14:paraId="0D6B2B58" w14:textId="5E507D7E" w:rsidR="00196E61" w:rsidRDefault="00196E61" w:rsidP="00196E61">
      <w:pPr>
        <w:pStyle w:val="ListParagraph"/>
        <w:numPr>
          <w:ilvl w:val="0"/>
          <w:numId w:val="4"/>
        </w:numPr>
      </w:pPr>
      <w:r>
        <w:t xml:space="preserve">Interest rates influence disposable income and can be linked to whether the workforce is able to enjoy a sustainable work-life balance. </w:t>
      </w:r>
    </w:p>
    <w:p w14:paraId="6610A4DD" w14:textId="62FEBC82" w:rsidR="00196E61" w:rsidRDefault="00196E61" w:rsidP="00196E61">
      <w:pPr>
        <w:pStyle w:val="ListParagraph"/>
        <w:numPr>
          <w:ilvl w:val="0"/>
          <w:numId w:val="2"/>
        </w:numPr>
      </w:pPr>
      <w:r>
        <w:t>Social factors that influence the problem:</w:t>
      </w:r>
    </w:p>
    <w:p w14:paraId="6192A87B" w14:textId="0B4A2BA7" w:rsidR="00196E61" w:rsidRDefault="00196E61" w:rsidP="00196E61">
      <w:pPr>
        <w:pStyle w:val="ListParagraph"/>
        <w:numPr>
          <w:ilvl w:val="0"/>
          <w:numId w:val="5"/>
        </w:numPr>
      </w:pPr>
      <w:r>
        <w:t xml:space="preserve">The population growth rate </w:t>
      </w:r>
      <w:r w:rsidR="00D265FC">
        <w:t xml:space="preserve">and pyramid can drive competitiveness in certain fields, whether specialised or otherwise, and this can impact on stability, security, motivation, replaceability etc. </w:t>
      </w:r>
    </w:p>
    <w:p w14:paraId="377963A2" w14:textId="117E8C9B" w:rsidR="00D265FC" w:rsidRDefault="00D265FC" w:rsidP="00196E61">
      <w:pPr>
        <w:pStyle w:val="ListParagraph"/>
        <w:numPr>
          <w:ilvl w:val="0"/>
          <w:numId w:val="5"/>
        </w:numPr>
      </w:pPr>
      <w:r>
        <w:t>Career attitudes are distinct from individual to individual as they are a product of intrinsic and external factor</w:t>
      </w:r>
      <w:r w:rsidR="00D062C4">
        <w:t>s (Hicks-Clarke and Iles, 2000)</w:t>
      </w:r>
      <w:r>
        <w:t xml:space="preserve">. Consequently, different employees can react differently to work stressors. </w:t>
      </w:r>
    </w:p>
    <w:p w14:paraId="06D9DD94" w14:textId="728BFC55" w:rsidR="00D265FC" w:rsidRDefault="00D265FC" w:rsidP="00196E61">
      <w:pPr>
        <w:pStyle w:val="ListParagraph"/>
        <w:numPr>
          <w:ilvl w:val="0"/>
          <w:numId w:val="5"/>
        </w:numPr>
      </w:pPr>
      <w:r>
        <w:t xml:space="preserve">Cultural norms often imply an emphasis on career progression and commitment to continuous professional development. This can be the case at the expense of personal wellbeing. </w:t>
      </w:r>
    </w:p>
    <w:p w14:paraId="7F5C45A2" w14:textId="23D67016" w:rsidR="00D265FC" w:rsidRDefault="00D265FC" w:rsidP="00196E61">
      <w:pPr>
        <w:pStyle w:val="ListParagraph"/>
        <w:numPr>
          <w:ilvl w:val="0"/>
          <w:numId w:val="5"/>
        </w:numPr>
      </w:pPr>
      <w:r>
        <w:t>Health consciousness, especially mental health, is increasing in contemporary time</w:t>
      </w:r>
      <w:r w:rsidR="00D062C4">
        <w:t>s (</w:t>
      </w:r>
      <w:proofErr w:type="spellStart"/>
      <w:r w:rsidR="00D062C4">
        <w:t>Auzoult</w:t>
      </w:r>
      <w:proofErr w:type="spellEnd"/>
      <w:r w:rsidR="00D062C4">
        <w:t xml:space="preserve"> et. Al., 2021)</w:t>
      </w:r>
      <w:r>
        <w:t xml:space="preserve">. Nevertheless, significant progress is required for organisations and individuals to effectively recognise the need for solutions. </w:t>
      </w:r>
    </w:p>
    <w:p w14:paraId="18991A0E" w14:textId="1A8156C0" w:rsidR="00D265FC" w:rsidRDefault="00D265FC" w:rsidP="00D265FC">
      <w:pPr>
        <w:pStyle w:val="ListParagraph"/>
        <w:numPr>
          <w:ilvl w:val="0"/>
          <w:numId w:val="2"/>
        </w:numPr>
      </w:pPr>
      <w:r>
        <w:t>Technological factors that influence the problem:</w:t>
      </w:r>
    </w:p>
    <w:p w14:paraId="6EE9CE3A" w14:textId="73323AAB" w:rsidR="00D265FC" w:rsidRDefault="00B250BC" w:rsidP="00D265FC">
      <w:pPr>
        <w:pStyle w:val="ListParagraph"/>
        <w:numPr>
          <w:ilvl w:val="0"/>
          <w:numId w:val="8"/>
        </w:numPr>
      </w:pPr>
      <w:r>
        <w:t>Technology changes and advancements have led to the introduction of automatisation within the working environment. According t</w:t>
      </w:r>
      <w:r w:rsidR="00D062C4">
        <w:t>o Vieitez, Carcia and Rodriguez (2001)</w:t>
      </w:r>
      <w:r>
        <w:t xml:space="preserve">, this can impact on the sense of security employees have in terms of their relevance to the business. </w:t>
      </w:r>
    </w:p>
    <w:p w14:paraId="4C00115E" w14:textId="4B9D01CC" w:rsidR="00B250BC" w:rsidRDefault="00B250BC" w:rsidP="00D265FC">
      <w:pPr>
        <w:pStyle w:val="ListParagraph"/>
        <w:numPr>
          <w:ilvl w:val="0"/>
          <w:numId w:val="8"/>
        </w:numPr>
      </w:pPr>
      <w:r>
        <w:t>Research and development moreover have translated to frequent and significant changes in processes and operations that require training and specific skills. This implies a need for technological awareness and therefore further employee responsibilities.</w:t>
      </w:r>
    </w:p>
    <w:p w14:paraId="615AC653" w14:textId="0FC8C104" w:rsidR="00B250BC" w:rsidRDefault="00B250BC" w:rsidP="00B250BC">
      <w:pPr>
        <w:pStyle w:val="ListParagraph"/>
        <w:numPr>
          <w:ilvl w:val="0"/>
          <w:numId w:val="2"/>
        </w:numPr>
      </w:pPr>
      <w:r>
        <w:t>Environmental factors that influence the problem:</w:t>
      </w:r>
    </w:p>
    <w:p w14:paraId="23A1770B" w14:textId="3B9C3AC3" w:rsidR="00B250BC" w:rsidRDefault="00B250BC" w:rsidP="00B250BC">
      <w:pPr>
        <w:pStyle w:val="ListParagraph"/>
        <w:numPr>
          <w:ilvl w:val="0"/>
          <w:numId w:val="9"/>
        </w:numPr>
      </w:pPr>
      <w:r>
        <w:lastRenderedPageBreak/>
        <w:t>Climate change and physical environmental aspects can improve or minimise the degree of focus employees can invest into their workplac</w:t>
      </w:r>
      <w:r w:rsidR="00D062C4">
        <w:t>e (Hanna et. Al., 2011)</w:t>
      </w:r>
      <w:r>
        <w:t>.</w:t>
      </w:r>
    </w:p>
    <w:p w14:paraId="40D9D7CF" w14:textId="7B219D73" w:rsidR="00B250BC" w:rsidRDefault="00B250BC" w:rsidP="00B250BC">
      <w:pPr>
        <w:pStyle w:val="ListParagraph"/>
        <w:numPr>
          <w:ilvl w:val="0"/>
          <w:numId w:val="9"/>
        </w:numPr>
      </w:pPr>
      <w:r>
        <w:t xml:space="preserve">Similarly, NGOs that seek to place pressure on organisations to implement environmental policies within their operations are directly impacting the daily activities of internal staff. </w:t>
      </w:r>
    </w:p>
    <w:p w14:paraId="53A23EC2" w14:textId="107DE880" w:rsidR="00B250BC" w:rsidRDefault="00B250BC" w:rsidP="00B250BC">
      <w:pPr>
        <w:pStyle w:val="ListParagraph"/>
        <w:numPr>
          <w:ilvl w:val="0"/>
          <w:numId w:val="2"/>
        </w:numPr>
      </w:pPr>
      <w:r>
        <w:t>Legal factors that influence the problem:</w:t>
      </w:r>
    </w:p>
    <w:p w14:paraId="3720F964" w14:textId="528CC5A6" w:rsidR="00196E61" w:rsidRPr="00196E61" w:rsidRDefault="00B250BC" w:rsidP="00196E61">
      <w:pPr>
        <w:pStyle w:val="ListParagraph"/>
        <w:numPr>
          <w:ilvl w:val="0"/>
          <w:numId w:val="10"/>
        </w:numPr>
      </w:pPr>
      <w:r>
        <w:t xml:space="preserve">Laws such as environmental, anti-trust, consumerism, copyright and patent as well as health and safety can either improve working conditions or hinder their optimisation. </w:t>
      </w:r>
    </w:p>
    <w:p w14:paraId="71A53D84" w14:textId="7D874D2A" w:rsidR="00CA58D4" w:rsidRDefault="00CA58D4" w:rsidP="00CA58D4">
      <w:pPr>
        <w:pStyle w:val="Heading1"/>
      </w:pPr>
      <w:bookmarkStart w:id="3" w:name="_Toc88848550"/>
      <w:r>
        <w:t>Cause and Effective Analysis</w:t>
      </w:r>
      <w:bookmarkEnd w:id="3"/>
    </w:p>
    <w:p w14:paraId="35753C46" w14:textId="45BAA221" w:rsidR="00B250BC" w:rsidRDefault="00B250BC" w:rsidP="00B250BC">
      <w:r>
        <w:t>As per the Fishbone Analysis conducted within the presentation, the following causes and the work-related stress effect are explored as pe</w:t>
      </w:r>
      <w:r w:rsidR="00D062C4">
        <w:t>r Michie (2002)</w:t>
      </w:r>
      <w:r>
        <w:t>:</w:t>
      </w:r>
    </w:p>
    <w:p w14:paraId="25A8C044" w14:textId="6F5746D6" w:rsidR="00B250BC" w:rsidRDefault="00B250BC" w:rsidP="00B250BC">
      <w:pPr>
        <w:pStyle w:val="ListParagraph"/>
        <w:numPr>
          <w:ilvl w:val="0"/>
          <w:numId w:val="11"/>
        </w:numPr>
      </w:pPr>
      <w:r>
        <w:t xml:space="preserve">Working environment – this refers to a range of causes such as an unsuitable environment that is not conducive of optimal working, limited or poor working facilities and a lack of suitable equipment to conduct daily operations. </w:t>
      </w:r>
    </w:p>
    <w:p w14:paraId="024570E3" w14:textId="785B9527" w:rsidR="00B250BC" w:rsidRDefault="00B250BC" w:rsidP="00B250BC">
      <w:pPr>
        <w:pStyle w:val="ListParagraph"/>
        <w:numPr>
          <w:ilvl w:val="0"/>
          <w:numId w:val="11"/>
        </w:numPr>
      </w:pPr>
      <w:r>
        <w:t xml:space="preserve">Equipment related causes – this encompasses issues such as computer problems, lack of working materials and out-dated equipment that can result in frustrations in the workplace. </w:t>
      </w:r>
    </w:p>
    <w:p w14:paraId="6C760355" w14:textId="7F3D5D7B" w:rsidR="00B250BC" w:rsidRDefault="00B250BC" w:rsidP="00B250BC">
      <w:pPr>
        <w:pStyle w:val="ListParagraph"/>
        <w:numPr>
          <w:ilvl w:val="0"/>
          <w:numId w:val="11"/>
        </w:numPr>
      </w:pPr>
      <w:r>
        <w:t xml:space="preserve">The employer-employee relation – this can include training related causes, for example lack of or unsuitable training, poor communication processes that do not promote openness and trust as well as low motivation on the job due to a lack of effort in creating and maintaining a sustainable relationship. </w:t>
      </w:r>
    </w:p>
    <w:p w14:paraId="70383676" w14:textId="3862D1C9" w:rsidR="00B250BC" w:rsidRDefault="00B250BC" w:rsidP="00B250BC">
      <w:pPr>
        <w:pStyle w:val="ListParagraph"/>
        <w:numPr>
          <w:ilvl w:val="0"/>
          <w:numId w:val="11"/>
        </w:numPr>
      </w:pPr>
      <w:r>
        <w:t xml:space="preserve">Financial causes – the revenue baseline of a company can impact on its investment in its human resources. As such, employees may be underpaid, required to work less hours or </w:t>
      </w:r>
      <w:r w:rsidR="00424FF4">
        <w:t xml:space="preserve">to commit to unpaid overtime as to create value for the company. </w:t>
      </w:r>
    </w:p>
    <w:p w14:paraId="4216E21D" w14:textId="1D64F5C2" w:rsidR="00424FF4" w:rsidRDefault="00424FF4" w:rsidP="00B250BC">
      <w:pPr>
        <w:pStyle w:val="ListParagraph"/>
        <w:numPr>
          <w:ilvl w:val="0"/>
          <w:numId w:val="11"/>
        </w:numPr>
      </w:pPr>
      <w:r>
        <w:t xml:space="preserve">Workplace harassment – this includes office politics, gossip, discrimination and bullying. All presenting a lasting and critical effect on the workforce developing stress-related conditions. </w:t>
      </w:r>
    </w:p>
    <w:p w14:paraId="4534D111" w14:textId="729C74D0" w:rsidR="00D87BDD" w:rsidRDefault="00D87BDD" w:rsidP="00D87BDD"/>
    <w:p w14:paraId="773A4C3D" w14:textId="2668B69C" w:rsidR="00D87BDD" w:rsidRPr="00B250BC" w:rsidRDefault="00D87BDD" w:rsidP="00D87BDD">
      <w:r>
        <w:t>In order to identify the causes of work-related stress in a more specific manner, organisations must be able to identify when human resources are unable to cope with the demands of their role by monitoring their historical and current performance. In addition, when employees do not entirely understand their responsibilities, this is a sign of added stress and of an inability to effectively inform and train the internal talen</w:t>
      </w:r>
      <w:r w:rsidR="00D062C4">
        <w:t>t (Bliese and Castro, 2000)</w:t>
      </w:r>
      <w:r>
        <w:t>.</w:t>
      </w:r>
    </w:p>
    <w:p w14:paraId="1A2B2350" w14:textId="03F66658" w:rsidR="00424FF4" w:rsidRDefault="00CA58D4" w:rsidP="00CA58D4">
      <w:pPr>
        <w:pStyle w:val="Heading1"/>
      </w:pPr>
      <w:bookmarkStart w:id="4" w:name="_Toc88848551"/>
      <w:r>
        <w:t>Solutions</w:t>
      </w:r>
      <w:bookmarkEnd w:id="4"/>
      <w:r w:rsidR="00424FF4">
        <w:t xml:space="preserve"> </w:t>
      </w:r>
    </w:p>
    <w:p w14:paraId="1EC0ECE0" w14:textId="0DDDEB4A" w:rsidR="00424FF4" w:rsidRDefault="00424FF4" w:rsidP="00424FF4">
      <w:r>
        <w:t xml:space="preserve">A number of solutions can be implemented from the perspective of the employer as well as the employee. On one hand, employees can consider requesting flexible hours to suit personal need </w:t>
      </w:r>
      <w:proofErr w:type="gramStart"/>
      <w:r>
        <w:t>if and when</w:t>
      </w:r>
      <w:proofErr w:type="gramEnd"/>
      <w:r>
        <w:t xml:space="preserve"> possible. Staff members can similarly contribute to the improvement of the workplace environment by providing specific </w:t>
      </w:r>
      <w:r w:rsidR="008E0153">
        <w:t>alternatives</w:t>
      </w:r>
      <w:r>
        <w:t xml:space="preserve"> to the problems identified. In critical situations, new employment can be sought – however,</w:t>
      </w:r>
      <w:r w:rsidR="00D062C4">
        <w:t xml:space="preserve"> Ganster and Schaubroeck (1991) </w:t>
      </w:r>
      <w:r>
        <w:t>argue that this does not address the core causes of work-related stress and it does not develop the employee in terms of coping strategies</w:t>
      </w:r>
      <w:r w:rsidR="008E0153">
        <w:t xml:space="preserve"> – the latter being a critical benefit to minimising stress in the long-term</w:t>
      </w:r>
      <w:r>
        <w:t xml:space="preserve">. From the employee </w:t>
      </w:r>
      <w:r>
        <w:lastRenderedPageBreak/>
        <w:t xml:space="preserve">perspective, requesting additional support from the employer and seeking medical support are optimal solutions due to a potential to implicate external parties to resolve a complex problem. </w:t>
      </w:r>
    </w:p>
    <w:p w14:paraId="763CD8BC" w14:textId="175396A4" w:rsidR="00424FF4" w:rsidRDefault="00424FF4" w:rsidP="00424FF4"/>
    <w:p w14:paraId="7CC6CC3E" w14:textId="6A2DEC38" w:rsidR="00424FF4" w:rsidRDefault="00424FF4" w:rsidP="00424FF4">
      <w:r>
        <w:t>On the other hand, employer solutions include the following as pe</w:t>
      </w:r>
      <w:r w:rsidR="00D062C4">
        <w:t>r Grayham (1997)</w:t>
      </w:r>
      <w:r>
        <w:t>:</w:t>
      </w:r>
    </w:p>
    <w:p w14:paraId="2D11F84A" w14:textId="1AE953F3" w:rsidR="00424FF4" w:rsidRDefault="00424FF4" w:rsidP="00424FF4">
      <w:pPr>
        <w:pStyle w:val="ListParagraph"/>
        <w:numPr>
          <w:ilvl w:val="0"/>
          <w:numId w:val="12"/>
        </w:numPr>
      </w:pPr>
      <w:r>
        <w:t xml:space="preserve">Encouraging workplace wellness by subsidising gym memberships, encouraging lunch walks, yoga, healthy eating and other wellness activities. </w:t>
      </w:r>
    </w:p>
    <w:p w14:paraId="04464582" w14:textId="1FFFA63E" w:rsidR="00424FF4" w:rsidRDefault="00424FF4" w:rsidP="00424FF4">
      <w:pPr>
        <w:pStyle w:val="ListParagraph"/>
        <w:numPr>
          <w:ilvl w:val="0"/>
          <w:numId w:val="12"/>
        </w:numPr>
      </w:pPr>
      <w:r>
        <w:t xml:space="preserve">Improving the working environment as per employee feedback. This recognises employee input, and it provides a solution that is specific to employee needs. </w:t>
      </w:r>
    </w:p>
    <w:p w14:paraId="00AC8D98" w14:textId="6125469D" w:rsidR="00424FF4" w:rsidRDefault="00424FF4" w:rsidP="00424FF4">
      <w:pPr>
        <w:pStyle w:val="ListParagraph"/>
        <w:numPr>
          <w:ilvl w:val="0"/>
          <w:numId w:val="12"/>
        </w:numPr>
      </w:pPr>
      <w:r>
        <w:t xml:space="preserve">Enabling remote and flexible working depending on the nature of the role. This can build confidence and trust within the team, while providing a sense of freedom. </w:t>
      </w:r>
    </w:p>
    <w:p w14:paraId="6E12E32D" w14:textId="7C48F6ED" w:rsidR="00424FF4" w:rsidRDefault="00424FF4" w:rsidP="00424FF4">
      <w:pPr>
        <w:pStyle w:val="ListParagraph"/>
        <w:numPr>
          <w:ilvl w:val="0"/>
          <w:numId w:val="12"/>
        </w:numPr>
      </w:pPr>
      <w:r>
        <w:t xml:space="preserve">Promoting social activities between co-workers. </w:t>
      </w:r>
    </w:p>
    <w:p w14:paraId="30DF59FD" w14:textId="55AAE56B" w:rsidR="00424FF4" w:rsidRDefault="00424FF4" w:rsidP="00424FF4">
      <w:pPr>
        <w:pStyle w:val="ListParagraph"/>
        <w:numPr>
          <w:ilvl w:val="0"/>
          <w:numId w:val="12"/>
        </w:numPr>
      </w:pPr>
      <w:r>
        <w:t xml:space="preserve">Enabling quiet time as to alleviate the natural stress absorbed in high pressure roles. </w:t>
      </w:r>
    </w:p>
    <w:p w14:paraId="457EA5F3" w14:textId="65F7E311" w:rsidR="00424FF4" w:rsidRPr="00424FF4" w:rsidRDefault="00424FF4" w:rsidP="00424FF4">
      <w:r>
        <w:t xml:space="preserve">Overall, all the solutions that are implemented within the workplace must consider both the perspective of the employer in terms of resource availability and organisational objectives as well as that of the employee in terms of needs and wants. </w:t>
      </w:r>
    </w:p>
    <w:p w14:paraId="37D5F25A" w14:textId="28F60922" w:rsidR="00CA58D4" w:rsidRDefault="00CA58D4" w:rsidP="00CA58D4">
      <w:pPr>
        <w:pStyle w:val="Heading1"/>
      </w:pPr>
      <w:bookmarkStart w:id="5" w:name="_Toc88848552"/>
      <w:r>
        <w:t>Action Plan</w:t>
      </w:r>
      <w:bookmarkEnd w:id="5"/>
      <w:r w:rsidR="00424FF4">
        <w:t xml:space="preserve"> </w:t>
      </w:r>
    </w:p>
    <w:p w14:paraId="01C931CD" w14:textId="4C53372D" w:rsidR="00424FF4" w:rsidRDefault="00424FF4" w:rsidP="00424FF4">
      <w:r>
        <w:t xml:space="preserve">In accordance with the above suggestions, two key solutions have been selected for the employee and the employer: seeking support and encouraging wellness activities. </w:t>
      </w:r>
    </w:p>
    <w:p w14:paraId="4297E105" w14:textId="2F789D87" w:rsidR="00424FF4" w:rsidRDefault="00424FF4" w:rsidP="00424FF4"/>
    <w:p w14:paraId="41401843" w14:textId="520008BE" w:rsidR="00424FF4" w:rsidRDefault="00424FF4" w:rsidP="00424FF4">
      <w:r>
        <w:t>In terms of an action plan for each solution, the below recommendations are provided:</w:t>
      </w:r>
    </w:p>
    <w:p w14:paraId="665C4A85" w14:textId="57B65875" w:rsidR="00424FF4" w:rsidRDefault="00424FF4" w:rsidP="00424FF4">
      <w:pPr>
        <w:pStyle w:val="ListParagraph"/>
        <w:numPr>
          <w:ilvl w:val="0"/>
          <w:numId w:val="10"/>
        </w:numPr>
      </w:pPr>
      <w:r>
        <w:t xml:space="preserve">The employee must research the availability of support needed and its nature. In addition, the workforce must be able to reflect and identify the key areas that create stress within the working environment as to highlight them to relevant parties. Upon receiving support, a degree of accountability and responsibility must be displayed in relation to contributing to the solutions identified. </w:t>
      </w:r>
    </w:p>
    <w:p w14:paraId="66FA807D" w14:textId="4BB44B46" w:rsidR="00D87BDD" w:rsidRDefault="00424FF4" w:rsidP="00CA58D4">
      <w:pPr>
        <w:pStyle w:val="ListParagraph"/>
        <w:numPr>
          <w:ilvl w:val="0"/>
          <w:numId w:val="10"/>
        </w:numPr>
      </w:pPr>
      <w:r>
        <w:t xml:space="preserve">The employer </w:t>
      </w:r>
      <w:r w:rsidR="00D87BDD">
        <w:t xml:space="preserve">must understand its workforce by conducting surveys related to job satisfaction, current issues experienced, passions, preferred activities, availability etc. By collecting this valuable information, the organisation </w:t>
      </w:r>
      <w:proofErr w:type="gramStart"/>
      <w:r w:rsidR="00D87BDD">
        <w:t>is able to</w:t>
      </w:r>
      <w:proofErr w:type="gramEnd"/>
      <w:r w:rsidR="00D87BDD">
        <w:t xml:space="preserve"> tailor activities that are optimal to promoting wellbeing for each staff member. </w:t>
      </w:r>
    </w:p>
    <w:p w14:paraId="5EB89285" w14:textId="42049F89" w:rsidR="00D87BDD" w:rsidRDefault="00D87BDD" w:rsidP="00D87BDD">
      <w:r>
        <w:t>Overall, as outside the workplace, support systems must be implemented and maintained within each business. A quality Human Resource Management strategy addresses this and is therefore a crucial need for all organisations that place value on their talent</w:t>
      </w:r>
      <w:r w:rsidR="00FC72A2">
        <w:t>.</w:t>
      </w:r>
      <w:r w:rsidR="00D062C4">
        <w:t xml:space="preserve"> </w:t>
      </w:r>
      <w:proofErr w:type="spellStart"/>
      <w:r w:rsidR="00D062C4">
        <w:t>Wikhamn</w:t>
      </w:r>
      <w:proofErr w:type="spellEnd"/>
      <w:r w:rsidR="00D062C4">
        <w:t xml:space="preserve"> (2019) </w:t>
      </w:r>
      <w:r w:rsidR="00FC72A2">
        <w:t xml:space="preserve">argues that sustainable HRM can reduce work-related stress, work-family conflict as well as burnout. It can moreover be implemented by aligning HR values with contemporary societal and environmental needs that address the problems the modern workforce experiences in and outside the working environment. </w:t>
      </w:r>
    </w:p>
    <w:p w14:paraId="69FF5CC1" w14:textId="4E0312F1" w:rsidR="00CA58D4" w:rsidRDefault="00CA58D4" w:rsidP="00CA58D4">
      <w:pPr>
        <w:pStyle w:val="Heading1"/>
      </w:pPr>
      <w:bookmarkStart w:id="6" w:name="_Toc88848553"/>
      <w:r>
        <w:t>Conclusion</w:t>
      </w:r>
      <w:bookmarkEnd w:id="6"/>
      <w:r w:rsidR="00424FF4">
        <w:t xml:space="preserve"> </w:t>
      </w:r>
    </w:p>
    <w:p w14:paraId="6D0E57C2" w14:textId="1A32390B" w:rsidR="00D87BDD" w:rsidRDefault="00D87BDD" w:rsidP="00D87BDD">
      <w:r>
        <w:t xml:space="preserve">Work-related stress is a complex problem because its extensive implications on the employer and the employee as well as due to the complexity of its causes and thus, </w:t>
      </w:r>
      <w:r>
        <w:lastRenderedPageBreak/>
        <w:t xml:space="preserve">solutions. Regardless of the solutions implemented to address this issue, organisations must be able to recognise the dynamic nature of individuals and to therefore tailor their approach to the unique needs the workforce presents. </w:t>
      </w:r>
    </w:p>
    <w:p w14:paraId="13C32195" w14:textId="3FEC08A7" w:rsidR="00D062C4" w:rsidRDefault="00D062C4" w:rsidP="00D87BDD"/>
    <w:p w14:paraId="5D14B8FF" w14:textId="5BDC3211" w:rsidR="008E0153" w:rsidRDefault="008E0153" w:rsidP="00D87BDD"/>
    <w:p w14:paraId="3C0AEEBD" w14:textId="2BBB8B26" w:rsidR="00D062C4" w:rsidRDefault="008E0153" w:rsidP="00D87BDD">
      <w:r>
        <w:br w:type="page"/>
      </w:r>
    </w:p>
    <w:p w14:paraId="3B3C5594" w14:textId="5113CE68" w:rsidR="00D062C4" w:rsidRDefault="00D062C4" w:rsidP="00D062C4">
      <w:pPr>
        <w:pStyle w:val="Heading1"/>
      </w:pPr>
      <w:bookmarkStart w:id="7" w:name="_Toc88848554"/>
      <w:r>
        <w:lastRenderedPageBreak/>
        <w:t>References</w:t>
      </w:r>
      <w:bookmarkEnd w:id="7"/>
    </w:p>
    <w:p w14:paraId="7FE241B8" w14:textId="75A97CF0" w:rsidR="00D062C4" w:rsidRDefault="00D062C4" w:rsidP="00D062C4"/>
    <w:p w14:paraId="3F760448" w14:textId="77777777" w:rsidR="008E0153" w:rsidRPr="008E0153" w:rsidRDefault="008E0153" w:rsidP="008E0153">
      <w:pPr>
        <w:rPr>
          <w:rFonts w:ascii="Times New Roman" w:eastAsia="Times New Roman" w:hAnsi="Times New Roman" w:cs="Times New Roman"/>
          <w:lang w:eastAsia="en-GB"/>
        </w:rPr>
      </w:pPr>
      <w:proofErr w:type="spellStart"/>
      <w:r w:rsidRPr="008E0153">
        <w:rPr>
          <w:rFonts w:ascii="Arial" w:eastAsia="Times New Roman" w:hAnsi="Arial" w:cs="Arial"/>
          <w:color w:val="222222"/>
          <w:sz w:val="20"/>
          <w:szCs w:val="20"/>
          <w:shd w:val="clear" w:color="auto" w:fill="FFFFFF"/>
          <w:lang w:eastAsia="en-GB"/>
        </w:rPr>
        <w:t>Auzoult</w:t>
      </w:r>
      <w:proofErr w:type="spellEnd"/>
      <w:r w:rsidRPr="008E0153">
        <w:rPr>
          <w:rFonts w:ascii="Arial" w:eastAsia="Times New Roman" w:hAnsi="Arial" w:cs="Arial"/>
          <w:color w:val="222222"/>
          <w:sz w:val="20"/>
          <w:szCs w:val="20"/>
          <w:shd w:val="clear" w:color="auto" w:fill="FFFFFF"/>
          <w:lang w:eastAsia="en-GB"/>
        </w:rPr>
        <w:t>, L., Priolo, D., Blanchet, C. and Guilbert, L., 2021. Self-and Coregulation of Health and Performance at Workplace. </w:t>
      </w:r>
      <w:r w:rsidRPr="008E0153">
        <w:rPr>
          <w:rFonts w:ascii="Arial" w:eastAsia="Times New Roman" w:hAnsi="Arial" w:cs="Arial"/>
          <w:i/>
          <w:iCs/>
          <w:color w:val="222222"/>
          <w:sz w:val="20"/>
          <w:szCs w:val="20"/>
          <w:lang w:eastAsia="en-GB"/>
        </w:rPr>
        <w:t>Psychological Studies</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66</w:t>
      </w:r>
      <w:r w:rsidRPr="008E0153">
        <w:rPr>
          <w:rFonts w:ascii="Arial" w:eastAsia="Times New Roman" w:hAnsi="Arial" w:cs="Arial"/>
          <w:color w:val="222222"/>
          <w:sz w:val="20"/>
          <w:szCs w:val="20"/>
          <w:shd w:val="clear" w:color="auto" w:fill="FFFFFF"/>
          <w:lang w:eastAsia="en-GB"/>
        </w:rPr>
        <w:t>(1), pp.14-25.</w:t>
      </w:r>
    </w:p>
    <w:p w14:paraId="022AFE99" w14:textId="77777777" w:rsidR="008E0153" w:rsidRDefault="008E0153" w:rsidP="00D062C4"/>
    <w:p w14:paraId="1F47DBD9"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Bliese, P.D. and Castro, C.A., 2000. Role clarity, work overload and organizational support: Multilevel evidence of the importance of support. </w:t>
      </w:r>
      <w:r w:rsidRPr="008E0153">
        <w:rPr>
          <w:rFonts w:ascii="Arial" w:eastAsia="Times New Roman" w:hAnsi="Arial" w:cs="Arial"/>
          <w:i/>
          <w:iCs/>
          <w:color w:val="222222"/>
          <w:sz w:val="20"/>
          <w:szCs w:val="20"/>
          <w:lang w:eastAsia="en-GB"/>
        </w:rPr>
        <w:t>Work &amp; Stress</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14</w:t>
      </w:r>
      <w:r w:rsidRPr="008E0153">
        <w:rPr>
          <w:rFonts w:ascii="Arial" w:eastAsia="Times New Roman" w:hAnsi="Arial" w:cs="Arial"/>
          <w:color w:val="222222"/>
          <w:sz w:val="20"/>
          <w:szCs w:val="20"/>
          <w:shd w:val="clear" w:color="auto" w:fill="FFFFFF"/>
          <w:lang w:eastAsia="en-GB"/>
        </w:rPr>
        <w:t>(1), pp.65-73.</w:t>
      </w:r>
    </w:p>
    <w:p w14:paraId="1A0965A3" w14:textId="697B1C4E" w:rsidR="008E0153" w:rsidRDefault="008E0153" w:rsidP="00D062C4"/>
    <w:p w14:paraId="1B237E1B"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Cartwright, A. and Roach, J., 2021. The wellbeing of UK police: a study of recorded absences from work of UK police employees due to psychological illness and stress using freedom of information act data. </w:t>
      </w:r>
      <w:r w:rsidRPr="008E0153">
        <w:rPr>
          <w:rFonts w:ascii="Arial" w:eastAsia="Times New Roman" w:hAnsi="Arial" w:cs="Arial"/>
          <w:i/>
          <w:iCs/>
          <w:color w:val="222222"/>
          <w:sz w:val="20"/>
          <w:szCs w:val="20"/>
          <w:lang w:eastAsia="en-GB"/>
        </w:rPr>
        <w:t>Policing: A Journal of Policy and Practice</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15</w:t>
      </w:r>
      <w:r w:rsidRPr="008E0153">
        <w:rPr>
          <w:rFonts w:ascii="Arial" w:eastAsia="Times New Roman" w:hAnsi="Arial" w:cs="Arial"/>
          <w:color w:val="222222"/>
          <w:sz w:val="20"/>
          <w:szCs w:val="20"/>
          <w:shd w:val="clear" w:color="auto" w:fill="FFFFFF"/>
          <w:lang w:eastAsia="en-GB"/>
        </w:rPr>
        <w:t>(2), pp.1326-1338.</w:t>
      </w:r>
    </w:p>
    <w:p w14:paraId="32F9C397" w14:textId="77777777" w:rsidR="008E0153" w:rsidRDefault="008E0153" w:rsidP="00D062C4"/>
    <w:p w14:paraId="30F82E8F"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Cox, T., Griffiths, A. and Rial-Gonzalez, E., 2000. Work-related stress. </w:t>
      </w:r>
      <w:r w:rsidRPr="008E0153">
        <w:rPr>
          <w:rFonts w:ascii="Arial" w:eastAsia="Times New Roman" w:hAnsi="Arial" w:cs="Arial"/>
          <w:i/>
          <w:iCs/>
          <w:color w:val="222222"/>
          <w:sz w:val="20"/>
          <w:szCs w:val="20"/>
          <w:lang w:eastAsia="en-GB"/>
        </w:rPr>
        <w:t>Office for Official Publications of the European Communities, Luxembourg</w:t>
      </w:r>
      <w:r w:rsidRPr="008E0153">
        <w:rPr>
          <w:rFonts w:ascii="Arial" w:eastAsia="Times New Roman" w:hAnsi="Arial" w:cs="Arial"/>
          <w:color w:val="222222"/>
          <w:sz w:val="20"/>
          <w:szCs w:val="20"/>
          <w:shd w:val="clear" w:color="auto" w:fill="FFFFFF"/>
          <w:lang w:eastAsia="en-GB"/>
        </w:rPr>
        <w:t>.</w:t>
      </w:r>
    </w:p>
    <w:p w14:paraId="758B80F1" w14:textId="77777777" w:rsidR="008E0153" w:rsidRDefault="008E0153" w:rsidP="00D062C4"/>
    <w:p w14:paraId="41AA295D"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Fernández-Reino, M., Sumption, M. and Vargas-Silva, C., 2020. From low-skilled to key workers: the implications of emergencies for immigration policy. </w:t>
      </w:r>
      <w:r w:rsidRPr="008E0153">
        <w:rPr>
          <w:rFonts w:ascii="Arial" w:eastAsia="Times New Roman" w:hAnsi="Arial" w:cs="Arial"/>
          <w:i/>
          <w:iCs/>
          <w:color w:val="222222"/>
          <w:sz w:val="20"/>
          <w:szCs w:val="20"/>
          <w:lang w:eastAsia="en-GB"/>
        </w:rPr>
        <w:t>Oxford Review of Economic Policy</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36</w:t>
      </w:r>
      <w:r w:rsidRPr="008E0153">
        <w:rPr>
          <w:rFonts w:ascii="Arial" w:eastAsia="Times New Roman" w:hAnsi="Arial" w:cs="Arial"/>
          <w:color w:val="222222"/>
          <w:sz w:val="20"/>
          <w:szCs w:val="20"/>
          <w:shd w:val="clear" w:color="auto" w:fill="FFFFFF"/>
          <w:lang w:eastAsia="en-GB"/>
        </w:rPr>
        <w:t xml:space="preserve">(Supplement_1), </w:t>
      </w:r>
      <w:proofErr w:type="gramStart"/>
      <w:r w:rsidRPr="008E0153">
        <w:rPr>
          <w:rFonts w:ascii="Arial" w:eastAsia="Times New Roman" w:hAnsi="Arial" w:cs="Arial"/>
          <w:color w:val="222222"/>
          <w:sz w:val="20"/>
          <w:szCs w:val="20"/>
          <w:shd w:val="clear" w:color="auto" w:fill="FFFFFF"/>
          <w:lang w:eastAsia="en-GB"/>
        </w:rPr>
        <w:t>pp.S</w:t>
      </w:r>
      <w:proofErr w:type="gramEnd"/>
      <w:r w:rsidRPr="008E0153">
        <w:rPr>
          <w:rFonts w:ascii="Arial" w:eastAsia="Times New Roman" w:hAnsi="Arial" w:cs="Arial"/>
          <w:color w:val="222222"/>
          <w:sz w:val="20"/>
          <w:szCs w:val="20"/>
          <w:shd w:val="clear" w:color="auto" w:fill="FFFFFF"/>
          <w:lang w:eastAsia="en-GB"/>
        </w:rPr>
        <w:t>382-S396.</w:t>
      </w:r>
    </w:p>
    <w:p w14:paraId="6CFCC387" w14:textId="77777777" w:rsidR="008E0153" w:rsidRDefault="008E0153" w:rsidP="00D062C4"/>
    <w:p w14:paraId="0DA954D2"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Ganster, D.C. and Schaubroeck, J., 1991. Work stress and employee health. </w:t>
      </w:r>
      <w:r w:rsidRPr="008E0153">
        <w:rPr>
          <w:rFonts w:ascii="Arial" w:eastAsia="Times New Roman" w:hAnsi="Arial" w:cs="Arial"/>
          <w:i/>
          <w:iCs/>
          <w:color w:val="222222"/>
          <w:sz w:val="20"/>
          <w:szCs w:val="20"/>
          <w:lang w:eastAsia="en-GB"/>
        </w:rPr>
        <w:t>Journal of management</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17</w:t>
      </w:r>
      <w:r w:rsidRPr="008E0153">
        <w:rPr>
          <w:rFonts w:ascii="Arial" w:eastAsia="Times New Roman" w:hAnsi="Arial" w:cs="Arial"/>
          <w:color w:val="222222"/>
          <w:sz w:val="20"/>
          <w:szCs w:val="20"/>
          <w:shd w:val="clear" w:color="auto" w:fill="FFFFFF"/>
          <w:lang w:eastAsia="en-GB"/>
        </w:rPr>
        <w:t>(2), pp.235-271.</w:t>
      </w:r>
    </w:p>
    <w:p w14:paraId="3573AAE5" w14:textId="3427BBE7" w:rsidR="008E0153" w:rsidRDefault="008E0153" w:rsidP="00D062C4"/>
    <w:p w14:paraId="2EB49582"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Grayham, D.A., 1997. Work-related stress: implications for the employer. </w:t>
      </w:r>
      <w:r w:rsidRPr="008E0153">
        <w:rPr>
          <w:rFonts w:ascii="Arial" w:eastAsia="Times New Roman" w:hAnsi="Arial" w:cs="Arial"/>
          <w:i/>
          <w:iCs/>
          <w:color w:val="222222"/>
          <w:sz w:val="20"/>
          <w:szCs w:val="20"/>
          <w:lang w:eastAsia="en-GB"/>
        </w:rPr>
        <w:t>Journal of the Royal Society of Health</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117</w:t>
      </w:r>
      <w:r w:rsidRPr="008E0153">
        <w:rPr>
          <w:rFonts w:ascii="Arial" w:eastAsia="Times New Roman" w:hAnsi="Arial" w:cs="Arial"/>
          <w:color w:val="222222"/>
          <w:sz w:val="20"/>
          <w:szCs w:val="20"/>
          <w:shd w:val="clear" w:color="auto" w:fill="FFFFFF"/>
          <w:lang w:eastAsia="en-GB"/>
        </w:rPr>
        <w:t>(2), pp.81-87.</w:t>
      </w:r>
    </w:p>
    <w:p w14:paraId="73606EEC" w14:textId="2254D18F" w:rsidR="008E0153" w:rsidRDefault="008E0153" w:rsidP="00D062C4"/>
    <w:p w14:paraId="6D0A2FD8"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 xml:space="preserve">Hanna, E.G., </w:t>
      </w:r>
      <w:proofErr w:type="spellStart"/>
      <w:r w:rsidRPr="008E0153">
        <w:rPr>
          <w:rFonts w:ascii="Arial" w:eastAsia="Times New Roman" w:hAnsi="Arial" w:cs="Arial"/>
          <w:color w:val="222222"/>
          <w:sz w:val="20"/>
          <w:szCs w:val="20"/>
          <w:shd w:val="clear" w:color="auto" w:fill="FFFFFF"/>
          <w:lang w:eastAsia="en-GB"/>
        </w:rPr>
        <w:t>Kjellstrom</w:t>
      </w:r>
      <w:proofErr w:type="spellEnd"/>
      <w:r w:rsidRPr="008E0153">
        <w:rPr>
          <w:rFonts w:ascii="Arial" w:eastAsia="Times New Roman" w:hAnsi="Arial" w:cs="Arial"/>
          <w:color w:val="222222"/>
          <w:sz w:val="20"/>
          <w:szCs w:val="20"/>
          <w:shd w:val="clear" w:color="auto" w:fill="FFFFFF"/>
          <w:lang w:eastAsia="en-GB"/>
        </w:rPr>
        <w:t>, T., Bennett, C. and Dear, K., 2011. Climate change and rising heat: population health implications for working people in Australia. </w:t>
      </w:r>
      <w:r w:rsidRPr="008E0153">
        <w:rPr>
          <w:rFonts w:ascii="Arial" w:eastAsia="Times New Roman" w:hAnsi="Arial" w:cs="Arial"/>
          <w:i/>
          <w:iCs/>
          <w:color w:val="222222"/>
          <w:sz w:val="20"/>
          <w:szCs w:val="20"/>
          <w:lang w:eastAsia="en-GB"/>
        </w:rPr>
        <w:t>Asia Pacific Journal of Public Health</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23</w:t>
      </w:r>
      <w:r w:rsidRPr="008E0153">
        <w:rPr>
          <w:rFonts w:ascii="Arial" w:eastAsia="Times New Roman" w:hAnsi="Arial" w:cs="Arial"/>
          <w:color w:val="222222"/>
          <w:sz w:val="20"/>
          <w:szCs w:val="20"/>
          <w:shd w:val="clear" w:color="auto" w:fill="FFFFFF"/>
          <w:lang w:eastAsia="en-GB"/>
        </w:rPr>
        <w:t>(2_suppl), pp.14S-26S.</w:t>
      </w:r>
    </w:p>
    <w:p w14:paraId="2AF82534" w14:textId="2D8F1BF8" w:rsidR="008E0153" w:rsidRDefault="008E0153" w:rsidP="00D062C4"/>
    <w:p w14:paraId="11665D58"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Hicks</w:t>
      </w:r>
      <w:r w:rsidRPr="008E0153">
        <w:rPr>
          <w:rFonts w:ascii="Cambria Math" w:eastAsia="Times New Roman" w:hAnsi="Cambria Math" w:cs="Cambria Math"/>
          <w:color w:val="222222"/>
          <w:sz w:val="20"/>
          <w:szCs w:val="20"/>
          <w:shd w:val="clear" w:color="auto" w:fill="FFFFFF"/>
          <w:lang w:eastAsia="en-GB"/>
        </w:rPr>
        <w:t>‐</w:t>
      </w:r>
      <w:r w:rsidRPr="008E0153">
        <w:rPr>
          <w:rFonts w:ascii="Arial" w:eastAsia="Times New Roman" w:hAnsi="Arial" w:cs="Arial"/>
          <w:color w:val="222222"/>
          <w:sz w:val="20"/>
          <w:szCs w:val="20"/>
          <w:shd w:val="clear" w:color="auto" w:fill="FFFFFF"/>
          <w:lang w:eastAsia="en-GB"/>
        </w:rPr>
        <w:t>Clarke, D. and Iles, P., 2000. Climate for diversity and its effects on career and organisational attitudes and perceptions. </w:t>
      </w:r>
      <w:r w:rsidRPr="008E0153">
        <w:rPr>
          <w:rFonts w:ascii="Arial" w:eastAsia="Times New Roman" w:hAnsi="Arial" w:cs="Arial"/>
          <w:i/>
          <w:iCs/>
          <w:color w:val="222222"/>
          <w:sz w:val="20"/>
          <w:szCs w:val="20"/>
          <w:lang w:eastAsia="en-GB"/>
        </w:rPr>
        <w:t>Personnel review</w:t>
      </w:r>
      <w:r w:rsidRPr="008E0153">
        <w:rPr>
          <w:rFonts w:ascii="Arial" w:eastAsia="Times New Roman" w:hAnsi="Arial" w:cs="Arial"/>
          <w:color w:val="222222"/>
          <w:sz w:val="20"/>
          <w:szCs w:val="20"/>
          <w:shd w:val="clear" w:color="auto" w:fill="FFFFFF"/>
          <w:lang w:eastAsia="en-GB"/>
        </w:rPr>
        <w:t>.</w:t>
      </w:r>
    </w:p>
    <w:p w14:paraId="6630BC74" w14:textId="3801B1B2" w:rsidR="008E0153" w:rsidRDefault="008E0153" w:rsidP="00D062C4"/>
    <w:p w14:paraId="6C799260"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Hill, J., 2004. Choice of law in contract under the Rome Convention: the approach of the UK courts. </w:t>
      </w:r>
      <w:r w:rsidRPr="008E0153">
        <w:rPr>
          <w:rFonts w:ascii="Arial" w:eastAsia="Times New Roman" w:hAnsi="Arial" w:cs="Arial"/>
          <w:i/>
          <w:iCs/>
          <w:color w:val="222222"/>
          <w:sz w:val="20"/>
          <w:szCs w:val="20"/>
          <w:lang w:eastAsia="en-GB"/>
        </w:rPr>
        <w:t>International &amp; Comparative Law Quarterly</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53</w:t>
      </w:r>
      <w:r w:rsidRPr="008E0153">
        <w:rPr>
          <w:rFonts w:ascii="Arial" w:eastAsia="Times New Roman" w:hAnsi="Arial" w:cs="Arial"/>
          <w:color w:val="222222"/>
          <w:sz w:val="20"/>
          <w:szCs w:val="20"/>
          <w:shd w:val="clear" w:color="auto" w:fill="FFFFFF"/>
          <w:lang w:eastAsia="en-GB"/>
        </w:rPr>
        <w:t>(2), pp.325-350.</w:t>
      </w:r>
    </w:p>
    <w:p w14:paraId="340ADC7F" w14:textId="77777777" w:rsidR="008E0153" w:rsidRDefault="008E0153" w:rsidP="00D062C4"/>
    <w:p w14:paraId="6039BEAD"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Michie, S., 2002. Causes and management of stress at work. </w:t>
      </w:r>
      <w:r w:rsidRPr="008E0153">
        <w:rPr>
          <w:rFonts w:ascii="Arial" w:eastAsia="Times New Roman" w:hAnsi="Arial" w:cs="Arial"/>
          <w:i/>
          <w:iCs/>
          <w:color w:val="222222"/>
          <w:sz w:val="20"/>
          <w:szCs w:val="20"/>
          <w:lang w:eastAsia="en-GB"/>
        </w:rPr>
        <w:t>Occupational and environmental medicine</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59</w:t>
      </w:r>
      <w:r w:rsidRPr="008E0153">
        <w:rPr>
          <w:rFonts w:ascii="Arial" w:eastAsia="Times New Roman" w:hAnsi="Arial" w:cs="Arial"/>
          <w:color w:val="222222"/>
          <w:sz w:val="20"/>
          <w:szCs w:val="20"/>
          <w:shd w:val="clear" w:color="auto" w:fill="FFFFFF"/>
          <w:lang w:eastAsia="en-GB"/>
        </w:rPr>
        <w:t>(1), pp.67-72.</w:t>
      </w:r>
    </w:p>
    <w:p w14:paraId="730A7590" w14:textId="3C1EE79C" w:rsidR="008E0153" w:rsidRDefault="008E0153" w:rsidP="00D062C4"/>
    <w:p w14:paraId="4DAC63BD" w14:textId="77777777" w:rsidR="008E0153" w:rsidRPr="008E0153" w:rsidRDefault="008E0153" w:rsidP="008E0153">
      <w:pPr>
        <w:rPr>
          <w:rFonts w:ascii="Times New Roman" w:eastAsia="Times New Roman" w:hAnsi="Times New Roman" w:cs="Times New Roman"/>
          <w:lang w:eastAsia="en-GB"/>
        </w:rPr>
      </w:pPr>
      <w:proofErr w:type="spellStart"/>
      <w:r w:rsidRPr="008E0153">
        <w:rPr>
          <w:rFonts w:ascii="Arial" w:eastAsia="Times New Roman" w:hAnsi="Arial" w:cs="Arial"/>
          <w:color w:val="222222"/>
          <w:sz w:val="20"/>
          <w:szCs w:val="20"/>
          <w:shd w:val="clear" w:color="auto" w:fill="FFFFFF"/>
          <w:lang w:eastAsia="en-GB"/>
        </w:rPr>
        <w:t>Pearlin</w:t>
      </w:r>
      <w:proofErr w:type="spellEnd"/>
      <w:r w:rsidRPr="008E0153">
        <w:rPr>
          <w:rFonts w:ascii="Arial" w:eastAsia="Times New Roman" w:hAnsi="Arial" w:cs="Arial"/>
          <w:color w:val="222222"/>
          <w:sz w:val="20"/>
          <w:szCs w:val="20"/>
          <w:shd w:val="clear" w:color="auto" w:fill="FFFFFF"/>
          <w:lang w:eastAsia="en-GB"/>
        </w:rPr>
        <w:t xml:space="preserve">, L.I., </w:t>
      </w:r>
      <w:proofErr w:type="spellStart"/>
      <w:r w:rsidRPr="008E0153">
        <w:rPr>
          <w:rFonts w:ascii="Arial" w:eastAsia="Times New Roman" w:hAnsi="Arial" w:cs="Arial"/>
          <w:color w:val="222222"/>
          <w:sz w:val="20"/>
          <w:szCs w:val="20"/>
          <w:shd w:val="clear" w:color="auto" w:fill="FFFFFF"/>
          <w:lang w:eastAsia="en-GB"/>
        </w:rPr>
        <w:t>Menaghan</w:t>
      </w:r>
      <w:proofErr w:type="spellEnd"/>
      <w:r w:rsidRPr="008E0153">
        <w:rPr>
          <w:rFonts w:ascii="Arial" w:eastAsia="Times New Roman" w:hAnsi="Arial" w:cs="Arial"/>
          <w:color w:val="222222"/>
          <w:sz w:val="20"/>
          <w:szCs w:val="20"/>
          <w:shd w:val="clear" w:color="auto" w:fill="FFFFFF"/>
          <w:lang w:eastAsia="en-GB"/>
        </w:rPr>
        <w:t xml:space="preserve">, E.G., Lieberman, M.A. and Mullan, J.T., 1981. The stress </w:t>
      </w:r>
      <w:proofErr w:type="gramStart"/>
      <w:r w:rsidRPr="008E0153">
        <w:rPr>
          <w:rFonts w:ascii="Arial" w:eastAsia="Times New Roman" w:hAnsi="Arial" w:cs="Arial"/>
          <w:color w:val="222222"/>
          <w:sz w:val="20"/>
          <w:szCs w:val="20"/>
          <w:shd w:val="clear" w:color="auto" w:fill="FFFFFF"/>
          <w:lang w:eastAsia="en-GB"/>
        </w:rPr>
        <w:t>process</w:t>
      </w:r>
      <w:proofErr w:type="gramEnd"/>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 xml:space="preserve">Journal of Health and Social </w:t>
      </w:r>
      <w:proofErr w:type="spellStart"/>
      <w:r w:rsidRPr="008E0153">
        <w:rPr>
          <w:rFonts w:ascii="Arial" w:eastAsia="Times New Roman" w:hAnsi="Arial" w:cs="Arial"/>
          <w:i/>
          <w:iCs/>
          <w:color w:val="222222"/>
          <w:sz w:val="20"/>
          <w:szCs w:val="20"/>
          <w:lang w:eastAsia="en-GB"/>
        </w:rPr>
        <w:t>behavior</w:t>
      </w:r>
      <w:proofErr w:type="spellEnd"/>
      <w:r w:rsidRPr="008E0153">
        <w:rPr>
          <w:rFonts w:ascii="Arial" w:eastAsia="Times New Roman" w:hAnsi="Arial" w:cs="Arial"/>
          <w:color w:val="222222"/>
          <w:sz w:val="20"/>
          <w:szCs w:val="20"/>
          <w:shd w:val="clear" w:color="auto" w:fill="FFFFFF"/>
          <w:lang w:eastAsia="en-GB"/>
        </w:rPr>
        <w:t>, pp.337-356.</w:t>
      </w:r>
    </w:p>
    <w:p w14:paraId="08A82657" w14:textId="77777777" w:rsidR="008E0153" w:rsidRDefault="008E0153" w:rsidP="00D062C4"/>
    <w:p w14:paraId="0CBFBEAA"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Rowden, P., Matthews, G., Watson, B. and Biggs, H., 2011. The relative impact of work-related stress, life stress and driving environment stress on driving outcomes. </w:t>
      </w:r>
      <w:r w:rsidRPr="008E0153">
        <w:rPr>
          <w:rFonts w:ascii="Arial" w:eastAsia="Times New Roman" w:hAnsi="Arial" w:cs="Arial"/>
          <w:i/>
          <w:iCs/>
          <w:color w:val="222222"/>
          <w:sz w:val="20"/>
          <w:szCs w:val="20"/>
          <w:lang w:eastAsia="en-GB"/>
        </w:rPr>
        <w:t>Accident Analysis &amp; Prevention</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43</w:t>
      </w:r>
      <w:r w:rsidRPr="008E0153">
        <w:rPr>
          <w:rFonts w:ascii="Arial" w:eastAsia="Times New Roman" w:hAnsi="Arial" w:cs="Arial"/>
          <w:color w:val="222222"/>
          <w:sz w:val="20"/>
          <w:szCs w:val="20"/>
          <w:shd w:val="clear" w:color="auto" w:fill="FFFFFF"/>
          <w:lang w:eastAsia="en-GB"/>
        </w:rPr>
        <w:t>(4), pp.1332-1340.</w:t>
      </w:r>
    </w:p>
    <w:p w14:paraId="5DB6383D" w14:textId="77777777" w:rsidR="008E0153" w:rsidRDefault="008E0153" w:rsidP="00D062C4"/>
    <w:p w14:paraId="66EEE3E4" w14:textId="77777777" w:rsidR="008E0153" w:rsidRPr="008E0153" w:rsidRDefault="008E0153" w:rsidP="008E0153">
      <w:pPr>
        <w:rPr>
          <w:rFonts w:ascii="Times New Roman" w:eastAsia="Times New Roman" w:hAnsi="Times New Roman" w:cs="Times New Roman"/>
          <w:lang w:eastAsia="en-GB"/>
        </w:rPr>
      </w:pPr>
      <w:r w:rsidRPr="008E0153">
        <w:rPr>
          <w:rFonts w:ascii="Arial" w:eastAsia="Times New Roman" w:hAnsi="Arial" w:cs="Arial"/>
          <w:color w:val="222222"/>
          <w:sz w:val="20"/>
          <w:szCs w:val="20"/>
          <w:shd w:val="clear" w:color="auto" w:fill="FFFFFF"/>
          <w:lang w:eastAsia="en-GB"/>
        </w:rPr>
        <w:t xml:space="preserve">Vieitez, J.C., </w:t>
      </w:r>
      <w:proofErr w:type="spellStart"/>
      <w:r w:rsidRPr="008E0153">
        <w:rPr>
          <w:rFonts w:ascii="Arial" w:eastAsia="Times New Roman" w:hAnsi="Arial" w:cs="Arial"/>
          <w:color w:val="222222"/>
          <w:sz w:val="20"/>
          <w:szCs w:val="20"/>
          <w:shd w:val="clear" w:color="auto" w:fill="FFFFFF"/>
          <w:lang w:eastAsia="en-GB"/>
        </w:rPr>
        <w:t>Carcía</w:t>
      </w:r>
      <w:proofErr w:type="spellEnd"/>
      <w:r w:rsidRPr="008E0153">
        <w:rPr>
          <w:rFonts w:ascii="Arial" w:eastAsia="Times New Roman" w:hAnsi="Arial" w:cs="Arial"/>
          <w:color w:val="222222"/>
          <w:sz w:val="20"/>
          <w:szCs w:val="20"/>
          <w:shd w:val="clear" w:color="auto" w:fill="FFFFFF"/>
          <w:lang w:eastAsia="en-GB"/>
        </w:rPr>
        <w:t>, A.D.L.T. and Rodríguez, M.T.V., 2001. Perception of job security in a process of technological change: Its influence on psychological well-being. </w:t>
      </w:r>
      <w:r w:rsidRPr="008E0153">
        <w:rPr>
          <w:rFonts w:ascii="Arial" w:eastAsia="Times New Roman" w:hAnsi="Arial" w:cs="Arial"/>
          <w:i/>
          <w:iCs/>
          <w:color w:val="222222"/>
          <w:sz w:val="20"/>
          <w:szCs w:val="20"/>
          <w:lang w:eastAsia="en-GB"/>
        </w:rPr>
        <w:t>Behaviour &amp; Information Technology</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20</w:t>
      </w:r>
      <w:r w:rsidRPr="008E0153">
        <w:rPr>
          <w:rFonts w:ascii="Arial" w:eastAsia="Times New Roman" w:hAnsi="Arial" w:cs="Arial"/>
          <w:color w:val="222222"/>
          <w:sz w:val="20"/>
          <w:szCs w:val="20"/>
          <w:shd w:val="clear" w:color="auto" w:fill="FFFFFF"/>
          <w:lang w:eastAsia="en-GB"/>
        </w:rPr>
        <w:t>(3), pp.213-223.</w:t>
      </w:r>
    </w:p>
    <w:p w14:paraId="656DB183" w14:textId="77777777" w:rsidR="008E0153" w:rsidRDefault="008E0153" w:rsidP="00D062C4"/>
    <w:p w14:paraId="0AB07D08" w14:textId="77777777" w:rsidR="008E0153" w:rsidRPr="008E0153" w:rsidRDefault="008E0153" w:rsidP="008E0153">
      <w:pPr>
        <w:rPr>
          <w:rFonts w:ascii="Times New Roman" w:eastAsia="Times New Roman" w:hAnsi="Times New Roman" w:cs="Times New Roman"/>
          <w:lang w:eastAsia="en-GB"/>
        </w:rPr>
      </w:pPr>
      <w:proofErr w:type="spellStart"/>
      <w:r w:rsidRPr="008E0153">
        <w:rPr>
          <w:rFonts w:ascii="Arial" w:eastAsia="Times New Roman" w:hAnsi="Arial" w:cs="Arial"/>
          <w:color w:val="222222"/>
          <w:sz w:val="20"/>
          <w:szCs w:val="20"/>
          <w:shd w:val="clear" w:color="auto" w:fill="FFFFFF"/>
          <w:lang w:eastAsia="en-GB"/>
        </w:rPr>
        <w:t>Wikhamn</w:t>
      </w:r>
      <w:proofErr w:type="spellEnd"/>
      <w:r w:rsidRPr="008E0153">
        <w:rPr>
          <w:rFonts w:ascii="Arial" w:eastAsia="Times New Roman" w:hAnsi="Arial" w:cs="Arial"/>
          <w:color w:val="222222"/>
          <w:sz w:val="20"/>
          <w:szCs w:val="20"/>
          <w:shd w:val="clear" w:color="auto" w:fill="FFFFFF"/>
          <w:lang w:eastAsia="en-GB"/>
        </w:rPr>
        <w:t>, W., 2019. Innovation, sustainable HRM and customer satisfaction. </w:t>
      </w:r>
      <w:r w:rsidRPr="008E0153">
        <w:rPr>
          <w:rFonts w:ascii="Arial" w:eastAsia="Times New Roman" w:hAnsi="Arial" w:cs="Arial"/>
          <w:i/>
          <w:iCs/>
          <w:color w:val="222222"/>
          <w:sz w:val="20"/>
          <w:szCs w:val="20"/>
          <w:lang w:eastAsia="en-GB"/>
        </w:rPr>
        <w:t>International Journal of Hospitality Management</w:t>
      </w:r>
      <w:r w:rsidRPr="008E0153">
        <w:rPr>
          <w:rFonts w:ascii="Arial" w:eastAsia="Times New Roman" w:hAnsi="Arial" w:cs="Arial"/>
          <w:color w:val="222222"/>
          <w:sz w:val="20"/>
          <w:szCs w:val="20"/>
          <w:shd w:val="clear" w:color="auto" w:fill="FFFFFF"/>
          <w:lang w:eastAsia="en-GB"/>
        </w:rPr>
        <w:t>, </w:t>
      </w:r>
      <w:r w:rsidRPr="008E0153">
        <w:rPr>
          <w:rFonts w:ascii="Arial" w:eastAsia="Times New Roman" w:hAnsi="Arial" w:cs="Arial"/>
          <w:i/>
          <w:iCs/>
          <w:color w:val="222222"/>
          <w:sz w:val="20"/>
          <w:szCs w:val="20"/>
          <w:lang w:eastAsia="en-GB"/>
        </w:rPr>
        <w:t>76</w:t>
      </w:r>
      <w:r w:rsidRPr="008E0153">
        <w:rPr>
          <w:rFonts w:ascii="Arial" w:eastAsia="Times New Roman" w:hAnsi="Arial" w:cs="Arial"/>
          <w:color w:val="222222"/>
          <w:sz w:val="20"/>
          <w:szCs w:val="20"/>
          <w:shd w:val="clear" w:color="auto" w:fill="FFFFFF"/>
          <w:lang w:eastAsia="en-GB"/>
        </w:rPr>
        <w:t>, pp.102-110.</w:t>
      </w:r>
    </w:p>
    <w:p w14:paraId="69928EBA" w14:textId="77777777" w:rsidR="008E0153" w:rsidRPr="00D062C4" w:rsidRDefault="008E0153" w:rsidP="00D062C4"/>
    <w:sectPr w:rsidR="008E0153" w:rsidRPr="00D062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0B79"/>
    <w:multiLevelType w:val="hybridMultilevel"/>
    <w:tmpl w:val="B6D46ADA"/>
    <w:lvl w:ilvl="0" w:tplc="2606F5C6">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8654B43"/>
    <w:multiLevelType w:val="hybridMultilevel"/>
    <w:tmpl w:val="2C786BDA"/>
    <w:lvl w:ilvl="0" w:tplc="2606F5C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670A2"/>
    <w:multiLevelType w:val="hybridMultilevel"/>
    <w:tmpl w:val="4ADC5E98"/>
    <w:lvl w:ilvl="0" w:tplc="0809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FA0253"/>
    <w:multiLevelType w:val="hybridMultilevel"/>
    <w:tmpl w:val="C5FE4A8C"/>
    <w:lvl w:ilvl="0" w:tplc="2606F5C6">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9D513D8"/>
    <w:multiLevelType w:val="hybridMultilevel"/>
    <w:tmpl w:val="EEB2B3EA"/>
    <w:lvl w:ilvl="0" w:tplc="2606F5C6">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E3D0DA2"/>
    <w:multiLevelType w:val="hybridMultilevel"/>
    <w:tmpl w:val="855EF57E"/>
    <w:lvl w:ilvl="0" w:tplc="2606F5C6">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33E766F1"/>
    <w:multiLevelType w:val="hybridMultilevel"/>
    <w:tmpl w:val="1C1A544C"/>
    <w:lvl w:ilvl="0" w:tplc="2606F5C6">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35275B35"/>
    <w:multiLevelType w:val="hybridMultilevel"/>
    <w:tmpl w:val="4ADC5E98"/>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792C98"/>
    <w:multiLevelType w:val="hybridMultilevel"/>
    <w:tmpl w:val="F7D8E608"/>
    <w:lvl w:ilvl="0" w:tplc="2606F5C6">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25558C7"/>
    <w:multiLevelType w:val="hybridMultilevel"/>
    <w:tmpl w:val="3ECA3554"/>
    <w:lvl w:ilvl="0" w:tplc="2606F5C6">
      <w:start w:val="1"/>
      <w:numFmt w:val="bullet"/>
      <w:lvlText w:val="•"/>
      <w:lvlJc w:val="left"/>
      <w:pPr>
        <w:ind w:left="2160" w:hanging="360"/>
      </w:pPr>
      <w:rPr>
        <w:rFonts w:ascii="Arial" w:hAnsi="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55E441A5"/>
    <w:multiLevelType w:val="hybridMultilevel"/>
    <w:tmpl w:val="35EE34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2945D9"/>
    <w:multiLevelType w:val="hybridMultilevel"/>
    <w:tmpl w:val="9A8A3754"/>
    <w:lvl w:ilvl="0" w:tplc="2606F5C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20F13"/>
    <w:multiLevelType w:val="hybridMultilevel"/>
    <w:tmpl w:val="EAD47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9"/>
  </w:num>
  <w:num w:numId="6">
    <w:abstractNumId w:val="11"/>
  </w:num>
  <w:num w:numId="7">
    <w:abstractNumId w:val="8"/>
  </w:num>
  <w:num w:numId="8">
    <w:abstractNumId w:val="5"/>
  </w:num>
  <w:num w:numId="9">
    <w:abstractNumId w:val="0"/>
  </w:num>
  <w:num w:numId="10">
    <w:abstractNumId w:val="6"/>
  </w:num>
  <w:num w:numId="11">
    <w:abstractNumId w:val="10"/>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8D4"/>
    <w:rsid w:val="000F43C1"/>
    <w:rsid w:val="00196E61"/>
    <w:rsid w:val="00424FF4"/>
    <w:rsid w:val="008E0153"/>
    <w:rsid w:val="00A32D9E"/>
    <w:rsid w:val="00B250BC"/>
    <w:rsid w:val="00C7508B"/>
    <w:rsid w:val="00CA58D4"/>
    <w:rsid w:val="00D062C4"/>
    <w:rsid w:val="00D24569"/>
    <w:rsid w:val="00D265FC"/>
    <w:rsid w:val="00D87BDD"/>
    <w:rsid w:val="00E21795"/>
    <w:rsid w:val="00F23727"/>
    <w:rsid w:val="00FC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B450B"/>
  <w15:chartTrackingRefBased/>
  <w15:docId w15:val="{139124B8-604E-A745-8F6F-434520A2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8D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58D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8D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A58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58D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A58D4"/>
    <w:pPr>
      <w:spacing w:before="120"/>
    </w:pPr>
    <w:rPr>
      <w:rFonts w:cstheme="minorHAnsi"/>
      <w:b/>
      <w:bCs/>
      <w:i/>
      <w:iCs/>
    </w:rPr>
  </w:style>
  <w:style w:type="paragraph" w:styleId="TOC2">
    <w:name w:val="toc 2"/>
    <w:basedOn w:val="Normal"/>
    <w:next w:val="Normal"/>
    <w:autoRedefine/>
    <w:uiPriority w:val="39"/>
    <w:semiHidden/>
    <w:unhideWhenUsed/>
    <w:rsid w:val="00CA58D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A58D4"/>
    <w:pPr>
      <w:ind w:left="480"/>
    </w:pPr>
    <w:rPr>
      <w:rFonts w:cstheme="minorHAnsi"/>
      <w:sz w:val="20"/>
      <w:szCs w:val="20"/>
    </w:rPr>
  </w:style>
  <w:style w:type="paragraph" w:styleId="TOC4">
    <w:name w:val="toc 4"/>
    <w:basedOn w:val="Normal"/>
    <w:next w:val="Normal"/>
    <w:autoRedefine/>
    <w:uiPriority w:val="39"/>
    <w:semiHidden/>
    <w:unhideWhenUsed/>
    <w:rsid w:val="00CA58D4"/>
    <w:pPr>
      <w:ind w:left="720"/>
    </w:pPr>
    <w:rPr>
      <w:rFonts w:cstheme="minorHAnsi"/>
      <w:sz w:val="20"/>
      <w:szCs w:val="20"/>
    </w:rPr>
  </w:style>
  <w:style w:type="paragraph" w:styleId="TOC5">
    <w:name w:val="toc 5"/>
    <w:basedOn w:val="Normal"/>
    <w:next w:val="Normal"/>
    <w:autoRedefine/>
    <w:uiPriority w:val="39"/>
    <w:semiHidden/>
    <w:unhideWhenUsed/>
    <w:rsid w:val="00CA58D4"/>
    <w:pPr>
      <w:ind w:left="960"/>
    </w:pPr>
    <w:rPr>
      <w:rFonts w:cstheme="minorHAnsi"/>
      <w:sz w:val="20"/>
      <w:szCs w:val="20"/>
    </w:rPr>
  </w:style>
  <w:style w:type="paragraph" w:styleId="TOC6">
    <w:name w:val="toc 6"/>
    <w:basedOn w:val="Normal"/>
    <w:next w:val="Normal"/>
    <w:autoRedefine/>
    <w:uiPriority w:val="39"/>
    <w:semiHidden/>
    <w:unhideWhenUsed/>
    <w:rsid w:val="00CA58D4"/>
    <w:pPr>
      <w:ind w:left="1200"/>
    </w:pPr>
    <w:rPr>
      <w:rFonts w:cstheme="minorHAnsi"/>
      <w:sz w:val="20"/>
      <w:szCs w:val="20"/>
    </w:rPr>
  </w:style>
  <w:style w:type="paragraph" w:styleId="TOC7">
    <w:name w:val="toc 7"/>
    <w:basedOn w:val="Normal"/>
    <w:next w:val="Normal"/>
    <w:autoRedefine/>
    <w:uiPriority w:val="39"/>
    <w:semiHidden/>
    <w:unhideWhenUsed/>
    <w:rsid w:val="00CA58D4"/>
    <w:pPr>
      <w:ind w:left="1440"/>
    </w:pPr>
    <w:rPr>
      <w:rFonts w:cstheme="minorHAnsi"/>
      <w:sz w:val="20"/>
      <w:szCs w:val="20"/>
    </w:rPr>
  </w:style>
  <w:style w:type="paragraph" w:styleId="TOC8">
    <w:name w:val="toc 8"/>
    <w:basedOn w:val="Normal"/>
    <w:next w:val="Normal"/>
    <w:autoRedefine/>
    <w:uiPriority w:val="39"/>
    <w:semiHidden/>
    <w:unhideWhenUsed/>
    <w:rsid w:val="00CA58D4"/>
    <w:pPr>
      <w:ind w:left="1680"/>
    </w:pPr>
    <w:rPr>
      <w:rFonts w:cstheme="minorHAnsi"/>
      <w:sz w:val="20"/>
      <w:szCs w:val="20"/>
    </w:rPr>
  </w:style>
  <w:style w:type="paragraph" w:styleId="TOC9">
    <w:name w:val="toc 9"/>
    <w:basedOn w:val="Normal"/>
    <w:next w:val="Normal"/>
    <w:autoRedefine/>
    <w:uiPriority w:val="39"/>
    <w:semiHidden/>
    <w:unhideWhenUsed/>
    <w:rsid w:val="00CA58D4"/>
    <w:pPr>
      <w:ind w:left="1920"/>
    </w:pPr>
    <w:rPr>
      <w:rFonts w:cstheme="minorHAnsi"/>
      <w:sz w:val="20"/>
      <w:szCs w:val="20"/>
    </w:rPr>
  </w:style>
  <w:style w:type="paragraph" w:styleId="NormalWeb">
    <w:name w:val="Normal (Web)"/>
    <w:basedOn w:val="Normal"/>
    <w:uiPriority w:val="99"/>
    <w:semiHidden/>
    <w:unhideWhenUsed/>
    <w:rsid w:val="000F43C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F43C1"/>
  </w:style>
  <w:style w:type="character" w:styleId="Hyperlink">
    <w:name w:val="Hyperlink"/>
    <w:basedOn w:val="DefaultParagraphFont"/>
    <w:uiPriority w:val="99"/>
    <w:unhideWhenUsed/>
    <w:rsid w:val="000F43C1"/>
    <w:rPr>
      <w:color w:val="0000FF"/>
      <w:u w:val="single"/>
    </w:rPr>
  </w:style>
  <w:style w:type="paragraph" w:styleId="ListParagraph">
    <w:name w:val="List Paragraph"/>
    <w:basedOn w:val="Normal"/>
    <w:uiPriority w:val="34"/>
    <w:qFormat/>
    <w:rsid w:val="000F4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75452">
      <w:bodyDiv w:val="1"/>
      <w:marLeft w:val="0"/>
      <w:marRight w:val="0"/>
      <w:marTop w:val="0"/>
      <w:marBottom w:val="0"/>
      <w:divBdr>
        <w:top w:val="none" w:sz="0" w:space="0" w:color="auto"/>
        <w:left w:val="none" w:sz="0" w:space="0" w:color="auto"/>
        <w:bottom w:val="none" w:sz="0" w:space="0" w:color="auto"/>
        <w:right w:val="none" w:sz="0" w:space="0" w:color="auto"/>
      </w:divBdr>
    </w:div>
    <w:div w:id="306712793">
      <w:bodyDiv w:val="1"/>
      <w:marLeft w:val="0"/>
      <w:marRight w:val="0"/>
      <w:marTop w:val="0"/>
      <w:marBottom w:val="0"/>
      <w:divBdr>
        <w:top w:val="none" w:sz="0" w:space="0" w:color="auto"/>
        <w:left w:val="none" w:sz="0" w:space="0" w:color="auto"/>
        <w:bottom w:val="none" w:sz="0" w:space="0" w:color="auto"/>
        <w:right w:val="none" w:sz="0" w:space="0" w:color="auto"/>
      </w:divBdr>
    </w:div>
    <w:div w:id="415057250">
      <w:bodyDiv w:val="1"/>
      <w:marLeft w:val="0"/>
      <w:marRight w:val="0"/>
      <w:marTop w:val="0"/>
      <w:marBottom w:val="0"/>
      <w:divBdr>
        <w:top w:val="none" w:sz="0" w:space="0" w:color="auto"/>
        <w:left w:val="none" w:sz="0" w:space="0" w:color="auto"/>
        <w:bottom w:val="none" w:sz="0" w:space="0" w:color="auto"/>
        <w:right w:val="none" w:sz="0" w:space="0" w:color="auto"/>
      </w:divBdr>
    </w:div>
    <w:div w:id="729426933">
      <w:bodyDiv w:val="1"/>
      <w:marLeft w:val="0"/>
      <w:marRight w:val="0"/>
      <w:marTop w:val="0"/>
      <w:marBottom w:val="0"/>
      <w:divBdr>
        <w:top w:val="none" w:sz="0" w:space="0" w:color="auto"/>
        <w:left w:val="none" w:sz="0" w:space="0" w:color="auto"/>
        <w:bottom w:val="none" w:sz="0" w:space="0" w:color="auto"/>
        <w:right w:val="none" w:sz="0" w:space="0" w:color="auto"/>
      </w:divBdr>
    </w:div>
    <w:div w:id="754983233">
      <w:bodyDiv w:val="1"/>
      <w:marLeft w:val="0"/>
      <w:marRight w:val="0"/>
      <w:marTop w:val="0"/>
      <w:marBottom w:val="0"/>
      <w:divBdr>
        <w:top w:val="none" w:sz="0" w:space="0" w:color="auto"/>
        <w:left w:val="none" w:sz="0" w:space="0" w:color="auto"/>
        <w:bottom w:val="none" w:sz="0" w:space="0" w:color="auto"/>
        <w:right w:val="none" w:sz="0" w:space="0" w:color="auto"/>
      </w:divBdr>
    </w:div>
    <w:div w:id="814224157">
      <w:bodyDiv w:val="1"/>
      <w:marLeft w:val="0"/>
      <w:marRight w:val="0"/>
      <w:marTop w:val="0"/>
      <w:marBottom w:val="0"/>
      <w:divBdr>
        <w:top w:val="none" w:sz="0" w:space="0" w:color="auto"/>
        <w:left w:val="none" w:sz="0" w:space="0" w:color="auto"/>
        <w:bottom w:val="none" w:sz="0" w:space="0" w:color="auto"/>
        <w:right w:val="none" w:sz="0" w:space="0" w:color="auto"/>
      </w:divBdr>
    </w:div>
    <w:div w:id="878205554">
      <w:bodyDiv w:val="1"/>
      <w:marLeft w:val="0"/>
      <w:marRight w:val="0"/>
      <w:marTop w:val="0"/>
      <w:marBottom w:val="0"/>
      <w:divBdr>
        <w:top w:val="none" w:sz="0" w:space="0" w:color="auto"/>
        <w:left w:val="none" w:sz="0" w:space="0" w:color="auto"/>
        <w:bottom w:val="none" w:sz="0" w:space="0" w:color="auto"/>
        <w:right w:val="none" w:sz="0" w:space="0" w:color="auto"/>
      </w:divBdr>
    </w:div>
    <w:div w:id="985160777">
      <w:bodyDiv w:val="1"/>
      <w:marLeft w:val="0"/>
      <w:marRight w:val="0"/>
      <w:marTop w:val="0"/>
      <w:marBottom w:val="0"/>
      <w:divBdr>
        <w:top w:val="none" w:sz="0" w:space="0" w:color="auto"/>
        <w:left w:val="none" w:sz="0" w:space="0" w:color="auto"/>
        <w:bottom w:val="none" w:sz="0" w:space="0" w:color="auto"/>
        <w:right w:val="none" w:sz="0" w:space="0" w:color="auto"/>
      </w:divBdr>
    </w:div>
    <w:div w:id="1246186561">
      <w:bodyDiv w:val="1"/>
      <w:marLeft w:val="0"/>
      <w:marRight w:val="0"/>
      <w:marTop w:val="0"/>
      <w:marBottom w:val="0"/>
      <w:divBdr>
        <w:top w:val="none" w:sz="0" w:space="0" w:color="auto"/>
        <w:left w:val="none" w:sz="0" w:space="0" w:color="auto"/>
        <w:bottom w:val="none" w:sz="0" w:space="0" w:color="auto"/>
        <w:right w:val="none" w:sz="0" w:space="0" w:color="auto"/>
      </w:divBdr>
    </w:div>
    <w:div w:id="1368989733">
      <w:bodyDiv w:val="1"/>
      <w:marLeft w:val="0"/>
      <w:marRight w:val="0"/>
      <w:marTop w:val="0"/>
      <w:marBottom w:val="0"/>
      <w:divBdr>
        <w:top w:val="none" w:sz="0" w:space="0" w:color="auto"/>
        <w:left w:val="none" w:sz="0" w:space="0" w:color="auto"/>
        <w:bottom w:val="none" w:sz="0" w:space="0" w:color="auto"/>
        <w:right w:val="none" w:sz="0" w:space="0" w:color="auto"/>
      </w:divBdr>
    </w:div>
    <w:div w:id="1516647158">
      <w:bodyDiv w:val="1"/>
      <w:marLeft w:val="0"/>
      <w:marRight w:val="0"/>
      <w:marTop w:val="0"/>
      <w:marBottom w:val="0"/>
      <w:divBdr>
        <w:top w:val="none" w:sz="0" w:space="0" w:color="auto"/>
        <w:left w:val="none" w:sz="0" w:space="0" w:color="auto"/>
        <w:bottom w:val="none" w:sz="0" w:space="0" w:color="auto"/>
        <w:right w:val="none" w:sz="0" w:space="0" w:color="auto"/>
      </w:divBdr>
    </w:div>
    <w:div w:id="1561598354">
      <w:bodyDiv w:val="1"/>
      <w:marLeft w:val="0"/>
      <w:marRight w:val="0"/>
      <w:marTop w:val="0"/>
      <w:marBottom w:val="0"/>
      <w:divBdr>
        <w:top w:val="none" w:sz="0" w:space="0" w:color="auto"/>
        <w:left w:val="none" w:sz="0" w:space="0" w:color="auto"/>
        <w:bottom w:val="none" w:sz="0" w:space="0" w:color="auto"/>
        <w:right w:val="none" w:sz="0" w:space="0" w:color="auto"/>
      </w:divBdr>
    </w:div>
    <w:div w:id="1656757702">
      <w:bodyDiv w:val="1"/>
      <w:marLeft w:val="0"/>
      <w:marRight w:val="0"/>
      <w:marTop w:val="0"/>
      <w:marBottom w:val="0"/>
      <w:divBdr>
        <w:top w:val="none" w:sz="0" w:space="0" w:color="auto"/>
        <w:left w:val="none" w:sz="0" w:space="0" w:color="auto"/>
        <w:bottom w:val="none" w:sz="0" w:space="0" w:color="auto"/>
        <w:right w:val="none" w:sz="0" w:space="0" w:color="auto"/>
      </w:divBdr>
    </w:div>
    <w:div w:id="1668367026">
      <w:bodyDiv w:val="1"/>
      <w:marLeft w:val="0"/>
      <w:marRight w:val="0"/>
      <w:marTop w:val="0"/>
      <w:marBottom w:val="0"/>
      <w:divBdr>
        <w:top w:val="none" w:sz="0" w:space="0" w:color="auto"/>
        <w:left w:val="none" w:sz="0" w:space="0" w:color="auto"/>
        <w:bottom w:val="none" w:sz="0" w:space="0" w:color="auto"/>
        <w:right w:val="none" w:sz="0" w:space="0" w:color="auto"/>
      </w:divBdr>
    </w:div>
    <w:div w:id="1952274374">
      <w:bodyDiv w:val="1"/>
      <w:marLeft w:val="0"/>
      <w:marRight w:val="0"/>
      <w:marTop w:val="0"/>
      <w:marBottom w:val="0"/>
      <w:divBdr>
        <w:top w:val="none" w:sz="0" w:space="0" w:color="auto"/>
        <w:left w:val="none" w:sz="0" w:space="0" w:color="auto"/>
        <w:bottom w:val="none" w:sz="0" w:space="0" w:color="auto"/>
        <w:right w:val="none" w:sz="0" w:space="0" w:color="auto"/>
      </w:divBdr>
    </w:div>
    <w:div w:id="209423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066965bc3e156a3675dff3c43fd843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33da15ffff9ef6e083f8ab8ef407417"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2B8AE7-1BBD-3D49-8102-4CAFEE9A21B1}">
  <ds:schemaRefs>
    <ds:schemaRef ds:uri="http://schemas.openxmlformats.org/officeDocument/2006/bibliography"/>
  </ds:schemaRefs>
</ds:datastoreItem>
</file>

<file path=customXml/itemProps2.xml><?xml version="1.0" encoding="utf-8"?>
<ds:datastoreItem xmlns:ds="http://schemas.openxmlformats.org/officeDocument/2006/customXml" ds:itemID="{D930D1DA-3D4B-4E2B-901E-B3812188A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1F0E61-8DCE-4ADF-8AEB-AAC15ACDD5B9}">
  <ds:schemaRefs>
    <ds:schemaRef ds:uri="http://schemas.microsoft.com/sharepoint/v3/contenttype/forms"/>
  </ds:schemaRefs>
</ds:datastoreItem>
</file>

<file path=customXml/itemProps4.xml><?xml version="1.0" encoding="utf-8"?>
<ds:datastoreItem xmlns:ds="http://schemas.openxmlformats.org/officeDocument/2006/customXml" ds:itemID="{9FB5345F-D643-46AC-996C-48F0337F22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Stuparu</dc:creator>
  <cp:keywords/>
  <dc:description/>
  <cp:lastModifiedBy>Addis Nikeya Richardson (2028001)</cp:lastModifiedBy>
  <cp:revision>3</cp:revision>
  <dcterms:created xsi:type="dcterms:W3CDTF">2021-11-27T13:40:00Z</dcterms:created>
  <dcterms:modified xsi:type="dcterms:W3CDTF">2021-11-27T13:42:00Z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