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1FF" w:rsidRDefault="000F31FF" w:rsidP="000F31FF">
      <w:pPr>
        <w:pStyle w:val="Title"/>
      </w:pPr>
      <w:bookmarkStart w:id="0" w:name="_g9wxvvakk5mn" w:colFirst="0" w:colLast="0"/>
      <w:bookmarkEnd w:id="0"/>
      <w:r>
        <w:rPr>
          <w:noProof/>
          <w:sz w:val="20"/>
          <w:lang w:val="en-IN" w:eastAsia="en-IN" w:bidi="gu-IN"/>
        </w:rPr>
        <w:drawing>
          <wp:anchor distT="0" distB="0" distL="114300" distR="114300" simplePos="0" relativeHeight="251659264" behindDoc="0" locked="0" layoutInCell="1" allowOverlap="1" wp14:anchorId="2C18C0DA" wp14:editId="4CAB300E">
            <wp:simplePos x="0" y="0"/>
            <wp:positionH relativeFrom="column">
              <wp:posOffset>38100</wp:posOffset>
            </wp:positionH>
            <wp:positionV relativeFrom="paragraph">
              <wp:posOffset>-95250</wp:posOffset>
            </wp:positionV>
            <wp:extent cx="1816670" cy="600075"/>
            <wp:effectExtent l="0" t="0" r="0" b="0"/>
            <wp:wrapNone/>
            <wp:docPr id="8"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rsidR="000F31FF" w:rsidRDefault="000F31FF" w:rsidP="000F31FF">
      <w:pPr>
        <w:pStyle w:val="Title"/>
      </w:pPr>
      <w:bookmarkStart w:id="1" w:name="_4zci1yqgc62" w:colFirst="0" w:colLast="0"/>
      <w:bookmarkEnd w:id="1"/>
    </w:p>
    <w:p w:rsidR="000F31FF" w:rsidRDefault="000F31FF" w:rsidP="000F31FF">
      <w:pPr>
        <w:pStyle w:val="Title"/>
      </w:pPr>
      <w:bookmarkStart w:id="2" w:name="_9znxcscxkq59" w:colFirst="0" w:colLast="0"/>
      <w:bookmarkEnd w:id="2"/>
    </w:p>
    <w:p w:rsidR="000F31FF" w:rsidRPr="007E2F33" w:rsidRDefault="000F31FF" w:rsidP="000F31FF">
      <w:pPr>
        <w:pStyle w:val="Normal1"/>
      </w:pPr>
    </w:p>
    <w:tbl>
      <w:tblPr>
        <w:tblW w:w="9925" w:type="dxa"/>
        <w:tblInd w:w="-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6"/>
        <w:gridCol w:w="7489"/>
      </w:tblGrid>
      <w:tr w:rsidR="000F31FF" w:rsidTr="00A3465A">
        <w:trPr>
          <w:trHeight w:val="494"/>
        </w:trPr>
        <w:tc>
          <w:tcPr>
            <w:tcW w:w="2436" w:type="dxa"/>
            <w:shd w:val="clear" w:color="auto" w:fill="D9D9D9"/>
          </w:tcPr>
          <w:p w:rsidR="000F31FF" w:rsidRDefault="000F31FF" w:rsidP="00A3465A">
            <w:pPr>
              <w:pStyle w:val="TableParagraph"/>
              <w:spacing w:before="120"/>
              <w:ind w:left="107"/>
              <w:rPr>
                <w:rFonts w:ascii="Arial"/>
                <w:b/>
              </w:rPr>
            </w:pPr>
            <w:bookmarkStart w:id="3" w:name="_65c1gn1uth4g" w:colFirst="0" w:colLast="0"/>
            <w:bookmarkEnd w:id="3"/>
            <w:r>
              <w:rPr>
                <w:rFonts w:ascii="Arial"/>
                <w:b/>
              </w:rPr>
              <w:t>Programme:</w:t>
            </w:r>
          </w:p>
        </w:tc>
        <w:tc>
          <w:tcPr>
            <w:tcW w:w="7489" w:type="dxa"/>
          </w:tcPr>
          <w:p w:rsidR="000F31FF" w:rsidRDefault="000F31FF" w:rsidP="00A3465A">
            <w:pPr>
              <w:pStyle w:val="TableParagraph"/>
              <w:spacing w:before="120"/>
              <w:ind w:left="105"/>
              <w:rPr>
                <w:rFonts w:ascii="Arial"/>
                <w:b/>
              </w:rPr>
            </w:pPr>
            <w:r>
              <w:rPr>
                <w:rFonts w:ascii="Arial"/>
                <w:b/>
              </w:rPr>
              <w:t>MBA-</w:t>
            </w:r>
            <w:r>
              <w:rPr>
                <w:rFonts w:ascii="Arial"/>
                <w:b/>
                <w:spacing w:val="-4"/>
              </w:rPr>
              <w:t xml:space="preserve"> </w:t>
            </w:r>
            <w:r>
              <w:rPr>
                <w:rFonts w:ascii="Arial"/>
                <w:b/>
              </w:rPr>
              <w:t>Masters</w:t>
            </w:r>
            <w:r>
              <w:rPr>
                <w:rFonts w:ascii="Arial"/>
                <w:b/>
                <w:spacing w:val="-2"/>
              </w:rPr>
              <w:t xml:space="preserve"> </w:t>
            </w:r>
            <w:r>
              <w:rPr>
                <w:rFonts w:ascii="Arial"/>
                <w:b/>
              </w:rPr>
              <w:t>of</w:t>
            </w:r>
            <w:r>
              <w:rPr>
                <w:rFonts w:ascii="Arial"/>
                <w:b/>
                <w:spacing w:val="-1"/>
              </w:rPr>
              <w:t xml:space="preserve"> </w:t>
            </w:r>
            <w:r>
              <w:rPr>
                <w:rFonts w:ascii="Arial"/>
                <w:b/>
              </w:rPr>
              <w:t>Business</w:t>
            </w:r>
            <w:r>
              <w:rPr>
                <w:rFonts w:ascii="Arial"/>
                <w:b/>
                <w:spacing w:val="-3"/>
              </w:rPr>
              <w:t xml:space="preserve"> </w:t>
            </w:r>
            <w:r>
              <w:rPr>
                <w:rFonts w:ascii="Arial"/>
                <w:b/>
              </w:rPr>
              <w:t>Administration</w:t>
            </w:r>
          </w:p>
        </w:tc>
      </w:tr>
      <w:tr w:rsidR="000F31FF" w:rsidTr="00A3465A">
        <w:trPr>
          <w:trHeight w:val="491"/>
        </w:trPr>
        <w:tc>
          <w:tcPr>
            <w:tcW w:w="2436" w:type="dxa"/>
            <w:shd w:val="clear" w:color="auto" w:fill="D9D9D9"/>
          </w:tcPr>
          <w:p w:rsidR="000F31FF" w:rsidRDefault="000F31FF" w:rsidP="00A3465A">
            <w:pPr>
              <w:pStyle w:val="TableParagraph"/>
              <w:spacing w:before="120"/>
              <w:ind w:left="107"/>
              <w:rPr>
                <w:rFonts w:ascii="Arial"/>
                <w:b/>
              </w:rPr>
            </w:pPr>
            <w:r>
              <w:rPr>
                <w:rFonts w:ascii="Arial"/>
                <w:b/>
              </w:rPr>
              <w:t>Module:</w:t>
            </w:r>
          </w:p>
        </w:tc>
        <w:tc>
          <w:tcPr>
            <w:tcW w:w="7489" w:type="dxa"/>
          </w:tcPr>
          <w:p w:rsidR="000F31FF" w:rsidRDefault="000F31FF" w:rsidP="00A3465A">
            <w:pPr>
              <w:pStyle w:val="TableParagraph"/>
              <w:spacing w:before="120"/>
              <w:ind w:left="105"/>
              <w:rPr>
                <w:rFonts w:ascii="Arial" w:hAnsi="Arial"/>
                <w:b/>
              </w:rPr>
            </w:pPr>
            <w:r w:rsidRPr="000F31FF">
              <w:rPr>
                <w:rFonts w:ascii="Arial" w:hAnsi="Arial"/>
                <w:b/>
              </w:rPr>
              <w:t>Human Resource Management</w:t>
            </w:r>
          </w:p>
        </w:tc>
      </w:tr>
      <w:tr w:rsidR="000F31FF" w:rsidTr="00A3465A">
        <w:trPr>
          <w:trHeight w:val="761"/>
        </w:trPr>
        <w:tc>
          <w:tcPr>
            <w:tcW w:w="2436" w:type="dxa"/>
            <w:shd w:val="clear" w:color="auto" w:fill="D9D9D9"/>
          </w:tcPr>
          <w:p w:rsidR="000F31FF" w:rsidRDefault="000F31FF" w:rsidP="00A3465A">
            <w:pPr>
              <w:pStyle w:val="TableParagraph"/>
              <w:spacing w:before="122"/>
              <w:ind w:left="107"/>
              <w:rPr>
                <w:rFonts w:ascii="Arial"/>
                <w:b/>
              </w:rPr>
            </w:pPr>
            <w:r>
              <w:rPr>
                <w:rFonts w:ascii="Arial"/>
                <w:b/>
              </w:rPr>
              <w:t>Module</w:t>
            </w:r>
            <w:r>
              <w:rPr>
                <w:rFonts w:ascii="Arial"/>
                <w:b/>
                <w:spacing w:val="-2"/>
              </w:rPr>
              <w:t xml:space="preserve"> </w:t>
            </w:r>
            <w:r>
              <w:rPr>
                <w:rFonts w:ascii="Arial"/>
                <w:b/>
              </w:rPr>
              <w:t>code:</w:t>
            </w:r>
          </w:p>
        </w:tc>
        <w:tc>
          <w:tcPr>
            <w:tcW w:w="7489" w:type="dxa"/>
          </w:tcPr>
          <w:p w:rsidR="000F31FF" w:rsidRDefault="000F31FF" w:rsidP="00A3465A">
            <w:pPr>
              <w:pStyle w:val="TableParagraph"/>
              <w:spacing w:before="122"/>
              <w:ind w:left="108"/>
              <w:rPr>
                <w:rFonts w:ascii="Arial"/>
                <w:b/>
              </w:rPr>
            </w:pPr>
            <w:r w:rsidRPr="000F31FF">
              <w:rPr>
                <w:rFonts w:ascii="Arial"/>
                <w:b/>
              </w:rPr>
              <w:t>LCMB7000</w:t>
            </w:r>
          </w:p>
        </w:tc>
      </w:tr>
      <w:tr w:rsidR="00DD6ADE" w:rsidTr="00A3465A">
        <w:trPr>
          <w:trHeight w:val="761"/>
        </w:trPr>
        <w:tc>
          <w:tcPr>
            <w:tcW w:w="2436" w:type="dxa"/>
            <w:shd w:val="clear" w:color="auto" w:fill="D9D9D9"/>
          </w:tcPr>
          <w:p w:rsidR="00DD6ADE" w:rsidRDefault="00DD6ADE" w:rsidP="00DD6ADE">
            <w:pPr>
              <w:pStyle w:val="TableParagraph"/>
              <w:spacing w:before="122"/>
              <w:ind w:left="107"/>
              <w:rPr>
                <w:rFonts w:ascii="Arial"/>
                <w:b/>
              </w:rPr>
            </w:pPr>
            <w:bookmarkStart w:id="4" w:name="_GoBack" w:colFirst="1" w:colLast="1"/>
            <w:r>
              <w:rPr>
                <w:rFonts w:ascii="Arial"/>
                <w:b/>
              </w:rPr>
              <w:t xml:space="preserve">Student Name: </w:t>
            </w:r>
          </w:p>
        </w:tc>
        <w:tc>
          <w:tcPr>
            <w:tcW w:w="7489" w:type="dxa"/>
          </w:tcPr>
          <w:p w:rsidR="00DD6ADE" w:rsidRDefault="00DD6ADE" w:rsidP="00DD6ADE">
            <w:pPr>
              <w:pStyle w:val="TableParagraph"/>
              <w:spacing w:before="122"/>
              <w:ind w:left="108"/>
              <w:rPr>
                <w:rFonts w:ascii="Arial"/>
                <w:b/>
              </w:rPr>
            </w:pPr>
            <w:r>
              <w:rPr>
                <w:rFonts w:ascii="Arial"/>
                <w:b/>
              </w:rPr>
              <w:t>Raval Maulik Rameshchandra</w:t>
            </w:r>
          </w:p>
        </w:tc>
      </w:tr>
      <w:bookmarkEnd w:id="4"/>
      <w:tr w:rsidR="00DD6ADE" w:rsidTr="00A3465A">
        <w:trPr>
          <w:trHeight w:val="761"/>
        </w:trPr>
        <w:tc>
          <w:tcPr>
            <w:tcW w:w="2436" w:type="dxa"/>
            <w:shd w:val="clear" w:color="auto" w:fill="D9D9D9"/>
          </w:tcPr>
          <w:p w:rsidR="00DD6ADE" w:rsidRDefault="00DD6ADE" w:rsidP="00DD6ADE">
            <w:pPr>
              <w:pStyle w:val="TableParagraph"/>
              <w:spacing w:before="122"/>
              <w:ind w:left="107"/>
              <w:rPr>
                <w:rFonts w:ascii="Arial"/>
                <w:b/>
              </w:rPr>
            </w:pPr>
            <w:r>
              <w:rPr>
                <w:rFonts w:ascii="Arial"/>
                <w:b/>
              </w:rPr>
              <w:t xml:space="preserve">Student ID: </w:t>
            </w:r>
          </w:p>
        </w:tc>
        <w:tc>
          <w:tcPr>
            <w:tcW w:w="7489" w:type="dxa"/>
          </w:tcPr>
          <w:p w:rsidR="00DD6ADE" w:rsidRDefault="00DD6ADE" w:rsidP="00DD6ADE">
            <w:pPr>
              <w:pStyle w:val="TableParagraph"/>
              <w:spacing w:before="122"/>
              <w:ind w:left="108"/>
              <w:rPr>
                <w:rFonts w:ascii="Arial"/>
                <w:b/>
              </w:rPr>
            </w:pPr>
            <w:r>
              <w:rPr>
                <w:rFonts w:ascii="Arial"/>
                <w:b/>
              </w:rPr>
              <w:t>2209391</w:t>
            </w:r>
          </w:p>
        </w:tc>
      </w:tr>
      <w:tr w:rsidR="00DD6ADE" w:rsidTr="00A3465A">
        <w:trPr>
          <w:trHeight w:val="761"/>
        </w:trPr>
        <w:tc>
          <w:tcPr>
            <w:tcW w:w="2436" w:type="dxa"/>
            <w:shd w:val="clear" w:color="auto" w:fill="D9D9D9"/>
          </w:tcPr>
          <w:p w:rsidR="00DD6ADE" w:rsidRPr="000F31FF" w:rsidRDefault="00DD6ADE" w:rsidP="00DD6ADE">
            <w:pPr>
              <w:pStyle w:val="TableParagraph"/>
              <w:spacing w:before="122"/>
              <w:ind w:left="107"/>
              <w:rPr>
                <w:rFonts w:ascii="Arial"/>
                <w:b/>
              </w:rPr>
            </w:pPr>
            <w:r w:rsidRPr="000F31FF">
              <w:rPr>
                <w:rFonts w:ascii="Arial"/>
                <w:b/>
              </w:rPr>
              <w:t>Module</w:t>
            </w:r>
          </w:p>
          <w:p w:rsidR="00DD6ADE" w:rsidRDefault="00DD6ADE" w:rsidP="00DD6ADE">
            <w:pPr>
              <w:pStyle w:val="TableParagraph"/>
              <w:spacing w:before="122"/>
              <w:ind w:left="107"/>
              <w:rPr>
                <w:rFonts w:ascii="Arial"/>
                <w:b/>
              </w:rPr>
            </w:pPr>
            <w:r w:rsidRPr="000F31FF">
              <w:rPr>
                <w:rFonts w:ascii="Arial"/>
                <w:b/>
              </w:rPr>
              <w:t>Coordinator/</w:t>
            </w:r>
            <w:r>
              <w:rPr>
                <w:rFonts w:ascii="Arial"/>
                <w:b/>
              </w:rPr>
              <w:t xml:space="preserve">Lecturer: </w:t>
            </w:r>
          </w:p>
        </w:tc>
        <w:tc>
          <w:tcPr>
            <w:tcW w:w="7489" w:type="dxa"/>
          </w:tcPr>
          <w:p w:rsidR="00DD6ADE" w:rsidRDefault="00DD6ADE" w:rsidP="00DD6ADE">
            <w:pPr>
              <w:pStyle w:val="TableParagraph"/>
              <w:spacing w:before="122"/>
              <w:ind w:left="108"/>
              <w:rPr>
                <w:rFonts w:ascii="Arial"/>
                <w:b/>
              </w:rPr>
            </w:pPr>
            <w:r w:rsidRPr="000F31FF">
              <w:rPr>
                <w:rFonts w:ascii="Arial"/>
                <w:b/>
              </w:rPr>
              <w:t>Dr Gladius Kulothungan</w:t>
            </w:r>
          </w:p>
        </w:tc>
      </w:tr>
      <w:tr w:rsidR="00DD6ADE" w:rsidTr="00A3465A">
        <w:trPr>
          <w:trHeight w:val="761"/>
        </w:trPr>
        <w:tc>
          <w:tcPr>
            <w:tcW w:w="2436" w:type="dxa"/>
            <w:shd w:val="clear" w:color="auto" w:fill="D9D9D9"/>
          </w:tcPr>
          <w:p w:rsidR="00DD6ADE" w:rsidRDefault="00DD6ADE" w:rsidP="00DD6ADE">
            <w:pPr>
              <w:pStyle w:val="TableParagraph"/>
              <w:spacing w:before="122"/>
              <w:ind w:left="107"/>
              <w:rPr>
                <w:rFonts w:ascii="Arial"/>
                <w:b/>
              </w:rPr>
            </w:pPr>
            <w:r>
              <w:rPr>
                <w:rFonts w:ascii="Arial"/>
                <w:b/>
              </w:rPr>
              <w:t xml:space="preserve">Internal Verifier: </w:t>
            </w:r>
          </w:p>
        </w:tc>
        <w:tc>
          <w:tcPr>
            <w:tcW w:w="7489" w:type="dxa"/>
          </w:tcPr>
          <w:p w:rsidR="00DD6ADE" w:rsidRDefault="00DD6ADE" w:rsidP="00DD6ADE">
            <w:pPr>
              <w:pStyle w:val="TableParagraph"/>
              <w:spacing w:before="122"/>
              <w:ind w:left="108"/>
              <w:rPr>
                <w:rFonts w:ascii="Arial"/>
                <w:b/>
              </w:rPr>
            </w:pPr>
            <w:r w:rsidRPr="000F31FF">
              <w:rPr>
                <w:rFonts w:ascii="Arial"/>
                <w:b/>
              </w:rPr>
              <w:t>Dr John-Paul Okeke</w:t>
            </w:r>
          </w:p>
        </w:tc>
      </w:tr>
    </w:tbl>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0F31FF" w:rsidRDefault="000F31FF">
      <w:pPr>
        <w:pStyle w:val="Normal1"/>
        <w:spacing w:line="360" w:lineRule="auto"/>
        <w:jc w:val="both"/>
        <w:rPr>
          <w:rFonts w:ascii="Times New Roman" w:eastAsia="Times New Roman" w:hAnsi="Times New Roman" w:cs="Times New Roman"/>
          <w:b/>
          <w:sz w:val="28"/>
          <w:szCs w:val="28"/>
          <w:lang w:val="en-GB"/>
        </w:rPr>
      </w:pPr>
    </w:p>
    <w:p w:rsidR="00BA6D4B" w:rsidRPr="00860E4F" w:rsidRDefault="00440F5A">
      <w:pPr>
        <w:pStyle w:val="Normal1"/>
        <w:spacing w:line="360" w:lineRule="auto"/>
        <w:jc w:val="both"/>
        <w:rPr>
          <w:rFonts w:ascii="Times New Roman" w:eastAsia="Times New Roman" w:hAnsi="Times New Roman" w:cs="Times New Roman"/>
          <w:b/>
          <w:sz w:val="28"/>
          <w:szCs w:val="28"/>
          <w:lang w:val="en-GB"/>
        </w:rPr>
      </w:pPr>
      <w:r w:rsidRPr="00860E4F">
        <w:rPr>
          <w:rFonts w:ascii="Times New Roman" w:eastAsia="Times New Roman" w:hAnsi="Times New Roman" w:cs="Times New Roman"/>
          <w:b/>
          <w:sz w:val="28"/>
          <w:szCs w:val="28"/>
          <w:lang w:val="en-GB"/>
        </w:rPr>
        <w:lastRenderedPageBreak/>
        <w:t>Executive Summary</w:t>
      </w:r>
    </w:p>
    <w:p w:rsidR="00BA6D4B" w:rsidRPr="003D0531" w:rsidRDefault="00440F5A">
      <w:pPr>
        <w:pStyle w:val="Normal1"/>
        <w:spacing w:line="360" w:lineRule="auto"/>
        <w:jc w:val="both"/>
        <w:rPr>
          <w:rFonts w:ascii="Times New Roman" w:eastAsia="Times New Roman" w:hAnsi="Times New Roman" w:cs="Times New Roman"/>
          <w:sz w:val="24"/>
          <w:szCs w:val="24"/>
          <w:lang w:val="en-GB"/>
        </w:rPr>
      </w:pPr>
      <w:r w:rsidRPr="003D0531">
        <w:rPr>
          <w:rFonts w:ascii="Times New Roman" w:eastAsia="Times New Roman" w:hAnsi="Times New Roman" w:cs="Times New Roman"/>
          <w:sz w:val="24"/>
          <w:szCs w:val="24"/>
          <w:lang w:val="en-GB"/>
        </w:rPr>
        <w:t>This assignment requires a report on the human resource management in the UK. This report is important for alerting job seekers intending to secure employment in the UK and improve their career opportunities. The present state of the labour market is discussed along with the emerging external changes in the business environment. This assignment follows the structure of a traditional report with introduction, main body and conclusion. Proper sub-headings were used to create distinctions between arguments and arrange information in an organised manner. The introduction consists of the main aim of the report. The first section creates an authentic picture of the labour market in the UK. The second section involves identification and analysis of emerging changes after Covid-19 and Brexit by including examples from the organisation Tesco. The conclusion provides an apt closure to the whole report.</w:t>
      </w: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p w:rsidR="00913B9D" w:rsidRDefault="00913B9D">
      <w:pPr>
        <w:pStyle w:val="Normal1"/>
        <w:spacing w:line="360" w:lineRule="auto"/>
        <w:jc w:val="both"/>
        <w:rPr>
          <w:rFonts w:ascii="Times New Roman" w:eastAsia="Times New Roman" w:hAnsi="Times New Roman" w:cs="Times New Roman"/>
          <w:b/>
          <w:sz w:val="24"/>
          <w:szCs w:val="24"/>
          <w:lang w:val="en-GB"/>
        </w:rPr>
      </w:pPr>
    </w:p>
    <w:sdt>
      <w:sdtPr>
        <w:rPr>
          <w:rFonts w:ascii="Times New Roman" w:eastAsia="Arial" w:hAnsi="Times New Roman" w:cs="Times New Roman"/>
          <w:b w:val="0"/>
          <w:bCs w:val="0"/>
          <w:color w:val="000000" w:themeColor="text1"/>
          <w:sz w:val="22"/>
          <w:szCs w:val="22"/>
          <w:lang w:val="en-GB"/>
        </w:rPr>
        <w:id w:val="23781807"/>
        <w:docPartObj>
          <w:docPartGallery w:val="Table of Contents"/>
          <w:docPartUnique/>
        </w:docPartObj>
      </w:sdtPr>
      <w:sdtEndPr>
        <w:rPr>
          <w:rFonts w:ascii="Arial" w:hAnsi="Arial" w:cs="Arial"/>
          <w:color w:val="auto"/>
          <w:lang w:val="en-US"/>
        </w:rPr>
      </w:sdtEndPr>
      <w:sdtContent>
        <w:p w:rsidR="00860E4F" w:rsidRPr="00860E4F" w:rsidRDefault="00860E4F" w:rsidP="00860E4F">
          <w:pPr>
            <w:pStyle w:val="TOCHeading"/>
            <w:spacing w:line="360" w:lineRule="auto"/>
            <w:jc w:val="center"/>
            <w:rPr>
              <w:rFonts w:ascii="Times New Roman" w:hAnsi="Times New Roman" w:cs="Times New Roman"/>
              <w:color w:val="000000" w:themeColor="text1"/>
              <w:lang w:val="en-GB"/>
            </w:rPr>
          </w:pPr>
          <w:r w:rsidRPr="00860E4F">
            <w:rPr>
              <w:rFonts w:ascii="Times New Roman" w:hAnsi="Times New Roman" w:cs="Times New Roman"/>
              <w:color w:val="000000" w:themeColor="text1"/>
              <w:lang w:val="en-GB"/>
            </w:rPr>
            <w:t>Table of Contents</w:t>
          </w:r>
        </w:p>
        <w:p w:rsidR="00860E4F" w:rsidRPr="00860E4F" w:rsidRDefault="00860E4F" w:rsidP="00860E4F">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860E4F">
            <w:rPr>
              <w:rFonts w:ascii="Times New Roman" w:hAnsi="Times New Roman" w:cs="Times New Roman"/>
              <w:color w:val="000000" w:themeColor="text1"/>
              <w:sz w:val="24"/>
              <w:szCs w:val="24"/>
              <w:lang w:val="en-GB"/>
            </w:rPr>
            <w:fldChar w:fldCharType="begin"/>
          </w:r>
          <w:r w:rsidRPr="00860E4F">
            <w:rPr>
              <w:rFonts w:ascii="Times New Roman" w:hAnsi="Times New Roman" w:cs="Times New Roman"/>
              <w:color w:val="000000" w:themeColor="text1"/>
              <w:sz w:val="24"/>
              <w:szCs w:val="24"/>
              <w:lang w:val="en-GB"/>
            </w:rPr>
            <w:instrText xml:space="preserve"> TOC \o "1-3" \h \z \u </w:instrText>
          </w:r>
          <w:r w:rsidRPr="00860E4F">
            <w:rPr>
              <w:rFonts w:ascii="Times New Roman" w:hAnsi="Times New Roman" w:cs="Times New Roman"/>
              <w:color w:val="000000" w:themeColor="text1"/>
              <w:sz w:val="24"/>
              <w:szCs w:val="24"/>
              <w:lang w:val="en-GB"/>
            </w:rPr>
            <w:fldChar w:fldCharType="separate"/>
          </w:r>
          <w:hyperlink w:anchor="_Toc122895457" w:history="1">
            <w:r w:rsidRPr="00860E4F">
              <w:rPr>
                <w:rStyle w:val="Hyperlink"/>
                <w:rFonts w:ascii="Times New Roman" w:hAnsi="Times New Roman" w:cs="Times New Roman"/>
                <w:noProof/>
                <w:color w:val="000000" w:themeColor="text1"/>
                <w:sz w:val="24"/>
                <w:szCs w:val="24"/>
                <w:lang w:val="en-GB"/>
              </w:rPr>
              <w:t>Introduction</w:t>
            </w:r>
            <w:r w:rsidRPr="00860E4F">
              <w:rPr>
                <w:rFonts w:ascii="Times New Roman" w:hAnsi="Times New Roman" w:cs="Times New Roman"/>
                <w:noProof/>
                <w:webHidden/>
                <w:color w:val="000000" w:themeColor="text1"/>
                <w:sz w:val="24"/>
                <w:szCs w:val="24"/>
                <w:lang w:val="en-GB"/>
              </w:rPr>
              <w:tab/>
            </w:r>
            <w:r w:rsidRPr="00860E4F">
              <w:rPr>
                <w:rFonts w:ascii="Times New Roman" w:hAnsi="Times New Roman" w:cs="Times New Roman"/>
                <w:noProof/>
                <w:webHidden/>
                <w:color w:val="000000" w:themeColor="text1"/>
                <w:sz w:val="24"/>
                <w:szCs w:val="24"/>
                <w:lang w:val="en-GB"/>
              </w:rPr>
              <w:fldChar w:fldCharType="begin"/>
            </w:r>
            <w:r w:rsidRPr="00860E4F">
              <w:rPr>
                <w:rFonts w:ascii="Times New Roman" w:hAnsi="Times New Roman" w:cs="Times New Roman"/>
                <w:noProof/>
                <w:webHidden/>
                <w:color w:val="000000" w:themeColor="text1"/>
                <w:sz w:val="24"/>
                <w:szCs w:val="24"/>
                <w:lang w:val="en-GB"/>
              </w:rPr>
              <w:instrText xml:space="preserve"> PAGEREF _Toc122895457 \h </w:instrText>
            </w:r>
            <w:r w:rsidRPr="00860E4F">
              <w:rPr>
                <w:rFonts w:ascii="Times New Roman" w:hAnsi="Times New Roman" w:cs="Times New Roman"/>
                <w:noProof/>
                <w:webHidden/>
                <w:color w:val="000000" w:themeColor="text1"/>
                <w:sz w:val="24"/>
                <w:szCs w:val="24"/>
                <w:lang w:val="en-GB"/>
              </w:rPr>
            </w:r>
            <w:r w:rsidRPr="00860E4F">
              <w:rPr>
                <w:rFonts w:ascii="Times New Roman" w:hAnsi="Times New Roman" w:cs="Times New Roman"/>
                <w:noProof/>
                <w:webHidden/>
                <w:color w:val="000000" w:themeColor="text1"/>
                <w:sz w:val="24"/>
                <w:szCs w:val="24"/>
                <w:lang w:val="en-GB"/>
              </w:rPr>
              <w:fldChar w:fldCharType="separate"/>
            </w:r>
            <w:r w:rsidRPr="00860E4F">
              <w:rPr>
                <w:rFonts w:ascii="Times New Roman" w:hAnsi="Times New Roman" w:cs="Times New Roman"/>
                <w:noProof/>
                <w:webHidden/>
                <w:color w:val="000000" w:themeColor="text1"/>
                <w:sz w:val="24"/>
                <w:szCs w:val="24"/>
                <w:lang w:val="en-GB"/>
              </w:rPr>
              <w:t>3</w:t>
            </w:r>
            <w:r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58" w:history="1">
            <w:r w:rsidR="00860E4F" w:rsidRPr="00860E4F">
              <w:rPr>
                <w:rStyle w:val="Hyperlink"/>
                <w:rFonts w:ascii="Times New Roman" w:hAnsi="Times New Roman" w:cs="Times New Roman"/>
                <w:noProof/>
                <w:color w:val="000000" w:themeColor="text1"/>
                <w:sz w:val="24"/>
                <w:szCs w:val="24"/>
                <w:lang w:val="en-GB"/>
              </w:rPr>
              <w:t>Current Condition of the UK's Labour Market</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_Toc122895458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3</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59" w:history="1">
            <w:r w:rsidR="00860E4F" w:rsidRPr="00860E4F">
              <w:rPr>
                <w:rStyle w:val="Hyperlink"/>
                <w:rFonts w:ascii="Times New Roman" w:hAnsi="Times New Roman" w:cs="Times New Roman"/>
                <w:noProof/>
                <w:color w:val="000000" w:themeColor="text1"/>
                <w:sz w:val="24"/>
                <w:szCs w:val="24"/>
                <w:lang w:val="en-GB"/>
              </w:rPr>
              <w:t>Employment Rate</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_Toc122895459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3</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0" w:history="1">
            <w:r w:rsidR="00860E4F" w:rsidRPr="00860E4F">
              <w:rPr>
                <w:rStyle w:val="Hyperlink"/>
                <w:rFonts w:ascii="Times New Roman" w:hAnsi="Times New Roman" w:cs="Times New Roman"/>
                <w:noProof/>
                <w:color w:val="000000" w:themeColor="text1"/>
                <w:sz w:val="24"/>
                <w:szCs w:val="24"/>
                <w:lang w:val="en-GB"/>
              </w:rPr>
              <w:t>Economic Activity</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_Toc122895460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4</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1" w:history="1">
            <w:r w:rsidR="00860E4F" w:rsidRPr="00860E4F">
              <w:rPr>
                <w:rStyle w:val="Hyperlink"/>
                <w:rFonts w:ascii="Times New Roman" w:hAnsi="Times New Roman" w:cs="Times New Roman"/>
                <w:noProof/>
                <w:color w:val="000000" w:themeColor="text1"/>
                <w:sz w:val="24"/>
                <w:szCs w:val="24"/>
                <w:lang w:val="en-GB"/>
              </w:rPr>
              <w:t>Pay Growth</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_Toc122895461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5</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2" w:history="1">
            <w:r w:rsidR="00860E4F" w:rsidRPr="00860E4F">
              <w:rPr>
                <w:rStyle w:val="Hyperlink"/>
                <w:rFonts w:ascii="Times New Roman" w:hAnsi="Times New Roman" w:cs="Times New Roman"/>
                <w:noProof/>
                <w:color w:val="000000" w:themeColor="text1"/>
                <w:sz w:val="24"/>
                <w:szCs w:val="24"/>
                <w:lang w:val="en-GB"/>
              </w:rPr>
              <w:t>Necessary Skills</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_Toc122895462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6</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3" w:history="1">
            <w:r w:rsidR="00860E4F" w:rsidRPr="00860E4F">
              <w:rPr>
                <w:rStyle w:val="Hyperlink"/>
                <w:rFonts w:ascii="Times New Roman" w:hAnsi="Times New Roman" w:cs="Times New Roman"/>
                <w:noProof/>
                <w:color w:val="000000" w:themeColor="text1"/>
                <w:sz w:val="24"/>
                <w:szCs w:val="24"/>
                <w:lang w:val="en-GB"/>
              </w:rPr>
              <w:t>Human Resourcing Strategies: Emerging Changes</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_Toc122895463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8</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4" w:history="1">
            <w:r w:rsidR="00860E4F" w:rsidRPr="00860E4F">
              <w:rPr>
                <w:rStyle w:val="Hyperlink"/>
                <w:rFonts w:ascii="Times New Roman" w:hAnsi="Times New Roman" w:cs="Times New Roman"/>
                <w:noProof/>
                <w:color w:val="000000" w:themeColor="text1"/>
                <w:sz w:val="24"/>
                <w:szCs w:val="24"/>
                <w:lang w:val="en-GB"/>
              </w:rPr>
              <w:t>Changes due to Covid-19</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_Toc122895464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8</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2"/>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5" w:history="1">
            <w:r w:rsidR="00860E4F" w:rsidRPr="00860E4F">
              <w:rPr>
                <w:rStyle w:val="Hyperlink"/>
                <w:rFonts w:ascii="Times New Roman" w:hAnsi="Times New Roman" w:cs="Times New Roman"/>
                <w:noProof/>
                <w:color w:val="000000" w:themeColor="text1"/>
                <w:sz w:val="24"/>
                <w:szCs w:val="24"/>
                <w:lang w:val="en-GB"/>
              </w:rPr>
              <w:t>Changes due to Brexit</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_Toc122895465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10</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6" w:history="1">
            <w:r w:rsidR="00860E4F" w:rsidRPr="00860E4F">
              <w:rPr>
                <w:rStyle w:val="Hyperlink"/>
                <w:rFonts w:ascii="Times New Roman" w:hAnsi="Times New Roman" w:cs="Times New Roman"/>
                <w:noProof/>
                <w:color w:val="000000" w:themeColor="text1"/>
                <w:sz w:val="24"/>
                <w:szCs w:val="24"/>
                <w:lang w:val="en-GB"/>
              </w:rPr>
              <w:t>Conclusion</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_Toc122895466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12</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Pr="00860E4F" w:rsidRDefault="00F416CA" w:rsidP="00860E4F">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895467" w:history="1">
            <w:r w:rsidR="00860E4F" w:rsidRPr="00860E4F">
              <w:rPr>
                <w:rStyle w:val="Hyperlink"/>
                <w:rFonts w:ascii="Times New Roman" w:hAnsi="Times New Roman" w:cs="Times New Roman"/>
                <w:noProof/>
                <w:color w:val="000000" w:themeColor="text1"/>
                <w:sz w:val="24"/>
                <w:szCs w:val="24"/>
                <w:lang w:val="en-GB"/>
              </w:rPr>
              <w:t>Reference List</w:t>
            </w:r>
            <w:r w:rsidR="00860E4F" w:rsidRPr="00860E4F">
              <w:rPr>
                <w:rFonts w:ascii="Times New Roman" w:hAnsi="Times New Roman" w:cs="Times New Roman"/>
                <w:noProof/>
                <w:webHidden/>
                <w:color w:val="000000" w:themeColor="text1"/>
                <w:sz w:val="24"/>
                <w:szCs w:val="24"/>
                <w:lang w:val="en-GB"/>
              </w:rPr>
              <w:tab/>
            </w:r>
            <w:r w:rsidR="00860E4F" w:rsidRPr="00860E4F">
              <w:rPr>
                <w:rFonts w:ascii="Times New Roman" w:hAnsi="Times New Roman" w:cs="Times New Roman"/>
                <w:noProof/>
                <w:webHidden/>
                <w:color w:val="000000" w:themeColor="text1"/>
                <w:sz w:val="24"/>
                <w:szCs w:val="24"/>
                <w:lang w:val="en-GB"/>
              </w:rPr>
              <w:fldChar w:fldCharType="begin"/>
            </w:r>
            <w:r w:rsidR="00860E4F" w:rsidRPr="00860E4F">
              <w:rPr>
                <w:rFonts w:ascii="Times New Roman" w:hAnsi="Times New Roman" w:cs="Times New Roman"/>
                <w:noProof/>
                <w:webHidden/>
                <w:color w:val="000000" w:themeColor="text1"/>
                <w:sz w:val="24"/>
                <w:szCs w:val="24"/>
                <w:lang w:val="en-GB"/>
              </w:rPr>
              <w:instrText xml:space="preserve"> PAGEREF _Toc122895467 \h </w:instrText>
            </w:r>
            <w:r w:rsidR="00860E4F" w:rsidRPr="00860E4F">
              <w:rPr>
                <w:rFonts w:ascii="Times New Roman" w:hAnsi="Times New Roman" w:cs="Times New Roman"/>
                <w:noProof/>
                <w:webHidden/>
                <w:color w:val="000000" w:themeColor="text1"/>
                <w:sz w:val="24"/>
                <w:szCs w:val="24"/>
                <w:lang w:val="en-GB"/>
              </w:rPr>
            </w:r>
            <w:r w:rsidR="00860E4F" w:rsidRPr="00860E4F">
              <w:rPr>
                <w:rFonts w:ascii="Times New Roman" w:hAnsi="Times New Roman" w:cs="Times New Roman"/>
                <w:noProof/>
                <w:webHidden/>
                <w:color w:val="000000" w:themeColor="text1"/>
                <w:sz w:val="24"/>
                <w:szCs w:val="24"/>
                <w:lang w:val="en-GB"/>
              </w:rPr>
              <w:fldChar w:fldCharType="separate"/>
            </w:r>
            <w:r w:rsidR="00860E4F" w:rsidRPr="00860E4F">
              <w:rPr>
                <w:rFonts w:ascii="Times New Roman" w:hAnsi="Times New Roman" w:cs="Times New Roman"/>
                <w:noProof/>
                <w:webHidden/>
                <w:color w:val="000000" w:themeColor="text1"/>
                <w:sz w:val="24"/>
                <w:szCs w:val="24"/>
                <w:lang w:val="en-GB"/>
              </w:rPr>
              <w:t>13</w:t>
            </w:r>
            <w:r w:rsidR="00860E4F" w:rsidRPr="00860E4F">
              <w:rPr>
                <w:rFonts w:ascii="Times New Roman" w:hAnsi="Times New Roman" w:cs="Times New Roman"/>
                <w:noProof/>
                <w:webHidden/>
                <w:color w:val="000000" w:themeColor="text1"/>
                <w:sz w:val="24"/>
                <w:szCs w:val="24"/>
                <w:lang w:val="en-GB"/>
              </w:rPr>
              <w:fldChar w:fldCharType="end"/>
            </w:r>
          </w:hyperlink>
        </w:p>
        <w:p w:rsidR="00860E4F" w:rsidRDefault="00860E4F" w:rsidP="00860E4F">
          <w:pPr>
            <w:spacing w:line="360" w:lineRule="auto"/>
            <w:jc w:val="both"/>
          </w:pPr>
          <w:r w:rsidRPr="00860E4F">
            <w:rPr>
              <w:rFonts w:ascii="Times New Roman" w:hAnsi="Times New Roman" w:cs="Times New Roman"/>
              <w:color w:val="000000" w:themeColor="text1"/>
              <w:sz w:val="24"/>
              <w:szCs w:val="24"/>
              <w:lang w:val="en-GB"/>
            </w:rPr>
            <w:fldChar w:fldCharType="end"/>
          </w:r>
        </w:p>
      </w:sdtContent>
    </w:sdt>
    <w:p w:rsidR="009C0EDE" w:rsidRDefault="009C0EDE">
      <w:pPr>
        <w:pStyle w:val="Normal1"/>
        <w:spacing w:line="360" w:lineRule="auto"/>
        <w:jc w:val="both"/>
        <w:rPr>
          <w:rFonts w:ascii="Times New Roman" w:eastAsia="Times New Roman" w:hAnsi="Times New Roman" w:cs="Times New Roman"/>
          <w:b/>
          <w:sz w:val="24"/>
          <w:szCs w:val="24"/>
          <w:lang w:val="en-GB"/>
        </w:rPr>
      </w:pPr>
    </w:p>
    <w:p w:rsidR="009C0EDE" w:rsidRDefault="009C0EDE">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BA6D4B" w:rsidRPr="00F75124" w:rsidRDefault="00440F5A" w:rsidP="009C0EDE">
      <w:pPr>
        <w:pStyle w:val="Heading1"/>
        <w:rPr>
          <w:b w:val="0"/>
          <w:lang w:val="en-GB"/>
        </w:rPr>
      </w:pPr>
      <w:bookmarkStart w:id="5" w:name="_Toc122895457"/>
      <w:r w:rsidRPr="00F75124">
        <w:rPr>
          <w:lang w:val="en-GB"/>
        </w:rPr>
        <w:lastRenderedPageBreak/>
        <w:t>Introduction</w:t>
      </w:r>
      <w:bookmarkEnd w:id="5"/>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This report analyses the human resource management prospects in the UK by highlighting the current labour market in the UK and emerging changes in human resourcing strategies. Future management aspirants need to understand the strengths and drawbacks of their intended field. A labour market allows labourers and industries to interact with one another. Workers aim to acquire the best job to display potential better, whereas employers seek the appropriate human resources for fulfilling strategies. A close study of a country’s labour market can reveal job trends, essential skills and more for the future career development of a job seeker. Moreover, a close analysis of human resourcing and the impact of external factors like Brexit and Covid 19 can better develop management competencies to survive and flourish in modern and volatile business environments. Hence, the report is for developing future workers.</w:t>
      </w:r>
    </w:p>
    <w:p w:rsidR="00BA6D4B" w:rsidRPr="00F75124" w:rsidRDefault="00440F5A" w:rsidP="009C0EDE">
      <w:pPr>
        <w:pStyle w:val="Heading1"/>
        <w:rPr>
          <w:lang w:val="en-GB"/>
        </w:rPr>
      </w:pPr>
      <w:bookmarkStart w:id="6" w:name="_Toc122895458"/>
      <w:r w:rsidRPr="00F75124">
        <w:rPr>
          <w:lang w:val="en-GB"/>
        </w:rPr>
        <w:t>Current Condition of the UK's Labour Market</w:t>
      </w:r>
      <w:bookmarkEnd w:id="6"/>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The UK underwent massive changes due to Brexit, and the Covid-19 pandemic changed the job market drastically. EU workers could not enjoy the same facilities as before and had to seek other countries for better employment conditions. The Covid-19 pandemic overthrew certain traditional businesses by creating new start-ups that better understand and meet the needs of the new customers.</w:t>
      </w:r>
    </w:p>
    <w:p w:rsidR="00BA6D4B" w:rsidRPr="00F75124" w:rsidRDefault="00440F5A" w:rsidP="009C0EDE">
      <w:pPr>
        <w:pStyle w:val="Heading2"/>
        <w:rPr>
          <w:b w:val="0"/>
          <w:lang w:val="en-GB"/>
        </w:rPr>
      </w:pPr>
      <w:bookmarkStart w:id="7" w:name="_Toc122895459"/>
      <w:r w:rsidRPr="00F75124">
        <w:rPr>
          <w:lang w:val="en-GB"/>
        </w:rPr>
        <w:t>Employment Rate</w:t>
      </w:r>
      <w:bookmarkEnd w:id="7"/>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UK's employment rate is 75.6% from August to October 2022. There is a 0.2 increase in the percentage points, but it fails to equal the flourishing employment rate during the days before the Covid-19 pandemic. However, the number of employees in the UK increased in the last three months. However, the number of self-employed workers decreased causing a change in small-scale businesses in the UK. The total number of payrolled employees in the UK is 29.9 million, and the UK saw 107,000 workers added in October of 2022 (ons.gov.uk, 2022). In September 2022, market experts and recruitment businesses predicted that post-Covid 19 job booms would experience a slump shortly. Moreover, the labour shortage is the main cause behind job booms as EU workers went home before Covid-19 and have not returned since causing an immense loss to companies. This fact is evident from the massive </w:t>
      </w:r>
      <w:r w:rsidRPr="00F75124">
        <w:rPr>
          <w:rFonts w:ascii="Times New Roman" w:eastAsia="Times New Roman" w:hAnsi="Times New Roman" w:cs="Times New Roman"/>
          <w:sz w:val="24"/>
          <w:szCs w:val="24"/>
          <w:lang w:val="en-GB"/>
        </w:rPr>
        <w:lastRenderedPageBreak/>
        <w:t>shortage of warehouse operators and order-picking agents. UK citizens are not enough to fill the positions as they are not equally skilled for specialised positions (bbc.com, 2022).</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noProof/>
          <w:sz w:val="24"/>
          <w:szCs w:val="24"/>
          <w:lang w:val="en-IN" w:eastAsia="en-IN" w:bidi="gu-IN"/>
        </w:rPr>
        <w:drawing>
          <wp:inline distT="114300" distB="114300" distL="114300" distR="114300">
            <wp:extent cx="5731200" cy="32512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5731200" cy="3251200"/>
                    </a:xfrm>
                    <a:prstGeom prst="rect">
                      <a:avLst/>
                    </a:prstGeom>
                  </pic:spPr>
                </pic:pic>
              </a:graphicData>
            </a:graphic>
          </wp:inline>
        </w:drawing>
      </w:r>
    </w:p>
    <w:p w:rsidR="00BA6D4B" w:rsidRPr="00F75124" w:rsidRDefault="00440F5A">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1: Employment Rate in the UK from 2020 to 2022</w:t>
      </w:r>
    </w:p>
    <w:p w:rsidR="00BA6D4B" w:rsidRPr="00F75124" w:rsidRDefault="00440F5A">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ons.gov.uk, 2022)</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Ravalier (2022) observed stress and overwork cause negative employee experiences in the UK. Activities like peer support, bottom-up communication, top-down communication, psychoeducation and well-being are necessary for reducing employee attrition. The loss of EU workers would increase the burden of existing labourers leading to a high turnover rate. Hence, organisations should collaborate with the NHS or National Health Scheme of the UK to better support employees. </w:t>
      </w:r>
    </w:p>
    <w:p w:rsidR="00BA6D4B" w:rsidRPr="00F75124" w:rsidRDefault="00440F5A" w:rsidP="009C0EDE">
      <w:pPr>
        <w:pStyle w:val="Heading2"/>
        <w:rPr>
          <w:lang w:val="en-GB"/>
        </w:rPr>
      </w:pPr>
      <w:bookmarkStart w:id="8" w:name="_Toc122895460"/>
      <w:r w:rsidRPr="00F75124">
        <w:rPr>
          <w:lang w:val="en-GB"/>
        </w:rPr>
        <w:t>Economic Activity</w:t>
      </w:r>
      <w:bookmarkEnd w:id="8"/>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Economic activity refers to the amalgamation of human resources, capital investments and production strategies to create particular goods and services that might cater to gaps in the market or meet customers' needs. The percentage of economic inactivity in the UK is 21.5% from August to October 2022. It experienced a reduction of 0.2 percentage points. The employees aged 50-64 underwent retirement as part of their natural life process. Citizens between 16 to 24 years of age are busy preparing for their future careers through studies and are engaged in economic inactivity for this reason (ons.gov.uk, 2022).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noProof/>
          <w:sz w:val="24"/>
          <w:szCs w:val="24"/>
          <w:lang w:val="en-IN" w:eastAsia="en-IN" w:bidi="gu-IN"/>
        </w:rPr>
        <w:lastRenderedPageBreak/>
        <w:drawing>
          <wp:inline distT="114300" distB="114300" distL="114300" distR="114300">
            <wp:extent cx="5731200" cy="3251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731200" cy="3251200"/>
                    </a:xfrm>
                    <a:prstGeom prst="rect">
                      <a:avLst/>
                    </a:prstGeom>
                  </pic:spPr>
                </pic:pic>
              </a:graphicData>
            </a:graphic>
          </wp:inline>
        </w:drawing>
      </w:r>
    </w:p>
    <w:p w:rsidR="00BA6D4B" w:rsidRPr="00F75124" w:rsidRDefault="00440F5A">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2: The Economic Inactivity Rate confined to students and old employees</w:t>
      </w:r>
    </w:p>
    <w:p w:rsidR="00BA6D4B" w:rsidRPr="00F75124" w:rsidRDefault="00440F5A">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ons.gov.uk, 2022)</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UK government is reportedly asking retired middle-aged workers to rejoin work to continue the workflow as there is a shortage of skilled labour as EU workers are absent. In December 2022, many UK workers took early retirement due to the Covid-19 pandemic to safeguard their health against the disease. However, this collective decision is another reason for the pressing labour shortages in the UK. The UK government created the mid-life MIT to encourage middle-aged workers to rejoin the workforce to ameliorate the issue. Long-term sickness is a pressing fear that overwhelms middle-aged employees from rejoining work as it would lead to permanent health complications. The threat of Covid-19 still looms large, and a reputed UK-based company like John Lewis witnessed 50 middle-aged employees leaving the workforce (bbc.com, 2022). Inactive economic groups might display apprehension to rejoin work due to their health, but this decision can instil mental health issues in such individuals. Volunteering is recommended as the ideal solution to increase economic activity and not put additional stress on middle-aged employees (Wang </w:t>
      </w:r>
      <w:r w:rsidRPr="00F75124">
        <w:rPr>
          <w:rFonts w:ascii="Times New Roman" w:eastAsia="Times New Roman" w:hAnsi="Times New Roman" w:cs="Times New Roman"/>
          <w:i/>
          <w:sz w:val="24"/>
          <w:szCs w:val="24"/>
          <w:lang w:val="en-GB"/>
        </w:rPr>
        <w:t>et al</w:t>
      </w:r>
      <w:r w:rsidRPr="00F75124">
        <w:rPr>
          <w:rFonts w:ascii="Times New Roman" w:eastAsia="Times New Roman" w:hAnsi="Times New Roman" w:cs="Times New Roman"/>
          <w:sz w:val="24"/>
          <w:szCs w:val="24"/>
          <w:lang w:val="en-GB"/>
        </w:rPr>
        <w:t xml:space="preserve">., 2022). </w:t>
      </w:r>
    </w:p>
    <w:p w:rsidR="00BA6D4B" w:rsidRPr="00F75124" w:rsidRDefault="00440F5A" w:rsidP="009C0EDE">
      <w:pPr>
        <w:pStyle w:val="Heading2"/>
        <w:rPr>
          <w:lang w:val="en-GB"/>
        </w:rPr>
      </w:pPr>
      <w:bookmarkStart w:id="9" w:name="_Toc122895461"/>
      <w:r w:rsidRPr="00F75124">
        <w:rPr>
          <w:lang w:val="en-GB"/>
        </w:rPr>
        <w:t>Pay Growth</w:t>
      </w:r>
      <w:bookmarkEnd w:id="9"/>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growth regarding total pay and regular pay of employees remained stagnant from August to September 2022 at 6.1%. The private sector witnessed a pay growth of 6.9%, and the public sector experienced 2.7%. This rate is favourable as it is more appropriate than the pay growth before the Covid-19 pandemic. Though the number of vacancies in the UK fell by </w:t>
      </w:r>
      <w:r w:rsidRPr="00F75124">
        <w:rPr>
          <w:rFonts w:ascii="Times New Roman" w:eastAsia="Times New Roman" w:hAnsi="Times New Roman" w:cs="Times New Roman"/>
          <w:sz w:val="24"/>
          <w:szCs w:val="24"/>
          <w:lang w:val="en-GB"/>
        </w:rPr>
        <w:lastRenderedPageBreak/>
        <w:t xml:space="preserve">65,000 to finalise 1,187,000 in number, it is still at an all-time high concerning past experiences. Such vacancies in the UK labour force reveal the prospect of uncertainty in organisations (ons.gov.uk, 2022). However, the pay growth did not keep up with the inflation rate causing the people to undertake protest movements to bring justice to their deplorable economic situation. Real wages refer to wages adjusted based on inflation that considers the living standards of citizens. The real wages of UK citizens were reduced by 76 pounds a month in 2022, which irked many employees in the UK. This fact is detrimental to job prospects as employees are not earning enough for their work to sustain decent living conditions (theguardian.com, 2022).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noProof/>
          <w:sz w:val="24"/>
          <w:szCs w:val="24"/>
          <w:lang w:val="en-IN" w:eastAsia="en-IN" w:bidi="gu-IN"/>
        </w:rPr>
        <w:drawing>
          <wp:inline distT="114300" distB="114300" distL="114300" distR="114300">
            <wp:extent cx="5731200" cy="34036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5731200" cy="3403600"/>
                    </a:xfrm>
                    <a:prstGeom prst="rect">
                      <a:avLst/>
                    </a:prstGeom>
                  </pic:spPr>
                </pic:pic>
              </a:graphicData>
            </a:graphic>
          </wp:inline>
        </w:drawing>
      </w:r>
    </w:p>
    <w:p w:rsidR="00BA6D4B" w:rsidRPr="00F75124" w:rsidRDefault="00440F5A">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3: Workers participating in Strikes in the UK for reduced Real Wages</w:t>
      </w:r>
    </w:p>
    <w:p w:rsidR="00BA6D4B" w:rsidRPr="00F75124" w:rsidRDefault="00440F5A">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theguardian.com, 2022)</w:t>
      </w:r>
    </w:p>
    <w:p w:rsidR="00BA6D4B" w:rsidRPr="00F75124" w:rsidRDefault="00BA6D4B">
      <w:pPr>
        <w:pStyle w:val="Normal1"/>
        <w:spacing w:line="360" w:lineRule="auto"/>
        <w:jc w:val="both"/>
        <w:rPr>
          <w:rFonts w:ascii="Times New Roman" w:eastAsia="Times New Roman" w:hAnsi="Times New Roman" w:cs="Times New Roman"/>
          <w:sz w:val="24"/>
          <w:szCs w:val="24"/>
          <w:lang w:val="en-GB"/>
        </w:rPr>
      </w:pPr>
    </w:p>
    <w:p w:rsidR="00BA6D4B" w:rsidRPr="00F75124" w:rsidRDefault="00440F5A" w:rsidP="009C0EDE">
      <w:pPr>
        <w:pStyle w:val="Heading2"/>
        <w:rPr>
          <w:lang w:val="en-GB"/>
        </w:rPr>
      </w:pPr>
      <w:bookmarkStart w:id="10" w:name="_Toc122895462"/>
      <w:r w:rsidRPr="00F75124">
        <w:rPr>
          <w:lang w:val="en-GB"/>
        </w:rPr>
        <w:t>Necessary Skills</w:t>
      </w:r>
      <w:bookmarkEnd w:id="10"/>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It is evident from the above discussion that there is an absence of adequate employees in the UK labour market as the EU workers forfeited their jobs and returned to their countries. Moreover, high-quality workers are undergoing early retirements to protect their health, but the labour shortage forces them to join work again. Stofkova </w:t>
      </w:r>
      <w:r w:rsidRPr="00F75124">
        <w:rPr>
          <w:rFonts w:ascii="Times New Roman" w:eastAsia="Times New Roman" w:hAnsi="Times New Roman" w:cs="Times New Roman"/>
          <w:i/>
          <w:sz w:val="24"/>
          <w:szCs w:val="24"/>
          <w:lang w:val="en-GB"/>
        </w:rPr>
        <w:t>et al</w:t>
      </w:r>
      <w:r w:rsidRPr="00F75124">
        <w:rPr>
          <w:rFonts w:ascii="Times New Roman" w:eastAsia="Times New Roman" w:hAnsi="Times New Roman" w:cs="Times New Roman"/>
          <w:sz w:val="24"/>
          <w:szCs w:val="24"/>
          <w:lang w:val="en-GB"/>
        </w:rPr>
        <w:t xml:space="preserve">. (2022) asserted that the Covid-19 pandemic highlighted the inadequate digital skills among employees in their inability to cope with sudden changes. Digital skills are also called ICT or information and </w:t>
      </w:r>
      <w:r w:rsidRPr="00F75124">
        <w:rPr>
          <w:rFonts w:ascii="Times New Roman" w:eastAsia="Times New Roman" w:hAnsi="Times New Roman" w:cs="Times New Roman"/>
          <w:sz w:val="24"/>
          <w:szCs w:val="24"/>
          <w:lang w:val="en-GB"/>
        </w:rPr>
        <w:lastRenderedPageBreak/>
        <w:t xml:space="preserve">communication technology skills involving skilfully using Microsoft programmes, handling emails, using the internet and data processing skills for speeding up the workflow. The UK government urges the incorporation of ICT skills in its education policy to teach the younger generation the strengths of digital literacy. Moreover, companies should have training programmes to improve the skills of existing and middle-aged employees to make work pressure bearable for them.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future of work survey identified digital skills as the most sought-after skill in the UK. The majority of respondents revealed a stark lack of confidence in handling digital technology due to inaccessible training due to high cost. Furthermore, routine-manual and cognitive-abstract skills are the soft skills that are effective for driving productivity and securing learning in organisations. Moreover, specialised digital skills are becoming indispensable for companies in the coming decade. Middle-aged employees can work from home if they acquire the necessary digital skills and helps to protect themselves against Covid-19. The new workers can learn new skills to withstand sudden external changes (forbes.com, 2022).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noProof/>
          <w:sz w:val="24"/>
          <w:szCs w:val="24"/>
          <w:lang w:val="en-IN" w:eastAsia="en-IN" w:bidi="gu-IN"/>
        </w:rPr>
        <w:drawing>
          <wp:inline distT="114300" distB="114300" distL="114300" distR="114300">
            <wp:extent cx="5731200" cy="4051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5731200" cy="4051300"/>
                    </a:xfrm>
                    <a:prstGeom prst="rect">
                      <a:avLst/>
                    </a:prstGeom>
                  </pic:spPr>
                </pic:pic>
              </a:graphicData>
            </a:graphic>
          </wp:inline>
        </w:drawing>
      </w:r>
    </w:p>
    <w:p w:rsidR="00BA6D4B" w:rsidRPr="00F75124" w:rsidRDefault="00440F5A">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4: Few Emerging and Specialised Digital Skills in the Global Market</w:t>
      </w:r>
    </w:p>
    <w:p w:rsidR="00BA6D4B" w:rsidRPr="00F75124" w:rsidRDefault="00440F5A">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weforum.org, 2019)</w:t>
      </w:r>
    </w:p>
    <w:p w:rsidR="00BA6D4B" w:rsidRPr="00F75124" w:rsidRDefault="00440F5A" w:rsidP="009C0EDE">
      <w:pPr>
        <w:pStyle w:val="Heading1"/>
        <w:rPr>
          <w:lang w:val="en-GB"/>
        </w:rPr>
      </w:pPr>
      <w:bookmarkStart w:id="11" w:name="_Toc122895463"/>
      <w:r w:rsidRPr="00F75124">
        <w:rPr>
          <w:lang w:val="en-GB"/>
        </w:rPr>
        <w:lastRenderedPageBreak/>
        <w:t>Human Resourcing Strategies: Emerging Changes</w:t>
      </w:r>
      <w:bookmarkEnd w:id="11"/>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Human resourcing strategies refer to recruiting the right employees, managing them and creating a positive and creative work culture. This section identifies and analyses emerging changes in the human resourcing strategies in the UK concerning the post-Covid and post-Brexit situation. The example of Tesco is used to further substantiate points.</w:t>
      </w:r>
    </w:p>
    <w:p w:rsidR="00BA6D4B" w:rsidRPr="00F75124" w:rsidRDefault="00440F5A" w:rsidP="009C0EDE">
      <w:pPr>
        <w:pStyle w:val="Heading2"/>
        <w:rPr>
          <w:lang w:val="en-GB"/>
        </w:rPr>
      </w:pPr>
      <w:bookmarkStart w:id="12" w:name="_Toc122895464"/>
      <w:r w:rsidRPr="00F75124">
        <w:rPr>
          <w:lang w:val="en-GB"/>
        </w:rPr>
        <w:t>Changes due to Covid-19</w:t>
      </w:r>
      <w:bookmarkEnd w:id="12"/>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introduction and perpetuation of </w:t>
      </w:r>
      <w:r w:rsidRPr="00F75124">
        <w:rPr>
          <w:rFonts w:ascii="Times New Roman" w:eastAsia="Times New Roman" w:hAnsi="Times New Roman" w:cs="Times New Roman"/>
          <w:b/>
          <w:i/>
          <w:sz w:val="24"/>
          <w:szCs w:val="24"/>
          <w:lang w:val="en-GB"/>
        </w:rPr>
        <w:t xml:space="preserve">flexible working </w:t>
      </w:r>
      <w:r w:rsidRPr="00F75124">
        <w:rPr>
          <w:rFonts w:ascii="Times New Roman" w:eastAsia="Times New Roman" w:hAnsi="Times New Roman" w:cs="Times New Roman"/>
          <w:sz w:val="24"/>
          <w:szCs w:val="24"/>
          <w:lang w:val="en-GB"/>
        </w:rPr>
        <w:t xml:space="preserve">is an important change in human resourcing in the post-Covid scenario. It is part of a company's working culture as it disrupts the traditional work culture and creates an alternate and more fruitful culture that meets the company's interests along with the employees. Flexibility, hitherto, was employer-based as it allowed organisations to control an employee’s working time, working location and working arrangements. Nowadays, it has shifted towards employee-oriented, causing working from home, work time flexibility and flexible working arrangements to enhance the mental health conditions of employees (Shiri </w:t>
      </w:r>
      <w:r w:rsidRPr="00F75124">
        <w:rPr>
          <w:rFonts w:ascii="Times New Roman" w:eastAsia="Times New Roman" w:hAnsi="Times New Roman" w:cs="Times New Roman"/>
          <w:i/>
          <w:sz w:val="24"/>
          <w:szCs w:val="24"/>
          <w:lang w:val="en-GB"/>
        </w:rPr>
        <w:t>et al</w:t>
      </w:r>
      <w:r w:rsidRPr="00F75124">
        <w:rPr>
          <w:rFonts w:ascii="Times New Roman" w:eastAsia="Times New Roman" w:hAnsi="Times New Roman" w:cs="Times New Roman"/>
          <w:sz w:val="24"/>
          <w:szCs w:val="24"/>
          <w:lang w:val="en-GB"/>
        </w:rPr>
        <w:t xml:space="preserve">., 2022). The UK lacks sufficient labour and the old employees are reluctant to rejoin work due to future Covid-19 infections. The promotion of flexible working can support middle-aged employees to not feel inadequate during their economic inactivity. However, organisations are expected to give adequate digital skills training to such employees to help them build confidence. A good example of this emerging change in human resourcing is the flexible working at Tesco. </w:t>
      </w:r>
    </w:p>
    <w:p w:rsidR="00BA6D4B"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Tesco is a UK-based grocery and supermarket chain that adopts changes in human resourcing. The flexibility allowed employees to continue work despite their travel restrictions through international remote working. A certain portion of Tesco's human resources is blended working from office locations with remote working to suit their convenience. A change in managerial policy involves compelling managers to agree to flexible working to properly manage employees' routines (tescoplc.com, 2022). </w:t>
      </w:r>
    </w:p>
    <w:p w:rsidR="00AB169B" w:rsidRPr="00F75124" w:rsidRDefault="00440F5A">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IN" w:eastAsia="en-IN" w:bidi="gu-IN"/>
        </w:rPr>
        <w:lastRenderedPageBreak/>
        <w:drawing>
          <wp:inline distT="0" distB="0" distL="0" distR="0">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A6D4B" w:rsidRPr="00F75124" w:rsidRDefault="00440F5A" w:rsidP="00AB169B">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5: Two Emerging Changes in Human Resourcing due to Covid-19</w:t>
      </w:r>
    </w:p>
    <w:p w:rsidR="00BA6D4B" w:rsidRPr="00F75124" w:rsidRDefault="00440F5A" w:rsidP="00AB169B">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Self)</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Dedahanov </w:t>
      </w:r>
      <w:r w:rsidRPr="00F75124">
        <w:rPr>
          <w:rFonts w:ascii="Times New Roman" w:eastAsia="Times New Roman" w:hAnsi="Times New Roman" w:cs="Times New Roman"/>
          <w:i/>
          <w:sz w:val="24"/>
          <w:szCs w:val="24"/>
          <w:lang w:val="en-GB"/>
        </w:rPr>
        <w:t>et al</w:t>
      </w:r>
      <w:r w:rsidRPr="00F75124">
        <w:rPr>
          <w:rFonts w:ascii="Times New Roman" w:eastAsia="Times New Roman" w:hAnsi="Times New Roman" w:cs="Times New Roman"/>
          <w:sz w:val="24"/>
          <w:szCs w:val="24"/>
          <w:lang w:val="en-GB"/>
        </w:rPr>
        <w:t xml:space="preserve">. (2022) observed that </w:t>
      </w:r>
      <w:r w:rsidRPr="00F75124">
        <w:rPr>
          <w:rFonts w:ascii="Times New Roman" w:eastAsia="Times New Roman" w:hAnsi="Times New Roman" w:cs="Times New Roman"/>
          <w:b/>
          <w:i/>
          <w:sz w:val="24"/>
          <w:szCs w:val="24"/>
          <w:lang w:val="en-GB"/>
        </w:rPr>
        <w:t xml:space="preserve">paternalistic or modernised leadership </w:t>
      </w:r>
      <w:r w:rsidRPr="00F75124">
        <w:rPr>
          <w:rFonts w:ascii="Times New Roman" w:eastAsia="Times New Roman" w:hAnsi="Times New Roman" w:cs="Times New Roman"/>
          <w:sz w:val="24"/>
          <w:szCs w:val="24"/>
          <w:lang w:val="en-GB"/>
        </w:rPr>
        <w:t>is conducive</w:t>
      </w:r>
      <w:r>
        <w:rPr>
          <w:rFonts w:ascii="Times New Roman" w:eastAsia="Times New Roman" w:hAnsi="Times New Roman" w:cs="Times New Roman"/>
          <w:sz w:val="24"/>
          <w:szCs w:val="24"/>
          <w:lang w:val="en-GB"/>
        </w:rPr>
        <w:t xml:space="preserve"> to bringing out employee voice. </w:t>
      </w:r>
      <w:r w:rsidRPr="00F75124">
        <w:rPr>
          <w:rFonts w:ascii="Times New Roman" w:eastAsia="Times New Roman" w:hAnsi="Times New Roman" w:cs="Times New Roman"/>
          <w:sz w:val="24"/>
          <w:szCs w:val="24"/>
          <w:lang w:val="en-GB"/>
        </w:rPr>
        <w:t xml:space="preserve">The social exchange theory posits that trust is fundamental to the implementation of interpersonal exchange thereby affecting interpersonal relationships. Employees in a workplace prioritising an open exchange should have ample grounds to trust their superiors, leaders or managers. However, most employees deliberately withhold unflattering opinions regarding their competencies as they prevent themselves from appearing weak in the eyes of the leader they trust and respect. Thus, a paternalistic leader identifying the mannerisms of individual employees can draw out voices from employees to create a collaborative and innovative work culture. The Covid-19 pandemic disintegrated past autocratic leadership styles as flexibility, innovation and speed are considered important to survive and gradually gain competitive awareness. A humble leader can encourage employees to undertake work processes without approval to speed up the work processes to deliver goods and services on time.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For instance, the managers at Tesco are receptive to feedback from both customers and employees. Such leaders travel around the UK and Ireland to seek out the opinions of colleagues by arranging for meetings in the town hall. This process develops sustainability as managers are accountable for their actions and answer pressing questions regarding the company. Though it is questionable whether Tesco follows paternalistic leadership, Tesco's employees assert their opinions freely resulting in employee-centric leadership. Such </w:t>
      </w:r>
      <w:r w:rsidRPr="00F75124">
        <w:rPr>
          <w:rFonts w:ascii="Times New Roman" w:eastAsia="Times New Roman" w:hAnsi="Times New Roman" w:cs="Times New Roman"/>
          <w:sz w:val="24"/>
          <w:szCs w:val="24"/>
          <w:lang w:val="en-GB"/>
        </w:rPr>
        <w:lastRenderedPageBreak/>
        <w:t xml:space="preserve">managers are receptive towards employee support programmes regarding life coaching, mindfulness programmes and counselling to keep them motivated for work (tescoplc.com, 2022). </w:t>
      </w:r>
    </w:p>
    <w:p w:rsidR="00BA6D4B" w:rsidRPr="00F75124" w:rsidRDefault="00440F5A" w:rsidP="009C0EDE">
      <w:pPr>
        <w:pStyle w:val="Heading2"/>
        <w:rPr>
          <w:lang w:val="en-GB"/>
        </w:rPr>
      </w:pPr>
      <w:bookmarkStart w:id="13" w:name="_Toc122895465"/>
      <w:r w:rsidRPr="00F75124">
        <w:rPr>
          <w:lang w:val="en-GB"/>
        </w:rPr>
        <w:t>Changes due to Brexit</w:t>
      </w:r>
      <w:bookmarkEnd w:id="13"/>
    </w:p>
    <w:p w:rsidR="00BA6D4B"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The post-Brexit external environment led to an increase in </w:t>
      </w:r>
      <w:r w:rsidRPr="00F75124">
        <w:rPr>
          <w:rFonts w:ascii="Times New Roman" w:eastAsia="Times New Roman" w:hAnsi="Times New Roman" w:cs="Times New Roman"/>
          <w:b/>
          <w:i/>
          <w:sz w:val="24"/>
          <w:szCs w:val="24"/>
          <w:lang w:val="en-GB"/>
        </w:rPr>
        <w:t xml:space="preserve">recruitment </w:t>
      </w:r>
      <w:r w:rsidRPr="00F75124">
        <w:rPr>
          <w:rFonts w:ascii="Times New Roman" w:eastAsia="Times New Roman" w:hAnsi="Times New Roman" w:cs="Times New Roman"/>
          <w:sz w:val="24"/>
          <w:szCs w:val="24"/>
          <w:lang w:val="en-GB"/>
        </w:rPr>
        <w:t>from non-EU countries and from within the UK. For instance in the healthcare sector like the NHS, 60</w:t>
      </w:r>
      <w:r>
        <w:rPr>
          <w:rFonts w:ascii="Times New Roman" w:eastAsia="Times New Roman" w:hAnsi="Times New Roman" w:cs="Times New Roman"/>
          <w:sz w:val="24"/>
          <w:szCs w:val="24"/>
          <w:lang w:val="en-GB"/>
        </w:rPr>
        <w:t xml:space="preserve">% of medical professionals </w:t>
      </w:r>
      <w:r w:rsidRPr="00F75124">
        <w:rPr>
          <w:rFonts w:ascii="Times New Roman" w:eastAsia="Times New Roman" w:hAnsi="Times New Roman" w:cs="Times New Roman"/>
          <w:sz w:val="24"/>
          <w:szCs w:val="24"/>
          <w:lang w:val="en-GB"/>
        </w:rPr>
        <w:t>considered leaving the UK due to Brexit-related policy changes. The recruitment options of employers are limited due to changes regarding migration rules for workers. The labour and skill shortages are likely to get ameliorated due to the profile and number of employees. In Januar</w:t>
      </w:r>
      <w:r>
        <w:rPr>
          <w:rFonts w:ascii="Times New Roman" w:eastAsia="Times New Roman" w:hAnsi="Times New Roman" w:cs="Times New Roman"/>
          <w:sz w:val="24"/>
          <w:szCs w:val="24"/>
          <w:lang w:val="en-GB"/>
        </w:rPr>
        <w:t>y 2021, the UK created a points-</w:t>
      </w:r>
      <w:r w:rsidRPr="00F75124">
        <w:rPr>
          <w:rFonts w:ascii="Times New Roman" w:eastAsia="Times New Roman" w:hAnsi="Times New Roman" w:cs="Times New Roman"/>
          <w:sz w:val="24"/>
          <w:szCs w:val="24"/>
          <w:lang w:val="en-GB"/>
        </w:rPr>
        <w:t xml:space="preserve">based system that necessitates equal treatment regarding non-EU and EU citizens. This system was created as EU workers have no facilities to seek employment in the UK and settle there for a long time. Managers require innovative ways to attract immigrant or expatriate workers from countries that do not have the UK on their immediate radar for job search (Igwe, 2022). Tesco adopted an innovative and agile recruitment approach. Tesco succeeded in hiring 960 HGV drivers through recruitment, apprenticeships and conversion courses (tescoplc.com, 2022). </w:t>
      </w:r>
    </w:p>
    <w:p w:rsidR="003B168C" w:rsidRPr="00F75124" w:rsidRDefault="00440F5A">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IN" w:eastAsia="en-IN" w:bidi="gu-IN"/>
        </w:rPr>
        <w:drawing>
          <wp:inline distT="0" distB="0" distL="0" distR="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BA6D4B" w:rsidRPr="00F75124" w:rsidRDefault="00440F5A" w:rsidP="003B168C">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6: Emerging Changes in Human Resourcing Post Brexit</w:t>
      </w:r>
    </w:p>
    <w:p w:rsidR="00BA6D4B" w:rsidRPr="00F75124" w:rsidRDefault="00440F5A" w:rsidP="003B168C">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Self)</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Tesco’s </w:t>
      </w:r>
      <w:r w:rsidRPr="00F75124">
        <w:rPr>
          <w:rFonts w:ascii="Times New Roman" w:eastAsia="Times New Roman" w:hAnsi="Times New Roman" w:cs="Times New Roman"/>
          <w:b/>
          <w:i/>
          <w:sz w:val="24"/>
          <w:szCs w:val="24"/>
          <w:lang w:val="en-GB"/>
        </w:rPr>
        <w:t xml:space="preserve">innovative recruitment campaign </w:t>
      </w:r>
      <w:r w:rsidRPr="00F75124">
        <w:rPr>
          <w:rFonts w:ascii="Times New Roman" w:eastAsia="Times New Roman" w:hAnsi="Times New Roman" w:cs="Times New Roman"/>
          <w:sz w:val="24"/>
          <w:szCs w:val="24"/>
          <w:lang w:val="en-GB"/>
        </w:rPr>
        <w:t xml:space="preserve">encouraged women employees to take up HGV lorry driver roles by diminishing the gender pay gap. The recruitment contract offered no </w:t>
      </w:r>
      <w:r w:rsidRPr="00F75124">
        <w:rPr>
          <w:rFonts w:ascii="Times New Roman" w:eastAsia="Times New Roman" w:hAnsi="Times New Roman" w:cs="Times New Roman"/>
          <w:sz w:val="24"/>
          <w:szCs w:val="24"/>
          <w:lang w:val="en-GB"/>
        </w:rPr>
        <w:lastRenderedPageBreak/>
        <w:t xml:space="preserve">evenings and weekends and the salary could extend up to 35k pounds in London. Tesco further included women in recruitment advertisements to garner the attention of women employees to participate in a male-centric job role. It is expected that Tesco’s advertisements would extend to non-EU workers via digital platforms in the same manner as attracting the marginalised women community in the UK. This innovation requires a change in the policies, processes and procedures of the HR strategy of Tesco to effectively blend into the post-Brexit environment. It is effective for all organisations in the UK to follow in the footsteps of Tesco to implement the emerging change of recruitment (bbc.com, 2021).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noProof/>
          <w:sz w:val="24"/>
          <w:szCs w:val="24"/>
          <w:lang w:val="en-IN" w:eastAsia="en-IN" w:bidi="gu-IN"/>
        </w:rPr>
        <w:drawing>
          <wp:inline distT="114300" distB="114300" distL="114300" distR="114300">
            <wp:extent cx="5731200" cy="23368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22"/>
                    <a:stretch>
                      <a:fillRect/>
                    </a:stretch>
                  </pic:blipFill>
                  <pic:spPr>
                    <a:xfrm>
                      <a:off x="0" y="0"/>
                      <a:ext cx="5731200" cy="2336800"/>
                    </a:xfrm>
                    <a:prstGeom prst="rect">
                      <a:avLst/>
                    </a:prstGeom>
                  </pic:spPr>
                </pic:pic>
              </a:graphicData>
            </a:graphic>
          </wp:inline>
        </w:drawing>
      </w:r>
    </w:p>
    <w:p w:rsidR="00BA6D4B" w:rsidRPr="00F75124" w:rsidRDefault="00440F5A">
      <w:pPr>
        <w:pStyle w:val="Normal1"/>
        <w:spacing w:line="360" w:lineRule="auto"/>
        <w:jc w:val="center"/>
        <w:rPr>
          <w:rFonts w:ascii="Times New Roman" w:eastAsia="Times New Roman" w:hAnsi="Times New Roman" w:cs="Times New Roman"/>
          <w:b/>
          <w:sz w:val="24"/>
          <w:szCs w:val="24"/>
          <w:lang w:val="en-GB"/>
        </w:rPr>
      </w:pPr>
      <w:r w:rsidRPr="00F75124">
        <w:rPr>
          <w:rFonts w:ascii="Times New Roman" w:eastAsia="Times New Roman" w:hAnsi="Times New Roman" w:cs="Times New Roman"/>
          <w:b/>
          <w:sz w:val="24"/>
          <w:szCs w:val="24"/>
          <w:lang w:val="en-GB"/>
        </w:rPr>
        <w:t>Figure 7: Gender Pay Gap Data of Tesco</w:t>
      </w:r>
    </w:p>
    <w:p w:rsidR="00BA6D4B" w:rsidRPr="00F75124" w:rsidRDefault="00440F5A">
      <w:pPr>
        <w:pStyle w:val="Normal1"/>
        <w:spacing w:line="360" w:lineRule="auto"/>
        <w:jc w:val="center"/>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(Source: tescoplc.com, 2022)</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Migrant workers were considered slave labourers in large organisations due to poor working conditions, inequality, exploitation and non-unionisation. The post-Brexit business environment prompted managers to consider human rights and employee issues in formulating workforce planning. This change emerged as a way of fulfilling sustainable development goals to make foreign-based employees feel secure in their jobs in the UK. </w:t>
      </w:r>
      <w:r w:rsidRPr="00F75124">
        <w:rPr>
          <w:rFonts w:ascii="Times New Roman" w:eastAsia="Times New Roman" w:hAnsi="Times New Roman" w:cs="Times New Roman"/>
          <w:b/>
          <w:i/>
          <w:sz w:val="24"/>
          <w:szCs w:val="24"/>
          <w:lang w:val="en-GB"/>
        </w:rPr>
        <w:t xml:space="preserve">CSR </w:t>
      </w:r>
      <w:r w:rsidRPr="00F75124">
        <w:rPr>
          <w:rFonts w:ascii="Times New Roman" w:eastAsia="Times New Roman" w:hAnsi="Times New Roman" w:cs="Times New Roman"/>
          <w:sz w:val="24"/>
          <w:szCs w:val="24"/>
          <w:lang w:val="en-GB"/>
        </w:rPr>
        <w:t xml:space="preserve">or corporate sustainability report allows managers to include policies, procedures and processes that are tilted towards employees’ well-being. A popularisation of such a CSR strategy can create a positive impression in the minds of non-EU job seekers (Puygrenier, 2022). Moreover, the </w:t>
      </w:r>
      <w:r w:rsidRPr="00F75124">
        <w:rPr>
          <w:rFonts w:ascii="Times New Roman" w:eastAsia="Times New Roman" w:hAnsi="Times New Roman" w:cs="Times New Roman"/>
          <w:b/>
          <w:i/>
          <w:sz w:val="24"/>
          <w:szCs w:val="24"/>
          <w:lang w:val="en-GB"/>
        </w:rPr>
        <w:t xml:space="preserve">ESG </w:t>
      </w:r>
      <w:r w:rsidRPr="00F75124">
        <w:rPr>
          <w:rFonts w:ascii="Times New Roman" w:eastAsia="Times New Roman" w:hAnsi="Times New Roman" w:cs="Times New Roman"/>
          <w:sz w:val="24"/>
          <w:szCs w:val="24"/>
          <w:lang w:val="en-GB"/>
        </w:rPr>
        <w:t xml:space="preserve">or environmental, social and governance report highlights the growth opportunities and materials risks befalling an organisation. Managers can secure high non-EU investment which in turn can attract non-EU workers. Non-EU investors would get interested in the UK companies showing an avid interest in their human resources and culture, and allow such companies to not only receive their support but enter their territories </w:t>
      </w:r>
      <w:r w:rsidRPr="00F75124">
        <w:rPr>
          <w:rFonts w:ascii="Times New Roman" w:eastAsia="Times New Roman" w:hAnsi="Times New Roman" w:cs="Times New Roman"/>
          <w:sz w:val="24"/>
          <w:szCs w:val="24"/>
          <w:lang w:val="en-GB"/>
        </w:rPr>
        <w:lastRenderedPageBreak/>
        <w:t xml:space="preserve">also. It is analysed that a mixture of CSR and ESG strategies post-Brexit can reduce the ongoing issue of labour shortage in the UK (Redondo Alamillos and de Mariz, 2022). </w:t>
      </w:r>
    </w:p>
    <w:p w:rsidR="00BA6D4B" w:rsidRPr="00F75124"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Tesco follows CSR and ESG through its sustainability reporting to maintain diversity and inclusion at Tesco. The company publishes gender pay gap data for public viewing and it inadvertently leads to attracting more non-EU workers. Diverse talent committees help to motivate employees from diverse ethnic minorities and embed them into the workforce of Tesco. Moreover, the company has 35% representation regarding female employees and 14% representation concerning employees from diverse backgrounds. However, it still lacks a proper CSR report and the ESG regulatory obligations are not mentioned clearly. It is recommended that the company creates changes regarding such a lack of proper management and training (tescoplc.com, 2022). </w:t>
      </w:r>
    </w:p>
    <w:p w:rsidR="00BA6D4B" w:rsidRPr="00F75124" w:rsidRDefault="00440F5A" w:rsidP="009C0EDE">
      <w:pPr>
        <w:pStyle w:val="Heading1"/>
        <w:rPr>
          <w:lang w:val="en-GB"/>
        </w:rPr>
      </w:pPr>
      <w:bookmarkStart w:id="14" w:name="_Toc122895466"/>
      <w:r w:rsidRPr="00F75124">
        <w:rPr>
          <w:lang w:val="en-GB"/>
        </w:rPr>
        <w:t>Conclusion</w:t>
      </w:r>
      <w:bookmarkEnd w:id="14"/>
    </w:p>
    <w:p w:rsidR="00492395" w:rsidRDefault="00440F5A">
      <w:pPr>
        <w:pStyle w:val="Normal1"/>
        <w:spacing w:line="360" w:lineRule="auto"/>
        <w:jc w:val="both"/>
        <w:rPr>
          <w:rFonts w:ascii="Times New Roman" w:eastAsia="Times New Roman" w:hAnsi="Times New Roman" w:cs="Times New Roman"/>
          <w:sz w:val="24"/>
          <w:szCs w:val="24"/>
          <w:lang w:val="en-GB"/>
        </w:rPr>
      </w:pPr>
      <w:r w:rsidRPr="00F75124">
        <w:rPr>
          <w:rFonts w:ascii="Times New Roman" w:eastAsia="Times New Roman" w:hAnsi="Times New Roman" w:cs="Times New Roman"/>
          <w:sz w:val="24"/>
          <w:szCs w:val="24"/>
          <w:lang w:val="en-GB"/>
        </w:rPr>
        <w:t xml:space="preserve">It is concluded that the UK labour market suffers from a labour shortage due to a lack of EU workers concerning Brexit. Middle-aged employees are expected to revoke their retirement to make up for the labour shortage. In the post-Brexit scenario, recruitment and sustainability tools like ESG and CSR helps to create a positive impression for non-EU workers to attract them to the UK workforce. Regarding the post-Covid 19 scenarios, flexible working and modernised leadership styles are essential for improving management to cope with a sudden external change. </w:t>
      </w:r>
    </w:p>
    <w:p w:rsidR="00492395" w:rsidRDefault="00492395">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157C67" w:rsidRPr="00B103A7" w:rsidRDefault="00492395" w:rsidP="009C0EDE">
      <w:pPr>
        <w:pStyle w:val="Heading1"/>
        <w:rPr>
          <w:lang w:val="en-GB"/>
        </w:rPr>
      </w:pPr>
      <w:bookmarkStart w:id="15" w:name="_Toc122895467"/>
      <w:r w:rsidRPr="00B103A7">
        <w:rPr>
          <w:lang w:val="en-GB"/>
        </w:rPr>
        <w:lastRenderedPageBreak/>
        <w:t>Reference List</w:t>
      </w:r>
      <w:bookmarkEnd w:id="15"/>
    </w:p>
    <w:p w:rsidR="00157C67" w:rsidRDefault="00157C67" w:rsidP="00157C67">
      <w:pPr>
        <w:spacing w:after="240" w:line="360" w:lineRule="auto"/>
        <w:jc w:val="both"/>
        <w:rPr>
          <w:rFonts w:ascii="Times New Roman" w:hAnsi="Times New Roman" w:cs="Times New Roman"/>
          <w:sz w:val="24"/>
          <w:szCs w:val="24"/>
          <w:lang w:val="en-GB"/>
        </w:rPr>
      </w:pPr>
      <w:r w:rsidRPr="00ED16CC">
        <w:rPr>
          <w:rFonts w:ascii="Times New Roman" w:hAnsi="Times New Roman" w:cs="Times New Roman"/>
          <w:sz w:val="24"/>
          <w:szCs w:val="24"/>
          <w:lang w:val="en-GB"/>
        </w:rPr>
        <w:t xml:space="preserve">bbc.com </w:t>
      </w:r>
      <w:r>
        <w:rPr>
          <w:rFonts w:ascii="Times New Roman" w:hAnsi="Times New Roman" w:cs="Times New Roman"/>
          <w:sz w:val="24"/>
          <w:szCs w:val="24"/>
          <w:lang w:val="en-GB"/>
        </w:rPr>
        <w:t xml:space="preserve">(2021). </w:t>
      </w:r>
      <w:r w:rsidRPr="00ED16CC">
        <w:rPr>
          <w:rFonts w:ascii="Times New Roman" w:hAnsi="Times New Roman" w:cs="Times New Roman"/>
          <w:i/>
          <w:sz w:val="24"/>
          <w:szCs w:val="24"/>
          <w:lang w:val="en-GB"/>
        </w:rPr>
        <w:t>Tesco offers £1,000 joining bonus for HGV lorry drivers.</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https://www.bbc.com/news/business-57983698</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E246F0">
        <w:rPr>
          <w:rFonts w:ascii="Times New Roman" w:hAnsi="Times New Roman" w:cs="Times New Roman"/>
          <w:sz w:val="24"/>
          <w:szCs w:val="24"/>
          <w:lang w:val="en-GB"/>
        </w:rPr>
        <w:t xml:space="preserve">bbc.com </w:t>
      </w:r>
      <w:r>
        <w:rPr>
          <w:rFonts w:ascii="Times New Roman" w:hAnsi="Times New Roman" w:cs="Times New Roman"/>
          <w:sz w:val="24"/>
          <w:szCs w:val="24"/>
          <w:lang w:val="en-GB"/>
        </w:rPr>
        <w:t xml:space="preserve">(2022). </w:t>
      </w:r>
      <w:r w:rsidRPr="00E246F0">
        <w:rPr>
          <w:rFonts w:ascii="Times New Roman" w:hAnsi="Times New Roman" w:cs="Times New Roman"/>
          <w:i/>
          <w:sz w:val="24"/>
          <w:szCs w:val="24"/>
          <w:lang w:val="en-GB"/>
        </w:rPr>
        <w:t>Warning that post-lockdown jobs boom is ending.</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https://www.bbc.com/news/business-62877700</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7002E1">
        <w:rPr>
          <w:rFonts w:ascii="Times New Roman" w:hAnsi="Times New Roman" w:cs="Times New Roman"/>
          <w:sz w:val="24"/>
          <w:szCs w:val="24"/>
          <w:lang w:val="en-GB"/>
        </w:rPr>
        <w:t xml:space="preserve">bbc.com </w:t>
      </w:r>
      <w:r>
        <w:rPr>
          <w:rFonts w:ascii="Times New Roman" w:hAnsi="Times New Roman" w:cs="Times New Roman"/>
          <w:sz w:val="24"/>
          <w:szCs w:val="24"/>
          <w:lang w:val="en-GB"/>
        </w:rPr>
        <w:t xml:space="preserve">(2022). </w:t>
      </w:r>
      <w:r w:rsidRPr="007002E1">
        <w:rPr>
          <w:rFonts w:ascii="Times New Roman" w:hAnsi="Times New Roman" w:cs="Times New Roman"/>
          <w:i/>
          <w:sz w:val="24"/>
          <w:szCs w:val="24"/>
          <w:lang w:val="en-GB"/>
        </w:rPr>
        <w:t>Workers over 50 encouraged to end early retirement.</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https://www.bbc.com/news/business-64083802</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E4079C">
        <w:rPr>
          <w:rFonts w:ascii="Times New Roman" w:hAnsi="Times New Roman" w:cs="Times New Roman"/>
          <w:sz w:val="24"/>
          <w:szCs w:val="24"/>
          <w:lang w:val="en-GB"/>
        </w:rPr>
        <w:t>Dedahanov, A.T., Fayzullaev, A.K.U., Abdurazzakov, O.S., Rakhmonov, D.A. and Zakirova, O., 2022. Paternalistic Leadership Styles and Employee Voice: The Roles of Trust in Supervisors and Self-Efficacy</w:t>
      </w:r>
      <w:r>
        <w:rPr>
          <w:rFonts w:ascii="Times New Roman" w:hAnsi="Times New Roman" w:cs="Times New Roman"/>
          <w:sz w:val="24"/>
          <w:szCs w:val="24"/>
          <w:lang w:val="en-GB"/>
        </w:rPr>
        <w:t>. Sustainability, 14(19), pp.128-13</w:t>
      </w:r>
      <w:r w:rsidRPr="00E4079C">
        <w:rPr>
          <w:rFonts w:ascii="Times New Roman" w:hAnsi="Times New Roman" w:cs="Times New Roman"/>
          <w:sz w:val="24"/>
          <w:szCs w:val="24"/>
          <w:lang w:val="en-GB"/>
        </w:rPr>
        <w:t>5.</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https://doi.org/10.3390/su141912805</w:t>
      </w:r>
    </w:p>
    <w:p w:rsidR="00157C67" w:rsidRDefault="00157C67" w:rsidP="00157C67">
      <w:pPr>
        <w:spacing w:after="240" w:line="360" w:lineRule="auto"/>
        <w:jc w:val="both"/>
        <w:rPr>
          <w:rFonts w:ascii="Times New Roman" w:hAnsi="Times New Roman" w:cs="Times New Roman"/>
          <w:sz w:val="24"/>
          <w:szCs w:val="24"/>
          <w:lang w:val="en-GB"/>
        </w:rPr>
      </w:pPr>
      <w:r w:rsidRPr="00A54F5F">
        <w:rPr>
          <w:rFonts w:ascii="Times New Roman" w:hAnsi="Times New Roman" w:cs="Times New Roman"/>
          <w:sz w:val="24"/>
          <w:szCs w:val="24"/>
          <w:lang w:val="en-GB"/>
        </w:rPr>
        <w:t xml:space="preserve">forbes.com </w:t>
      </w:r>
      <w:r>
        <w:rPr>
          <w:rFonts w:ascii="Times New Roman" w:hAnsi="Times New Roman" w:cs="Times New Roman"/>
          <w:sz w:val="24"/>
          <w:szCs w:val="24"/>
          <w:lang w:val="en-GB"/>
        </w:rPr>
        <w:t xml:space="preserve">(2022). </w:t>
      </w:r>
      <w:r w:rsidRPr="00A54F5F">
        <w:rPr>
          <w:rFonts w:ascii="Times New Roman" w:hAnsi="Times New Roman" w:cs="Times New Roman"/>
          <w:i/>
          <w:sz w:val="24"/>
          <w:szCs w:val="24"/>
          <w:lang w:val="en-GB"/>
        </w:rPr>
        <w:t>Skills Development Needs Social Activities Attached To Succeed.</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https://www.forbes.com/sites/adigaskell/2022/12/15/skills-development-needs-social-activities-attached-to-succeed/?sh=213ded1c4079</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D465A9">
        <w:rPr>
          <w:rFonts w:ascii="Times New Roman" w:hAnsi="Times New Roman" w:cs="Times New Roman"/>
          <w:sz w:val="24"/>
          <w:szCs w:val="24"/>
          <w:lang w:val="en-GB"/>
        </w:rPr>
        <w:t>Igwe, P.A., 2022. The Paradox of Brexit and the Consequences of Taking Back Control. Societies, 12(2), p</w:t>
      </w:r>
      <w:r>
        <w:rPr>
          <w:rFonts w:ascii="Times New Roman" w:hAnsi="Times New Roman" w:cs="Times New Roman"/>
          <w:sz w:val="24"/>
          <w:szCs w:val="24"/>
          <w:lang w:val="en-GB"/>
        </w:rPr>
        <w:t>p</w:t>
      </w:r>
      <w:r w:rsidRPr="00D465A9">
        <w:rPr>
          <w:rFonts w:ascii="Times New Roman" w:hAnsi="Times New Roman" w:cs="Times New Roman"/>
          <w:sz w:val="24"/>
          <w:szCs w:val="24"/>
          <w:lang w:val="en-GB"/>
        </w:rPr>
        <w:t>.69</w:t>
      </w:r>
      <w:r>
        <w:rPr>
          <w:rFonts w:ascii="Times New Roman" w:hAnsi="Times New Roman" w:cs="Times New Roman"/>
          <w:sz w:val="24"/>
          <w:szCs w:val="24"/>
          <w:lang w:val="en-GB"/>
        </w:rPr>
        <w:t>-80</w:t>
      </w:r>
      <w:r w:rsidRPr="00D465A9">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https://doi.org/10.3390/soc12020069</w:t>
      </w:r>
    </w:p>
    <w:p w:rsidR="00157C67" w:rsidRDefault="00157C67" w:rsidP="00157C67">
      <w:pPr>
        <w:spacing w:after="240" w:line="360" w:lineRule="auto"/>
        <w:jc w:val="both"/>
        <w:rPr>
          <w:rFonts w:ascii="Times New Roman" w:hAnsi="Times New Roman" w:cs="Times New Roman"/>
          <w:sz w:val="24"/>
          <w:szCs w:val="24"/>
          <w:lang w:val="en-GB"/>
        </w:rPr>
      </w:pPr>
      <w:r w:rsidRPr="006200B7">
        <w:rPr>
          <w:rFonts w:ascii="Times New Roman" w:hAnsi="Times New Roman" w:cs="Times New Roman"/>
          <w:sz w:val="24"/>
          <w:szCs w:val="24"/>
          <w:lang w:val="en-GB"/>
        </w:rPr>
        <w:t xml:space="preserve">ons.gov.uk </w:t>
      </w:r>
      <w:r>
        <w:rPr>
          <w:rFonts w:ascii="Times New Roman" w:hAnsi="Times New Roman" w:cs="Times New Roman"/>
          <w:sz w:val="24"/>
          <w:szCs w:val="24"/>
          <w:lang w:val="en-GB"/>
        </w:rPr>
        <w:t xml:space="preserve">(2022). </w:t>
      </w:r>
      <w:r w:rsidRPr="006200B7">
        <w:rPr>
          <w:rFonts w:ascii="Times New Roman" w:hAnsi="Times New Roman" w:cs="Times New Roman"/>
          <w:i/>
          <w:sz w:val="24"/>
          <w:szCs w:val="24"/>
          <w:lang w:val="en-GB"/>
        </w:rPr>
        <w:t>Employment in the UK: December 2022.</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https://www.ons.gov.uk/employmentandlabourmarket/peopleinwork/employmentandemployeetypes/bulletins/employmentintheuk/latest</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533EE3">
        <w:rPr>
          <w:rFonts w:ascii="Times New Roman" w:hAnsi="Times New Roman" w:cs="Times New Roman"/>
          <w:sz w:val="24"/>
          <w:szCs w:val="24"/>
          <w:lang w:val="en-GB"/>
        </w:rPr>
        <w:t xml:space="preserve">ons.gov.uk </w:t>
      </w:r>
      <w:r>
        <w:rPr>
          <w:rFonts w:ascii="Times New Roman" w:hAnsi="Times New Roman" w:cs="Times New Roman"/>
          <w:sz w:val="24"/>
          <w:szCs w:val="24"/>
          <w:lang w:val="en-GB"/>
        </w:rPr>
        <w:t xml:space="preserve">(2022). </w:t>
      </w:r>
      <w:r w:rsidRPr="00533EE3">
        <w:rPr>
          <w:rFonts w:ascii="Times New Roman" w:hAnsi="Times New Roman" w:cs="Times New Roman"/>
          <w:i/>
          <w:sz w:val="24"/>
          <w:szCs w:val="24"/>
          <w:lang w:val="en-GB"/>
        </w:rPr>
        <w:t>Labour market overview, UK: December 2022.</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https://www.ons.gov.uk/employmentandlabourmarket/peopleinwork/employmentandemployeetypes/bulletins/uklabourmarket/december2022</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3B7031">
        <w:rPr>
          <w:rFonts w:ascii="Times New Roman" w:hAnsi="Times New Roman" w:cs="Times New Roman"/>
          <w:sz w:val="24"/>
          <w:szCs w:val="24"/>
          <w:lang w:val="en-GB"/>
        </w:rPr>
        <w:t xml:space="preserve">Puygrenier, L., 2022. Bureaucracy and the politics of time in state-business relations: Waiting to recruit migrant labour in Mauritius. Theory and Society, </w:t>
      </w:r>
      <w:r>
        <w:rPr>
          <w:rFonts w:ascii="Times New Roman" w:hAnsi="Times New Roman" w:cs="Times New Roman"/>
          <w:sz w:val="24"/>
          <w:szCs w:val="24"/>
          <w:lang w:val="en-GB"/>
        </w:rPr>
        <w:t xml:space="preserve">12(2), </w:t>
      </w:r>
      <w:r w:rsidRPr="003B7031">
        <w:rPr>
          <w:rFonts w:ascii="Times New Roman" w:hAnsi="Times New Roman" w:cs="Times New Roman"/>
          <w:sz w:val="24"/>
          <w:szCs w:val="24"/>
          <w:lang w:val="en-GB"/>
        </w:rPr>
        <w:t>pp.1-20.</w:t>
      </w:r>
      <w:r>
        <w:rPr>
          <w:rFonts w:ascii="Times New Roman" w:hAnsi="Times New Roman" w:cs="Times New Roman"/>
          <w:sz w:val="24"/>
          <w:szCs w:val="24"/>
          <w:lang w:val="en-GB"/>
        </w:rPr>
        <w:t xml:space="preserve"> https://doi.org/</w:t>
      </w:r>
      <w:r w:rsidRPr="005921BB">
        <w:t xml:space="preserve"> </w:t>
      </w:r>
      <w:r w:rsidRPr="005921BB">
        <w:rPr>
          <w:rFonts w:ascii="Times New Roman" w:hAnsi="Times New Roman" w:cs="Times New Roman"/>
          <w:sz w:val="24"/>
          <w:szCs w:val="24"/>
          <w:lang w:val="en-GB"/>
        </w:rPr>
        <w:t>10.1007/978-981-15-0874-5_10</w:t>
      </w:r>
    </w:p>
    <w:p w:rsidR="00157C67" w:rsidRDefault="00157C67" w:rsidP="00157C67">
      <w:pPr>
        <w:spacing w:after="240" w:line="360" w:lineRule="auto"/>
        <w:jc w:val="both"/>
        <w:rPr>
          <w:rFonts w:ascii="Times New Roman" w:hAnsi="Times New Roman" w:cs="Times New Roman"/>
          <w:sz w:val="24"/>
          <w:szCs w:val="24"/>
          <w:lang w:val="en-GB"/>
        </w:rPr>
      </w:pPr>
      <w:r w:rsidRPr="00D14C96">
        <w:rPr>
          <w:rFonts w:ascii="Times New Roman" w:hAnsi="Times New Roman" w:cs="Times New Roman"/>
          <w:sz w:val="24"/>
          <w:szCs w:val="24"/>
          <w:lang w:val="en-GB"/>
        </w:rPr>
        <w:t xml:space="preserve">Ravalier, J.M., 2022. Co-design, delivery, and evaluation of wellbeing initiatives for NHS staff: the HOW (Healthier Outcomes at Work) NHS project. International Journal of </w:t>
      </w:r>
      <w:r w:rsidRPr="00D14C96">
        <w:rPr>
          <w:rFonts w:ascii="Times New Roman" w:hAnsi="Times New Roman" w:cs="Times New Roman"/>
          <w:sz w:val="24"/>
          <w:szCs w:val="24"/>
          <w:lang w:val="en-GB"/>
        </w:rPr>
        <w:lastRenderedPageBreak/>
        <w:t>Environmental Research</w:t>
      </w:r>
      <w:r>
        <w:rPr>
          <w:rFonts w:ascii="Times New Roman" w:hAnsi="Times New Roman" w:cs="Times New Roman"/>
          <w:sz w:val="24"/>
          <w:szCs w:val="24"/>
          <w:lang w:val="en-GB"/>
        </w:rPr>
        <w:t xml:space="preserve"> and Public Health, 19(8), pp.46-5</w:t>
      </w:r>
      <w:r w:rsidRPr="00D14C96">
        <w:rPr>
          <w:rFonts w:ascii="Times New Roman" w:hAnsi="Times New Roman" w:cs="Times New Roman"/>
          <w:sz w:val="24"/>
          <w:szCs w:val="24"/>
          <w:lang w:val="en-GB"/>
        </w:rPr>
        <w:t>6.</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https://doi.org/10.3390/ijerph19084646</w:t>
      </w:r>
    </w:p>
    <w:p w:rsidR="00157C67" w:rsidRDefault="00157C67" w:rsidP="00157C67">
      <w:pPr>
        <w:spacing w:after="240" w:line="360" w:lineRule="auto"/>
        <w:jc w:val="both"/>
        <w:rPr>
          <w:rFonts w:ascii="Times New Roman" w:hAnsi="Times New Roman" w:cs="Times New Roman"/>
          <w:sz w:val="24"/>
          <w:szCs w:val="24"/>
          <w:lang w:val="en-GB"/>
        </w:rPr>
      </w:pPr>
      <w:r w:rsidRPr="00FB3E6D">
        <w:rPr>
          <w:rFonts w:ascii="Times New Roman" w:hAnsi="Times New Roman" w:cs="Times New Roman"/>
          <w:sz w:val="24"/>
          <w:szCs w:val="24"/>
          <w:lang w:val="en-GB"/>
        </w:rPr>
        <w:t xml:space="preserve">Redondo Alamillos, R. and de Mariz, F., 2022. How Can European Regulation on ESG Impact Business Globally?. Journal of Risk and </w:t>
      </w:r>
      <w:r>
        <w:rPr>
          <w:rFonts w:ascii="Times New Roman" w:hAnsi="Times New Roman" w:cs="Times New Roman"/>
          <w:sz w:val="24"/>
          <w:szCs w:val="24"/>
          <w:lang w:val="en-GB"/>
        </w:rPr>
        <w:t>Financial Management, 15(7), pp.79-</w:t>
      </w:r>
      <w:r w:rsidRPr="00FB3E6D">
        <w:rPr>
          <w:rFonts w:ascii="Times New Roman" w:hAnsi="Times New Roman" w:cs="Times New Roman"/>
          <w:sz w:val="24"/>
          <w:szCs w:val="24"/>
          <w:lang w:val="en-GB"/>
        </w:rPr>
        <w:t>91.</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https://doi.org/10.3390/jrfm15070291</w:t>
      </w:r>
    </w:p>
    <w:p w:rsidR="00157C67" w:rsidRDefault="00157C67" w:rsidP="00157C67">
      <w:pPr>
        <w:spacing w:after="240" w:line="360" w:lineRule="auto"/>
        <w:jc w:val="both"/>
        <w:rPr>
          <w:rFonts w:ascii="Times New Roman" w:hAnsi="Times New Roman" w:cs="Times New Roman"/>
          <w:sz w:val="24"/>
          <w:szCs w:val="24"/>
          <w:lang w:val="en-GB"/>
        </w:rPr>
      </w:pPr>
      <w:r w:rsidRPr="00DA054F">
        <w:rPr>
          <w:rFonts w:ascii="Times New Roman" w:hAnsi="Times New Roman" w:cs="Times New Roman"/>
          <w:sz w:val="24"/>
          <w:szCs w:val="24"/>
          <w:lang w:val="en-GB"/>
        </w:rPr>
        <w:t>Shiri, R., Turunen, J., Kausto, J., Leino-Arjas, P., Varje, P., Väänäne</w:t>
      </w:r>
      <w:r>
        <w:rPr>
          <w:rFonts w:ascii="Times New Roman" w:hAnsi="Times New Roman" w:cs="Times New Roman"/>
          <w:sz w:val="24"/>
          <w:szCs w:val="24"/>
          <w:lang w:val="en-GB"/>
        </w:rPr>
        <w:t>n, A. and Ervasti, J., 2022</w:t>
      </w:r>
      <w:r w:rsidRPr="00DA054F">
        <w:rPr>
          <w:rFonts w:ascii="Times New Roman" w:hAnsi="Times New Roman" w:cs="Times New Roman"/>
          <w:sz w:val="24"/>
          <w:szCs w:val="24"/>
          <w:lang w:val="en-GB"/>
        </w:rPr>
        <w:t>. The effect of employee-oriented flexible work on mental health: a systematic revi</w:t>
      </w:r>
      <w:r>
        <w:rPr>
          <w:rFonts w:ascii="Times New Roman" w:hAnsi="Times New Roman" w:cs="Times New Roman"/>
          <w:sz w:val="24"/>
          <w:szCs w:val="24"/>
          <w:lang w:val="en-GB"/>
        </w:rPr>
        <w:t>ew. In Healthcare. 10(</w:t>
      </w:r>
      <w:r w:rsidRPr="00DA054F">
        <w:rPr>
          <w:rFonts w:ascii="Times New Roman" w:hAnsi="Times New Roman" w:cs="Times New Roman"/>
          <w:sz w:val="24"/>
          <w:szCs w:val="24"/>
          <w:lang w:val="en-GB"/>
        </w:rPr>
        <w:t>5</w:t>
      </w:r>
      <w:r>
        <w:rPr>
          <w:rFonts w:ascii="Times New Roman" w:hAnsi="Times New Roman" w:cs="Times New Roman"/>
          <w:sz w:val="24"/>
          <w:szCs w:val="24"/>
          <w:lang w:val="en-GB"/>
        </w:rPr>
        <w:t>)</w:t>
      </w:r>
      <w:r w:rsidRPr="00DA054F">
        <w:rPr>
          <w:rFonts w:ascii="Times New Roman" w:hAnsi="Times New Roman" w:cs="Times New Roman"/>
          <w:sz w:val="24"/>
          <w:szCs w:val="24"/>
          <w:lang w:val="en-GB"/>
        </w:rPr>
        <w:t>, p</w:t>
      </w:r>
      <w:r>
        <w:rPr>
          <w:rFonts w:ascii="Times New Roman" w:hAnsi="Times New Roman" w:cs="Times New Roman"/>
          <w:sz w:val="24"/>
          <w:szCs w:val="24"/>
          <w:lang w:val="en-GB"/>
        </w:rPr>
        <w:t xml:space="preserve">p. 883-895. </w:t>
      </w:r>
      <w:r w:rsidRPr="00157C67">
        <w:rPr>
          <w:rFonts w:ascii="Times New Roman" w:hAnsi="Times New Roman" w:cs="Times New Roman"/>
          <w:sz w:val="24"/>
          <w:szCs w:val="24"/>
          <w:lang w:val="en-GB"/>
        </w:rPr>
        <w:t>https://doi.org/10.3390/healthcare10050883</w:t>
      </w:r>
    </w:p>
    <w:p w:rsidR="00157C67" w:rsidRDefault="00157C67" w:rsidP="00157C67">
      <w:pPr>
        <w:spacing w:after="240" w:line="360" w:lineRule="auto"/>
        <w:jc w:val="both"/>
        <w:rPr>
          <w:rFonts w:ascii="Times New Roman" w:hAnsi="Times New Roman" w:cs="Times New Roman"/>
          <w:sz w:val="24"/>
          <w:szCs w:val="24"/>
          <w:lang w:val="en-GB"/>
        </w:rPr>
      </w:pPr>
      <w:r w:rsidRPr="00801B93">
        <w:rPr>
          <w:rFonts w:ascii="Times New Roman" w:hAnsi="Times New Roman" w:cs="Times New Roman"/>
          <w:sz w:val="24"/>
          <w:szCs w:val="24"/>
          <w:lang w:val="en-GB"/>
        </w:rPr>
        <w:t>Stofkova, J., Poliakova, A., Stofkova, K.R., Malega, P., Krejnus, M., Binasova, V. and Daneshjo, N., 2022. Digital Skills as a Significant Factor of Human Resources Developme</w:t>
      </w:r>
      <w:r>
        <w:rPr>
          <w:rFonts w:ascii="Times New Roman" w:hAnsi="Times New Roman" w:cs="Times New Roman"/>
          <w:sz w:val="24"/>
          <w:szCs w:val="24"/>
          <w:lang w:val="en-GB"/>
        </w:rPr>
        <w:t>nt. Sustainability, 14(20), pp.</w:t>
      </w:r>
      <w:r w:rsidRPr="00801B93">
        <w:rPr>
          <w:rFonts w:ascii="Times New Roman" w:hAnsi="Times New Roman" w:cs="Times New Roman"/>
          <w:sz w:val="24"/>
          <w:szCs w:val="24"/>
          <w:lang w:val="en-GB"/>
        </w:rPr>
        <w:t>117</w:t>
      </w:r>
      <w:r>
        <w:rPr>
          <w:rFonts w:ascii="Times New Roman" w:hAnsi="Times New Roman" w:cs="Times New Roman"/>
          <w:sz w:val="24"/>
          <w:szCs w:val="24"/>
          <w:lang w:val="en-GB"/>
        </w:rPr>
        <w:t>-131</w:t>
      </w:r>
      <w:r w:rsidRPr="00801B93">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https://doi.org/10.3390/su142013117</w:t>
      </w:r>
    </w:p>
    <w:p w:rsidR="00157C67" w:rsidRDefault="00157C67" w:rsidP="00157C67">
      <w:pPr>
        <w:spacing w:after="240" w:line="360" w:lineRule="auto"/>
        <w:jc w:val="both"/>
        <w:rPr>
          <w:rFonts w:ascii="Times New Roman" w:hAnsi="Times New Roman" w:cs="Times New Roman"/>
          <w:sz w:val="24"/>
          <w:szCs w:val="24"/>
          <w:lang w:val="en-GB"/>
        </w:rPr>
      </w:pPr>
      <w:r w:rsidRPr="00DA054F">
        <w:rPr>
          <w:rFonts w:ascii="Times New Roman" w:hAnsi="Times New Roman" w:cs="Times New Roman"/>
          <w:sz w:val="24"/>
          <w:szCs w:val="24"/>
          <w:lang w:val="en-GB"/>
        </w:rPr>
        <w:t xml:space="preserve">tescoplc.com </w:t>
      </w:r>
      <w:r>
        <w:rPr>
          <w:rFonts w:ascii="Times New Roman" w:hAnsi="Times New Roman" w:cs="Times New Roman"/>
          <w:sz w:val="24"/>
          <w:szCs w:val="24"/>
          <w:lang w:val="en-GB"/>
        </w:rPr>
        <w:t xml:space="preserve">(2022). Available at: </w:t>
      </w:r>
      <w:r w:rsidRPr="00157C67">
        <w:rPr>
          <w:rFonts w:ascii="Times New Roman" w:hAnsi="Times New Roman" w:cs="Times New Roman"/>
          <w:sz w:val="24"/>
          <w:szCs w:val="24"/>
          <w:lang w:val="en-GB"/>
        </w:rPr>
        <w:t>https://www.tescoplc.com/media/759057/tesco-annual-report-2022.pdf</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417376">
        <w:rPr>
          <w:rFonts w:ascii="Times New Roman" w:hAnsi="Times New Roman" w:cs="Times New Roman"/>
          <w:sz w:val="24"/>
          <w:szCs w:val="24"/>
          <w:lang w:val="en-GB"/>
        </w:rPr>
        <w:t xml:space="preserve">tescoplc.com </w:t>
      </w:r>
      <w:r>
        <w:rPr>
          <w:rFonts w:ascii="Times New Roman" w:hAnsi="Times New Roman" w:cs="Times New Roman"/>
          <w:sz w:val="24"/>
          <w:szCs w:val="24"/>
          <w:lang w:val="en-GB"/>
        </w:rPr>
        <w:t xml:space="preserve">(2022). </w:t>
      </w:r>
      <w:r w:rsidRPr="00417376">
        <w:rPr>
          <w:rFonts w:ascii="Times New Roman" w:hAnsi="Times New Roman" w:cs="Times New Roman"/>
          <w:i/>
          <w:sz w:val="24"/>
          <w:szCs w:val="24"/>
          <w:lang w:val="en-GB"/>
        </w:rPr>
        <w:t>PLC | Sustainability.</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https://www.tescoplc.com/sustainability/colleagues/diversity-and-inclusion-at-tesco/</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F92B19">
        <w:rPr>
          <w:rFonts w:ascii="Times New Roman" w:hAnsi="Times New Roman" w:cs="Times New Roman"/>
          <w:sz w:val="24"/>
          <w:szCs w:val="24"/>
          <w:lang w:val="en-GB"/>
        </w:rPr>
        <w:t xml:space="preserve">theguardian.com </w:t>
      </w:r>
      <w:r>
        <w:rPr>
          <w:rFonts w:ascii="Times New Roman" w:hAnsi="Times New Roman" w:cs="Times New Roman"/>
          <w:sz w:val="24"/>
          <w:szCs w:val="24"/>
          <w:lang w:val="en-GB"/>
        </w:rPr>
        <w:t xml:space="preserve">(2022). </w:t>
      </w:r>
      <w:r w:rsidRPr="00F92B19">
        <w:rPr>
          <w:rFonts w:ascii="Times New Roman" w:hAnsi="Times New Roman" w:cs="Times New Roman"/>
          <w:i/>
          <w:sz w:val="24"/>
          <w:szCs w:val="24"/>
          <w:lang w:val="en-GB"/>
        </w:rPr>
        <w:t>2022 the UK’s worst year for real wage growth since 1977, TUC says.</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https://www.theguardian.com/uk-news/2022/dec/12/2022-the-uks-worst-year-for-real-wage-growth-since-1977-tuc-says</w:t>
      </w:r>
      <w:r>
        <w:rPr>
          <w:rFonts w:ascii="Times New Roman" w:hAnsi="Times New Roman" w:cs="Times New Roman"/>
          <w:sz w:val="24"/>
          <w:szCs w:val="24"/>
          <w:lang w:val="en-GB"/>
        </w:rPr>
        <w:t xml:space="preserve"> [Accessed on 25 December 2022]</w:t>
      </w:r>
    </w:p>
    <w:p w:rsidR="00157C67" w:rsidRDefault="00157C67" w:rsidP="00157C67">
      <w:pPr>
        <w:spacing w:after="240" w:line="360" w:lineRule="auto"/>
        <w:jc w:val="both"/>
        <w:rPr>
          <w:rFonts w:ascii="Times New Roman" w:hAnsi="Times New Roman" w:cs="Times New Roman"/>
          <w:sz w:val="24"/>
          <w:szCs w:val="24"/>
          <w:lang w:val="en-GB"/>
        </w:rPr>
      </w:pPr>
      <w:r w:rsidRPr="008E221F">
        <w:rPr>
          <w:rFonts w:ascii="Times New Roman" w:hAnsi="Times New Roman" w:cs="Times New Roman"/>
          <w:sz w:val="24"/>
          <w:szCs w:val="24"/>
          <w:lang w:val="en-GB"/>
        </w:rPr>
        <w:t>Wang, S., Ling, W., Lu, Z., Wei, Y., Li, M. and Gao, L., 2022. Can Volunteering Buffer the Negative Impacts of Unemployment and Economic Inactivity on Mental Health? Longitudinal Evidence from the United Kingdom. International Journal of Environmental Research and Public Health, 19(11), p</w:t>
      </w:r>
      <w:r>
        <w:rPr>
          <w:rFonts w:ascii="Times New Roman" w:hAnsi="Times New Roman" w:cs="Times New Roman"/>
          <w:sz w:val="24"/>
          <w:szCs w:val="24"/>
          <w:lang w:val="en-GB"/>
        </w:rPr>
        <w:t>p.68-7</w:t>
      </w:r>
      <w:r w:rsidRPr="008E221F">
        <w:rPr>
          <w:rFonts w:ascii="Times New Roman" w:hAnsi="Times New Roman" w:cs="Times New Roman"/>
          <w:sz w:val="24"/>
          <w:szCs w:val="24"/>
          <w:lang w:val="en-GB"/>
        </w:rPr>
        <w:t>9.</w:t>
      </w:r>
      <w:r>
        <w:rPr>
          <w:rFonts w:ascii="Times New Roman" w:hAnsi="Times New Roman" w:cs="Times New Roman"/>
          <w:sz w:val="24"/>
          <w:szCs w:val="24"/>
          <w:lang w:val="en-GB"/>
        </w:rPr>
        <w:t xml:space="preserve"> </w:t>
      </w:r>
      <w:r w:rsidRPr="00157C67">
        <w:rPr>
          <w:rFonts w:ascii="Times New Roman" w:hAnsi="Times New Roman" w:cs="Times New Roman"/>
          <w:sz w:val="24"/>
          <w:szCs w:val="24"/>
          <w:lang w:val="en-GB"/>
        </w:rPr>
        <w:t>https://doi.org/10.3390/ijerph19116809</w:t>
      </w:r>
    </w:p>
    <w:p w:rsidR="00157C67" w:rsidRDefault="00157C67" w:rsidP="00157C67">
      <w:pPr>
        <w:spacing w:after="240" w:line="360" w:lineRule="auto"/>
        <w:jc w:val="both"/>
        <w:rPr>
          <w:rFonts w:ascii="Times New Roman" w:hAnsi="Times New Roman" w:cs="Times New Roman"/>
          <w:sz w:val="24"/>
          <w:szCs w:val="24"/>
          <w:lang w:val="en-GB"/>
        </w:rPr>
      </w:pPr>
      <w:r w:rsidRPr="00C07E1E">
        <w:rPr>
          <w:rFonts w:ascii="Times New Roman" w:hAnsi="Times New Roman" w:cs="Times New Roman"/>
          <w:sz w:val="24"/>
          <w:szCs w:val="24"/>
          <w:lang w:val="en-GB"/>
        </w:rPr>
        <w:t xml:space="preserve">weforum.org </w:t>
      </w:r>
      <w:r>
        <w:rPr>
          <w:rFonts w:ascii="Times New Roman" w:hAnsi="Times New Roman" w:cs="Times New Roman"/>
          <w:sz w:val="24"/>
          <w:szCs w:val="24"/>
          <w:lang w:val="en-GB"/>
        </w:rPr>
        <w:t xml:space="preserve">(2019). </w:t>
      </w:r>
      <w:r w:rsidRPr="00C07E1E">
        <w:rPr>
          <w:rFonts w:ascii="Times New Roman" w:hAnsi="Times New Roman" w:cs="Times New Roman"/>
          <w:i/>
          <w:sz w:val="24"/>
          <w:szCs w:val="24"/>
          <w:lang w:val="en-GB"/>
        </w:rPr>
        <w:t>The digital skills gap is widening fast. Here’s how to bridge it.</w:t>
      </w:r>
      <w:r>
        <w:rPr>
          <w:rFonts w:ascii="Times New Roman" w:hAnsi="Times New Roman" w:cs="Times New Roman"/>
          <w:sz w:val="24"/>
          <w:szCs w:val="24"/>
          <w:lang w:val="en-GB"/>
        </w:rPr>
        <w:t xml:space="preserve"> Available at: </w:t>
      </w:r>
      <w:r w:rsidRPr="00157C67">
        <w:rPr>
          <w:rFonts w:ascii="Times New Roman" w:hAnsi="Times New Roman" w:cs="Times New Roman"/>
          <w:sz w:val="24"/>
          <w:szCs w:val="24"/>
          <w:lang w:val="en-GB"/>
        </w:rPr>
        <w:t>https://www.weforum.org/agenda/2019/03/the-digital-skills-gap-is-widening-fast-heres-how-to-bridge-it/</w:t>
      </w:r>
      <w:r>
        <w:rPr>
          <w:rFonts w:ascii="Times New Roman" w:hAnsi="Times New Roman" w:cs="Times New Roman"/>
          <w:sz w:val="24"/>
          <w:szCs w:val="24"/>
          <w:lang w:val="en-GB"/>
        </w:rPr>
        <w:t xml:space="preserve"> [Accessed on 25 December 2022]</w:t>
      </w:r>
    </w:p>
    <w:sectPr w:rsidR="00157C67" w:rsidSect="00BA6D4B">
      <w:headerReference w:type="even" r:id="rId23"/>
      <w:headerReference w:type="default" r:id="rId24"/>
      <w:footerReference w:type="even" r:id="rId25"/>
      <w:footerReference w:type="default" r:id="rId26"/>
      <w:headerReference w:type="first" r:id="rId27"/>
      <w:footerReference w:type="firs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16CA" w:rsidRDefault="00F416CA" w:rsidP="00EA6FA0">
      <w:pPr>
        <w:spacing w:line="240" w:lineRule="auto"/>
      </w:pPr>
      <w:r>
        <w:separator/>
      </w:r>
    </w:p>
  </w:endnote>
  <w:endnote w:type="continuationSeparator" w:id="0">
    <w:p w:rsidR="00F416CA" w:rsidRDefault="00F416CA" w:rsidP="00EA6F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77B" w:rsidRDefault="002067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781817"/>
      <w:docPartObj>
        <w:docPartGallery w:val="Page Numbers (Bottom of Page)"/>
        <w:docPartUnique/>
      </w:docPartObj>
    </w:sdtPr>
    <w:sdtEndPr/>
    <w:sdtContent>
      <w:p w:rsidR="00372D42" w:rsidRDefault="00372D42">
        <w:pPr>
          <w:pStyle w:val="Footer"/>
          <w:jc w:val="right"/>
        </w:pPr>
        <w:r w:rsidRPr="00372D42">
          <w:rPr>
            <w:rFonts w:ascii="Times New Roman" w:hAnsi="Times New Roman" w:cs="Times New Roman"/>
            <w:sz w:val="24"/>
            <w:szCs w:val="24"/>
          </w:rPr>
          <w:fldChar w:fldCharType="begin"/>
        </w:r>
        <w:r w:rsidRPr="00372D42">
          <w:rPr>
            <w:rFonts w:ascii="Times New Roman" w:hAnsi="Times New Roman" w:cs="Times New Roman"/>
            <w:sz w:val="24"/>
            <w:szCs w:val="24"/>
          </w:rPr>
          <w:instrText xml:space="preserve"> PAGE   \* MERGEFORMAT </w:instrText>
        </w:r>
        <w:r w:rsidRPr="00372D42">
          <w:rPr>
            <w:rFonts w:ascii="Times New Roman" w:hAnsi="Times New Roman" w:cs="Times New Roman"/>
            <w:sz w:val="24"/>
            <w:szCs w:val="24"/>
          </w:rPr>
          <w:fldChar w:fldCharType="separate"/>
        </w:r>
        <w:r w:rsidR="00DD6ADE">
          <w:rPr>
            <w:rFonts w:ascii="Times New Roman" w:hAnsi="Times New Roman" w:cs="Times New Roman"/>
            <w:noProof/>
            <w:sz w:val="24"/>
            <w:szCs w:val="24"/>
          </w:rPr>
          <w:t>1</w:t>
        </w:r>
        <w:r w:rsidRPr="00372D42">
          <w:rPr>
            <w:rFonts w:ascii="Times New Roman" w:hAnsi="Times New Roman" w:cs="Times New Roman"/>
            <w:sz w:val="24"/>
            <w:szCs w:val="24"/>
          </w:rPr>
          <w:fldChar w:fldCharType="end"/>
        </w:r>
      </w:p>
    </w:sdtContent>
  </w:sdt>
  <w:p w:rsidR="00372D42" w:rsidRDefault="00372D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77B" w:rsidRDefault="00206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16CA" w:rsidRDefault="00F416CA" w:rsidP="00EA6FA0">
      <w:pPr>
        <w:spacing w:line="240" w:lineRule="auto"/>
      </w:pPr>
      <w:r>
        <w:separator/>
      </w:r>
    </w:p>
  </w:footnote>
  <w:footnote w:type="continuationSeparator" w:id="0">
    <w:p w:rsidR="00F416CA" w:rsidRDefault="00F416CA" w:rsidP="00EA6F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77B" w:rsidRDefault="002067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77B" w:rsidRDefault="002067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77B" w:rsidRDefault="002067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A6D4B"/>
    <w:rsid w:val="0000079E"/>
    <w:rsid w:val="000F31FF"/>
    <w:rsid w:val="00157C67"/>
    <w:rsid w:val="001C603B"/>
    <w:rsid w:val="0020677B"/>
    <w:rsid w:val="002A3814"/>
    <w:rsid w:val="00372D42"/>
    <w:rsid w:val="003B168C"/>
    <w:rsid w:val="003D0531"/>
    <w:rsid w:val="00440F5A"/>
    <w:rsid w:val="00471E16"/>
    <w:rsid w:val="00492395"/>
    <w:rsid w:val="005A1514"/>
    <w:rsid w:val="00680B7E"/>
    <w:rsid w:val="00860E4F"/>
    <w:rsid w:val="00913B9D"/>
    <w:rsid w:val="009C0EDE"/>
    <w:rsid w:val="00A67FFC"/>
    <w:rsid w:val="00AB169B"/>
    <w:rsid w:val="00B103A7"/>
    <w:rsid w:val="00BA6D4B"/>
    <w:rsid w:val="00DD6ADE"/>
    <w:rsid w:val="00EA6FA0"/>
    <w:rsid w:val="00F416CA"/>
    <w:rsid w:val="00F50C30"/>
    <w:rsid w:val="00F75124"/>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E16"/>
  </w:style>
  <w:style w:type="paragraph" w:styleId="Heading1">
    <w:name w:val="heading 1"/>
    <w:basedOn w:val="Normal1"/>
    <w:next w:val="Normal1"/>
    <w:rsid w:val="009C0ED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9C0EDE"/>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BA6D4B"/>
    <w:pPr>
      <w:keepNext/>
      <w:keepLines/>
      <w:spacing w:before="320" w:after="80"/>
      <w:outlineLvl w:val="2"/>
    </w:pPr>
    <w:rPr>
      <w:color w:val="434343"/>
      <w:sz w:val="28"/>
      <w:szCs w:val="28"/>
    </w:rPr>
  </w:style>
  <w:style w:type="paragraph" w:styleId="Heading4">
    <w:name w:val="heading 4"/>
    <w:basedOn w:val="Normal1"/>
    <w:next w:val="Normal1"/>
    <w:rsid w:val="00BA6D4B"/>
    <w:pPr>
      <w:keepNext/>
      <w:keepLines/>
      <w:spacing w:before="280" w:after="80"/>
      <w:outlineLvl w:val="3"/>
    </w:pPr>
    <w:rPr>
      <w:color w:val="666666"/>
      <w:sz w:val="24"/>
      <w:szCs w:val="24"/>
    </w:rPr>
  </w:style>
  <w:style w:type="paragraph" w:styleId="Heading5">
    <w:name w:val="heading 5"/>
    <w:basedOn w:val="Normal1"/>
    <w:next w:val="Normal1"/>
    <w:rsid w:val="00BA6D4B"/>
    <w:pPr>
      <w:keepNext/>
      <w:keepLines/>
      <w:spacing w:before="240" w:after="80"/>
      <w:outlineLvl w:val="4"/>
    </w:pPr>
    <w:rPr>
      <w:color w:val="666666"/>
    </w:rPr>
  </w:style>
  <w:style w:type="paragraph" w:styleId="Heading6">
    <w:name w:val="heading 6"/>
    <w:basedOn w:val="Normal1"/>
    <w:next w:val="Normal1"/>
    <w:rsid w:val="00BA6D4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A6D4B"/>
  </w:style>
  <w:style w:type="paragraph" w:styleId="Title">
    <w:name w:val="Title"/>
    <w:basedOn w:val="Normal1"/>
    <w:next w:val="Normal1"/>
    <w:link w:val="TitleChar"/>
    <w:rsid w:val="00BA6D4B"/>
    <w:pPr>
      <w:keepNext/>
      <w:keepLines/>
      <w:spacing w:after="60"/>
    </w:pPr>
    <w:rPr>
      <w:sz w:val="52"/>
      <w:szCs w:val="52"/>
    </w:rPr>
  </w:style>
  <w:style w:type="paragraph" w:styleId="Subtitle">
    <w:name w:val="Subtitle"/>
    <w:basedOn w:val="Normal1"/>
    <w:next w:val="Normal1"/>
    <w:rsid w:val="00BA6D4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B16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69B"/>
    <w:rPr>
      <w:rFonts w:ascii="Tahoma" w:hAnsi="Tahoma" w:cs="Tahoma"/>
      <w:sz w:val="16"/>
      <w:szCs w:val="16"/>
    </w:rPr>
  </w:style>
  <w:style w:type="character" w:styleId="Hyperlink">
    <w:name w:val="Hyperlink"/>
    <w:basedOn w:val="DefaultParagraphFont"/>
    <w:uiPriority w:val="99"/>
    <w:unhideWhenUsed/>
    <w:rsid w:val="00680B7E"/>
    <w:rPr>
      <w:color w:val="0000FF" w:themeColor="hyperlink"/>
      <w:u w:val="single"/>
    </w:rPr>
  </w:style>
  <w:style w:type="paragraph" w:styleId="TOCHeading">
    <w:name w:val="TOC Heading"/>
    <w:basedOn w:val="Heading1"/>
    <w:next w:val="Normal"/>
    <w:uiPriority w:val="39"/>
    <w:semiHidden/>
    <w:unhideWhenUsed/>
    <w:qFormat/>
    <w:rsid w:val="00860E4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60E4F"/>
    <w:pPr>
      <w:spacing w:after="100"/>
    </w:pPr>
  </w:style>
  <w:style w:type="paragraph" w:styleId="TOC2">
    <w:name w:val="toc 2"/>
    <w:basedOn w:val="Normal"/>
    <w:next w:val="Normal"/>
    <w:autoRedefine/>
    <w:uiPriority w:val="39"/>
    <w:unhideWhenUsed/>
    <w:rsid w:val="00860E4F"/>
    <w:pPr>
      <w:spacing w:after="100"/>
      <w:ind w:left="220"/>
    </w:pPr>
  </w:style>
  <w:style w:type="paragraph" w:styleId="Header">
    <w:name w:val="header"/>
    <w:basedOn w:val="Normal"/>
    <w:link w:val="HeaderChar"/>
    <w:uiPriority w:val="99"/>
    <w:semiHidden/>
    <w:unhideWhenUsed/>
    <w:rsid w:val="00EA6FA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A6FA0"/>
  </w:style>
  <w:style w:type="paragraph" w:styleId="Footer">
    <w:name w:val="footer"/>
    <w:basedOn w:val="Normal"/>
    <w:link w:val="FooterChar"/>
    <w:uiPriority w:val="99"/>
    <w:unhideWhenUsed/>
    <w:rsid w:val="00EA6FA0"/>
    <w:pPr>
      <w:tabs>
        <w:tab w:val="center" w:pos="4680"/>
        <w:tab w:val="right" w:pos="9360"/>
      </w:tabs>
      <w:spacing w:line="240" w:lineRule="auto"/>
    </w:pPr>
  </w:style>
  <w:style w:type="character" w:customStyle="1" w:styleId="FooterChar">
    <w:name w:val="Footer Char"/>
    <w:basedOn w:val="DefaultParagraphFont"/>
    <w:link w:val="Footer"/>
    <w:uiPriority w:val="99"/>
    <w:rsid w:val="00EA6FA0"/>
  </w:style>
  <w:style w:type="character" w:customStyle="1" w:styleId="TitleChar">
    <w:name w:val="Title Char"/>
    <w:basedOn w:val="DefaultParagraphFont"/>
    <w:link w:val="Title"/>
    <w:rsid w:val="000F31FF"/>
    <w:rPr>
      <w:sz w:val="52"/>
      <w:szCs w:val="52"/>
    </w:rPr>
  </w:style>
  <w:style w:type="paragraph" w:customStyle="1" w:styleId="TableParagraph">
    <w:name w:val="Table Paragraph"/>
    <w:basedOn w:val="Normal"/>
    <w:uiPriority w:val="1"/>
    <w:qFormat/>
    <w:rsid w:val="000F31FF"/>
    <w:pPr>
      <w:widowControl w:val="0"/>
      <w:autoSpaceDE w:val="0"/>
      <w:autoSpaceDN w:val="0"/>
      <w:spacing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2.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image" Target="media/image6.png"/><Relationship Id="rId27" Type="http://schemas.openxmlformats.org/officeDocument/2006/relationships/header" Target="header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E6C12C-317F-479D-979F-233933E56807}" type="doc">
      <dgm:prSet loTypeId="urn:microsoft.com/office/officeart/2005/8/layout/equation1#1" loCatId="relationship" qsTypeId="urn:microsoft.com/office/officeart/2005/8/quickstyle/simple1" qsCatId="simple" csTypeId="urn:microsoft.com/office/officeart/2005/8/colors/colorful4" csCatId="colorful" phldr="1"/>
      <dgm:spPr/>
    </dgm:pt>
    <dgm:pt modelId="{BCE9D6FC-F02F-4054-B34C-A94A5CC6BE0F}">
      <dgm:prSet phldrT="[Text]"/>
      <dgm:spPr/>
      <dgm:t>
        <a:bodyPr/>
        <a:lstStyle/>
        <a:p>
          <a:r>
            <a:rPr lang="en-US"/>
            <a:t>Flexible Working </a:t>
          </a:r>
        </a:p>
      </dgm:t>
    </dgm:pt>
    <dgm:pt modelId="{B2725D8A-2BF3-4625-97A5-81B32E702AAF}" type="parTrans" cxnId="{E58102DF-B2CC-4563-B734-B974760428A4}">
      <dgm:prSet/>
      <dgm:spPr/>
      <dgm:t>
        <a:bodyPr/>
        <a:lstStyle/>
        <a:p>
          <a:endParaRPr lang="en-US"/>
        </a:p>
      </dgm:t>
    </dgm:pt>
    <dgm:pt modelId="{5E274656-9838-45D6-AE1F-EEB755545F92}" type="sibTrans" cxnId="{E58102DF-B2CC-4563-B734-B974760428A4}">
      <dgm:prSet/>
      <dgm:spPr/>
      <dgm:t>
        <a:bodyPr/>
        <a:lstStyle/>
        <a:p>
          <a:endParaRPr lang="en-US"/>
        </a:p>
      </dgm:t>
    </dgm:pt>
    <dgm:pt modelId="{B563A339-26CA-446E-85C0-55D9A38D1A2B}">
      <dgm:prSet phldrT="[Text]"/>
      <dgm:spPr/>
      <dgm:t>
        <a:bodyPr/>
        <a:lstStyle/>
        <a:p>
          <a:r>
            <a:rPr lang="en-US"/>
            <a:t>Modernised Leadership</a:t>
          </a:r>
        </a:p>
      </dgm:t>
    </dgm:pt>
    <dgm:pt modelId="{1A0882A1-5A4B-4D16-A1DA-D8136817B955}" type="parTrans" cxnId="{B8B13335-EA71-4A0E-AA45-1EBD2E245528}">
      <dgm:prSet/>
      <dgm:spPr/>
      <dgm:t>
        <a:bodyPr/>
        <a:lstStyle/>
        <a:p>
          <a:endParaRPr lang="en-US"/>
        </a:p>
      </dgm:t>
    </dgm:pt>
    <dgm:pt modelId="{36FFC1D5-1E5B-4E1E-9275-48B66D10FCFD}" type="sibTrans" cxnId="{B8B13335-EA71-4A0E-AA45-1EBD2E245528}">
      <dgm:prSet/>
      <dgm:spPr/>
      <dgm:t>
        <a:bodyPr/>
        <a:lstStyle/>
        <a:p>
          <a:endParaRPr lang="en-US"/>
        </a:p>
      </dgm:t>
    </dgm:pt>
    <dgm:pt modelId="{9D7E39EA-CFFB-4DB6-A6EE-53E215EC3113}">
      <dgm:prSet phldrT="[Text]"/>
      <dgm:spPr/>
      <dgm:t>
        <a:bodyPr/>
        <a:lstStyle/>
        <a:p>
          <a:r>
            <a:rPr lang="en-US"/>
            <a:t>Emerging Changes Post Covid</a:t>
          </a:r>
        </a:p>
      </dgm:t>
    </dgm:pt>
    <dgm:pt modelId="{C118E339-A839-4DEC-A260-BAF0239F245B}" type="parTrans" cxnId="{1861229F-8CC3-4F5D-BB9F-D94AD9CB48F0}">
      <dgm:prSet/>
      <dgm:spPr/>
      <dgm:t>
        <a:bodyPr/>
        <a:lstStyle/>
        <a:p>
          <a:endParaRPr lang="en-US"/>
        </a:p>
      </dgm:t>
    </dgm:pt>
    <dgm:pt modelId="{CF4B4238-1519-47E7-B95D-C7B86EB13761}" type="sibTrans" cxnId="{1861229F-8CC3-4F5D-BB9F-D94AD9CB48F0}">
      <dgm:prSet/>
      <dgm:spPr/>
      <dgm:t>
        <a:bodyPr/>
        <a:lstStyle/>
        <a:p>
          <a:endParaRPr lang="en-US"/>
        </a:p>
      </dgm:t>
    </dgm:pt>
    <dgm:pt modelId="{095A217B-2905-43E1-9AA3-BB0BA6F23F11}" type="pres">
      <dgm:prSet presAssocID="{CBE6C12C-317F-479D-979F-233933E56807}" presName="linearFlow" presStyleCnt="0">
        <dgm:presLayoutVars>
          <dgm:dir/>
          <dgm:resizeHandles val="exact"/>
        </dgm:presLayoutVars>
      </dgm:prSet>
      <dgm:spPr/>
    </dgm:pt>
    <dgm:pt modelId="{D7FE9C79-FBF6-462C-8092-721E452EEF70}" type="pres">
      <dgm:prSet presAssocID="{BCE9D6FC-F02F-4054-B34C-A94A5CC6BE0F}" presName="node" presStyleLbl="node1" presStyleIdx="0" presStyleCnt="3">
        <dgm:presLayoutVars>
          <dgm:bulletEnabled val="1"/>
        </dgm:presLayoutVars>
      </dgm:prSet>
      <dgm:spPr/>
      <dgm:t>
        <a:bodyPr/>
        <a:lstStyle/>
        <a:p>
          <a:endParaRPr lang="en-US"/>
        </a:p>
      </dgm:t>
    </dgm:pt>
    <dgm:pt modelId="{D83DC1F2-88F0-4D2B-9BB8-583E5C48B737}" type="pres">
      <dgm:prSet presAssocID="{5E274656-9838-45D6-AE1F-EEB755545F92}" presName="spacerL" presStyleCnt="0"/>
      <dgm:spPr/>
    </dgm:pt>
    <dgm:pt modelId="{1BAF28DC-414C-4B79-9E15-AEF6A507E2E1}" type="pres">
      <dgm:prSet presAssocID="{5E274656-9838-45D6-AE1F-EEB755545F92}" presName="sibTrans" presStyleLbl="sibTrans2D1" presStyleIdx="0" presStyleCnt="2"/>
      <dgm:spPr/>
      <dgm:t>
        <a:bodyPr/>
        <a:lstStyle/>
        <a:p>
          <a:endParaRPr lang="en-US"/>
        </a:p>
      </dgm:t>
    </dgm:pt>
    <dgm:pt modelId="{A2282AD3-0EFD-4173-81FF-5CC38813B040}" type="pres">
      <dgm:prSet presAssocID="{5E274656-9838-45D6-AE1F-EEB755545F92}" presName="spacerR" presStyleCnt="0"/>
      <dgm:spPr/>
    </dgm:pt>
    <dgm:pt modelId="{DD527BA5-F28B-46D8-A676-8C470B9791A0}" type="pres">
      <dgm:prSet presAssocID="{B563A339-26CA-446E-85C0-55D9A38D1A2B}" presName="node" presStyleLbl="node1" presStyleIdx="1" presStyleCnt="3">
        <dgm:presLayoutVars>
          <dgm:bulletEnabled val="1"/>
        </dgm:presLayoutVars>
      </dgm:prSet>
      <dgm:spPr/>
      <dgm:t>
        <a:bodyPr/>
        <a:lstStyle/>
        <a:p>
          <a:endParaRPr lang="en-US"/>
        </a:p>
      </dgm:t>
    </dgm:pt>
    <dgm:pt modelId="{FAE7B0BA-D0FE-4CBA-9306-0408AB5D2A41}" type="pres">
      <dgm:prSet presAssocID="{36FFC1D5-1E5B-4E1E-9275-48B66D10FCFD}" presName="spacerL" presStyleCnt="0"/>
      <dgm:spPr/>
    </dgm:pt>
    <dgm:pt modelId="{8C33485B-AB96-4D80-8568-CCF6C868322C}" type="pres">
      <dgm:prSet presAssocID="{36FFC1D5-1E5B-4E1E-9275-48B66D10FCFD}" presName="sibTrans" presStyleLbl="sibTrans2D1" presStyleIdx="1" presStyleCnt="2"/>
      <dgm:spPr/>
      <dgm:t>
        <a:bodyPr/>
        <a:lstStyle/>
        <a:p>
          <a:endParaRPr lang="en-US"/>
        </a:p>
      </dgm:t>
    </dgm:pt>
    <dgm:pt modelId="{89ECE05A-B855-4939-9038-250B609C69FB}" type="pres">
      <dgm:prSet presAssocID="{36FFC1D5-1E5B-4E1E-9275-48B66D10FCFD}" presName="spacerR" presStyleCnt="0"/>
      <dgm:spPr/>
    </dgm:pt>
    <dgm:pt modelId="{413835E4-7F01-414A-AD5F-C1F2CE5ED9ED}" type="pres">
      <dgm:prSet presAssocID="{9D7E39EA-CFFB-4DB6-A6EE-53E215EC3113}" presName="node" presStyleLbl="node1" presStyleIdx="2" presStyleCnt="3">
        <dgm:presLayoutVars>
          <dgm:bulletEnabled val="1"/>
        </dgm:presLayoutVars>
      </dgm:prSet>
      <dgm:spPr/>
      <dgm:t>
        <a:bodyPr/>
        <a:lstStyle/>
        <a:p>
          <a:endParaRPr lang="en-US"/>
        </a:p>
      </dgm:t>
    </dgm:pt>
  </dgm:ptLst>
  <dgm:cxnLst>
    <dgm:cxn modelId="{D5BF7927-5F77-4DF0-88F2-23B110B5D088}" type="presOf" srcId="{CBE6C12C-317F-479D-979F-233933E56807}" destId="{095A217B-2905-43E1-9AA3-BB0BA6F23F11}" srcOrd="0" destOrd="0" presId="urn:microsoft.com/office/officeart/2005/8/layout/equation1#1"/>
    <dgm:cxn modelId="{CED904FA-F95D-4137-8DA8-ED43D4B46E92}" type="presOf" srcId="{B563A339-26CA-446E-85C0-55D9A38D1A2B}" destId="{DD527BA5-F28B-46D8-A676-8C470B9791A0}" srcOrd="0" destOrd="0" presId="urn:microsoft.com/office/officeart/2005/8/layout/equation1#1"/>
    <dgm:cxn modelId="{798BED55-DA97-4BC0-AA22-E7D497CADB1E}" type="presOf" srcId="{36FFC1D5-1E5B-4E1E-9275-48B66D10FCFD}" destId="{8C33485B-AB96-4D80-8568-CCF6C868322C}" srcOrd="0" destOrd="0" presId="urn:microsoft.com/office/officeart/2005/8/layout/equation1#1"/>
    <dgm:cxn modelId="{E58102DF-B2CC-4563-B734-B974760428A4}" srcId="{CBE6C12C-317F-479D-979F-233933E56807}" destId="{BCE9D6FC-F02F-4054-B34C-A94A5CC6BE0F}" srcOrd="0" destOrd="0" parTransId="{B2725D8A-2BF3-4625-97A5-81B32E702AAF}" sibTransId="{5E274656-9838-45D6-AE1F-EEB755545F92}"/>
    <dgm:cxn modelId="{B8B13335-EA71-4A0E-AA45-1EBD2E245528}" srcId="{CBE6C12C-317F-479D-979F-233933E56807}" destId="{B563A339-26CA-446E-85C0-55D9A38D1A2B}" srcOrd="1" destOrd="0" parTransId="{1A0882A1-5A4B-4D16-A1DA-D8136817B955}" sibTransId="{36FFC1D5-1E5B-4E1E-9275-48B66D10FCFD}"/>
    <dgm:cxn modelId="{662AD87D-BFEB-4B68-87E0-B082E20C88ED}" type="presOf" srcId="{5E274656-9838-45D6-AE1F-EEB755545F92}" destId="{1BAF28DC-414C-4B79-9E15-AEF6A507E2E1}" srcOrd="0" destOrd="0" presId="urn:microsoft.com/office/officeart/2005/8/layout/equation1#1"/>
    <dgm:cxn modelId="{1861229F-8CC3-4F5D-BB9F-D94AD9CB48F0}" srcId="{CBE6C12C-317F-479D-979F-233933E56807}" destId="{9D7E39EA-CFFB-4DB6-A6EE-53E215EC3113}" srcOrd="2" destOrd="0" parTransId="{C118E339-A839-4DEC-A260-BAF0239F245B}" sibTransId="{CF4B4238-1519-47E7-B95D-C7B86EB13761}"/>
    <dgm:cxn modelId="{8877FBFD-DFE2-4A78-AA0F-A9B4A9A7A872}" type="presOf" srcId="{9D7E39EA-CFFB-4DB6-A6EE-53E215EC3113}" destId="{413835E4-7F01-414A-AD5F-C1F2CE5ED9ED}" srcOrd="0" destOrd="0" presId="urn:microsoft.com/office/officeart/2005/8/layout/equation1#1"/>
    <dgm:cxn modelId="{3D03D4A9-059C-4291-80A0-EABCC882D6AC}" type="presOf" srcId="{BCE9D6FC-F02F-4054-B34C-A94A5CC6BE0F}" destId="{D7FE9C79-FBF6-462C-8092-721E452EEF70}" srcOrd="0" destOrd="0" presId="urn:microsoft.com/office/officeart/2005/8/layout/equation1#1"/>
    <dgm:cxn modelId="{EA825D0D-DDEC-4BC0-A912-E6D97F956A90}" type="presParOf" srcId="{095A217B-2905-43E1-9AA3-BB0BA6F23F11}" destId="{D7FE9C79-FBF6-462C-8092-721E452EEF70}" srcOrd="0" destOrd="0" presId="urn:microsoft.com/office/officeart/2005/8/layout/equation1#1"/>
    <dgm:cxn modelId="{7550BDC8-75A1-4393-8764-9391394FC123}" type="presParOf" srcId="{095A217B-2905-43E1-9AA3-BB0BA6F23F11}" destId="{D83DC1F2-88F0-4D2B-9BB8-583E5C48B737}" srcOrd="1" destOrd="0" presId="urn:microsoft.com/office/officeart/2005/8/layout/equation1#1"/>
    <dgm:cxn modelId="{C3D653AA-9921-4358-B9C0-3D09A6813051}" type="presParOf" srcId="{095A217B-2905-43E1-9AA3-BB0BA6F23F11}" destId="{1BAF28DC-414C-4B79-9E15-AEF6A507E2E1}" srcOrd="2" destOrd="0" presId="urn:microsoft.com/office/officeart/2005/8/layout/equation1#1"/>
    <dgm:cxn modelId="{311C46D9-13EF-4E96-ABA0-AB972E803411}" type="presParOf" srcId="{095A217B-2905-43E1-9AA3-BB0BA6F23F11}" destId="{A2282AD3-0EFD-4173-81FF-5CC38813B040}" srcOrd="3" destOrd="0" presId="urn:microsoft.com/office/officeart/2005/8/layout/equation1#1"/>
    <dgm:cxn modelId="{78719378-EFDD-46DC-BE68-9AC07EB0D974}" type="presParOf" srcId="{095A217B-2905-43E1-9AA3-BB0BA6F23F11}" destId="{DD527BA5-F28B-46D8-A676-8C470B9791A0}" srcOrd="4" destOrd="0" presId="urn:microsoft.com/office/officeart/2005/8/layout/equation1#1"/>
    <dgm:cxn modelId="{4A6A9544-4956-4BB8-8ABB-AED83C37DEE6}" type="presParOf" srcId="{095A217B-2905-43E1-9AA3-BB0BA6F23F11}" destId="{FAE7B0BA-D0FE-4CBA-9306-0408AB5D2A41}" srcOrd="5" destOrd="0" presId="urn:microsoft.com/office/officeart/2005/8/layout/equation1#1"/>
    <dgm:cxn modelId="{13580318-2AEF-4FB4-ACCD-900AFB275C56}" type="presParOf" srcId="{095A217B-2905-43E1-9AA3-BB0BA6F23F11}" destId="{8C33485B-AB96-4D80-8568-CCF6C868322C}" srcOrd="6" destOrd="0" presId="urn:microsoft.com/office/officeart/2005/8/layout/equation1#1"/>
    <dgm:cxn modelId="{4B2D7161-A554-4C53-A7EC-64E7F25D79F3}" type="presParOf" srcId="{095A217B-2905-43E1-9AA3-BB0BA6F23F11}" destId="{89ECE05A-B855-4939-9038-250B609C69FB}" srcOrd="7" destOrd="0" presId="urn:microsoft.com/office/officeart/2005/8/layout/equation1#1"/>
    <dgm:cxn modelId="{C8EC05EB-4BFD-4DDC-9FE2-1207C4D16AA0}" type="presParOf" srcId="{095A217B-2905-43E1-9AA3-BB0BA6F23F11}" destId="{413835E4-7F01-414A-AD5F-C1F2CE5ED9ED}" srcOrd="8" destOrd="0" presId="urn:microsoft.com/office/officeart/2005/8/layout/equation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4424A0E-0B5A-49FD-8FFB-005D736E29EB}" type="doc">
      <dgm:prSet loTypeId="urn:microsoft.com/office/officeart/2005/8/layout/funnel1" loCatId="process" qsTypeId="urn:microsoft.com/office/officeart/2005/8/quickstyle/simple1" qsCatId="simple" csTypeId="urn:microsoft.com/office/officeart/2005/8/colors/accent2_2" csCatId="accent2" phldr="1"/>
      <dgm:spPr/>
      <dgm:t>
        <a:bodyPr/>
        <a:lstStyle/>
        <a:p>
          <a:endParaRPr lang="en-US"/>
        </a:p>
      </dgm:t>
    </dgm:pt>
    <dgm:pt modelId="{084562E0-F045-487D-A36B-8FB422735406}">
      <dgm:prSet phldrT="[Text]"/>
      <dgm:spPr/>
      <dgm:t>
        <a:bodyPr/>
        <a:lstStyle/>
        <a:p>
          <a:r>
            <a:rPr lang="en-US"/>
            <a:t>Innovative Recruitment Strategies</a:t>
          </a:r>
        </a:p>
      </dgm:t>
    </dgm:pt>
    <dgm:pt modelId="{CA00D9B8-12B5-44D9-8764-F093589A8E1D}" type="parTrans" cxnId="{7AB3D1AB-773A-4789-8C7C-E36D6F428121}">
      <dgm:prSet/>
      <dgm:spPr/>
      <dgm:t>
        <a:bodyPr/>
        <a:lstStyle/>
        <a:p>
          <a:endParaRPr lang="en-US"/>
        </a:p>
      </dgm:t>
    </dgm:pt>
    <dgm:pt modelId="{EDA14579-EE46-4860-BB07-157763377E99}" type="sibTrans" cxnId="{7AB3D1AB-773A-4789-8C7C-E36D6F428121}">
      <dgm:prSet/>
      <dgm:spPr/>
      <dgm:t>
        <a:bodyPr/>
        <a:lstStyle/>
        <a:p>
          <a:endParaRPr lang="en-US"/>
        </a:p>
      </dgm:t>
    </dgm:pt>
    <dgm:pt modelId="{7D13DB7D-664C-4C4D-AC4D-D62AB7AFC9E7}">
      <dgm:prSet phldrT="[Text]"/>
      <dgm:spPr/>
      <dgm:t>
        <a:bodyPr/>
        <a:lstStyle/>
        <a:p>
          <a:r>
            <a:rPr lang="en-US"/>
            <a:t>CSR Strategy</a:t>
          </a:r>
        </a:p>
      </dgm:t>
    </dgm:pt>
    <dgm:pt modelId="{690CE4BE-E033-4595-82BE-53F4E9CD2F5C}" type="parTrans" cxnId="{1BFE7B37-2C2A-4EAB-8958-FA6A2CB15ACD}">
      <dgm:prSet/>
      <dgm:spPr/>
      <dgm:t>
        <a:bodyPr/>
        <a:lstStyle/>
        <a:p>
          <a:endParaRPr lang="en-US"/>
        </a:p>
      </dgm:t>
    </dgm:pt>
    <dgm:pt modelId="{880BFB7A-FA06-497C-8C9A-2D3757AFCCFD}" type="sibTrans" cxnId="{1BFE7B37-2C2A-4EAB-8958-FA6A2CB15ACD}">
      <dgm:prSet/>
      <dgm:spPr/>
      <dgm:t>
        <a:bodyPr/>
        <a:lstStyle/>
        <a:p>
          <a:endParaRPr lang="en-US"/>
        </a:p>
      </dgm:t>
    </dgm:pt>
    <dgm:pt modelId="{5A1773C3-55D5-4958-A989-EF1978F6D633}">
      <dgm:prSet phldrT="[Text]"/>
      <dgm:spPr/>
      <dgm:t>
        <a:bodyPr/>
        <a:lstStyle/>
        <a:p>
          <a:r>
            <a:rPr lang="en-US"/>
            <a:t>ESG Strategy</a:t>
          </a:r>
        </a:p>
      </dgm:t>
    </dgm:pt>
    <dgm:pt modelId="{B6C4CE2F-4D87-42DD-B832-59A716B7E21F}" type="parTrans" cxnId="{26E9889E-3F06-4314-BECC-62292579B2FC}">
      <dgm:prSet/>
      <dgm:spPr/>
      <dgm:t>
        <a:bodyPr/>
        <a:lstStyle/>
        <a:p>
          <a:endParaRPr lang="en-US"/>
        </a:p>
      </dgm:t>
    </dgm:pt>
    <dgm:pt modelId="{6F49D557-3C7E-451F-9528-7D9BF3D7C43F}" type="sibTrans" cxnId="{26E9889E-3F06-4314-BECC-62292579B2FC}">
      <dgm:prSet/>
      <dgm:spPr/>
      <dgm:t>
        <a:bodyPr/>
        <a:lstStyle/>
        <a:p>
          <a:endParaRPr lang="en-US"/>
        </a:p>
      </dgm:t>
    </dgm:pt>
    <dgm:pt modelId="{E81F0550-42CB-40FA-B442-0748DB871B62}">
      <dgm:prSet phldrT="[Text]"/>
      <dgm:spPr/>
      <dgm:t>
        <a:bodyPr/>
        <a:lstStyle/>
        <a:p>
          <a:r>
            <a:rPr lang="en-US"/>
            <a:t>Emerging Changes after Brexit</a:t>
          </a:r>
        </a:p>
      </dgm:t>
    </dgm:pt>
    <dgm:pt modelId="{829DCBEC-B88D-40FE-AEED-8602B560E119}" type="parTrans" cxnId="{3098BCB3-1A63-447F-B042-95083446FD1D}">
      <dgm:prSet/>
      <dgm:spPr/>
      <dgm:t>
        <a:bodyPr/>
        <a:lstStyle/>
        <a:p>
          <a:endParaRPr lang="en-US"/>
        </a:p>
      </dgm:t>
    </dgm:pt>
    <dgm:pt modelId="{A2E6C110-30C0-4C39-A68D-B64D02540826}" type="sibTrans" cxnId="{3098BCB3-1A63-447F-B042-95083446FD1D}">
      <dgm:prSet/>
      <dgm:spPr/>
      <dgm:t>
        <a:bodyPr/>
        <a:lstStyle/>
        <a:p>
          <a:endParaRPr lang="en-US"/>
        </a:p>
      </dgm:t>
    </dgm:pt>
    <dgm:pt modelId="{CB5A9FAC-33A7-49A6-887E-70660576DA7F}" type="pres">
      <dgm:prSet presAssocID="{44424A0E-0B5A-49FD-8FFB-005D736E29EB}" presName="Name0" presStyleCnt="0">
        <dgm:presLayoutVars>
          <dgm:chMax val="4"/>
          <dgm:resizeHandles val="exact"/>
        </dgm:presLayoutVars>
      </dgm:prSet>
      <dgm:spPr/>
      <dgm:t>
        <a:bodyPr/>
        <a:lstStyle/>
        <a:p>
          <a:endParaRPr lang="en-US"/>
        </a:p>
      </dgm:t>
    </dgm:pt>
    <dgm:pt modelId="{E9FD89A0-9D2E-4519-97F0-3A4460433AB1}" type="pres">
      <dgm:prSet presAssocID="{44424A0E-0B5A-49FD-8FFB-005D736E29EB}" presName="ellipse" presStyleLbl="trBgShp" presStyleIdx="0" presStyleCnt="1"/>
      <dgm:spPr/>
    </dgm:pt>
    <dgm:pt modelId="{C13F16DB-2067-40B7-ADA2-6F3C79A03E49}" type="pres">
      <dgm:prSet presAssocID="{44424A0E-0B5A-49FD-8FFB-005D736E29EB}" presName="arrow1" presStyleLbl="fgShp" presStyleIdx="0" presStyleCnt="1"/>
      <dgm:spPr/>
    </dgm:pt>
    <dgm:pt modelId="{B8875F29-BF60-4D33-8816-F4CD2B0042D0}" type="pres">
      <dgm:prSet presAssocID="{44424A0E-0B5A-49FD-8FFB-005D736E29EB}" presName="rectangle" presStyleLbl="revTx" presStyleIdx="0" presStyleCnt="1">
        <dgm:presLayoutVars>
          <dgm:bulletEnabled val="1"/>
        </dgm:presLayoutVars>
      </dgm:prSet>
      <dgm:spPr/>
      <dgm:t>
        <a:bodyPr/>
        <a:lstStyle/>
        <a:p>
          <a:endParaRPr lang="en-US"/>
        </a:p>
      </dgm:t>
    </dgm:pt>
    <dgm:pt modelId="{B6971895-E7F3-4656-B571-366F81F2CDA3}" type="pres">
      <dgm:prSet presAssocID="{7D13DB7D-664C-4C4D-AC4D-D62AB7AFC9E7}" presName="item1" presStyleLbl="node1" presStyleIdx="0" presStyleCnt="3">
        <dgm:presLayoutVars>
          <dgm:bulletEnabled val="1"/>
        </dgm:presLayoutVars>
      </dgm:prSet>
      <dgm:spPr/>
      <dgm:t>
        <a:bodyPr/>
        <a:lstStyle/>
        <a:p>
          <a:endParaRPr lang="en-US"/>
        </a:p>
      </dgm:t>
    </dgm:pt>
    <dgm:pt modelId="{75278611-205D-4DD4-AB27-86FBA1C98B5C}" type="pres">
      <dgm:prSet presAssocID="{5A1773C3-55D5-4958-A989-EF1978F6D633}" presName="item2" presStyleLbl="node1" presStyleIdx="1" presStyleCnt="3">
        <dgm:presLayoutVars>
          <dgm:bulletEnabled val="1"/>
        </dgm:presLayoutVars>
      </dgm:prSet>
      <dgm:spPr/>
      <dgm:t>
        <a:bodyPr/>
        <a:lstStyle/>
        <a:p>
          <a:endParaRPr lang="en-US"/>
        </a:p>
      </dgm:t>
    </dgm:pt>
    <dgm:pt modelId="{41D71D51-1CDE-4175-BD84-9B95A7A7D1BE}" type="pres">
      <dgm:prSet presAssocID="{E81F0550-42CB-40FA-B442-0748DB871B62}" presName="item3" presStyleLbl="node1" presStyleIdx="2" presStyleCnt="3">
        <dgm:presLayoutVars>
          <dgm:bulletEnabled val="1"/>
        </dgm:presLayoutVars>
      </dgm:prSet>
      <dgm:spPr/>
      <dgm:t>
        <a:bodyPr/>
        <a:lstStyle/>
        <a:p>
          <a:endParaRPr lang="en-US"/>
        </a:p>
      </dgm:t>
    </dgm:pt>
    <dgm:pt modelId="{76560499-2897-4BBC-BB48-2EF6B15E4091}" type="pres">
      <dgm:prSet presAssocID="{44424A0E-0B5A-49FD-8FFB-005D736E29EB}" presName="funnel" presStyleLbl="trAlignAcc1" presStyleIdx="0" presStyleCnt="1"/>
      <dgm:spPr/>
    </dgm:pt>
  </dgm:ptLst>
  <dgm:cxnLst>
    <dgm:cxn modelId="{EBE58826-C308-4469-9518-1918FEE532B1}" type="presOf" srcId="{44424A0E-0B5A-49FD-8FFB-005D736E29EB}" destId="{CB5A9FAC-33A7-49A6-887E-70660576DA7F}" srcOrd="0" destOrd="0" presId="urn:microsoft.com/office/officeart/2005/8/layout/funnel1"/>
    <dgm:cxn modelId="{1BFE7B37-2C2A-4EAB-8958-FA6A2CB15ACD}" srcId="{44424A0E-0B5A-49FD-8FFB-005D736E29EB}" destId="{7D13DB7D-664C-4C4D-AC4D-D62AB7AFC9E7}" srcOrd="1" destOrd="0" parTransId="{690CE4BE-E033-4595-82BE-53F4E9CD2F5C}" sibTransId="{880BFB7A-FA06-497C-8C9A-2D3757AFCCFD}"/>
    <dgm:cxn modelId="{7AB3D1AB-773A-4789-8C7C-E36D6F428121}" srcId="{44424A0E-0B5A-49FD-8FFB-005D736E29EB}" destId="{084562E0-F045-487D-A36B-8FB422735406}" srcOrd="0" destOrd="0" parTransId="{CA00D9B8-12B5-44D9-8764-F093589A8E1D}" sibTransId="{EDA14579-EE46-4860-BB07-157763377E99}"/>
    <dgm:cxn modelId="{3B295E26-B3AF-44BA-9C24-F3AC212D94A4}" type="presOf" srcId="{E81F0550-42CB-40FA-B442-0748DB871B62}" destId="{B8875F29-BF60-4D33-8816-F4CD2B0042D0}" srcOrd="0" destOrd="0" presId="urn:microsoft.com/office/officeart/2005/8/layout/funnel1"/>
    <dgm:cxn modelId="{3098BCB3-1A63-447F-B042-95083446FD1D}" srcId="{44424A0E-0B5A-49FD-8FFB-005D736E29EB}" destId="{E81F0550-42CB-40FA-B442-0748DB871B62}" srcOrd="3" destOrd="0" parTransId="{829DCBEC-B88D-40FE-AEED-8602B560E119}" sibTransId="{A2E6C110-30C0-4C39-A68D-B64D02540826}"/>
    <dgm:cxn modelId="{F195C14D-A7F9-4FEC-8CB1-FA019F939864}" type="presOf" srcId="{084562E0-F045-487D-A36B-8FB422735406}" destId="{41D71D51-1CDE-4175-BD84-9B95A7A7D1BE}" srcOrd="0" destOrd="0" presId="urn:microsoft.com/office/officeart/2005/8/layout/funnel1"/>
    <dgm:cxn modelId="{238AB04A-4697-4CA2-A50B-BC5DF3E089C3}" type="presOf" srcId="{5A1773C3-55D5-4958-A989-EF1978F6D633}" destId="{B6971895-E7F3-4656-B571-366F81F2CDA3}" srcOrd="0" destOrd="0" presId="urn:microsoft.com/office/officeart/2005/8/layout/funnel1"/>
    <dgm:cxn modelId="{7A1340D0-66E4-45CB-B02F-53E8A205CC11}" type="presOf" srcId="{7D13DB7D-664C-4C4D-AC4D-D62AB7AFC9E7}" destId="{75278611-205D-4DD4-AB27-86FBA1C98B5C}" srcOrd="0" destOrd="0" presId="urn:microsoft.com/office/officeart/2005/8/layout/funnel1"/>
    <dgm:cxn modelId="{26E9889E-3F06-4314-BECC-62292579B2FC}" srcId="{44424A0E-0B5A-49FD-8FFB-005D736E29EB}" destId="{5A1773C3-55D5-4958-A989-EF1978F6D633}" srcOrd="2" destOrd="0" parTransId="{B6C4CE2F-4D87-42DD-B832-59A716B7E21F}" sibTransId="{6F49D557-3C7E-451F-9528-7D9BF3D7C43F}"/>
    <dgm:cxn modelId="{BFBF5145-7763-490E-843F-6730F72C6786}" type="presParOf" srcId="{CB5A9FAC-33A7-49A6-887E-70660576DA7F}" destId="{E9FD89A0-9D2E-4519-97F0-3A4460433AB1}" srcOrd="0" destOrd="0" presId="urn:microsoft.com/office/officeart/2005/8/layout/funnel1"/>
    <dgm:cxn modelId="{1054DB30-AFAD-4E50-ABF4-7BAFEA92B271}" type="presParOf" srcId="{CB5A9FAC-33A7-49A6-887E-70660576DA7F}" destId="{C13F16DB-2067-40B7-ADA2-6F3C79A03E49}" srcOrd="1" destOrd="0" presId="urn:microsoft.com/office/officeart/2005/8/layout/funnel1"/>
    <dgm:cxn modelId="{89FF264E-9D1E-4819-942E-6405795F7F14}" type="presParOf" srcId="{CB5A9FAC-33A7-49A6-887E-70660576DA7F}" destId="{B8875F29-BF60-4D33-8816-F4CD2B0042D0}" srcOrd="2" destOrd="0" presId="urn:microsoft.com/office/officeart/2005/8/layout/funnel1"/>
    <dgm:cxn modelId="{DB8E38F8-A515-4E04-B50B-4AE3851EBDFA}" type="presParOf" srcId="{CB5A9FAC-33A7-49A6-887E-70660576DA7F}" destId="{B6971895-E7F3-4656-B571-366F81F2CDA3}" srcOrd="3" destOrd="0" presId="urn:microsoft.com/office/officeart/2005/8/layout/funnel1"/>
    <dgm:cxn modelId="{62800BE1-C9E4-44FB-919E-9FA9DB13A358}" type="presParOf" srcId="{CB5A9FAC-33A7-49A6-887E-70660576DA7F}" destId="{75278611-205D-4DD4-AB27-86FBA1C98B5C}" srcOrd="4" destOrd="0" presId="urn:microsoft.com/office/officeart/2005/8/layout/funnel1"/>
    <dgm:cxn modelId="{7D05FB88-B916-4DB8-8E71-D31DC0D8AE7B}" type="presParOf" srcId="{CB5A9FAC-33A7-49A6-887E-70660576DA7F}" destId="{41D71D51-1CDE-4175-BD84-9B95A7A7D1BE}" srcOrd="5" destOrd="0" presId="urn:microsoft.com/office/officeart/2005/8/layout/funnel1"/>
    <dgm:cxn modelId="{7A4FE656-08BB-4981-B3FE-B0599166D842}" type="presParOf" srcId="{CB5A9FAC-33A7-49A6-887E-70660576DA7F}" destId="{76560499-2897-4BBC-BB48-2EF6B15E4091}" srcOrd="6" destOrd="0" presId="urn:microsoft.com/office/officeart/2005/8/layout/funne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FE9C79-FBF6-462C-8092-721E452EEF70}">
      <dsp:nvSpPr>
        <dsp:cNvPr id="0" name=""/>
        <dsp:cNvSpPr/>
      </dsp:nvSpPr>
      <dsp:spPr>
        <a:xfrm>
          <a:off x="922" y="988739"/>
          <a:ext cx="1222920" cy="122292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Flexible Working </a:t>
          </a:r>
        </a:p>
      </dsp:txBody>
      <dsp:txXfrm>
        <a:off x="180014" y="1167831"/>
        <a:ext cx="864736" cy="864736"/>
      </dsp:txXfrm>
    </dsp:sp>
    <dsp:sp modelId="{1BAF28DC-414C-4B79-9E15-AEF6A507E2E1}">
      <dsp:nvSpPr>
        <dsp:cNvPr id="0" name=""/>
        <dsp:cNvSpPr/>
      </dsp:nvSpPr>
      <dsp:spPr>
        <a:xfrm>
          <a:off x="1323144" y="1245552"/>
          <a:ext cx="709294" cy="709294"/>
        </a:xfrm>
        <a:prstGeom prst="mathPlus">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1417161" y="1516786"/>
        <a:ext cx="521260" cy="166826"/>
      </dsp:txXfrm>
    </dsp:sp>
    <dsp:sp modelId="{DD527BA5-F28B-46D8-A676-8C470B9791A0}">
      <dsp:nvSpPr>
        <dsp:cNvPr id="0" name=""/>
        <dsp:cNvSpPr/>
      </dsp:nvSpPr>
      <dsp:spPr>
        <a:xfrm>
          <a:off x="2131739" y="988739"/>
          <a:ext cx="1222920" cy="1222920"/>
        </a:xfrm>
        <a:prstGeom prst="ellipse">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Modernised Leadership</a:t>
          </a:r>
        </a:p>
      </dsp:txBody>
      <dsp:txXfrm>
        <a:off x="2310831" y="1167831"/>
        <a:ext cx="864736" cy="864736"/>
      </dsp:txXfrm>
    </dsp:sp>
    <dsp:sp modelId="{8C33485B-AB96-4D80-8568-CCF6C868322C}">
      <dsp:nvSpPr>
        <dsp:cNvPr id="0" name=""/>
        <dsp:cNvSpPr/>
      </dsp:nvSpPr>
      <dsp:spPr>
        <a:xfrm>
          <a:off x="3453961" y="1245552"/>
          <a:ext cx="709294" cy="709294"/>
        </a:xfrm>
        <a:prstGeom prst="mathEqual">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547978" y="1391667"/>
        <a:ext cx="521260" cy="417064"/>
      </dsp:txXfrm>
    </dsp:sp>
    <dsp:sp modelId="{413835E4-7F01-414A-AD5F-C1F2CE5ED9ED}">
      <dsp:nvSpPr>
        <dsp:cNvPr id="0" name=""/>
        <dsp:cNvSpPr/>
      </dsp:nvSpPr>
      <dsp:spPr>
        <a:xfrm>
          <a:off x="4262556" y="988739"/>
          <a:ext cx="1222920" cy="1222920"/>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Emerging Changes Post Covid</a:t>
          </a:r>
        </a:p>
      </dsp:txBody>
      <dsp:txXfrm>
        <a:off x="4441648" y="1167831"/>
        <a:ext cx="864736" cy="8647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FD89A0-9D2E-4519-97F0-3A4460433AB1}">
      <dsp:nvSpPr>
        <dsp:cNvPr id="0" name=""/>
        <dsp:cNvSpPr/>
      </dsp:nvSpPr>
      <dsp:spPr>
        <a:xfrm>
          <a:off x="1449038" y="130016"/>
          <a:ext cx="2580322" cy="896112"/>
        </a:xfrm>
        <a:prstGeom prst="ellipse">
          <a:avLst/>
        </a:prstGeom>
        <a:solidFill>
          <a:schemeClr val="accent2">
            <a:tint val="50000"/>
            <a:alpha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13F16DB-2067-40B7-ADA2-6F3C79A03E49}">
      <dsp:nvSpPr>
        <dsp:cNvPr id="0" name=""/>
        <dsp:cNvSpPr/>
      </dsp:nvSpPr>
      <dsp:spPr>
        <a:xfrm>
          <a:off x="2493168" y="2324290"/>
          <a:ext cx="500062" cy="320040"/>
        </a:xfrm>
        <a:prstGeom prst="downArrow">
          <a:avLst/>
        </a:prstGeom>
        <a:solidFill>
          <a:schemeClr val="accent2">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8875F29-BF60-4D33-8816-F4CD2B0042D0}">
      <dsp:nvSpPr>
        <dsp:cNvPr id="0" name=""/>
        <dsp:cNvSpPr/>
      </dsp:nvSpPr>
      <dsp:spPr>
        <a:xfrm>
          <a:off x="1543049" y="2580322"/>
          <a:ext cx="2400300" cy="600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US" sz="1400" kern="1200"/>
            <a:t>Emerging Changes after Brexit</a:t>
          </a:r>
        </a:p>
      </dsp:txBody>
      <dsp:txXfrm>
        <a:off x="1543049" y="2580322"/>
        <a:ext cx="2400300" cy="600075"/>
      </dsp:txXfrm>
    </dsp:sp>
    <dsp:sp modelId="{B6971895-E7F3-4656-B571-366F81F2CDA3}">
      <dsp:nvSpPr>
        <dsp:cNvPr id="0" name=""/>
        <dsp:cNvSpPr/>
      </dsp:nvSpPr>
      <dsp:spPr>
        <a:xfrm>
          <a:off x="2387155" y="1095336"/>
          <a:ext cx="900112" cy="90011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ESG Strategy</a:t>
          </a:r>
        </a:p>
      </dsp:txBody>
      <dsp:txXfrm>
        <a:off x="2518973" y="1227154"/>
        <a:ext cx="636476" cy="636476"/>
      </dsp:txXfrm>
    </dsp:sp>
    <dsp:sp modelId="{75278611-205D-4DD4-AB27-86FBA1C98B5C}">
      <dsp:nvSpPr>
        <dsp:cNvPr id="0" name=""/>
        <dsp:cNvSpPr/>
      </dsp:nvSpPr>
      <dsp:spPr>
        <a:xfrm>
          <a:off x="1743075" y="420052"/>
          <a:ext cx="900112" cy="90011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CSR Strategy</a:t>
          </a:r>
        </a:p>
      </dsp:txBody>
      <dsp:txXfrm>
        <a:off x="1874893" y="551870"/>
        <a:ext cx="636476" cy="636476"/>
      </dsp:txXfrm>
    </dsp:sp>
    <dsp:sp modelId="{41D71D51-1CDE-4175-BD84-9B95A7A7D1BE}">
      <dsp:nvSpPr>
        <dsp:cNvPr id="0" name=""/>
        <dsp:cNvSpPr/>
      </dsp:nvSpPr>
      <dsp:spPr>
        <a:xfrm>
          <a:off x="2663190" y="202425"/>
          <a:ext cx="900112" cy="90011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Innovative Recruitment Strategies</a:t>
          </a:r>
        </a:p>
      </dsp:txBody>
      <dsp:txXfrm>
        <a:off x="2795008" y="334243"/>
        <a:ext cx="636476" cy="636476"/>
      </dsp:txXfrm>
    </dsp:sp>
    <dsp:sp modelId="{76560499-2897-4BBC-BB48-2EF6B15E4091}">
      <dsp:nvSpPr>
        <dsp:cNvPr id="0" name=""/>
        <dsp:cNvSpPr/>
      </dsp:nvSpPr>
      <dsp:spPr>
        <a:xfrm>
          <a:off x="1343025" y="20002"/>
          <a:ext cx="2800350" cy="2240280"/>
        </a:xfrm>
        <a:prstGeom prst="funnel">
          <a:avLst/>
        </a:prstGeom>
        <a:solidFill>
          <a:schemeClr val="lt1">
            <a:alpha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fallback" val="2D"/>
          <dgm:param type="linDir" val="fromR"/>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13FBE-E8E3-4FF6-B564-219882BB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3417</Words>
  <Characters>19480</Characters>
  <Application>Microsoft Office Word</Application>
  <DocSecurity>0</DocSecurity>
  <Lines>162</Lines>
  <Paragraphs>45</Paragraphs>
  <ScaleCrop>false</ScaleCrop>
  <LinksUpToDate>false</LinksUpToDate>
  <CharactersWithSpaces>22852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2022-12-25T15:50:00Z</dcterms:created>
  <dcterms:modified xsi:type="dcterms:W3CDTF">2022-12-31T07:35:00Z</dcterms:modified>
</cp:coreProperties>
</file>