
<file path=[Content_Types].xml><?xml version="1.0" encoding="utf-8"?>
<Types xmlns="http://schemas.openxmlformats.org/package/2006/content-types">
  <Default ContentType="image/png" Extension="png"/>
  <Default ContentType="image/jpeg" Extension="jpeg"/>
  <Default ContentType="image/jpeg" Extension="jpg"/>
  <Default ContentType="image/bmp" Extension="bmp"/>
  <Default ContentType="image/gif" Extension="gif"/>
  <Default ContentType="image/svg+xml" Extension="svg"/>
  <Default ContentType="application/vnd.openxmlformats-package.relationships+xml" Extension="rels"/>
  <Default ContentType="application/xml" Extension="xml"/>
  <Default ContentType="application/vnd.openxmlformats-officedocument.obfuscatedFont" Extension="odttf"/>
  <Override ContentType="application/vnd.openxmlformats-officedocument.wordprocessingml.document.main+xml" PartName="/word/document.xml"/>
  <Override ContentType="application/vnd.openxmlformats-officedocument.wordprocessingml.styles+xml" PartName="/word/styles.xml"/>
  <Override ContentType="application/vnd.openxmlformats-package.core-properties+xml" PartName="/docProps/core.xml"/>
  <Override ContentType="application/vnd.openxmlformats-officedocument.custom-properties+xml" PartName="/docProps/custom.xml"/>
  <Override ContentType="application/vnd.openxmlformats-officedocument.extended-properties+xml" PartName="/docProps/app.xml"/>
  <Override ContentType="application/vnd.openxmlformats-officedocument.wordprocessingml.numbering+xml" PartName="/word/numbering.xml"/>
  <Override ContentType="application/vnd.openxmlformats-officedocument.wordprocessingml.footnotes+xml" PartName="/word/footnotes.xml"/>
  <Override ContentType="application/vnd.openxmlformats-officedocument.wordprocessingml.endnotes+xml" PartName="/word/endnotes.xml"/>
  <Override ContentType="application/vnd.openxmlformats-officedocument.wordprocessingml.settings+xml" PartName="/word/settings.xml"/>
  <Override ContentType="application/vnd.openxmlformats-officedocument.wordprocessingml.comments+xml" PartName="/word/comments.xml"/>
  <Override ContentType="application/vnd.openxmlformats-officedocument.wordprocessingml.fontTable+xml" PartName="/word/fontTable.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p14">
  <w:body>
    <w:tbl>
      <w:tblPr>
        <w:tblW w:type="dxa" w:w="15398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15398"/>
      </w:tblGrid>
      <w:tr>
        <w:tc>
          <w:tcPr>
            <w:tcBorders>
              <w:top w:val="nil" w:color="FFFFFF" w:sz="0"/>
              <w:left w:val="nil" w:color="FFFFFF" w:sz="0"/>
              <w:bottom w:val="nil" w:color="FFFFFF" w:sz="0"/>
              <w:right w:val="nil" w:color="FFFFFF" w:sz="0"/>
            </w:tcBorders>
            <w:shd w:fill="1F3864" w:val="clear"/>
            <w:tcMar>
              <w:top w:type="dxa" w:w="60"/>
              <w:left w:type="dxa" w:w="200"/>
              <w:bottom w:type="dxa" w:w="60"/>
              <w:right w:type="dxa" w:w="200"/>
            </w:tcMar>
          </w:tcPr>
          <w:p>
            <w:pPr>
              <w:spacing w:after="30" w:before="80"/>
              <w:jc w:val="center"/>
            </w:pPr>
            <w:r>
              <w:rPr>
                <w:rFonts w:ascii="Arial" w:cs="Arial" w:eastAsia="Arial" w:hAnsi="Arial"/>
                <w:b/>
                <w:bCs/>
                <w:color w:val="FFFFFF"/>
                <w:sz w:val="40"/>
                <w:szCs w:val="40"/>
              </w:rPr>
              <w:t xml:space="preserve">Leading Group Projects with Emotional Intelligence</w:t>
            </w:r>
          </w:p>
          <w:p>
            <w:pPr>
              <w:spacing w:after="80" w:before="0"/>
              <w:jc w:val="center"/>
            </w:pPr>
            <w:r>
              <w:rPr>
                <w:rFonts w:ascii="Arial" w:cs="Arial" w:eastAsia="Arial" w:hAnsi="Arial"/>
                <w:color w:val="CCE5FF"/>
                <w:sz w:val="18"/>
                <w:szCs w:val="18"/>
              </w:rPr>
              <w:t xml:space="preserve">Academic Poster  |  Developing Emotional Intelligence Skills  |  Student: Laurentiu Vaduva  |  ID: 2229646</w:t>
            </w:r>
          </w:p>
        </w:tc>
      </w:tr>
    </w:tbl>
    <w:p>
      <w:pPr>
        <w:spacing w:after="0" w:before="80"/>
      </w:pPr>
    </w:p>
    <w:tbl>
      <w:tblPr>
        <w:tblW w:type="dxa" w:w="15398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5100"/>
        <w:gridCol w:w="5100"/>
        <w:gridCol w:w="5198"/>
      </w:tblGrid>
      <w:tr>
        <w:tc>
          <w:tcPr>
            <w:tcW w:type="dxa" w:w="5100"/>
            <w:tcBorders>
              <w:top w:val="nil" w:color="FFFFFF" w:sz="0"/>
              <w:left w:val="nil" w:color="FFFFFF" w:sz="0"/>
              <w:bottom w:val="nil" w:color="FFFFFF" w:sz="0"/>
              <w:right w:val="nil" w:color="FFFFFF" w:sz="0"/>
            </w:tcBorders>
            <w:shd w:fill="D9E8F5" w:val="clear"/>
            <w:tcMar>
              <w:top w:type="dxa" w:w="100"/>
              <w:left w:type="dxa" w:w="160"/>
              <w:bottom w:type="dxa" w:w="100"/>
              <w:right w:type="dxa" w:w="140"/>
            </w:tcMar>
            <w:vAlign w:val="top"/>
          </w:tcPr>
          <w:p>
            <w:pPr>
              <w:spacing w:after="60" w:before="60"/>
              <w:jc w:val="center"/>
            </w:pPr>
            <w:r>
              <w:rPr>
                <w:rFonts w:ascii="Arial" w:cs="Arial" w:eastAsia="Arial" w:hAnsi="Arial"/>
                <w:b/>
                <w:bCs/>
                <w:color w:val="1F3864"/>
                <w:sz w:val="20"/>
                <w:szCs w:val="20"/>
              </w:rPr>
              <w:t xml:space="preserve">📘 Introduction</w:t>
            </w:r>
          </w:p>
          <w:p>
            <w:pPr>
              <w:spacing w:after="60" w:before="60"/>
              <w:jc w:val="left"/>
            </w:pPr>
            <w:r>
              <w:rPr>
                <w:rFonts w:ascii="Arial" w:cs="Arial" w:eastAsia="Arial" w:hAnsi="Arial"/>
                <w:color w:val="000000"/>
                <w:sz w:val="16"/>
                <w:szCs w:val="16"/>
              </w:rPr>
              <w:t xml:space="preserve">Emotional Intelligence (EI) is the capacity to recognise, understand, and manage one's own emotions while effectively perceiving and influencing the emotions of others (Mayer and Salovey, 1990).</w:t>
            </w:r>
          </w:p>
          <w:p>
            <w:pPr>
              <w:spacing w:after="60" w:before="60"/>
              <w:jc w:val="left"/>
            </w:pPr>
            <w:r>
              <w:rPr>
                <w:rFonts w:ascii="Arial" w:cs="Arial" w:eastAsia="Arial" w:hAnsi="Arial"/>
                <w:b/>
                <w:bCs/>
                <w:color w:val="000000"/>
                <w:sz w:val="16"/>
                <w:szCs w:val="16"/>
              </w:rPr>
              <w:t xml:space="preserve">Goleman (1995) expanded EI into five core domains:</w:t>
            </w:r>
          </w:p>
          <w:p>
            <w:pPr>
              <w:pStyle w:val="ListParagraph"/>
              <w:numPr>
                <w:ilvl w:val="0"/>
                <w:numId w:val="2"/>
              </w:numPr>
              <w:spacing w:after="30" w:before="30"/>
            </w:pPr>
            <w:r>
              <w:rPr>
                <w:rFonts w:ascii="Arial" w:cs="Arial" w:eastAsia="Arial" w:hAnsi="Arial"/>
                <w:color w:val="222222"/>
                <w:sz w:val="15"/>
                <w:szCs w:val="15"/>
              </w:rPr>
              <w:t xml:space="preserve">Self-Awareness – recognising your emotional state</w:t>
            </w:r>
          </w:p>
          <w:p>
            <w:pPr>
              <w:pStyle w:val="ListParagraph"/>
              <w:numPr>
                <w:ilvl w:val="0"/>
                <w:numId w:val="2"/>
              </w:numPr>
              <w:spacing w:after="30" w:before="30"/>
            </w:pPr>
            <w:r>
              <w:rPr>
                <w:rFonts w:ascii="Arial" w:cs="Arial" w:eastAsia="Arial" w:hAnsi="Arial"/>
                <w:color w:val="222222"/>
                <w:sz w:val="15"/>
                <w:szCs w:val="15"/>
              </w:rPr>
              <w:t xml:space="preserve">Self-Regulation – managing emotional responses</w:t>
            </w:r>
          </w:p>
          <w:p>
            <w:pPr>
              <w:pStyle w:val="ListParagraph"/>
              <w:numPr>
                <w:ilvl w:val="0"/>
                <w:numId w:val="2"/>
              </w:numPr>
              <w:spacing w:after="30" w:before="30"/>
            </w:pPr>
            <w:r>
              <w:rPr>
                <w:rFonts w:ascii="Arial" w:cs="Arial" w:eastAsia="Arial" w:hAnsi="Arial"/>
                <w:color w:val="222222"/>
                <w:sz w:val="15"/>
                <w:szCs w:val="15"/>
              </w:rPr>
              <w:t xml:space="preserve">Motivation – maintaining drive under pressure</w:t>
            </w:r>
          </w:p>
          <w:p>
            <w:pPr>
              <w:pStyle w:val="ListParagraph"/>
              <w:numPr>
                <w:ilvl w:val="0"/>
                <w:numId w:val="2"/>
              </w:numPr>
              <w:spacing w:after="30" w:before="30"/>
            </w:pPr>
            <w:r>
              <w:rPr>
                <w:rFonts w:ascii="Arial" w:cs="Arial" w:eastAsia="Arial" w:hAnsi="Arial"/>
                <w:color w:val="222222"/>
                <w:sz w:val="15"/>
                <w:szCs w:val="15"/>
              </w:rPr>
              <w:t xml:space="preserve">Empathy – understanding others' feelings</w:t>
            </w:r>
          </w:p>
          <w:p>
            <w:pPr>
              <w:pStyle w:val="ListParagraph"/>
              <w:numPr>
                <w:ilvl w:val="0"/>
                <w:numId w:val="2"/>
              </w:numPr>
              <w:spacing w:after="30" w:before="30"/>
            </w:pPr>
            <w:r>
              <w:rPr>
                <w:rFonts w:ascii="Arial" w:cs="Arial" w:eastAsia="Arial" w:hAnsi="Arial"/>
                <w:color w:val="222222"/>
                <w:sz w:val="15"/>
                <w:szCs w:val="15"/>
              </w:rPr>
              <w:t xml:space="preserve">Social Skills – building productive relationships</w:t>
            </w:r>
          </w:p>
          <w:p>
            <w:pPr>
              <w:spacing w:after="60" w:before="80"/>
              <w:jc w:val="left"/>
            </w:pPr>
            <w:r>
              <w:rPr>
                <w:rFonts w:ascii="Arial" w:cs="Arial" w:eastAsia="Arial" w:hAnsi="Arial"/>
                <w:color w:val="000000"/>
                <w:sz w:val="15"/>
                <w:szCs w:val="15"/>
              </w:rPr>
              <w:t xml:space="preserve">In university group projects, diverse personalities, conflicting schedules, and assessment pressure frequently trigger frustration, withdrawal, or poor communication. EI provides students with a toolkit to navigate these challenges constructively.</w:t>
            </w:r>
          </w:p>
          <w:p>
            <w:pPr>
              <w:spacing w:after="60" w:before="0"/>
              <w:jc w:val="left"/>
            </w:pPr>
            <w:r>
              <w:rPr>
                <w:rFonts w:ascii="Arial" w:cs="Arial" w:eastAsia="Arial" w:hAnsi="Arial"/>
                <w:i/>
                <w:iCs/>
                <w:color w:val="444444"/>
                <w:sz w:val="15"/>
                <w:szCs w:val="15"/>
              </w:rPr>
              <w:t xml:space="preserve">Research confirms that teams with higher collective EI outperform others, demonstrating greater adaptability and cohesion (Druskat and Wolff, 2001).</w:t>
            </w:r>
          </w:p>
        </w:tc>
        <w:tc>
          <w:tcPr>
            <w:tcW w:type="dxa" w:w="5100"/>
            <w:tcBorders>
              <w:top w:val="nil" w:color="FFFFFF" w:sz="0"/>
              <w:left w:val="nil" w:color="FFFFFF" w:sz="0"/>
              <w:bottom w:val="nil" w:color="FFFFFF" w:sz="0"/>
              <w:right w:val="nil" w:color="FFFFFF" w:sz="0"/>
            </w:tcBorders>
            <w:shd w:fill="FFFFFF" w:val="clear"/>
            <w:tcMar>
              <w:top w:type="dxa" w:w="100"/>
              <w:left w:type="dxa" w:w="140"/>
              <w:bottom w:type="dxa" w:w="100"/>
              <w:right w:type="dxa" w:w="140"/>
            </w:tcMar>
            <w:vAlign w:val="top"/>
          </w:tcPr>
          <w:p>
            <w:pPr>
              <w:spacing w:after="60" w:before="60"/>
              <w:jc w:val="center"/>
            </w:pPr>
            <w:r>
              <w:rPr>
                <w:rFonts w:ascii="Arial" w:cs="Arial" w:eastAsia="Arial" w:hAnsi="Arial"/>
                <w:b/>
                <w:bCs/>
                <w:color w:val="2E5FA3"/>
                <w:sz w:val="20"/>
                <w:szCs w:val="20"/>
              </w:rPr>
              <w:t xml:space="preserve">🤝 Section 1: EI in Teamwork</w:t>
            </w:r>
          </w:p>
          <w:p>
            <w:pPr>
              <w:spacing w:after="60" w:before="0"/>
              <w:jc w:val="left"/>
            </w:pPr>
            <w:r>
              <w:rPr>
                <w:rFonts w:ascii="Arial" w:cs="Arial" w:eastAsia="Arial" w:hAnsi="Arial"/>
                <w:i/>
                <w:iCs/>
                <w:color w:val="555555"/>
                <w:sz w:val="15"/>
                <w:szCs w:val="15"/>
              </w:rPr>
              <w:t xml:space="preserve">How does EI help manage common teamwork challenges?</w:t>
            </w:r>
          </w:p>
          <w:p>
            <w:pPr>
              <w:spacing w:after="60" w:before="60"/>
              <w:jc w:val="left"/>
            </w:pPr>
            <w:r>
              <w:rPr>
                <w:rFonts w:ascii="Arial" w:cs="Arial" w:eastAsia="Arial" w:hAnsi="Arial"/>
                <w:b/>
                <w:bCs/>
                <w:color w:val="2E5FA3"/>
                <w:sz w:val="16"/>
                <w:szCs w:val="16"/>
              </w:rPr>
              <w:t xml:space="preserve">Conflict Management</w:t>
            </w:r>
          </w:p>
          <w:p>
            <w:pPr>
              <w:spacing w:after="60" w:before="0"/>
              <w:jc w:val="left"/>
            </w:pPr>
            <w:r>
              <w:rPr>
                <w:rFonts w:ascii="Arial" w:cs="Arial" w:eastAsia="Arial" w:hAnsi="Arial"/>
                <w:color w:val="000000"/>
                <w:sz w:val="15"/>
                <w:szCs w:val="15"/>
              </w:rPr>
              <w:t xml:space="preserve">When disagreements arise over task allocation, self-regulation prevents emotional outbursts. A student who pauses before reacting can reframe a critique as an opportunity rather than an attack.</w:t>
            </w:r>
          </w:p>
          <w:p>
            <w:pPr>
              <w:spacing w:after="60" w:before="60"/>
              <w:jc w:val="left"/>
            </w:pPr>
            <w:r>
              <w:rPr>
                <w:rFonts w:ascii="Arial" w:cs="Arial" w:eastAsia="Arial" w:hAnsi="Arial"/>
                <w:b/>
                <w:bCs/>
                <w:color w:val="2E5FA3"/>
                <w:sz w:val="16"/>
                <w:szCs w:val="16"/>
              </w:rPr>
              <w:t xml:space="preserve">Deadline Pressure</w:t>
            </w:r>
          </w:p>
          <w:p>
            <w:pPr>
              <w:spacing w:after="60" w:before="0"/>
              <w:jc w:val="left"/>
            </w:pPr>
            <w:r>
              <w:rPr>
                <w:rFonts w:ascii="Arial" w:cs="Arial" w:eastAsia="Arial" w:hAnsi="Arial"/>
                <w:color w:val="000000"/>
                <w:sz w:val="15"/>
                <w:szCs w:val="15"/>
              </w:rPr>
              <w:t xml:space="preserve">High-EI students use self-motivation to remain focused, breaking large goals into smaller milestones. They also recognise when teammates are overwhelmed and redistribute workload proactively.</w:t>
            </w:r>
          </w:p>
          <w:p>
            <w:pPr>
              <w:spacing w:after="60" w:before="60"/>
              <w:jc w:val="left"/>
            </w:pPr>
            <w:r>
              <w:rPr>
                <w:rFonts w:ascii="Arial" w:cs="Arial" w:eastAsia="Arial" w:hAnsi="Arial"/>
                <w:b/>
                <w:bCs/>
                <w:color w:val="2E5FA3"/>
                <w:sz w:val="16"/>
                <w:szCs w:val="16"/>
              </w:rPr>
              <w:t xml:space="preserve">Receiving Feedback</w:t>
            </w:r>
          </w:p>
          <w:p>
            <w:pPr>
              <w:spacing w:after="60" w:before="0"/>
              <w:jc w:val="left"/>
            </w:pPr>
            <w:r>
              <w:rPr>
                <w:rFonts w:ascii="Arial" w:cs="Arial" w:eastAsia="Arial" w:hAnsi="Arial"/>
                <w:color w:val="000000"/>
                <w:sz w:val="15"/>
                <w:szCs w:val="15"/>
              </w:rPr>
              <w:t xml:space="preserve">Self-awareness allows students to distinguish between personal criticism and constructive feedback, facilitating growth rather than defensiveness (Brackett et al., 2011).</w:t>
            </w:r>
          </w:p>
          <w:p>
            <w:pPr>
              <w:spacing w:after="40" w:before="80"/>
            </w:pPr>
            <w:r>
              <w:rPr>
                <w:rFonts w:ascii="Arial" w:cs="Arial" w:eastAsia="Arial" w:hAnsi="Arial"/>
                <w:b/>
                <w:bCs/>
                <w:color w:val="1F3864"/>
                <w:sz w:val="16"/>
                <w:szCs w:val="16"/>
              </w:rPr>
              <w:t xml:space="preserve">EI Skills in Action:</w:t>
            </w:r>
          </w:p>
          <w:tbl>
            <w:tblPr>
              <w:tblW w:type="dxa" w:w="4800"/>
              <w:tblBorders>
                <w:top w:val="single" w:color="auto" w:sz="4"/>
                <w:left w:val="single" w:color="auto" w:sz="4"/>
                <w:bottom w:val="single" w:color="auto" w:sz="4"/>
                <w:right w:val="single" w:color="auto" w:sz="4"/>
                <w:insideH w:val="single" w:color="auto" w:sz="4"/>
                <w:insideV w:val="single" w:color="auto" w:sz="4"/>
              </w:tblBorders>
            </w:tblPr>
            <w:tblGrid>
              <w:gridCol w:w="2400"/>
              <w:gridCol w:w="2400"/>
            </w:tblGrid>
            <w:tr>
              <w:trPr>
                <w:tblHeader/>
              </w:trPr>
              <w:tc>
                <w:tcPr>
                  <w:tcW w:type="dxa" w:w="2400"/>
                  <w:tcBorders>
                    <w:top w:val="single" w:color="2E5FA3" w:sz="4"/>
                    <w:left w:val="single" w:color="2E5FA3" w:sz="4"/>
                    <w:bottom w:val="single" w:color="2E5FA3" w:sz="4"/>
                    <w:right w:val="single" w:color="2E5FA3" w:sz="4"/>
                  </w:tcBorders>
                  <w:shd w:fill="2E5FA3" w:val="clear"/>
                  <w:tcMar>
                    <w:top w:type="dxa" w:w="60"/>
                    <w:left w:type="dxa" w:w="100"/>
                    <w:bottom w:type="dxa" w:w="60"/>
                    <w:right w:type="dxa" w:w="100"/>
                  </w:tcMar>
                </w:tcPr>
                <w:p>
                  <w:pPr>
                    <w:spacing w:after="60" w:before="0"/>
                    <w:jc w:val="center"/>
                  </w:pPr>
                  <w:r>
                    <w:rPr>
                      <w:rFonts w:ascii="Arial" w:cs="Arial" w:eastAsia="Arial" w:hAnsi="Arial"/>
                      <w:b/>
                      <w:bCs/>
                      <w:color w:val="FFFFFF"/>
                      <w:sz w:val="14"/>
                      <w:szCs w:val="14"/>
                    </w:rPr>
                    <w:t xml:space="preserve">EI Skill</w:t>
                  </w:r>
                </w:p>
              </w:tc>
              <w:tc>
                <w:tcPr>
                  <w:tcW w:type="dxa" w:w="2400"/>
                  <w:tcBorders>
                    <w:top w:val="single" w:color="2E5FA3" w:sz="4"/>
                    <w:left w:val="single" w:color="2E5FA3" w:sz="4"/>
                    <w:bottom w:val="single" w:color="2E5FA3" w:sz="4"/>
                    <w:right w:val="single" w:color="2E5FA3" w:sz="4"/>
                  </w:tcBorders>
                  <w:shd w:fill="2E5FA3" w:val="clear"/>
                  <w:tcMar>
                    <w:top w:type="dxa" w:w="60"/>
                    <w:left w:type="dxa" w:w="100"/>
                    <w:bottom w:type="dxa" w:w="60"/>
                    <w:right w:type="dxa" w:w="100"/>
                  </w:tcMar>
                </w:tcPr>
                <w:p>
                  <w:pPr>
                    <w:spacing w:after="60" w:before="0"/>
                    <w:jc w:val="center"/>
                  </w:pPr>
                  <w:r>
                    <w:rPr>
                      <w:rFonts w:ascii="Arial" w:cs="Arial" w:eastAsia="Arial" w:hAnsi="Arial"/>
                      <w:b/>
                      <w:bCs/>
                      <w:color w:val="FFFFFF"/>
                      <w:sz w:val="14"/>
                      <w:szCs w:val="14"/>
                    </w:rPr>
                    <w:t xml:space="preserve">Group Project Application</w:t>
                  </w:r>
                </w:p>
              </w:tc>
            </w:tr>
            <w:tr>
              <w:tc>
                <w:tcPr>
                  <w:tcW w:type="dxa" w:w="2400"/>
                  <w:tcBorders>
                    <w:top w:val="single" w:color="CCCCCC" w:sz="4"/>
                    <w:left w:val="single" w:color="CCCCCC" w:sz="4"/>
                    <w:bottom w:val="single" w:color="CCCCCC" w:sz="4"/>
                    <w:right w:val="single" w:color="CCCCCC" w:sz="4"/>
                  </w:tcBorders>
                  <w:shd w:fill="D9E8F5" w:val="clear"/>
                  <w:tcMar>
                    <w:top w:type="dxa" w:w="50"/>
                    <w:left w:type="dxa" w:w="100"/>
                    <w:bottom w:type="dxa" w:w="50"/>
                    <w:right w:type="dxa" w:w="100"/>
                  </w:tcMar>
                </w:tcPr>
                <w:p>
                  <w:pPr>
                    <w:spacing w:after="60" w:before="0"/>
                    <w:jc w:val="left"/>
                  </w:pPr>
                  <w:r>
                    <w:rPr>
                      <w:rFonts w:ascii="Arial" w:cs="Arial" w:eastAsia="Arial" w:hAnsi="Arial"/>
                      <w:b/>
                      <w:bCs/>
                      <w:color w:val="000000"/>
                      <w:sz w:val="14"/>
                      <w:szCs w:val="14"/>
                    </w:rPr>
                    <w:t xml:space="preserve">Self-Awareness</w:t>
                  </w:r>
                </w:p>
              </w:tc>
              <w:tc>
                <w:tcPr>
                  <w:tcW w:type="dxa" w:w="2400"/>
                  <w:tcBorders>
                    <w:top w:val="single" w:color="CCCCCC" w:sz="4"/>
                    <w:left w:val="single" w:color="CCCCCC" w:sz="4"/>
                    <w:bottom w:val="single" w:color="CCCCCC" w:sz="4"/>
                    <w:right w:val="single" w:color="CCCCCC" w:sz="4"/>
                  </w:tcBorders>
                  <w:shd w:fill="D9E8F5" w:val="clear"/>
                  <w:tcMar>
                    <w:top w:type="dxa" w:w="50"/>
                    <w:left w:type="dxa" w:w="100"/>
                    <w:bottom w:type="dxa" w:w="50"/>
                    <w:right w:type="dxa" w:w="100"/>
                  </w:tcMar>
                </w:tcPr>
                <w:p>
                  <w:pPr>
                    <w:spacing w:after="60" w:before="0"/>
                    <w:jc w:val="left"/>
                  </w:pPr>
                  <w:r>
                    <w:rPr>
                      <w:rFonts w:ascii="Arial" w:cs="Arial" w:eastAsia="Arial" w:hAnsi="Arial"/>
                      <w:color w:val="000000"/>
                      <w:sz w:val="14"/>
                      <w:szCs w:val="14"/>
                    </w:rPr>
                    <w:t xml:space="preserve">Identify triggers during conflicts</w:t>
                  </w:r>
                </w:p>
              </w:tc>
            </w:tr>
            <w:tr>
              <w:tc>
                <w:tcPr>
                  <w:tcW w:type="dxa" w:w="2400"/>
                  <w:tcBorders>
                    <w:top w:val="single" w:color="CCCCCC" w:sz="4"/>
                    <w:left w:val="single" w:color="CCCCCC" w:sz="4"/>
                    <w:bottom w:val="single" w:color="CCCCCC" w:sz="4"/>
                    <w:right w:val="single" w:color="CCCCCC" w:sz="4"/>
                  </w:tcBorders>
                  <w:shd w:fill="FFFFFF" w:val="clear"/>
                  <w:tcMar>
                    <w:top w:type="dxa" w:w="50"/>
                    <w:left w:type="dxa" w:w="100"/>
                    <w:bottom w:type="dxa" w:w="50"/>
                    <w:right w:type="dxa" w:w="100"/>
                  </w:tcMar>
                </w:tcPr>
                <w:p>
                  <w:pPr>
                    <w:spacing w:after="60" w:before="0"/>
                    <w:jc w:val="left"/>
                  </w:pPr>
                  <w:r>
                    <w:rPr>
                      <w:rFonts w:ascii="Arial" w:cs="Arial" w:eastAsia="Arial" w:hAnsi="Arial"/>
                      <w:b/>
                      <w:bCs/>
                      <w:color w:val="000000"/>
                      <w:sz w:val="14"/>
                      <w:szCs w:val="14"/>
                    </w:rPr>
                    <w:t xml:space="preserve">Self-Regulation</w:t>
                  </w:r>
                </w:p>
              </w:tc>
              <w:tc>
                <w:tcPr>
                  <w:tcW w:type="dxa" w:w="2400"/>
                  <w:tcBorders>
                    <w:top w:val="single" w:color="CCCCCC" w:sz="4"/>
                    <w:left w:val="single" w:color="CCCCCC" w:sz="4"/>
                    <w:bottom w:val="single" w:color="CCCCCC" w:sz="4"/>
                    <w:right w:val="single" w:color="CCCCCC" w:sz="4"/>
                  </w:tcBorders>
                  <w:shd w:fill="FFFFFF" w:val="clear"/>
                  <w:tcMar>
                    <w:top w:type="dxa" w:w="50"/>
                    <w:left w:type="dxa" w:w="100"/>
                    <w:bottom w:type="dxa" w:w="50"/>
                    <w:right w:type="dxa" w:w="100"/>
                  </w:tcMar>
                </w:tcPr>
                <w:p>
                  <w:pPr>
                    <w:spacing w:after="60" w:before="0"/>
                    <w:jc w:val="left"/>
                  </w:pPr>
                  <w:r>
                    <w:rPr>
                      <w:rFonts w:ascii="Arial" w:cs="Arial" w:eastAsia="Arial" w:hAnsi="Arial"/>
                      <w:color w:val="000000"/>
                      <w:sz w:val="14"/>
                      <w:szCs w:val="14"/>
                    </w:rPr>
                    <w:t xml:space="preserve">Stay calm when deadlines clash</w:t>
                  </w:r>
                </w:p>
              </w:tc>
            </w:tr>
            <w:tr>
              <w:tc>
                <w:tcPr>
                  <w:tcW w:type="dxa" w:w="2400"/>
                  <w:tcBorders>
                    <w:top w:val="single" w:color="CCCCCC" w:sz="4"/>
                    <w:left w:val="single" w:color="CCCCCC" w:sz="4"/>
                    <w:bottom w:val="single" w:color="CCCCCC" w:sz="4"/>
                    <w:right w:val="single" w:color="CCCCCC" w:sz="4"/>
                  </w:tcBorders>
                  <w:shd w:fill="D9E8F5" w:val="clear"/>
                  <w:tcMar>
                    <w:top w:type="dxa" w:w="50"/>
                    <w:left w:type="dxa" w:w="100"/>
                    <w:bottom w:type="dxa" w:w="50"/>
                    <w:right w:type="dxa" w:w="100"/>
                  </w:tcMar>
                </w:tcPr>
                <w:p>
                  <w:pPr>
                    <w:spacing w:after="60" w:before="0"/>
                    <w:jc w:val="left"/>
                  </w:pPr>
                  <w:r>
                    <w:rPr>
                      <w:rFonts w:ascii="Arial" w:cs="Arial" w:eastAsia="Arial" w:hAnsi="Arial"/>
                      <w:b/>
                      <w:bCs/>
                      <w:color w:val="000000"/>
                      <w:sz w:val="14"/>
                      <w:szCs w:val="14"/>
                    </w:rPr>
                    <w:t xml:space="preserve">Motivation</w:t>
                  </w:r>
                </w:p>
              </w:tc>
              <w:tc>
                <w:tcPr>
                  <w:tcW w:type="dxa" w:w="2400"/>
                  <w:tcBorders>
                    <w:top w:val="single" w:color="CCCCCC" w:sz="4"/>
                    <w:left w:val="single" w:color="CCCCCC" w:sz="4"/>
                    <w:bottom w:val="single" w:color="CCCCCC" w:sz="4"/>
                    <w:right w:val="single" w:color="CCCCCC" w:sz="4"/>
                  </w:tcBorders>
                  <w:shd w:fill="D9E8F5" w:val="clear"/>
                  <w:tcMar>
                    <w:top w:type="dxa" w:w="50"/>
                    <w:left w:type="dxa" w:w="100"/>
                    <w:bottom w:type="dxa" w:w="50"/>
                    <w:right w:type="dxa" w:w="100"/>
                  </w:tcMar>
                </w:tcPr>
                <w:p>
                  <w:pPr>
                    <w:spacing w:after="60" w:before="0"/>
                    <w:jc w:val="left"/>
                  </w:pPr>
                  <w:r>
                    <w:rPr>
                      <w:rFonts w:ascii="Arial" w:cs="Arial" w:eastAsia="Arial" w:hAnsi="Arial"/>
                      <w:color w:val="000000"/>
                      <w:sz w:val="14"/>
                      <w:szCs w:val="14"/>
                    </w:rPr>
                    <w:t xml:space="preserve">Keep team on track under stress</w:t>
                  </w:r>
                </w:p>
              </w:tc>
            </w:tr>
            <w:tr>
              <w:tc>
                <w:tcPr>
                  <w:tcW w:type="dxa" w:w="2400"/>
                  <w:tcBorders>
                    <w:top w:val="single" w:color="CCCCCC" w:sz="4"/>
                    <w:left w:val="single" w:color="CCCCCC" w:sz="4"/>
                    <w:bottom w:val="single" w:color="CCCCCC" w:sz="4"/>
                    <w:right w:val="single" w:color="CCCCCC" w:sz="4"/>
                  </w:tcBorders>
                  <w:shd w:fill="FFFFFF" w:val="clear"/>
                  <w:tcMar>
                    <w:top w:type="dxa" w:w="50"/>
                    <w:left w:type="dxa" w:w="100"/>
                    <w:bottom w:type="dxa" w:w="50"/>
                    <w:right w:type="dxa" w:w="100"/>
                  </w:tcMar>
                </w:tcPr>
                <w:p>
                  <w:pPr>
                    <w:spacing w:after="60" w:before="0"/>
                    <w:jc w:val="left"/>
                  </w:pPr>
                  <w:r>
                    <w:rPr>
                      <w:rFonts w:ascii="Arial" w:cs="Arial" w:eastAsia="Arial" w:hAnsi="Arial"/>
                      <w:b/>
                      <w:bCs/>
                      <w:color w:val="000000"/>
                      <w:sz w:val="14"/>
                      <w:szCs w:val="14"/>
                    </w:rPr>
                    <w:t xml:space="preserve">Empathy</w:t>
                  </w:r>
                </w:p>
              </w:tc>
              <w:tc>
                <w:tcPr>
                  <w:tcW w:type="dxa" w:w="2400"/>
                  <w:tcBorders>
                    <w:top w:val="single" w:color="CCCCCC" w:sz="4"/>
                    <w:left w:val="single" w:color="CCCCCC" w:sz="4"/>
                    <w:bottom w:val="single" w:color="CCCCCC" w:sz="4"/>
                    <w:right w:val="single" w:color="CCCCCC" w:sz="4"/>
                  </w:tcBorders>
                  <w:shd w:fill="FFFFFF" w:val="clear"/>
                  <w:tcMar>
                    <w:top w:type="dxa" w:w="50"/>
                    <w:left w:type="dxa" w:w="100"/>
                    <w:bottom w:type="dxa" w:w="50"/>
                    <w:right w:type="dxa" w:w="100"/>
                  </w:tcMar>
                </w:tcPr>
                <w:p>
                  <w:pPr>
                    <w:spacing w:after="60" w:before="0"/>
                    <w:jc w:val="left"/>
                  </w:pPr>
                  <w:r>
                    <w:rPr>
                      <w:rFonts w:ascii="Arial" w:cs="Arial" w:eastAsia="Arial" w:hAnsi="Arial"/>
                      <w:color w:val="000000"/>
                      <w:sz w:val="14"/>
                      <w:szCs w:val="14"/>
                    </w:rPr>
                    <w:t xml:space="preserve">Support struggling teammates</w:t>
                  </w:r>
                </w:p>
              </w:tc>
            </w:tr>
            <w:tr>
              <w:tc>
                <w:tcPr>
                  <w:tcW w:type="dxa" w:w="2400"/>
                  <w:tcBorders>
                    <w:top w:val="single" w:color="CCCCCC" w:sz="4"/>
                    <w:left w:val="single" w:color="CCCCCC" w:sz="4"/>
                    <w:bottom w:val="single" w:color="CCCCCC" w:sz="4"/>
                    <w:right w:val="single" w:color="CCCCCC" w:sz="4"/>
                  </w:tcBorders>
                  <w:shd w:fill="D9E8F5" w:val="clear"/>
                  <w:tcMar>
                    <w:top w:type="dxa" w:w="50"/>
                    <w:left w:type="dxa" w:w="100"/>
                    <w:bottom w:type="dxa" w:w="50"/>
                    <w:right w:type="dxa" w:w="100"/>
                  </w:tcMar>
                </w:tcPr>
                <w:p>
                  <w:pPr>
                    <w:spacing w:after="60" w:before="0"/>
                    <w:jc w:val="left"/>
                  </w:pPr>
                  <w:r>
                    <w:rPr>
                      <w:rFonts w:ascii="Arial" w:cs="Arial" w:eastAsia="Arial" w:hAnsi="Arial"/>
                      <w:b/>
                      <w:bCs/>
                      <w:color w:val="000000"/>
                      <w:sz w:val="14"/>
                      <w:szCs w:val="14"/>
                    </w:rPr>
                    <w:t xml:space="preserve">Social Skills</w:t>
                  </w:r>
                </w:p>
              </w:tc>
              <w:tc>
                <w:tcPr>
                  <w:tcW w:type="dxa" w:w="2400"/>
                  <w:tcBorders>
                    <w:top w:val="single" w:color="CCCCCC" w:sz="4"/>
                    <w:left w:val="single" w:color="CCCCCC" w:sz="4"/>
                    <w:bottom w:val="single" w:color="CCCCCC" w:sz="4"/>
                    <w:right w:val="single" w:color="CCCCCC" w:sz="4"/>
                  </w:tcBorders>
                  <w:shd w:fill="D9E8F5" w:val="clear"/>
                  <w:tcMar>
                    <w:top w:type="dxa" w:w="50"/>
                    <w:left w:type="dxa" w:w="100"/>
                    <w:bottom w:type="dxa" w:w="50"/>
                    <w:right w:type="dxa" w:w="100"/>
                  </w:tcMar>
                </w:tcPr>
                <w:p>
                  <w:pPr>
                    <w:spacing w:after="60" w:before="0"/>
                    <w:jc w:val="left"/>
                  </w:pPr>
                  <w:r>
                    <w:rPr>
                      <w:rFonts w:ascii="Arial" w:cs="Arial" w:eastAsia="Arial" w:hAnsi="Arial"/>
                      <w:color w:val="000000"/>
                      <w:sz w:val="14"/>
                      <w:szCs w:val="14"/>
                    </w:rPr>
                    <w:t xml:space="preserve">Facilitate effective meetings</w:t>
                  </w:r>
                </w:p>
              </w:tc>
            </w:tr>
          </w:tbl>
          <w:p/>
        </w:tc>
        <w:tc>
          <w:tcPr>
            <w:tcW w:type="dxa" w:w="5198"/>
            <w:tcBorders>
              <w:top w:val="nil" w:color="FFFFFF" w:sz="0"/>
              <w:left w:val="nil" w:color="FFFFFF" w:sz="0"/>
              <w:bottom w:val="nil" w:color="FFFFFF" w:sz="0"/>
              <w:right w:val="nil" w:color="FFFFFF" w:sz="0"/>
            </w:tcBorders>
            <w:shd w:fill="D6EEF5" w:val="clear"/>
            <w:tcMar>
              <w:top w:type="dxa" w:w="100"/>
              <w:left w:type="dxa" w:w="140"/>
              <w:bottom w:type="dxa" w:w="100"/>
              <w:right w:type="dxa" w:w="160"/>
            </w:tcMar>
            <w:vAlign w:val="top"/>
          </w:tcPr>
          <w:p>
            <w:pPr>
              <w:spacing w:after="60" w:before="60"/>
              <w:jc w:val="center"/>
            </w:pPr>
            <w:r>
              <w:rPr>
                <w:rFonts w:ascii="Arial" w:cs="Arial" w:eastAsia="Arial" w:hAnsi="Arial"/>
                <w:b/>
                <w:bCs/>
                <w:color w:val="2E86AB"/>
                <w:sz w:val="20"/>
                <w:szCs w:val="20"/>
              </w:rPr>
              <w:t xml:space="preserve">🧠 Section 2: Managing Own Emotions</w:t>
            </w:r>
          </w:p>
          <w:p>
            <w:pPr>
              <w:spacing w:after="60" w:before="0"/>
              <w:jc w:val="left"/>
            </w:pPr>
            <w:r>
              <w:rPr>
                <w:rFonts w:ascii="Arial" w:cs="Arial" w:eastAsia="Arial" w:hAnsi="Arial"/>
                <w:i/>
                <w:iCs/>
                <w:color w:val="555555"/>
                <w:sz w:val="15"/>
                <w:szCs w:val="15"/>
              </w:rPr>
              <w:t xml:space="preserve">Strategies to stay productive and reduce stress:</w:t>
            </w:r>
          </w:p>
          <w:p>
            <w:pPr>
              <w:spacing w:after="40" w:before="80"/>
            </w:pPr>
            <w:r>
              <w:rPr>
                <w:rFonts w:ascii="Arial" w:cs="Arial" w:eastAsia="Arial" w:hAnsi="Arial"/>
                <w:b/>
                <w:bCs/>
                <w:color w:val="2E86AB"/>
                <w:sz w:val="16"/>
                <w:szCs w:val="16"/>
              </w:rPr>
              <w:t xml:space="preserve">Emotion → Response → Outcome</w:t>
            </w:r>
          </w:p>
          <w:tbl>
            <w:tblPr>
              <w:tblW w:type="dxa" w:w="4898"/>
              <w:tblBorders>
                <w:top w:val="single" w:color="auto" w:sz="4"/>
                <w:left w:val="single" w:color="auto" w:sz="4"/>
                <w:bottom w:val="single" w:color="auto" w:sz="4"/>
                <w:right w:val="single" w:color="auto" w:sz="4"/>
                <w:insideH w:val="single" w:color="auto" w:sz="4"/>
                <w:insideV w:val="single" w:color="auto" w:sz="4"/>
              </w:tblBorders>
            </w:tblPr>
            <w:tblGrid>
              <w:gridCol w:w="1632"/>
              <w:gridCol w:w="200"/>
              <w:gridCol w:w="1632"/>
              <w:gridCol w:w="200"/>
              <w:gridCol w:w="1233"/>
            </w:tblGrid>
            <w:tr>
              <w:tc>
                <w:tcPr>
                  <w:tcBorders>
                    <w:top w:val="single" w:color="E76F51" w:sz="4"/>
                    <w:left w:val="single" w:color="E76F51" w:sz="4"/>
                    <w:bottom w:val="single" w:color="E76F51" w:sz="4"/>
                    <w:right w:val="single" w:color="E76F51" w:sz="4"/>
                  </w:tcBorders>
                  <w:shd w:fill="FDE8E2" w:val="clear"/>
                  <w:tcMar>
                    <w:top w:type="dxa" w:w="60"/>
                    <w:left w:type="dxa" w:w="60"/>
                    <w:bottom w:type="dxa" w:w="60"/>
                    <w:right w:type="dxa" w:w="60"/>
                  </w:tcMar>
                  <w:vAlign w:val="center"/>
                </w:tcPr>
                <w:p>
                  <w:pPr>
                    <w:spacing w:after="60" w:before="0"/>
                    <w:jc w:val="center"/>
                  </w:pPr>
                  <w:r>
                    <w:rPr>
                      <w:rFonts w:ascii="Arial" w:cs="Arial" w:eastAsia="Arial" w:hAnsi="Arial"/>
                      <w:b/>
                      <w:bCs/>
                      <w:color w:val="E76F51"/>
                      <w:sz w:val="14"/>
                      <w:szCs w:val="14"/>
                    </w:rPr>
                    <w:t xml:space="preserve">😤 Frustration</w:t>
                  </w:r>
                </w:p>
              </w:tc>
              <w:tc>
                <w:tcPr>
                  <w:tcBorders>
                    <w:top w:val="nil" w:color="FFFFFF" w:sz="0"/>
                    <w:left w:val="nil" w:color="FFFFFF" w:sz="0"/>
                    <w:bottom w:val="nil" w:color="FFFFFF" w:sz="0"/>
                    <w:right w:val="nil" w:color="FFFFFF" w:sz="0"/>
                  </w:tcBorders>
                  <w:shd w:fill="FFFFFF" w:val="clear"/>
                  <w:tcMar>
                    <w:top w:type="dxa" w:w="60"/>
                    <w:left w:type="dxa" w:w="20"/>
                    <w:bottom w:type="dxa" w:w="60"/>
                    <w:right w:type="dxa" w:w="20"/>
                  </w:tcMar>
                </w:tcPr>
                <w:p>
                  <w:pPr>
                    <w:spacing w:after="60" w:before="0"/>
                    <w:jc w:val="center"/>
                  </w:pPr>
                  <w:r>
                    <w:rPr>
                      <w:rFonts w:ascii="Arial" w:cs="Arial" w:eastAsia="Arial" w:hAnsi="Arial"/>
                      <w:b/>
                      <w:bCs/>
                      <w:color w:val="2E86AB"/>
                      <w:sz w:val="20"/>
                      <w:szCs w:val="20"/>
                    </w:rPr>
                    <w:t xml:space="preserve">→</w:t>
                  </w:r>
                </w:p>
              </w:tc>
              <w:tc>
                <w:tcPr>
                  <w:tcBorders>
                    <w:top w:val="single" w:color="2E86AB" w:sz="4"/>
                    <w:left w:val="single" w:color="2E86AB" w:sz="4"/>
                    <w:bottom w:val="single" w:color="2E86AB" w:sz="4"/>
                    <w:right w:val="single" w:color="2E86AB" w:sz="4"/>
                  </w:tcBorders>
                  <w:shd w:fill="D6EEF5" w:val="clear"/>
                  <w:tcMar>
                    <w:top w:type="dxa" w:w="60"/>
                    <w:left w:type="dxa" w:w="60"/>
                    <w:bottom w:type="dxa" w:w="60"/>
                    <w:right w:type="dxa" w:w="60"/>
                  </w:tcMar>
                  <w:vAlign w:val="center"/>
                </w:tcPr>
                <w:p>
                  <w:pPr>
                    <w:spacing w:after="60" w:before="0"/>
                    <w:jc w:val="center"/>
                  </w:pPr>
                  <w:r>
                    <w:rPr>
                      <w:rFonts w:ascii="Arial" w:cs="Arial" w:eastAsia="Arial" w:hAnsi="Arial"/>
                      <w:b/>
                      <w:bCs/>
                      <w:color w:val="2E86AB"/>
                      <w:sz w:val="14"/>
                      <w:szCs w:val="14"/>
                    </w:rPr>
                    <w:t xml:space="preserve">⏸ Pause &amp; Reflect</w:t>
                  </w:r>
                </w:p>
              </w:tc>
              <w:tc>
                <w:tcPr>
                  <w:tcBorders>
                    <w:top w:val="nil" w:color="FFFFFF" w:sz="0"/>
                    <w:left w:val="nil" w:color="FFFFFF" w:sz="0"/>
                    <w:bottom w:val="nil" w:color="FFFFFF" w:sz="0"/>
                    <w:right w:val="nil" w:color="FFFFFF" w:sz="0"/>
                  </w:tcBorders>
                  <w:shd w:fill="FFFFFF" w:val="clear"/>
                  <w:tcMar>
                    <w:top w:type="dxa" w:w="60"/>
                    <w:left w:type="dxa" w:w="20"/>
                    <w:bottom w:type="dxa" w:w="60"/>
                    <w:right w:type="dxa" w:w="20"/>
                  </w:tcMar>
                </w:tcPr>
                <w:p>
                  <w:pPr>
                    <w:spacing w:after="60" w:before="0"/>
                    <w:jc w:val="center"/>
                  </w:pPr>
                  <w:r>
                    <w:rPr>
                      <w:rFonts w:ascii="Arial" w:cs="Arial" w:eastAsia="Arial" w:hAnsi="Arial"/>
                      <w:b/>
                      <w:bCs/>
                      <w:color w:val="2D6A4F"/>
                      <w:sz w:val="20"/>
                      <w:szCs w:val="20"/>
                    </w:rPr>
                    <w:t xml:space="preserve">→</w:t>
                  </w:r>
                </w:p>
              </w:tc>
              <w:tc>
                <w:tcPr>
                  <w:tcBorders>
                    <w:top w:val="single" w:color="2D6A4F" w:sz="4"/>
                    <w:left w:val="single" w:color="2D6A4F" w:sz="4"/>
                    <w:bottom w:val="single" w:color="2D6A4F" w:sz="4"/>
                    <w:right w:val="single" w:color="2D6A4F" w:sz="4"/>
                  </w:tcBorders>
                  <w:shd w:fill="D8F3DC" w:val="clear"/>
                  <w:tcMar>
                    <w:top w:type="dxa" w:w="60"/>
                    <w:left w:type="dxa" w:w="60"/>
                    <w:bottom w:type="dxa" w:w="60"/>
                    <w:right w:type="dxa" w:w="60"/>
                  </w:tcMar>
                  <w:vAlign w:val="center"/>
                </w:tcPr>
                <w:p>
                  <w:pPr>
                    <w:spacing w:after="60" w:before="0"/>
                    <w:jc w:val="center"/>
                  </w:pPr>
                  <w:r>
                    <w:rPr>
                      <w:rFonts w:ascii="Arial" w:cs="Arial" w:eastAsia="Arial" w:hAnsi="Arial"/>
                      <w:b/>
                      <w:bCs/>
                      <w:color w:val="2D6A4F"/>
                      <w:sz w:val="14"/>
                      <w:szCs w:val="14"/>
                    </w:rPr>
                    <w:t xml:space="preserve">✅ Productive Response</w:t>
                  </w:r>
                </w:p>
              </w:tc>
            </w:tr>
          </w:tbl>
          <w:p>
            <w:pPr>
              <w:spacing w:after="60" w:before="80"/>
              <w:jc w:val="left"/>
            </w:pPr>
            <w:r>
              <w:rPr>
                <w:rFonts w:ascii="Arial" w:cs="Arial" w:eastAsia="Arial" w:hAnsi="Arial"/>
                <w:b/>
                <w:bCs/>
                <w:color w:val="2E86AB"/>
                <w:sz w:val="16"/>
                <w:szCs w:val="16"/>
              </w:rPr>
              <w:t xml:space="preserve">Key Strategies</w:t>
            </w:r>
          </w:p>
          <w:p>
            <w:pPr>
              <w:pStyle w:val="ListParagraph"/>
              <w:numPr>
                <w:ilvl w:val="0"/>
                <w:numId w:val="2"/>
              </w:numPr>
              <w:spacing w:after="30" w:before="30"/>
            </w:pPr>
            <w:r>
              <w:rPr>
                <w:rFonts w:ascii="Arial" w:cs="Arial" w:eastAsia="Arial" w:hAnsi="Arial"/>
                <w:color w:val="222222"/>
                <w:sz w:val="15"/>
                <w:szCs w:val="15"/>
              </w:rPr>
              <w:t xml:space="preserve">Mindfulness: a 2-minute breathing exercise before team meetings reduces cortisol and improves clarity of thought (Kabat-Zinn, 1994).</w:t>
            </w:r>
          </w:p>
          <w:p>
            <w:pPr>
              <w:pStyle w:val="ListParagraph"/>
              <w:numPr>
                <w:ilvl w:val="0"/>
                <w:numId w:val="2"/>
              </w:numPr>
              <w:spacing w:after="30" w:before="30"/>
            </w:pPr>
            <w:r>
              <w:rPr>
                <w:rFonts w:ascii="Arial" w:cs="Arial" w:eastAsia="Arial" w:hAnsi="Arial"/>
                <w:color w:val="222222"/>
                <w:sz w:val="15"/>
                <w:szCs w:val="15"/>
              </w:rPr>
              <w:t xml:space="preserve">Journalling / Reflection: writing down emotional reactions after difficult sessions supports pattern recognition and growth.</w:t>
            </w:r>
          </w:p>
          <w:p>
            <w:pPr>
              <w:pStyle w:val="ListParagraph"/>
              <w:numPr>
                <w:ilvl w:val="0"/>
                <w:numId w:val="2"/>
              </w:numPr>
              <w:spacing w:after="30" w:before="30"/>
            </w:pPr>
            <w:r>
              <w:rPr>
                <w:rFonts w:ascii="Arial" w:cs="Arial" w:eastAsia="Arial" w:hAnsi="Arial"/>
                <w:color w:val="222222"/>
                <w:sz w:val="15"/>
                <w:szCs w:val="15"/>
              </w:rPr>
              <w:t xml:space="preserve">Pause Before Reacting: counting to five before responding prevents impulsive comments that damage group dynamics.</w:t>
            </w:r>
          </w:p>
          <w:p>
            <w:pPr>
              <w:pStyle w:val="ListParagraph"/>
              <w:numPr>
                <w:ilvl w:val="0"/>
                <w:numId w:val="2"/>
              </w:numPr>
              <w:spacing w:after="30" w:before="30"/>
            </w:pPr>
            <w:r>
              <w:rPr>
                <w:rFonts w:ascii="Arial" w:cs="Arial" w:eastAsia="Arial" w:hAnsi="Arial"/>
                <w:color w:val="222222"/>
                <w:sz w:val="15"/>
                <w:szCs w:val="15"/>
              </w:rPr>
              <w:t xml:space="preserve">Stress Management: breaking the project into weekly milestones reduces overwhelm and creates a sense of progress.</w:t>
            </w:r>
          </w:p>
          <w:p>
            <w:pPr>
              <w:pStyle w:val="ListParagraph"/>
              <w:numPr>
                <w:ilvl w:val="0"/>
                <w:numId w:val="2"/>
              </w:numPr>
              <w:spacing w:after="30" w:before="30"/>
            </w:pPr>
            <w:r>
              <w:rPr>
                <w:rFonts w:ascii="Arial" w:cs="Arial" w:eastAsia="Arial" w:hAnsi="Arial"/>
                <w:color w:val="222222"/>
                <w:sz w:val="15"/>
                <w:szCs w:val="15"/>
              </w:rPr>
              <w:t xml:space="preserve">Positive Self-Talk: replacing 'this is impossible' with 'this is challenging but manageable' maintains motivation.</w:t>
            </w:r>
          </w:p>
          <w:p>
            <w:pPr>
              <w:spacing w:after="60" w:before="80"/>
              <w:jc w:val="left"/>
            </w:pPr>
            <w:r>
              <w:rPr>
                <w:rFonts w:ascii="Arial" w:cs="Arial" w:eastAsia="Arial" w:hAnsi="Arial"/>
                <w:i/>
                <w:iCs/>
                <w:color w:val="444444"/>
                <w:sz w:val="14"/>
                <w:szCs w:val="14"/>
              </w:rPr>
              <w:t xml:space="preserve">According to Salovey and Mayer (1990), the ability to regulate one's own emotions is the highest tier of emotional intelligence and directly correlates with sustained performance under pressure.</w:t>
            </w:r>
          </w:p>
        </w:tc>
      </w:tr>
    </w:tbl>
    <w:p>
      <w:pPr>
        <w:spacing w:after="0" w:before="80"/>
      </w:pPr>
    </w:p>
    <w:tbl>
      <w:tblPr>
        <w:tblW w:type="dxa" w:w="15398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5100"/>
        <w:gridCol w:w="5100"/>
        <w:gridCol w:w="5198"/>
      </w:tblGrid>
      <w:tr>
        <w:tc>
          <w:tcPr>
            <w:tcW w:type="dxa" w:w="5100"/>
            <w:tcBorders>
              <w:top w:val="nil" w:color="FFFFFF" w:sz="0"/>
              <w:left w:val="nil" w:color="FFFFFF" w:sz="0"/>
              <w:bottom w:val="nil" w:color="FFFFFF" w:sz="0"/>
              <w:right w:val="nil" w:color="FFFFFF" w:sz="0"/>
            </w:tcBorders>
            <w:shd w:fill="EDE7FF" w:val="clear"/>
            <w:tcMar>
              <w:top w:type="dxa" w:w="100"/>
              <w:left w:type="dxa" w:w="160"/>
              <w:bottom w:type="dxa" w:w="100"/>
              <w:right w:type="dxa" w:w="140"/>
            </w:tcMar>
            <w:vAlign w:val="top"/>
          </w:tcPr>
          <w:p>
            <w:pPr>
              <w:spacing w:after="60" w:before="60"/>
              <w:jc w:val="center"/>
            </w:pPr>
            <w:r>
              <w:rPr>
                <w:rFonts w:ascii="Arial" w:cs="Arial" w:eastAsia="Arial" w:hAnsi="Arial"/>
                <w:b/>
                <w:bCs/>
                <w:color w:val="6B4FBB"/>
                <w:sz w:val="20"/>
                <w:szCs w:val="20"/>
              </w:rPr>
              <w:t xml:space="preserve">💬 Section 3: Understanding Others' Emotions</w:t>
            </w:r>
          </w:p>
          <w:p>
            <w:pPr>
              <w:spacing w:after="60" w:before="0"/>
              <w:jc w:val="left"/>
            </w:pPr>
            <w:r>
              <w:rPr>
                <w:rFonts w:ascii="Arial" w:cs="Arial" w:eastAsia="Arial" w:hAnsi="Arial"/>
                <w:i/>
                <w:iCs/>
                <w:color w:val="555555"/>
                <w:sz w:val="15"/>
                <w:szCs w:val="15"/>
              </w:rPr>
              <w:t xml:space="preserve">How empathy improves communication and collaboration:</w:t>
            </w:r>
          </w:p>
          <w:tbl>
            <w:tblPr>
              <w:tblW w:type="dxa" w:w="4820"/>
              <w:tblBorders>
                <w:top w:val="single" w:color="auto" w:sz="4"/>
                <w:left w:val="single" w:color="auto" w:sz="4"/>
                <w:bottom w:val="single" w:color="auto" w:sz="4"/>
                <w:right w:val="single" w:color="auto" w:sz="4"/>
                <w:insideH w:val="single" w:color="auto" w:sz="4"/>
                <w:insideV w:val="single" w:color="auto" w:sz="4"/>
              </w:tblBorders>
            </w:tblPr>
            <w:tblGrid>
              <w:gridCol w:w="2410"/>
              <w:gridCol w:w="2410"/>
            </w:tblGrid>
            <w:tr>
              <w:tc>
                <w:tcPr>
                  <w:tcW w:type="dxa" w:w="2410"/>
                  <w:tcBorders>
                    <w:top w:val="single" w:color="6B4FBB" w:sz="4"/>
                    <w:left w:val="single" w:color="6B4FBB" w:sz="4"/>
                    <w:bottom w:val="single" w:color="6B4FBB" w:sz="4"/>
                    <w:right w:val="single" w:color="6B4FBB" w:sz="4"/>
                  </w:tcBorders>
                  <w:shd w:fill="EDE7FF" w:val="clear"/>
                  <w:tcMar>
                    <w:top w:type="dxa" w:w="80"/>
                    <w:left w:type="dxa" w:w="100"/>
                    <w:bottom w:type="dxa" w:w="80"/>
                    <w:right w:type="dxa" w:w="100"/>
                  </w:tcMar>
                  <w:vAlign w:val="top"/>
                </w:tcPr>
                <w:p>
                  <w:pPr>
                    <w:spacing w:after="60" w:before="0"/>
                    <w:jc w:val="left"/>
                  </w:pPr>
                  <w:r>
                    <w:rPr>
                      <w:rFonts w:ascii="Arial" w:cs="Arial" w:eastAsia="Arial" w:hAnsi="Arial"/>
                      <w:b/>
                      <w:bCs/>
                      <w:color w:val="6B4FBB"/>
                      <w:sz w:val="15"/>
                      <w:szCs w:val="15"/>
                    </w:rPr>
                    <w:t xml:space="preserve">🎧 Active Listening</w:t>
                  </w:r>
                </w:p>
                <w:p>
                  <w:pPr>
                    <w:spacing w:after="60" w:before="0"/>
                    <w:jc w:val="left"/>
                  </w:pPr>
                  <w:r>
                    <w:rPr>
                      <w:rFonts w:ascii="Arial" w:cs="Arial" w:eastAsia="Arial" w:hAnsi="Arial"/>
                      <w:color w:val="000000"/>
                      <w:sz w:val="14"/>
                      <w:szCs w:val="14"/>
                    </w:rPr>
                    <w:t xml:space="preserve">A student notices a teammate has gone quiet. Rather than assigning more tasks, they check in privately — the teammate reveals family pressures. The team adjusts the workload, rebuilding trust.</w:t>
                  </w:r>
                </w:p>
              </w:tc>
              <w:tc>
                <w:tcPr>
                  <w:tcW w:type="dxa" w:w="2410"/>
                  <w:tcBorders>
                    <w:top w:val="single" w:color="2E86AB" w:sz="4"/>
                    <w:left w:val="single" w:color="2E86AB" w:sz="4"/>
                    <w:bottom w:val="single" w:color="2E86AB" w:sz="4"/>
                    <w:right w:val="single" w:color="2E86AB" w:sz="4"/>
                  </w:tcBorders>
                  <w:shd w:fill="D6EEF5" w:val="clear"/>
                  <w:tcMar>
                    <w:top w:type="dxa" w:w="80"/>
                    <w:left w:type="dxa" w:w="100"/>
                    <w:bottom w:type="dxa" w:w="80"/>
                    <w:right w:type="dxa" w:w="100"/>
                  </w:tcMar>
                  <w:vAlign w:val="top"/>
                </w:tcPr>
                <w:p>
                  <w:pPr>
                    <w:spacing w:after="60" w:before="0"/>
                    <w:jc w:val="left"/>
                  </w:pPr>
                  <w:r>
                    <w:rPr>
                      <w:rFonts w:ascii="Arial" w:cs="Arial" w:eastAsia="Arial" w:hAnsi="Arial"/>
                      <w:b/>
                      <w:bCs/>
                      <w:color w:val="2E86AB"/>
                      <w:sz w:val="15"/>
                      <w:szCs w:val="15"/>
                    </w:rPr>
                    <w:t xml:space="preserve">🔄 Perspective-Taking</w:t>
                  </w:r>
                </w:p>
                <w:p>
                  <w:pPr>
                    <w:spacing w:after="60" w:before="0"/>
                    <w:jc w:val="left"/>
                  </w:pPr>
                  <w:r>
                    <w:rPr>
                      <w:rFonts w:ascii="Arial" w:cs="Arial" w:eastAsia="Arial" w:hAnsi="Arial"/>
                      <w:color w:val="000000"/>
                      <w:sz w:val="14"/>
                      <w:szCs w:val="14"/>
                    </w:rPr>
                    <w:t xml:space="preserve">When a teammate pushes back on a plan, instead of dismissing them, the leader asks: 'What concerns you most?' This reveals a valid gap in the timeline that improves the final submission.</w:t>
                  </w:r>
                </w:p>
              </w:tc>
            </w:tr>
            <w:tr>
              <w:tc>
                <w:tcPr>
                  <w:tcW w:type="dxa" w:w="2410"/>
                  <w:tcBorders>
                    <w:top w:val="single" w:color="2D6A4F" w:sz="4"/>
                    <w:left w:val="single" w:color="2D6A4F" w:sz="4"/>
                    <w:bottom w:val="single" w:color="2D6A4F" w:sz="4"/>
                    <w:right w:val="single" w:color="2D6A4F" w:sz="4"/>
                  </w:tcBorders>
                  <w:shd w:fill="D8F3DC" w:val="clear"/>
                  <w:tcMar>
                    <w:top w:type="dxa" w:w="80"/>
                    <w:left w:type="dxa" w:w="100"/>
                    <w:bottom w:type="dxa" w:w="80"/>
                    <w:right w:type="dxa" w:w="100"/>
                  </w:tcMar>
                  <w:vAlign w:val="top"/>
                </w:tcPr>
                <w:p>
                  <w:pPr>
                    <w:spacing w:after="60" w:before="0"/>
                    <w:jc w:val="left"/>
                  </w:pPr>
                  <w:r>
                    <w:rPr>
                      <w:rFonts w:ascii="Arial" w:cs="Arial" w:eastAsia="Arial" w:hAnsi="Arial"/>
                      <w:b/>
                      <w:bCs/>
                      <w:color w:val="2D6A4F"/>
                      <w:sz w:val="15"/>
                      <w:szCs w:val="15"/>
                    </w:rPr>
                    <w:t xml:space="preserve">🗣 Constructive Feedback</w:t>
                  </w:r>
                </w:p>
                <w:p>
                  <w:pPr>
                    <w:spacing w:after="60" w:before="0"/>
                    <w:jc w:val="left"/>
                  </w:pPr>
                  <w:r>
                    <w:rPr>
                      <w:rFonts w:ascii="Arial" w:cs="Arial" w:eastAsia="Arial" w:hAnsi="Arial"/>
                      <w:color w:val="000000"/>
                      <w:sz w:val="14"/>
                      <w:szCs w:val="14"/>
                    </w:rPr>
                    <w:t xml:space="preserve">Framing feedback as 'I feel the intro could be stronger if…' rather than 'Your intro is weak' shifts team culture from blame to shared improvement.</w:t>
                  </w:r>
                </w:p>
              </w:tc>
              <w:tc>
                <w:tcPr>
                  <w:tcW w:type="dxa" w:w="2410"/>
                  <w:tcBorders>
                    <w:top w:val="single" w:color="E76F51" w:sz="4"/>
                    <w:left w:val="single" w:color="E76F51" w:sz="4"/>
                    <w:bottom w:val="single" w:color="E76F51" w:sz="4"/>
                    <w:right w:val="single" w:color="E76F51" w:sz="4"/>
                  </w:tcBorders>
                  <w:shd w:fill="FDE8E2" w:val="clear"/>
                  <w:tcMar>
                    <w:top w:type="dxa" w:w="80"/>
                    <w:left w:type="dxa" w:w="100"/>
                    <w:bottom w:type="dxa" w:w="80"/>
                    <w:right w:type="dxa" w:w="100"/>
                  </w:tcMar>
                  <w:vAlign w:val="top"/>
                </w:tcPr>
                <w:p>
                  <w:pPr>
                    <w:spacing w:after="60" w:before="0"/>
                    <w:jc w:val="left"/>
                  </w:pPr>
                  <w:r>
                    <w:rPr>
                      <w:rFonts w:ascii="Arial" w:cs="Arial" w:eastAsia="Arial" w:hAnsi="Arial"/>
                      <w:b/>
                      <w:bCs/>
                      <w:color w:val="E76F51"/>
                      <w:sz w:val="15"/>
                      <w:szCs w:val="15"/>
                    </w:rPr>
                    <w:t xml:space="preserve">🤲 Non-Verbal Awareness</w:t>
                  </w:r>
                </w:p>
                <w:p>
                  <w:pPr>
                    <w:spacing w:after="60" w:before="0"/>
                    <w:jc w:val="left"/>
                  </w:pPr>
                  <w:r>
                    <w:rPr>
                      <w:rFonts w:ascii="Arial" w:cs="Arial" w:eastAsia="Arial" w:hAnsi="Arial"/>
                      <w:color w:val="000000"/>
                      <w:sz w:val="14"/>
                      <w:szCs w:val="14"/>
                    </w:rPr>
                    <w:t xml:space="preserve">Recognising crossed arms, averted eye contact, or short replies as signals of disengagement allows the leader to address underlying tensions before they escalate.</w:t>
                  </w:r>
                </w:p>
              </w:tc>
            </w:tr>
          </w:tbl>
          <w:p>
            <w:pPr>
              <w:spacing w:after="60" w:before="80"/>
              <w:jc w:val="left"/>
            </w:pPr>
            <w:r>
              <w:rPr>
                <w:rFonts w:ascii="Arial" w:cs="Arial" w:eastAsia="Arial" w:hAnsi="Arial"/>
                <w:i/>
                <w:iCs/>
                <w:color w:val="444444"/>
                <w:sz w:val="14"/>
                <w:szCs w:val="14"/>
              </w:rPr>
              <w:t xml:space="preserve">Druskat and Wolff (2001) argue that group-level emotional intelligence norms — built through empathy — are a stronger predictor of team effectiveness than the individual EI scores of members.</w:t>
            </w:r>
          </w:p>
        </w:tc>
        <w:tc>
          <w:tcPr>
            <w:tcW w:type="dxa" w:w="5100"/>
            <w:tcBorders>
              <w:top w:val="nil" w:color="FFFFFF" w:sz="0"/>
              <w:left w:val="nil" w:color="FFFFFF" w:sz="0"/>
              <w:bottom w:val="nil" w:color="FFFFFF" w:sz="0"/>
              <w:right w:val="nil" w:color="FFFFFF" w:sz="0"/>
            </w:tcBorders>
            <w:shd w:fill="FDE8E2" w:val="clear"/>
            <w:tcMar>
              <w:top w:type="dxa" w:w="100"/>
              <w:left w:type="dxa" w:w="140"/>
              <w:bottom w:type="dxa" w:w="100"/>
              <w:right w:type="dxa" w:w="140"/>
            </w:tcMar>
            <w:vAlign w:val="top"/>
          </w:tcPr>
          <w:p>
            <w:pPr>
              <w:spacing w:after="60" w:before="60"/>
              <w:jc w:val="center"/>
            </w:pPr>
            <w:r>
              <w:rPr>
                <w:rFonts w:ascii="Arial" w:cs="Arial" w:eastAsia="Arial" w:hAnsi="Arial"/>
                <w:b/>
                <w:bCs/>
                <w:color w:val="E76F51"/>
                <w:sz w:val="20"/>
                <w:szCs w:val="20"/>
              </w:rPr>
              <w:t xml:space="preserve">🔍 Method / Reflection</w:t>
            </w:r>
          </w:p>
          <w:p>
            <w:pPr>
              <w:spacing w:after="60" w:before="0"/>
              <w:jc w:val="left"/>
            </w:pPr>
            <w:r>
              <w:rPr>
                <w:rFonts w:ascii="Arial" w:cs="Arial" w:eastAsia="Arial" w:hAnsi="Arial"/>
                <w:i/>
                <w:iCs/>
                <w:color w:val="888888"/>
                <w:sz w:val="14"/>
                <w:szCs w:val="14"/>
              </w:rPr>
              <w:t xml:space="preserve">(To be elaborated during one-to-one presentation)</w:t>
            </w:r>
          </w:p>
          <w:p>
            <w:pPr>
              <w:spacing w:after="60" w:before="60"/>
              <w:jc w:val="left"/>
            </w:pPr>
            <w:r>
              <w:rPr>
                <w:rFonts w:ascii="Arial" w:cs="Arial" w:eastAsia="Arial" w:hAnsi="Arial"/>
                <w:b/>
                <w:bCs/>
                <w:color w:val="E76F51"/>
                <w:sz w:val="16"/>
                <w:szCs w:val="16"/>
              </w:rPr>
              <w:t xml:space="preserve">Information Sources</w:t>
            </w:r>
          </w:p>
          <w:p>
            <w:pPr>
              <w:pStyle w:val="ListParagraph"/>
              <w:numPr>
                <w:ilvl w:val="0"/>
                <w:numId w:val="2"/>
              </w:numPr>
              <w:spacing w:after="30" w:before="30"/>
            </w:pPr>
            <w:r>
              <w:rPr>
                <w:rFonts w:ascii="Arial" w:cs="Arial" w:eastAsia="Arial" w:hAnsi="Arial"/>
                <w:color w:val="222222"/>
                <w:sz w:val="15"/>
                <w:szCs w:val="15"/>
              </w:rPr>
              <w:t xml:space="preserve">Personal Experience: first-hand observation of group dynamics across university assessments, including moments of conflict and collaboration.</w:t>
            </w:r>
          </w:p>
          <w:p>
            <w:pPr>
              <w:pStyle w:val="ListParagraph"/>
              <w:numPr>
                <w:ilvl w:val="0"/>
                <w:numId w:val="2"/>
              </w:numPr>
              <w:spacing w:after="30" w:before="30"/>
            </w:pPr>
            <w:r>
              <w:rPr>
                <w:rFonts w:ascii="Arial" w:cs="Arial" w:eastAsia="Arial" w:hAnsi="Arial"/>
                <w:color w:val="222222"/>
                <w:sz w:val="15"/>
                <w:szCs w:val="15"/>
              </w:rPr>
              <w:t xml:space="preserve">Academic Research: peer-reviewed sources including Goleman (1995), Mayer and Salovey (1990), and Druskat and Wolff (2001).</w:t>
            </w:r>
          </w:p>
          <w:p>
            <w:pPr>
              <w:pStyle w:val="ListParagraph"/>
              <w:numPr>
                <w:ilvl w:val="0"/>
                <w:numId w:val="2"/>
              </w:numPr>
              <w:spacing w:after="30" w:before="30"/>
            </w:pPr>
            <w:r>
              <w:rPr>
                <w:rFonts w:ascii="Arial" w:cs="Arial" w:eastAsia="Arial" w:hAnsi="Arial"/>
                <w:color w:val="222222"/>
                <w:sz w:val="15"/>
                <w:szCs w:val="15"/>
              </w:rPr>
              <w:t xml:space="preserve">Observation: noticing patterns in how different team members respond to pressure, feedback, and ambiguity.</w:t>
            </w:r>
          </w:p>
          <w:p>
            <w:pPr>
              <w:spacing w:after="60" w:before="80"/>
              <w:jc w:val="left"/>
            </w:pPr>
            <w:r>
              <w:rPr>
                <w:rFonts w:ascii="Arial" w:cs="Arial" w:eastAsia="Arial" w:hAnsi="Arial"/>
                <w:b/>
                <w:bCs/>
                <w:color w:val="E76F51"/>
                <w:sz w:val="16"/>
                <w:szCs w:val="16"/>
              </w:rPr>
              <w:t xml:space="preserve">Personal Reflection</w:t>
            </w:r>
          </w:p>
          <w:p>
            <w:pPr>
              <w:spacing w:after="60" w:before="0"/>
              <w:jc w:val="left"/>
            </w:pPr>
            <w:r>
              <w:rPr>
                <w:rFonts w:ascii="Arial" w:cs="Arial" w:eastAsia="Arial" w:hAnsi="Arial"/>
                <w:color w:val="000000"/>
                <w:sz w:val="15"/>
                <w:szCs w:val="15"/>
              </w:rPr>
              <w:t xml:space="preserve">Through this exercise, I recognised that I sometimes prioritise task completion over team wellbeing. Applying EI frameworks has prompted me to check in more intentionally with teammates and reframe conflict as a productive rather than threatening process.</w:t>
            </w:r>
          </w:p>
        </w:tc>
        <w:tc>
          <w:tcPr>
            <w:tcW w:type="dxa" w:w="5198"/>
            <w:tcBorders>
              <w:top w:val="nil" w:color="FFFFFF" w:sz="0"/>
              <w:left w:val="nil" w:color="FFFFFF" w:sz="0"/>
              <w:bottom w:val="nil" w:color="FFFFFF" w:sz="0"/>
              <w:right w:val="nil" w:color="FFFFFF" w:sz="0"/>
            </w:tcBorders>
            <w:shd w:fill="D8F3DC" w:val="clear"/>
            <w:tcMar>
              <w:top w:type="dxa" w:w="100"/>
              <w:left w:type="dxa" w:w="140"/>
              <w:bottom w:type="dxa" w:w="100"/>
              <w:right w:type="dxa" w:w="160"/>
            </w:tcMar>
            <w:vAlign w:val="top"/>
          </w:tcPr>
          <w:p>
            <w:pPr>
              <w:spacing w:after="60" w:before="60"/>
              <w:jc w:val="center"/>
            </w:pPr>
            <w:r>
              <w:rPr>
                <w:rFonts w:ascii="Arial" w:cs="Arial" w:eastAsia="Arial" w:hAnsi="Arial"/>
                <w:b/>
                <w:bCs/>
                <w:color w:val="2D6A4F"/>
                <w:sz w:val="20"/>
                <w:szCs w:val="20"/>
              </w:rPr>
              <w:t xml:space="preserve">✅ Conclusion &amp; Recommendations</w:t>
            </w:r>
          </w:p>
          <w:p>
            <w:pPr>
              <w:spacing w:after="60" w:before="60"/>
              <w:jc w:val="left"/>
            </w:pPr>
            <w:r>
              <w:rPr>
                <w:rFonts w:ascii="Arial" w:cs="Arial" w:eastAsia="Arial" w:hAnsi="Arial"/>
                <w:color w:val="000000"/>
                <w:sz w:val="15"/>
                <w:szCs w:val="15"/>
              </w:rPr>
              <w:t xml:space="preserve">EI is not a fixed trait — it is a developable skill. Students who invest in building emotional intelligence will lead more cohesive, resilient teams and produce stronger collaborative outcomes.</w:t>
            </w:r>
          </w:p>
          <w:p>
            <w:pPr>
              <w:spacing w:after="60" w:before="60"/>
              <w:jc w:val="left"/>
            </w:pPr>
            <w:r>
              <w:rPr>
                <w:rFonts w:ascii="Arial" w:cs="Arial" w:eastAsia="Arial" w:hAnsi="Arial"/>
                <w:b/>
                <w:bCs/>
                <w:color w:val="2D6A4F"/>
                <w:sz w:val="16"/>
                <w:szCs w:val="16"/>
              </w:rPr>
              <w:t xml:space="preserve">Top Tips for Students</w:t>
            </w:r>
          </w:p>
          <w:p>
            <w:pPr>
              <w:pStyle w:val="ListParagraph"/>
              <w:numPr>
                <w:ilvl w:val="0"/>
                <w:numId w:val="2"/>
              </w:numPr>
              <w:spacing w:after="30" w:before="30"/>
            </w:pPr>
            <w:r>
              <w:rPr>
                <w:rFonts w:ascii="Arial" w:cs="Arial" w:eastAsia="Arial" w:hAnsi="Arial"/>
                <w:color w:val="222222"/>
                <w:sz w:val="15"/>
                <w:szCs w:val="15"/>
              </w:rPr>
              <w:t xml:space="preserve">Before each meeting, take one minute to check in with how you are feeling.</w:t>
            </w:r>
          </w:p>
          <w:p>
            <w:pPr>
              <w:pStyle w:val="ListParagraph"/>
              <w:numPr>
                <w:ilvl w:val="0"/>
                <w:numId w:val="2"/>
              </w:numPr>
              <w:spacing w:after="30" w:before="30"/>
            </w:pPr>
            <w:r>
              <w:rPr>
                <w:rFonts w:ascii="Arial" w:cs="Arial" w:eastAsia="Arial" w:hAnsi="Arial"/>
                <w:color w:val="222222"/>
                <w:sz w:val="15"/>
                <w:szCs w:val="15"/>
              </w:rPr>
              <w:t xml:space="preserve">When someone goes quiet, ask — do not assume.</w:t>
            </w:r>
          </w:p>
          <w:p>
            <w:pPr>
              <w:pStyle w:val="ListParagraph"/>
              <w:numPr>
                <w:ilvl w:val="0"/>
                <w:numId w:val="2"/>
              </w:numPr>
              <w:spacing w:after="30" w:before="30"/>
            </w:pPr>
            <w:r>
              <w:rPr>
                <w:rFonts w:ascii="Arial" w:cs="Arial" w:eastAsia="Arial" w:hAnsi="Arial"/>
                <w:color w:val="222222"/>
                <w:sz w:val="15"/>
                <w:szCs w:val="15"/>
              </w:rPr>
              <w:t xml:space="preserve">Give feedback using 'I' language to reduce defensiveness.</w:t>
            </w:r>
          </w:p>
          <w:p>
            <w:pPr>
              <w:pStyle w:val="ListParagraph"/>
              <w:numPr>
                <w:ilvl w:val="0"/>
                <w:numId w:val="2"/>
              </w:numPr>
              <w:spacing w:after="30" w:before="30"/>
            </w:pPr>
            <w:r>
              <w:rPr>
                <w:rFonts w:ascii="Arial" w:cs="Arial" w:eastAsia="Arial" w:hAnsi="Arial"/>
                <w:color w:val="222222"/>
                <w:sz w:val="15"/>
                <w:szCs w:val="15"/>
              </w:rPr>
              <w:t xml:space="preserve">After conflicts, reflect on what emotion triggered your response.</w:t>
            </w:r>
          </w:p>
          <w:p>
            <w:pPr>
              <w:pStyle w:val="ListParagraph"/>
              <w:numPr>
                <w:ilvl w:val="0"/>
                <w:numId w:val="2"/>
              </w:numPr>
              <w:spacing w:after="30" w:before="30"/>
            </w:pPr>
            <w:r>
              <w:rPr>
                <w:rFonts w:ascii="Arial" w:cs="Arial" w:eastAsia="Arial" w:hAnsi="Arial"/>
                <w:color w:val="222222"/>
                <w:sz w:val="15"/>
                <w:szCs w:val="15"/>
              </w:rPr>
              <w:t xml:space="preserve">Celebrate small wins together to sustain team motivation.</w:t>
            </w:r>
          </w:p>
          <w:p>
            <w:pPr>
              <w:spacing w:after="60" w:before="100"/>
              <w:jc w:val="left"/>
            </w:pPr>
            <w:r>
              <w:rPr>
                <w:rFonts w:ascii="Arial" w:cs="Arial" w:eastAsia="Arial" w:hAnsi="Arial"/>
                <w:b/>
                <w:bCs/>
                <w:color w:val="1F3864"/>
                <w:sz w:val="16"/>
                <w:szCs w:val="16"/>
              </w:rPr>
              <w:t xml:space="preserve">References</w:t>
            </w:r>
          </w:p>
          <w:p>
            <w:pPr>
              <w:spacing w:after="30" w:before="40"/>
              <w:ind w:left="360" w:hanging="360"/>
            </w:pPr>
            <w:r>
              <w:rPr>
                <w:rFonts w:ascii="Arial" w:cs="Arial" w:eastAsia="Arial" w:hAnsi="Arial"/>
                <w:color w:val="222222"/>
                <w:sz w:val="13"/>
                <w:szCs w:val="13"/>
              </w:rPr>
              <w:t xml:space="preserve">Brackett, M.A., Rivers, S.E. and Salovey, P. (2011) 'Emotional intelligence: implications for personal, social, academic, and workplace success', Social and Personality Psychology Compass, 5(1), pp. 88–103.</w:t>
            </w:r>
          </w:p>
          <w:p>
            <w:pPr>
              <w:spacing w:after="30" w:before="40"/>
              <w:ind w:left="360" w:hanging="360"/>
            </w:pPr>
            <w:r>
              <w:rPr>
                <w:rFonts w:ascii="Arial" w:cs="Arial" w:eastAsia="Arial" w:hAnsi="Arial"/>
                <w:color w:val="222222"/>
                <w:sz w:val="13"/>
                <w:szCs w:val="13"/>
              </w:rPr>
              <w:t xml:space="preserve">Druskat, V.U. and Wolff, S.B. (2001) 'Building the emotional intelligence of groups', Harvard Business Review, 79(3), pp. 80–90.</w:t>
            </w:r>
          </w:p>
          <w:p>
            <w:pPr>
              <w:spacing w:after="30" w:before="40"/>
              <w:ind w:left="360" w:hanging="360"/>
            </w:pPr>
            <w:r>
              <w:rPr>
                <w:rFonts w:ascii="Arial" w:cs="Arial" w:eastAsia="Arial" w:hAnsi="Arial"/>
                <w:color w:val="222222"/>
                <w:sz w:val="13"/>
                <w:szCs w:val="13"/>
              </w:rPr>
              <w:t xml:space="preserve">Goleman, D. (1995) Emotional Intelligence: Why It Can Matter More Than IQ. New York: Bantam Books.</w:t>
            </w:r>
          </w:p>
          <w:p>
            <w:pPr>
              <w:spacing w:after="30" w:before="40"/>
              <w:ind w:left="360" w:hanging="360"/>
            </w:pPr>
            <w:r>
              <w:rPr>
                <w:rFonts w:ascii="Arial" w:cs="Arial" w:eastAsia="Arial" w:hAnsi="Arial"/>
                <w:color w:val="222222"/>
                <w:sz w:val="13"/>
                <w:szCs w:val="13"/>
              </w:rPr>
              <w:t xml:space="preserve">Mayer, J.D. and Salovey, P. (1990) 'Emotional intelligence', Imagination, Cognition and Personality, 9(3), pp. 185–211.</w:t>
            </w:r>
          </w:p>
        </w:tc>
      </w:tr>
    </w:tbl>
    <w:sectPr>
      <w:pgSz w:w="16838" w:h="11906" w:orient="landscape"/>
      <w:pgMar w:top="720" w:right="720" w:bottom="720" w:left="720" w:header="708" w:footer="708" w:gutter="0"/>
      <w:pgNumType/>
      <w:docGrid w:linePitch="360"/>
    </w:sectPr>
  </w:body>
</w:document>
</file>

<file path=word/comments.xml><?xml version="1.0" encoding="utf-8"?>
<w:comments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/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>
      <w:pPr>
        <w:spacing w:after="0" w:line="240" w:lineRule="auto"/>
      </w:pPr>
      <w:r>
        <w:rPr>
          <w:rStyle w:val="EndnoteReference"/>
        </w:rPr>
        <w:endnoteRef/>
      </w:r>
      <w:r>
        <w:separator/>
      </w:r>
    </w:p>
  </w:endnote>
  <w:endnote w:type="continuationSeparator" w:id="0">
    <w:p>
      <w:pPr>
        <w:spacing w:after="0" w:line="240" w:lineRule="auto"/>
      </w:pPr>
      <w:r>
        <w:rPr>
          <w:rStyle w:val="EndnoteReference"/>
        </w:rPr>
        <w:endnoteRef/>
      </w: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>
      <w:pPr>
        <w:spacing w:after="0" w:line="240" w:lineRule="auto"/>
      </w:pPr>
      <w:r>
        <w:rPr>
          <w:rStyle w:val="FootnoteReference"/>
        </w:rPr>
        <w:footnoteRef/>
      </w:r>
      <w:r>
        <w:separator/>
      </w:r>
    </w:p>
  </w:footnote>
  <w:footnote w:type="continuationSeparator" w:id="0">
    <w:p>
      <w:pPr>
        <w:spacing w:after="0" w:line="240" w:lineRule="auto"/>
      </w:pPr>
      <w:r>
        <w:rPr>
          <w:rStyle w:val="FootnoteReference"/>
        </w:rPr>
        <w:footnoteRef/>
      </w: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1" w15:restartNumberingAfterBreak="0">
    <w:multiLevelType w:val="hybridMultilevel"/>
    <w:lvl w:ilvl="0" w15:tentative="1">
      <w:start w:val="1"/>
      <w:numFmt w:val="bullet"/>
      <w:lvlText w:val="●"/>
      <w:lvlJc w:val="left"/>
      <w:pPr>
        <w:ind w:left="720" w:hanging="360"/>
      </w:pPr>
    </w:lvl>
    <w:lvl w:ilvl="1" w15:tentative="1">
      <w:start w:val="1"/>
      <w:numFmt w:val="bullet"/>
      <w:lvlText w:val="○"/>
      <w:lvlJc w:val="left"/>
      <w:pPr>
        <w:ind w:left="1440" w:hanging="360"/>
      </w:pPr>
    </w:lvl>
    <w:lvl w:ilvl="2" w15:tentative="1">
      <w:start w:val="1"/>
      <w:numFmt w:val="bullet"/>
      <w:lvlText w:val="■"/>
      <w:lvlJc w:val="left"/>
      <w:pPr>
        <w:ind w:left="2160" w:hanging="360"/>
      </w:pPr>
    </w:lvl>
    <w:lvl w:ilvl="3" w15:tentative="1">
      <w:start w:val="1"/>
      <w:numFmt w:val="bullet"/>
      <w:lvlText w:val="●"/>
      <w:lvlJc w:val="left"/>
      <w:pPr>
        <w:ind w:left="2880" w:hanging="360"/>
      </w:pPr>
    </w:lvl>
    <w:lvl w:ilvl="4" w15:tentative="1">
      <w:start w:val="1"/>
      <w:numFmt w:val="bullet"/>
      <w:lvlText w:val="○"/>
      <w:lvlJc w:val="left"/>
      <w:pPr>
        <w:ind w:left="3600" w:hanging="360"/>
      </w:pPr>
    </w:lvl>
    <w:lvl w:ilvl="5" w15:tentative="1">
      <w:start w:val="1"/>
      <w:numFmt w:val="bullet"/>
      <w:lvlText w:val="■"/>
      <w:lvlJc w:val="left"/>
      <w:pPr>
        <w:ind w:left="4320" w:hanging="360"/>
      </w:pPr>
    </w:lvl>
    <w:lvl w:ilvl="6" w15:tentative="1">
      <w:start w:val="1"/>
      <w:numFmt w:val="bullet"/>
      <w:lvlText w:val="●"/>
      <w:lvlJc w:val="left"/>
      <w:pPr>
        <w:ind w:left="5040" w:hanging="360"/>
      </w:pPr>
    </w:lvl>
    <w:lvl w:ilvl="7" w15:tentative="1">
      <w:start w:val="1"/>
      <w:numFmt w:val="bullet"/>
      <w:lvlText w:val="●"/>
      <w:lvlJc w:val="left"/>
      <w:pPr>
        <w:ind w:left="5760" w:hanging="360"/>
      </w:pPr>
    </w:lvl>
    <w:lvl w:ilvl="8" w15:tentative="1">
      <w:start w:val="1"/>
      <w:numFmt w:val="bullet"/>
      <w:lvlText w:val="●"/>
      <w:lvlJc w:val="left"/>
      <w:pPr>
        <w:ind w:left="6480" w:hanging="360"/>
      </w:pPr>
    </w:lvl>
  </w:abstractNum>
  <w:abstractNum w:abstractNumId="2" w15:restartNumberingAfterBreak="0">
    <w:multiLevelType w:val="hybridMultilevel"/>
    <w:lvl w:ilvl="0" w15:tentative="1">
      <w:start w:val="1"/>
      <w:numFmt w:val="bullet"/>
      <w:lvlText w:val="•"/>
      <w:lvlJc w:val="left"/>
      <w:pPr>
        <w:ind w:left="360" w:hanging="200"/>
      </w:pPr>
    </w:lvl>
  </w:abstractNum>
  <w:num w:numId="1">
    <w:abstractNumId w:val="1"/>
    <w:lvlOverride w:ilvl="0">
      <w:startOverride w:val="1"/>
    </w:lvlOverride>
  </w:num>
  <w:num w:numId="2">
    <w:abstractNumId w:val="2"/>
    <w:lvlOverride w:ilvl="0">
      <w:startOverride w:val="1"/>
    </w:lvlOverride>
  </w:num>
</w:numbering>
</file>

<file path=word/settings.xml><?xml version="1.0" encoding="utf-8"?>
<w:setting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isplayBackgroundShape/>
  <w:evenAndOddHeaders w:val="false"/>
  <w:compat>
    <w:compatSetting w:val="15" w:name="compatibilityMode" w:uri="http://schemas.microsoft.com/office/word"/>
  </w:compat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Arial" w:cs="Arial" w:eastAsia="Arial" w:hAnsi="Arial"/>
        <w:sz w:val="18"/>
        <w:szCs w:val="18"/>
      </w:rPr>
    </w:rPrDefault>
    <w:pPrDefault/>
  </w:docDefaults>
  <w:style w:type="paragraph" w:styleId="Title">
    <w:name w:val="Title"/>
    <w:basedOn w:val="Normal"/>
    <w:next w:val="Normal"/>
    <w:qFormat/>
    <w:rPr>
      <w:sz w:val="56"/>
      <w:szCs w:val="56"/>
    </w:rPr>
  </w:style>
  <w:style w:type="paragraph" w:styleId="Heading1">
    <w:name w:val="Heading 1"/>
    <w:basedOn w:val="Normal"/>
    <w:next w:val="Normal"/>
    <w:qFormat/>
    <w:rPr>
      <w:color w:val="2E74B5"/>
      <w:sz w:val="32"/>
      <w:szCs w:val="32"/>
    </w:rPr>
  </w:style>
  <w:style w:type="paragraph" w:styleId="Heading2">
    <w:name w:val="Heading 2"/>
    <w:basedOn w:val="Normal"/>
    <w:next w:val="Normal"/>
    <w:qFormat/>
    <w:rPr>
      <w:color w:val="2E74B5"/>
      <w:sz w:val="26"/>
      <w:szCs w:val="26"/>
    </w:rPr>
  </w:style>
  <w:style w:type="paragraph" w:styleId="Heading3">
    <w:name w:val="Heading 3"/>
    <w:basedOn w:val="Normal"/>
    <w:next w:val="Normal"/>
    <w:qFormat/>
    <w:rPr>
      <w:color w:val="1F4D78"/>
      <w:sz w:val="24"/>
      <w:szCs w:val="24"/>
    </w:rPr>
  </w:style>
  <w:style w:type="paragraph" w:styleId="Heading4">
    <w:name w:val="Heading 4"/>
    <w:basedOn w:val="Normal"/>
    <w:next w:val="Normal"/>
    <w:qFormat/>
    <w:rPr>
      <w:i/>
      <w:iCs/>
      <w:color w:val="2E74B5"/>
    </w:rPr>
  </w:style>
  <w:style w:type="paragraph" w:styleId="Heading5">
    <w:name w:val="Heading 5"/>
    <w:basedOn w:val="Normal"/>
    <w:next w:val="Normal"/>
    <w:qFormat/>
    <w:rPr>
      <w:color w:val="2E74B5"/>
    </w:rPr>
  </w:style>
  <w:style w:type="paragraph" w:styleId="Heading6">
    <w:name w:val="Heading 6"/>
    <w:basedOn w:val="Normal"/>
    <w:next w:val="Normal"/>
    <w:qFormat/>
    <w:rPr>
      <w:color w:val="1F4D78"/>
    </w:rPr>
  </w:style>
  <w:style w:type="paragraph" w:styleId="Strong">
    <w:name w:val="Strong"/>
    <w:basedOn w:val="Normal"/>
    <w:next w:val="Normal"/>
    <w:qFormat/>
    <w:rPr>
      <w:b/>
      <w:bCs/>
    </w:rPr>
  </w:style>
  <w:style w:type="paragraph" w:styleId="ListParagraph">
    <w:name w:val="List Paragraph"/>
    <w:basedOn w:val="Normal"/>
    <w:qFormat/>
  </w:style>
  <w:style w:type="character" w:styleId="Hyperlink">
    <w:name w:val="Hyperlink"/>
    <w:basedOn w:val="DefaultParagraphFont"/>
    <w:uiPriority w:val="99"/>
    <w:unhideWhenUsed/>
    <w:rPr>
      <w:color w:val="0563C1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styleId="FootnoteTextChar">
    <w:name w:val="Footnote Text Char"/>
    <w:basedOn w:val="DefaultParagraphFont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styleId="EndnoteTextChar">
    <w:name w:val="Endnote Text Char"/>
    <w:basedOn w:val="DefaultParagraphFont"/>
    <w:link w:val="EndnoteText"/>
    <w:uiPriority w:val="99"/>
    <w:semiHidden/>
    <w:unhideWhenUsed/>
    <w:rPr>
      <w:sz w:val="20"/>
      <w:szCs w:val="20"/>
    </w:rPr>
  </w:style>
</w:styles>
</file>

<file path=word/_rels/comments.xml.rels><?xml version="1.0" encoding="UTF-8"?><Relationships xmlns="http://schemas.openxmlformats.org/package/2006/relationships"/>
</file>

<file path=word/_rels/document.xml.rels><?xml version="1.0" encoding="UTF-8"?>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footnotes" Target="footnotes.xml"/><Relationship Id="rId4" Type="http://schemas.openxmlformats.org/officeDocument/2006/relationships/endnotes" Target="endnotes.xml"/><Relationship Id="rId5" Type="http://schemas.openxmlformats.org/officeDocument/2006/relationships/settings" Target="settings.xml"/><Relationship Id="rId6" Type="http://schemas.openxmlformats.org/officeDocument/2006/relationships/comments" Target="comments.xml"/><Relationship Id="rId7" Type="http://schemas.openxmlformats.org/officeDocument/2006/relationships/fontTable" Target="fontTable.xml"/></Relationships>
</file>

<file path=word/_rels/endnotes.xml.rels><?xml version="1.0" encoding="UTF-8"?><Relationships xmlns="http://schemas.openxmlformats.org/package/2006/relationships"/>
</file>

<file path=word/_rels/fontTable.xml.rels><?xml version="1.0" encoding="UTF-8"?><Relationships xmlns="http://schemas.openxmlformats.org/package/2006/relationships"/>
</file>

<file path=word/_rels/footnotes.xml.rels><?xml version="1.0" encoding="UTF-8"?><Relationships xmlns="http://schemas.openxmlformats.org/package/2006/relationships"/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Un-named</cp:lastModifiedBy>
  <cp:revision>1</cp:revision>
  <dcterms:created xsi:type="dcterms:W3CDTF">2026-06-11T12:16:08.743Z</dcterms:created>
  <dcterms:modified xsi:type="dcterms:W3CDTF">2026-06-11T12:16:08.743Z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