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8B56B" w14:textId="62041FFC" w:rsidR="00AF0A44" w:rsidRDefault="0052217E" w:rsidP="0052217E">
      <w:pPr>
        <w:spacing w:line="360" w:lineRule="auto"/>
      </w:pPr>
      <w:r w:rsidRPr="0052217E">
        <w:drawing>
          <wp:anchor distT="0" distB="0" distL="114300" distR="114300" simplePos="0" relativeHeight="251658240" behindDoc="0" locked="0" layoutInCell="1" allowOverlap="1" wp14:anchorId="534C01F4" wp14:editId="477B8681">
            <wp:simplePos x="0" y="0"/>
            <wp:positionH relativeFrom="margin">
              <wp:align>center</wp:align>
            </wp:positionH>
            <wp:positionV relativeFrom="paragraph">
              <wp:posOffset>-847408</wp:posOffset>
            </wp:positionV>
            <wp:extent cx="7296150" cy="10308576"/>
            <wp:effectExtent l="0" t="0" r="0" b="0"/>
            <wp:wrapNone/>
            <wp:docPr id="395292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292895" name=""/>
                    <pic:cNvPicPr/>
                  </pic:nvPicPr>
                  <pic:blipFill>
                    <a:blip r:embed="rId5">
                      <a:extLst>
                        <a:ext uri="{28A0092B-C50C-407E-A947-70E740481C1C}">
                          <a14:useLocalDpi xmlns:a14="http://schemas.microsoft.com/office/drawing/2010/main" val="0"/>
                        </a:ext>
                      </a:extLst>
                    </a:blip>
                    <a:stretch>
                      <a:fillRect/>
                    </a:stretch>
                  </pic:blipFill>
                  <pic:spPr>
                    <a:xfrm>
                      <a:off x="0" y="0"/>
                      <a:ext cx="7296150" cy="10308576"/>
                    </a:xfrm>
                    <a:prstGeom prst="rect">
                      <a:avLst/>
                    </a:prstGeom>
                  </pic:spPr>
                </pic:pic>
              </a:graphicData>
            </a:graphic>
            <wp14:sizeRelH relativeFrom="margin">
              <wp14:pctWidth>0</wp14:pctWidth>
            </wp14:sizeRelH>
            <wp14:sizeRelV relativeFrom="margin">
              <wp14:pctHeight>0</wp14:pctHeight>
            </wp14:sizeRelV>
          </wp:anchor>
        </w:drawing>
      </w:r>
    </w:p>
    <w:p w14:paraId="761E2AFF" w14:textId="77777777" w:rsidR="00993FDE" w:rsidRDefault="00993FDE" w:rsidP="0052217E">
      <w:pPr>
        <w:spacing w:line="360" w:lineRule="auto"/>
      </w:pPr>
    </w:p>
    <w:p w14:paraId="6F57439B" w14:textId="77777777" w:rsidR="00993FDE" w:rsidRDefault="00993FDE" w:rsidP="0052217E">
      <w:pPr>
        <w:spacing w:line="360" w:lineRule="auto"/>
      </w:pPr>
    </w:p>
    <w:p w14:paraId="2B7030E4" w14:textId="77777777" w:rsidR="00993FDE" w:rsidRDefault="00993FDE" w:rsidP="0052217E">
      <w:pPr>
        <w:spacing w:line="360" w:lineRule="auto"/>
      </w:pPr>
    </w:p>
    <w:p w14:paraId="33E2D219" w14:textId="77777777" w:rsidR="00993FDE" w:rsidRDefault="00993FDE" w:rsidP="0052217E">
      <w:pPr>
        <w:spacing w:line="360" w:lineRule="auto"/>
      </w:pPr>
    </w:p>
    <w:p w14:paraId="47CE3F0F" w14:textId="77777777" w:rsidR="00993FDE" w:rsidRDefault="00993FDE" w:rsidP="0052217E">
      <w:pPr>
        <w:spacing w:line="360" w:lineRule="auto"/>
      </w:pPr>
    </w:p>
    <w:p w14:paraId="56011A6E" w14:textId="77777777" w:rsidR="00993FDE" w:rsidRDefault="00993FDE" w:rsidP="0052217E">
      <w:pPr>
        <w:spacing w:line="360" w:lineRule="auto"/>
      </w:pPr>
    </w:p>
    <w:p w14:paraId="0E2A4202" w14:textId="77777777" w:rsidR="00993FDE" w:rsidRDefault="00993FDE" w:rsidP="0052217E">
      <w:pPr>
        <w:spacing w:line="360" w:lineRule="auto"/>
      </w:pPr>
    </w:p>
    <w:p w14:paraId="6D39A89C" w14:textId="77777777" w:rsidR="00993FDE" w:rsidRDefault="00993FDE" w:rsidP="0052217E">
      <w:pPr>
        <w:spacing w:line="360" w:lineRule="auto"/>
      </w:pPr>
    </w:p>
    <w:p w14:paraId="09372806" w14:textId="77777777" w:rsidR="00993FDE" w:rsidRDefault="00993FDE" w:rsidP="0052217E">
      <w:pPr>
        <w:spacing w:line="360" w:lineRule="auto"/>
      </w:pPr>
    </w:p>
    <w:p w14:paraId="3E4A36BC" w14:textId="77777777" w:rsidR="00993FDE" w:rsidRDefault="00993FDE" w:rsidP="0052217E">
      <w:pPr>
        <w:spacing w:line="360" w:lineRule="auto"/>
      </w:pPr>
    </w:p>
    <w:p w14:paraId="08C6A982" w14:textId="77777777" w:rsidR="00993FDE" w:rsidRDefault="00993FDE" w:rsidP="0052217E">
      <w:pPr>
        <w:spacing w:line="360" w:lineRule="auto"/>
      </w:pPr>
    </w:p>
    <w:p w14:paraId="6160DE17" w14:textId="77777777" w:rsidR="00993FDE" w:rsidRDefault="00993FDE" w:rsidP="0052217E">
      <w:pPr>
        <w:spacing w:line="360" w:lineRule="auto"/>
      </w:pPr>
    </w:p>
    <w:p w14:paraId="761C9B41" w14:textId="77777777" w:rsidR="00993FDE" w:rsidRDefault="00993FDE" w:rsidP="0052217E">
      <w:pPr>
        <w:spacing w:line="360" w:lineRule="auto"/>
      </w:pPr>
    </w:p>
    <w:p w14:paraId="535B947F" w14:textId="77777777" w:rsidR="00993FDE" w:rsidRDefault="00993FDE" w:rsidP="0052217E">
      <w:pPr>
        <w:spacing w:line="360" w:lineRule="auto"/>
      </w:pPr>
    </w:p>
    <w:p w14:paraId="2C60D91B" w14:textId="77777777" w:rsidR="00993FDE" w:rsidRDefault="00993FDE" w:rsidP="0052217E">
      <w:pPr>
        <w:spacing w:line="360" w:lineRule="auto"/>
      </w:pPr>
    </w:p>
    <w:p w14:paraId="2F9D99F7" w14:textId="77777777" w:rsidR="00993FDE" w:rsidRDefault="00993FDE" w:rsidP="0052217E">
      <w:pPr>
        <w:spacing w:line="360" w:lineRule="auto"/>
      </w:pPr>
    </w:p>
    <w:p w14:paraId="42704E5F" w14:textId="77777777" w:rsidR="00993FDE" w:rsidRDefault="00993FDE" w:rsidP="0052217E">
      <w:pPr>
        <w:spacing w:line="360" w:lineRule="auto"/>
      </w:pPr>
    </w:p>
    <w:p w14:paraId="40573A97" w14:textId="77777777" w:rsidR="00993FDE" w:rsidRDefault="00993FDE" w:rsidP="0052217E">
      <w:pPr>
        <w:spacing w:line="360" w:lineRule="auto"/>
      </w:pPr>
    </w:p>
    <w:p w14:paraId="6AC8E218" w14:textId="77777777" w:rsidR="00993FDE" w:rsidRDefault="00993FDE" w:rsidP="0052217E">
      <w:pPr>
        <w:spacing w:line="360" w:lineRule="auto"/>
      </w:pPr>
    </w:p>
    <w:p w14:paraId="281EFEBB" w14:textId="77777777" w:rsidR="00993FDE" w:rsidRDefault="00993FDE" w:rsidP="0052217E">
      <w:pPr>
        <w:spacing w:line="360" w:lineRule="auto"/>
      </w:pPr>
    </w:p>
    <w:p w14:paraId="68D749B4" w14:textId="77777777" w:rsidR="00993FDE" w:rsidRDefault="00993FDE" w:rsidP="0052217E">
      <w:pPr>
        <w:spacing w:line="360" w:lineRule="auto"/>
      </w:pPr>
    </w:p>
    <w:p w14:paraId="061D04C3" w14:textId="77777777" w:rsidR="00993FDE" w:rsidRDefault="00993FDE" w:rsidP="0052217E">
      <w:pPr>
        <w:spacing w:line="360" w:lineRule="auto"/>
      </w:pPr>
    </w:p>
    <w:sdt>
      <w:sdtPr>
        <w:id w:val="-1402901772"/>
        <w:docPartObj>
          <w:docPartGallery w:val="Table of Contents"/>
          <w:docPartUnique/>
        </w:docPartObj>
      </w:sdtPr>
      <w:sdtEndPr>
        <w:rPr>
          <w:rFonts w:ascii="Times New Roman" w:eastAsiaTheme="minorHAnsi" w:hAnsi="Times New Roman" w:cstheme="minorBidi"/>
          <w:b/>
          <w:bCs/>
          <w:noProof/>
          <w:color w:val="auto"/>
          <w:kern w:val="2"/>
          <w:sz w:val="24"/>
          <w:szCs w:val="24"/>
          <w14:ligatures w14:val="standardContextual"/>
        </w:rPr>
      </w:sdtEndPr>
      <w:sdtContent>
        <w:p w14:paraId="161CF710" w14:textId="7ED8C475" w:rsidR="0052217E" w:rsidRPr="0052217E" w:rsidRDefault="0052217E" w:rsidP="0052217E">
          <w:pPr>
            <w:pStyle w:val="TOCHeading"/>
            <w:spacing w:line="360" w:lineRule="auto"/>
            <w:jc w:val="center"/>
            <w:rPr>
              <w:rFonts w:ascii="Times New Roman" w:hAnsi="Times New Roman" w:cs="Times New Roman"/>
              <w:b/>
              <w:bCs/>
              <w:color w:val="auto"/>
            </w:rPr>
          </w:pPr>
          <w:r w:rsidRPr="0052217E">
            <w:rPr>
              <w:rFonts w:ascii="Times New Roman" w:hAnsi="Times New Roman" w:cs="Times New Roman"/>
              <w:b/>
              <w:bCs/>
              <w:color w:val="auto"/>
            </w:rPr>
            <w:t>Table of Contents</w:t>
          </w:r>
        </w:p>
        <w:p w14:paraId="0B1EB292" w14:textId="6708878D" w:rsidR="0052217E" w:rsidRDefault="0052217E" w:rsidP="0052217E">
          <w:pPr>
            <w:pStyle w:val="TOC1"/>
            <w:rPr>
              <w:rFonts w:asciiTheme="minorHAnsi" w:eastAsiaTheme="minorEastAsia" w:hAnsiTheme="minorHAnsi"/>
              <w:noProof/>
            </w:rPr>
          </w:pPr>
          <w:r>
            <w:fldChar w:fldCharType="begin"/>
          </w:r>
          <w:r>
            <w:instrText xml:space="preserve"> TOC \o "1-3" \h \z \u </w:instrText>
          </w:r>
          <w:r>
            <w:fldChar w:fldCharType="separate"/>
          </w:r>
          <w:hyperlink w:anchor="_Toc243534589" w:history="1">
            <w:r w:rsidRPr="00362D8D">
              <w:rPr>
                <w:rStyle w:val="Hyperlink"/>
                <w:noProof/>
              </w:rPr>
              <w:t>Task 1: Marketing Environment Analysis</w:t>
            </w:r>
            <w:r>
              <w:rPr>
                <w:noProof/>
                <w:webHidden/>
              </w:rPr>
              <w:tab/>
            </w:r>
            <w:r>
              <w:rPr>
                <w:noProof/>
                <w:webHidden/>
              </w:rPr>
              <w:fldChar w:fldCharType="begin"/>
            </w:r>
            <w:r>
              <w:rPr>
                <w:noProof/>
                <w:webHidden/>
              </w:rPr>
              <w:instrText xml:space="preserve"> PAGEREF _Toc243534589 \h </w:instrText>
            </w:r>
            <w:r>
              <w:rPr>
                <w:noProof/>
                <w:webHidden/>
              </w:rPr>
            </w:r>
            <w:r>
              <w:rPr>
                <w:noProof/>
                <w:webHidden/>
              </w:rPr>
              <w:fldChar w:fldCharType="separate"/>
            </w:r>
            <w:r>
              <w:rPr>
                <w:noProof/>
                <w:webHidden/>
              </w:rPr>
              <w:t>4</w:t>
            </w:r>
            <w:r>
              <w:rPr>
                <w:noProof/>
                <w:webHidden/>
              </w:rPr>
              <w:fldChar w:fldCharType="end"/>
            </w:r>
          </w:hyperlink>
        </w:p>
        <w:p w14:paraId="33B5397F" w14:textId="6C5F8179" w:rsidR="0052217E" w:rsidRDefault="0052217E">
          <w:pPr>
            <w:pStyle w:val="TOC2"/>
            <w:tabs>
              <w:tab w:val="right" w:leader="dot" w:pos="9350"/>
            </w:tabs>
            <w:rPr>
              <w:rFonts w:asciiTheme="minorHAnsi" w:eastAsiaTheme="minorEastAsia" w:hAnsiTheme="minorHAnsi"/>
              <w:noProof/>
            </w:rPr>
          </w:pPr>
          <w:hyperlink w:anchor="_Toc243534590" w:history="1">
            <w:r w:rsidRPr="00362D8D">
              <w:rPr>
                <w:rStyle w:val="Hyperlink"/>
                <w:noProof/>
              </w:rPr>
              <w:t>1.1 Introduction and Company Context</w:t>
            </w:r>
            <w:r>
              <w:rPr>
                <w:noProof/>
                <w:webHidden/>
              </w:rPr>
              <w:tab/>
            </w:r>
            <w:r>
              <w:rPr>
                <w:noProof/>
                <w:webHidden/>
              </w:rPr>
              <w:fldChar w:fldCharType="begin"/>
            </w:r>
            <w:r>
              <w:rPr>
                <w:noProof/>
                <w:webHidden/>
              </w:rPr>
              <w:instrText xml:space="preserve"> PAGEREF _Toc243534590 \h </w:instrText>
            </w:r>
            <w:r>
              <w:rPr>
                <w:noProof/>
                <w:webHidden/>
              </w:rPr>
            </w:r>
            <w:r>
              <w:rPr>
                <w:noProof/>
                <w:webHidden/>
              </w:rPr>
              <w:fldChar w:fldCharType="separate"/>
            </w:r>
            <w:r>
              <w:rPr>
                <w:noProof/>
                <w:webHidden/>
              </w:rPr>
              <w:t>4</w:t>
            </w:r>
            <w:r>
              <w:rPr>
                <w:noProof/>
                <w:webHidden/>
              </w:rPr>
              <w:fldChar w:fldCharType="end"/>
            </w:r>
          </w:hyperlink>
        </w:p>
        <w:p w14:paraId="4A6B884A" w14:textId="6AB09032" w:rsidR="0052217E" w:rsidRDefault="0052217E">
          <w:pPr>
            <w:pStyle w:val="TOC2"/>
            <w:tabs>
              <w:tab w:val="right" w:leader="dot" w:pos="9350"/>
            </w:tabs>
            <w:rPr>
              <w:rFonts w:asciiTheme="minorHAnsi" w:eastAsiaTheme="minorEastAsia" w:hAnsiTheme="minorHAnsi"/>
              <w:noProof/>
            </w:rPr>
          </w:pPr>
          <w:hyperlink w:anchor="_Toc243534591" w:history="1">
            <w:r w:rsidRPr="00362D8D">
              <w:rPr>
                <w:rStyle w:val="Hyperlink"/>
                <w:noProof/>
              </w:rPr>
              <w:t>1.2 Natural Environment: Climate Change, Resource Scarcity and Decarbonization</w:t>
            </w:r>
            <w:r>
              <w:rPr>
                <w:noProof/>
                <w:webHidden/>
              </w:rPr>
              <w:tab/>
            </w:r>
            <w:r>
              <w:rPr>
                <w:noProof/>
                <w:webHidden/>
              </w:rPr>
              <w:fldChar w:fldCharType="begin"/>
            </w:r>
            <w:r>
              <w:rPr>
                <w:noProof/>
                <w:webHidden/>
              </w:rPr>
              <w:instrText xml:space="preserve"> PAGEREF _Toc243534591 \h </w:instrText>
            </w:r>
            <w:r>
              <w:rPr>
                <w:noProof/>
                <w:webHidden/>
              </w:rPr>
            </w:r>
            <w:r>
              <w:rPr>
                <w:noProof/>
                <w:webHidden/>
              </w:rPr>
              <w:fldChar w:fldCharType="separate"/>
            </w:r>
            <w:r>
              <w:rPr>
                <w:noProof/>
                <w:webHidden/>
              </w:rPr>
              <w:t>4</w:t>
            </w:r>
            <w:r>
              <w:rPr>
                <w:noProof/>
                <w:webHidden/>
              </w:rPr>
              <w:fldChar w:fldCharType="end"/>
            </w:r>
          </w:hyperlink>
        </w:p>
        <w:p w14:paraId="1A585FD8" w14:textId="09F86BEC" w:rsidR="0052217E" w:rsidRDefault="0052217E">
          <w:pPr>
            <w:pStyle w:val="TOC3"/>
            <w:tabs>
              <w:tab w:val="right" w:leader="dot" w:pos="9350"/>
            </w:tabs>
            <w:rPr>
              <w:rFonts w:asciiTheme="minorHAnsi" w:eastAsiaTheme="minorEastAsia" w:hAnsiTheme="minorHAnsi"/>
              <w:noProof/>
            </w:rPr>
          </w:pPr>
          <w:hyperlink w:anchor="_Toc243534592" w:history="1">
            <w:r w:rsidRPr="00362D8D">
              <w:rPr>
                <w:rStyle w:val="Hyperlink"/>
                <w:noProof/>
              </w:rPr>
              <w:t>1.2.1 Climate Change and Carbon Emissions</w:t>
            </w:r>
            <w:r>
              <w:rPr>
                <w:noProof/>
                <w:webHidden/>
              </w:rPr>
              <w:tab/>
            </w:r>
            <w:r>
              <w:rPr>
                <w:noProof/>
                <w:webHidden/>
              </w:rPr>
              <w:fldChar w:fldCharType="begin"/>
            </w:r>
            <w:r>
              <w:rPr>
                <w:noProof/>
                <w:webHidden/>
              </w:rPr>
              <w:instrText xml:space="preserve"> PAGEREF _Toc243534592 \h </w:instrText>
            </w:r>
            <w:r>
              <w:rPr>
                <w:noProof/>
                <w:webHidden/>
              </w:rPr>
            </w:r>
            <w:r>
              <w:rPr>
                <w:noProof/>
                <w:webHidden/>
              </w:rPr>
              <w:fldChar w:fldCharType="separate"/>
            </w:r>
            <w:r>
              <w:rPr>
                <w:noProof/>
                <w:webHidden/>
              </w:rPr>
              <w:t>4</w:t>
            </w:r>
            <w:r>
              <w:rPr>
                <w:noProof/>
                <w:webHidden/>
              </w:rPr>
              <w:fldChar w:fldCharType="end"/>
            </w:r>
          </w:hyperlink>
        </w:p>
        <w:p w14:paraId="4B619698" w14:textId="2C5E8D56" w:rsidR="0052217E" w:rsidRDefault="0052217E">
          <w:pPr>
            <w:pStyle w:val="TOC3"/>
            <w:tabs>
              <w:tab w:val="right" w:leader="dot" w:pos="9350"/>
            </w:tabs>
            <w:rPr>
              <w:rFonts w:asciiTheme="minorHAnsi" w:eastAsiaTheme="minorEastAsia" w:hAnsiTheme="minorHAnsi"/>
              <w:noProof/>
            </w:rPr>
          </w:pPr>
          <w:hyperlink w:anchor="_Toc243534593" w:history="1">
            <w:r w:rsidRPr="00362D8D">
              <w:rPr>
                <w:rStyle w:val="Hyperlink"/>
                <w:noProof/>
              </w:rPr>
              <w:t>1.2.2 Resource Scarcity and Circular Economy</w:t>
            </w:r>
            <w:r>
              <w:rPr>
                <w:noProof/>
                <w:webHidden/>
              </w:rPr>
              <w:tab/>
            </w:r>
            <w:r>
              <w:rPr>
                <w:noProof/>
                <w:webHidden/>
              </w:rPr>
              <w:fldChar w:fldCharType="begin"/>
            </w:r>
            <w:r>
              <w:rPr>
                <w:noProof/>
                <w:webHidden/>
              </w:rPr>
              <w:instrText xml:space="preserve"> PAGEREF _Toc243534593 \h </w:instrText>
            </w:r>
            <w:r>
              <w:rPr>
                <w:noProof/>
                <w:webHidden/>
              </w:rPr>
            </w:r>
            <w:r>
              <w:rPr>
                <w:noProof/>
                <w:webHidden/>
              </w:rPr>
              <w:fldChar w:fldCharType="separate"/>
            </w:r>
            <w:r>
              <w:rPr>
                <w:noProof/>
                <w:webHidden/>
              </w:rPr>
              <w:t>5</w:t>
            </w:r>
            <w:r>
              <w:rPr>
                <w:noProof/>
                <w:webHidden/>
              </w:rPr>
              <w:fldChar w:fldCharType="end"/>
            </w:r>
          </w:hyperlink>
        </w:p>
        <w:p w14:paraId="79DB16BD" w14:textId="1AB98D3B" w:rsidR="0052217E" w:rsidRDefault="0052217E">
          <w:pPr>
            <w:pStyle w:val="TOC3"/>
            <w:tabs>
              <w:tab w:val="right" w:leader="dot" w:pos="9350"/>
            </w:tabs>
            <w:rPr>
              <w:rFonts w:asciiTheme="minorHAnsi" w:eastAsiaTheme="minorEastAsia" w:hAnsiTheme="minorHAnsi"/>
              <w:noProof/>
            </w:rPr>
          </w:pPr>
          <w:hyperlink w:anchor="_Toc243534594" w:history="1">
            <w:r w:rsidRPr="00362D8D">
              <w:rPr>
                <w:rStyle w:val="Hyperlink"/>
                <w:noProof/>
              </w:rPr>
              <w:t>1.2.3 EAF Technology and Environmental Trade-offs</w:t>
            </w:r>
            <w:r>
              <w:rPr>
                <w:noProof/>
                <w:webHidden/>
              </w:rPr>
              <w:tab/>
            </w:r>
            <w:r>
              <w:rPr>
                <w:noProof/>
                <w:webHidden/>
              </w:rPr>
              <w:fldChar w:fldCharType="begin"/>
            </w:r>
            <w:r>
              <w:rPr>
                <w:noProof/>
                <w:webHidden/>
              </w:rPr>
              <w:instrText xml:space="preserve"> PAGEREF _Toc243534594 \h </w:instrText>
            </w:r>
            <w:r>
              <w:rPr>
                <w:noProof/>
                <w:webHidden/>
              </w:rPr>
            </w:r>
            <w:r>
              <w:rPr>
                <w:noProof/>
                <w:webHidden/>
              </w:rPr>
              <w:fldChar w:fldCharType="separate"/>
            </w:r>
            <w:r>
              <w:rPr>
                <w:noProof/>
                <w:webHidden/>
              </w:rPr>
              <w:t>6</w:t>
            </w:r>
            <w:r>
              <w:rPr>
                <w:noProof/>
                <w:webHidden/>
              </w:rPr>
              <w:fldChar w:fldCharType="end"/>
            </w:r>
          </w:hyperlink>
        </w:p>
        <w:p w14:paraId="65044279" w14:textId="4F7B7C7F" w:rsidR="0052217E" w:rsidRDefault="0052217E">
          <w:pPr>
            <w:pStyle w:val="TOC2"/>
            <w:tabs>
              <w:tab w:val="right" w:leader="dot" w:pos="9350"/>
            </w:tabs>
            <w:rPr>
              <w:rFonts w:asciiTheme="minorHAnsi" w:eastAsiaTheme="minorEastAsia" w:hAnsiTheme="minorHAnsi"/>
              <w:noProof/>
            </w:rPr>
          </w:pPr>
          <w:hyperlink w:anchor="_Toc243534595" w:history="1">
            <w:r w:rsidRPr="00362D8D">
              <w:rPr>
                <w:rStyle w:val="Hyperlink"/>
                <w:noProof/>
              </w:rPr>
              <w:t>1.3 Political and Regulatory Environment</w:t>
            </w:r>
            <w:r>
              <w:rPr>
                <w:noProof/>
                <w:webHidden/>
              </w:rPr>
              <w:tab/>
            </w:r>
            <w:r>
              <w:rPr>
                <w:noProof/>
                <w:webHidden/>
              </w:rPr>
              <w:fldChar w:fldCharType="begin"/>
            </w:r>
            <w:r>
              <w:rPr>
                <w:noProof/>
                <w:webHidden/>
              </w:rPr>
              <w:instrText xml:space="preserve"> PAGEREF _Toc243534595 \h </w:instrText>
            </w:r>
            <w:r>
              <w:rPr>
                <w:noProof/>
                <w:webHidden/>
              </w:rPr>
            </w:r>
            <w:r>
              <w:rPr>
                <w:noProof/>
                <w:webHidden/>
              </w:rPr>
              <w:fldChar w:fldCharType="separate"/>
            </w:r>
            <w:r>
              <w:rPr>
                <w:noProof/>
                <w:webHidden/>
              </w:rPr>
              <w:t>7</w:t>
            </w:r>
            <w:r>
              <w:rPr>
                <w:noProof/>
                <w:webHidden/>
              </w:rPr>
              <w:fldChar w:fldCharType="end"/>
            </w:r>
          </w:hyperlink>
        </w:p>
        <w:p w14:paraId="6F7718DC" w14:textId="4B36D8C1" w:rsidR="0052217E" w:rsidRDefault="0052217E">
          <w:pPr>
            <w:pStyle w:val="TOC2"/>
            <w:tabs>
              <w:tab w:val="right" w:leader="dot" w:pos="9350"/>
            </w:tabs>
            <w:rPr>
              <w:rFonts w:asciiTheme="minorHAnsi" w:eastAsiaTheme="minorEastAsia" w:hAnsiTheme="minorHAnsi"/>
              <w:noProof/>
            </w:rPr>
          </w:pPr>
          <w:hyperlink w:anchor="_Toc243534596" w:history="1">
            <w:r w:rsidRPr="00362D8D">
              <w:rPr>
                <w:rStyle w:val="Hyperlink"/>
                <w:noProof/>
              </w:rPr>
              <w:t>1.4 Industrial Customers and Changing Market Expectations</w:t>
            </w:r>
            <w:r>
              <w:rPr>
                <w:noProof/>
                <w:webHidden/>
              </w:rPr>
              <w:tab/>
            </w:r>
            <w:r>
              <w:rPr>
                <w:noProof/>
                <w:webHidden/>
              </w:rPr>
              <w:fldChar w:fldCharType="begin"/>
            </w:r>
            <w:r>
              <w:rPr>
                <w:noProof/>
                <w:webHidden/>
              </w:rPr>
              <w:instrText xml:space="preserve"> PAGEREF _Toc243534596 \h </w:instrText>
            </w:r>
            <w:r>
              <w:rPr>
                <w:noProof/>
                <w:webHidden/>
              </w:rPr>
            </w:r>
            <w:r>
              <w:rPr>
                <w:noProof/>
                <w:webHidden/>
              </w:rPr>
              <w:fldChar w:fldCharType="separate"/>
            </w:r>
            <w:r>
              <w:rPr>
                <w:noProof/>
                <w:webHidden/>
              </w:rPr>
              <w:t>7</w:t>
            </w:r>
            <w:r>
              <w:rPr>
                <w:noProof/>
                <w:webHidden/>
              </w:rPr>
              <w:fldChar w:fldCharType="end"/>
            </w:r>
          </w:hyperlink>
        </w:p>
        <w:p w14:paraId="4701A842" w14:textId="6100E15A" w:rsidR="0052217E" w:rsidRDefault="0052217E">
          <w:pPr>
            <w:pStyle w:val="TOC2"/>
            <w:tabs>
              <w:tab w:val="right" w:leader="dot" w:pos="9350"/>
            </w:tabs>
            <w:rPr>
              <w:rFonts w:asciiTheme="minorHAnsi" w:eastAsiaTheme="minorEastAsia" w:hAnsiTheme="minorHAnsi"/>
              <w:noProof/>
            </w:rPr>
          </w:pPr>
          <w:hyperlink w:anchor="_Toc243534597" w:history="1">
            <w:r w:rsidRPr="00362D8D">
              <w:rPr>
                <w:rStyle w:val="Hyperlink"/>
                <w:noProof/>
              </w:rPr>
              <w:t>1.5 Critical Synthesis of External Opportunities and Threats</w:t>
            </w:r>
            <w:r>
              <w:rPr>
                <w:noProof/>
                <w:webHidden/>
              </w:rPr>
              <w:tab/>
            </w:r>
            <w:r>
              <w:rPr>
                <w:noProof/>
                <w:webHidden/>
              </w:rPr>
              <w:fldChar w:fldCharType="begin"/>
            </w:r>
            <w:r>
              <w:rPr>
                <w:noProof/>
                <w:webHidden/>
              </w:rPr>
              <w:instrText xml:space="preserve"> PAGEREF _Toc243534597 \h </w:instrText>
            </w:r>
            <w:r>
              <w:rPr>
                <w:noProof/>
                <w:webHidden/>
              </w:rPr>
            </w:r>
            <w:r>
              <w:rPr>
                <w:noProof/>
                <w:webHidden/>
              </w:rPr>
              <w:fldChar w:fldCharType="separate"/>
            </w:r>
            <w:r>
              <w:rPr>
                <w:noProof/>
                <w:webHidden/>
              </w:rPr>
              <w:t>8</w:t>
            </w:r>
            <w:r>
              <w:rPr>
                <w:noProof/>
                <w:webHidden/>
              </w:rPr>
              <w:fldChar w:fldCharType="end"/>
            </w:r>
          </w:hyperlink>
        </w:p>
        <w:p w14:paraId="25A0BB07" w14:textId="0F6330FB" w:rsidR="0052217E" w:rsidRDefault="0052217E" w:rsidP="0052217E">
          <w:pPr>
            <w:pStyle w:val="TOC1"/>
            <w:rPr>
              <w:rFonts w:asciiTheme="minorHAnsi" w:eastAsiaTheme="minorEastAsia" w:hAnsiTheme="minorHAnsi"/>
              <w:noProof/>
            </w:rPr>
          </w:pPr>
          <w:hyperlink w:anchor="_Toc243534598" w:history="1">
            <w:r w:rsidRPr="00362D8D">
              <w:rPr>
                <w:rStyle w:val="Hyperlink"/>
                <w:noProof/>
              </w:rPr>
              <w:t>Task 2: Strategic Growth and Competitive Positioning</w:t>
            </w:r>
            <w:r>
              <w:rPr>
                <w:noProof/>
                <w:webHidden/>
              </w:rPr>
              <w:tab/>
            </w:r>
            <w:r>
              <w:rPr>
                <w:noProof/>
                <w:webHidden/>
              </w:rPr>
              <w:fldChar w:fldCharType="begin"/>
            </w:r>
            <w:r>
              <w:rPr>
                <w:noProof/>
                <w:webHidden/>
              </w:rPr>
              <w:instrText xml:space="preserve"> PAGEREF _Toc243534598 \h </w:instrText>
            </w:r>
            <w:r>
              <w:rPr>
                <w:noProof/>
                <w:webHidden/>
              </w:rPr>
            </w:r>
            <w:r>
              <w:rPr>
                <w:noProof/>
                <w:webHidden/>
              </w:rPr>
              <w:fldChar w:fldCharType="separate"/>
            </w:r>
            <w:r>
              <w:rPr>
                <w:noProof/>
                <w:webHidden/>
              </w:rPr>
              <w:t>9</w:t>
            </w:r>
            <w:r>
              <w:rPr>
                <w:noProof/>
                <w:webHidden/>
              </w:rPr>
              <w:fldChar w:fldCharType="end"/>
            </w:r>
          </w:hyperlink>
        </w:p>
        <w:p w14:paraId="2233C739" w14:textId="16DF7F91" w:rsidR="0052217E" w:rsidRDefault="0052217E">
          <w:pPr>
            <w:pStyle w:val="TOC2"/>
            <w:tabs>
              <w:tab w:val="right" w:leader="dot" w:pos="9350"/>
            </w:tabs>
            <w:rPr>
              <w:rFonts w:asciiTheme="minorHAnsi" w:eastAsiaTheme="minorEastAsia" w:hAnsiTheme="minorHAnsi"/>
              <w:noProof/>
            </w:rPr>
          </w:pPr>
          <w:hyperlink w:anchor="_Toc243534599" w:history="1">
            <w:r w:rsidRPr="00362D8D">
              <w:rPr>
                <w:rStyle w:val="Hyperlink"/>
                <w:noProof/>
              </w:rPr>
              <w:t>2.1 Evaluation of Strategic Growth Alternatives Using Ansoff's Matrix</w:t>
            </w:r>
            <w:r>
              <w:rPr>
                <w:noProof/>
                <w:webHidden/>
              </w:rPr>
              <w:tab/>
            </w:r>
            <w:r>
              <w:rPr>
                <w:noProof/>
                <w:webHidden/>
              </w:rPr>
              <w:fldChar w:fldCharType="begin"/>
            </w:r>
            <w:r>
              <w:rPr>
                <w:noProof/>
                <w:webHidden/>
              </w:rPr>
              <w:instrText xml:space="preserve"> PAGEREF _Toc243534599 \h </w:instrText>
            </w:r>
            <w:r>
              <w:rPr>
                <w:noProof/>
                <w:webHidden/>
              </w:rPr>
            </w:r>
            <w:r>
              <w:rPr>
                <w:noProof/>
                <w:webHidden/>
              </w:rPr>
              <w:fldChar w:fldCharType="separate"/>
            </w:r>
            <w:r>
              <w:rPr>
                <w:noProof/>
                <w:webHidden/>
              </w:rPr>
              <w:t>9</w:t>
            </w:r>
            <w:r>
              <w:rPr>
                <w:noProof/>
                <w:webHidden/>
              </w:rPr>
              <w:fldChar w:fldCharType="end"/>
            </w:r>
          </w:hyperlink>
        </w:p>
        <w:p w14:paraId="376E9AB8" w14:textId="4934E1B4" w:rsidR="0052217E" w:rsidRDefault="0052217E">
          <w:pPr>
            <w:pStyle w:val="TOC2"/>
            <w:tabs>
              <w:tab w:val="right" w:leader="dot" w:pos="9350"/>
            </w:tabs>
            <w:rPr>
              <w:rFonts w:asciiTheme="minorHAnsi" w:eastAsiaTheme="minorEastAsia" w:hAnsiTheme="minorHAnsi"/>
              <w:noProof/>
            </w:rPr>
          </w:pPr>
          <w:hyperlink w:anchor="_Toc243534600" w:history="1">
            <w:r w:rsidRPr="00362D8D">
              <w:rPr>
                <w:rStyle w:val="Hyperlink"/>
                <w:noProof/>
              </w:rPr>
              <w:t>2.2 Recommended Product Development Strategy</w:t>
            </w:r>
            <w:r>
              <w:rPr>
                <w:noProof/>
                <w:webHidden/>
              </w:rPr>
              <w:tab/>
            </w:r>
            <w:r>
              <w:rPr>
                <w:noProof/>
                <w:webHidden/>
              </w:rPr>
              <w:fldChar w:fldCharType="begin"/>
            </w:r>
            <w:r>
              <w:rPr>
                <w:noProof/>
                <w:webHidden/>
              </w:rPr>
              <w:instrText xml:space="preserve"> PAGEREF _Toc243534600 \h </w:instrText>
            </w:r>
            <w:r>
              <w:rPr>
                <w:noProof/>
                <w:webHidden/>
              </w:rPr>
            </w:r>
            <w:r>
              <w:rPr>
                <w:noProof/>
                <w:webHidden/>
              </w:rPr>
              <w:fldChar w:fldCharType="separate"/>
            </w:r>
            <w:r>
              <w:rPr>
                <w:noProof/>
                <w:webHidden/>
              </w:rPr>
              <w:t>10</w:t>
            </w:r>
            <w:r>
              <w:rPr>
                <w:noProof/>
                <w:webHidden/>
              </w:rPr>
              <w:fldChar w:fldCharType="end"/>
            </w:r>
          </w:hyperlink>
        </w:p>
        <w:p w14:paraId="2932437C" w14:textId="45923854" w:rsidR="0052217E" w:rsidRDefault="0052217E">
          <w:pPr>
            <w:pStyle w:val="TOC2"/>
            <w:tabs>
              <w:tab w:val="right" w:leader="dot" w:pos="9350"/>
            </w:tabs>
            <w:rPr>
              <w:rFonts w:asciiTheme="minorHAnsi" w:eastAsiaTheme="minorEastAsia" w:hAnsiTheme="minorHAnsi"/>
              <w:noProof/>
            </w:rPr>
          </w:pPr>
          <w:hyperlink w:anchor="_Toc243534601" w:history="1">
            <w:r w:rsidRPr="00362D8D">
              <w:rPr>
                <w:rStyle w:val="Hyperlink"/>
                <w:noProof/>
              </w:rPr>
              <w:t>2.3 Competitive Advantage Through Porter's Generic Strategies</w:t>
            </w:r>
            <w:r>
              <w:rPr>
                <w:noProof/>
                <w:webHidden/>
              </w:rPr>
              <w:tab/>
            </w:r>
            <w:r>
              <w:rPr>
                <w:noProof/>
                <w:webHidden/>
              </w:rPr>
              <w:fldChar w:fldCharType="begin"/>
            </w:r>
            <w:r>
              <w:rPr>
                <w:noProof/>
                <w:webHidden/>
              </w:rPr>
              <w:instrText xml:space="preserve"> PAGEREF _Toc243534601 \h </w:instrText>
            </w:r>
            <w:r>
              <w:rPr>
                <w:noProof/>
                <w:webHidden/>
              </w:rPr>
            </w:r>
            <w:r>
              <w:rPr>
                <w:noProof/>
                <w:webHidden/>
              </w:rPr>
              <w:fldChar w:fldCharType="separate"/>
            </w:r>
            <w:r>
              <w:rPr>
                <w:noProof/>
                <w:webHidden/>
              </w:rPr>
              <w:t>10</w:t>
            </w:r>
            <w:r>
              <w:rPr>
                <w:noProof/>
                <w:webHidden/>
              </w:rPr>
              <w:fldChar w:fldCharType="end"/>
            </w:r>
          </w:hyperlink>
        </w:p>
        <w:p w14:paraId="0853C032" w14:textId="171805F9" w:rsidR="0052217E" w:rsidRDefault="0052217E">
          <w:pPr>
            <w:pStyle w:val="TOC2"/>
            <w:tabs>
              <w:tab w:val="right" w:leader="dot" w:pos="9350"/>
            </w:tabs>
            <w:rPr>
              <w:rFonts w:asciiTheme="minorHAnsi" w:eastAsiaTheme="minorEastAsia" w:hAnsiTheme="minorHAnsi"/>
              <w:noProof/>
            </w:rPr>
          </w:pPr>
          <w:hyperlink w:anchor="_Toc243534602" w:history="1">
            <w:r w:rsidRPr="00362D8D">
              <w:rPr>
                <w:rStyle w:val="Hyperlink"/>
                <w:noProof/>
              </w:rPr>
              <w:t>2.4 Strategic Implementation, Risks and Performance Measurement</w:t>
            </w:r>
            <w:r>
              <w:rPr>
                <w:noProof/>
                <w:webHidden/>
              </w:rPr>
              <w:tab/>
            </w:r>
            <w:r>
              <w:rPr>
                <w:noProof/>
                <w:webHidden/>
              </w:rPr>
              <w:fldChar w:fldCharType="begin"/>
            </w:r>
            <w:r>
              <w:rPr>
                <w:noProof/>
                <w:webHidden/>
              </w:rPr>
              <w:instrText xml:space="preserve"> PAGEREF _Toc243534602 \h </w:instrText>
            </w:r>
            <w:r>
              <w:rPr>
                <w:noProof/>
                <w:webHidden/>
              </w:rPr>
            </w:r>
            <w:r>
              <w:rPr>
                <w:noProof/>
                <w:webHidden/>
              </w:rPr>
              <w:fldChar w:fldCharType="separate"/>
            </w:r>
            <w:r>
              <w:rPr>
                <w:noProof/>
                <w:webHidden/>
              </w:rPr>
              <w:t>11</w:t>
            </w:r>
            <w:r>
              <w:rPr>
                <w:noProof/>
                <w:webHidden/>
              </w:rPr>
              <w:fldChar w:fldCharType="end"/>
            </w:r>
          </w:hyperlink>
        </w:p>
        <w:p w14:paraId="1000F0F8" w14:textId="01D36112" w:rsidR="0052217E" w:rsidRDefault="0052217E" w:rsidP="0052217E">
          <w:pPr>
            <w:pStyle w:val="TOC1"/>
            <w:rPr>
              <w:rFonts w:asciiTheme="minorHAnsi" w:eastAsiaTheme="minorEastAsia" w:hAnsiTheme="minorHAnsi"/>
              <w:noProof/>
            </w:rPr>
          </w:pPr>
          <w:hyperlink w:anchor="_Toc243534603" w:history="1">
            <w:r w:rsidRPr="00362D8D">
              <w:rPr>
                <w:rStyle w:val="Hyperlink"/>
                <w:noProof/>
              </w:rPr>
              <w:t>Task 3: Managerial and Professional Reflection</w:t>
            </w:r>
            <w:r>
              <w:rPr>
                <w:noProof/>
                <w:webHidden/>
              </w:rPr>
              <w:tab/>
            </w:r>
            <w:r>
              <w:rPr>
                <w:noProof/>
                <w:webHidden/>
              </w:rPr>
              <w:fldChar w:fldCharType="begin"/>
            </w:r>
            <w:r>
              <w:rPr>
                <w:noProof/>
                <w:webHidden/>
              </w:rPr>
              <w:instrText xml:space="preserve"> PAGEREF _Toc243534603 \h </w:instrText>
            </w:r>
            <w:r>
              <w:rPr>
                <w:noProof/>
                <w:webHidden/>
              </w:rPr>
            </w:r>
            <w:r>
              <w:rPr>
                <w:noProof/>
                <w:webHidden/>
              </w:rPr>
              <w:fldChar w:fldCharType="separate"/>
            </w:r>
            <w:r>
              <w:rPr>
                <w:noProof/>
                <w:webHidden/>
              </w:rPr>
              <w:t>11</w:t>
            </w:r>
            <w:r>
              <w:rPr>
                <w:noProof/>
                <w:webHidden/>
              </w:rPr>
              <w:fldChar w:fldCharType="end"/>
            </w:r>
          </w:hyperlink>
        </w:p>
        <w:p w14:paraId="0F29136B" w14:textId="125B44CA" w:rsidR="0052217E" w:rsidRDefault="0052217E">
          <w:pPr>
            <w:pStyle w:val="TOC2"/>
            <w:tabs>
              <w:tab w:val="right" w:leader="dot" w:pos="9350"/>
            </w:tabs>
            <w:rPr>
              <w:rFonts w:asciiTheme="minorHAnsi" w:eastAsiaTheme="minorEastAsia" w:hAnsiTheme="minorHAnsi"/>
              <w:noProof/>
            </w:rPr>
          </w:pPr>
          <w:hyperlink w:anchor="_Toc243534604" w:history="1">
            <w:r w:rsidRPr="00362D8D">
              <w:rPr>
                <w:rStyle w:val="Hyperlink"/>
                <w:noProof/>
              </w:rPr>
              <w:t>3.1 Reflection on Company and Environmental Actor Selection</w:t>
            </w:r>
            <w:r>
              <w:rPr>
                <w:noProof/>
                <w:webHidden/>
              </w:rPr>
              <w:tab/>
            </w:r>
            <w:r>
              <w:rPr>
                <w:noProof/>
                <w:webHidden/>
              </w:rPr>
              <w:fldChar w:fldCharType="begin"/>
            </w:r>
            <w:r>
              <w:rPr>
                <w:noProof/>
                <w:webHidden/>
              </w:rPr>
              <w:instrText xml:space="preserve"> PAGEREF _Toc243534604 \h </w:instrText>
            </w:r>
            <w:r>
              <w:rPr>
                <w:noProof/>
                <w:webHidden/>
              </w:rPr>
            </w:r>
            <w:r>
              <w:rPr>
                <w:noProof/>
                <w:webHidden/>
              </w:rPr>
              <w:fldChar w:fldCharType="separate"/>
            </w:r>
            <w:r>
              <w:rPr>
                <w:noProof/>
                <w:webHidden/>
              </w:rPr>
              <w:t>11</w:t>
            </w:r>
            <w:r>
              <w:rPr>
                <w:noProof/>
                <w:webHidden/>
              </w:rPr>
              <w:fldChar w:fldCharType="end"/>
            </w:r>
          </w:hyperlink>
        </w:p>
        <w:p w14:paraId="35DAA1A0" w14:textId="63A10CA2" w:rsidR="0052217E" w:rsidRDefault="0052217E">
          <w:pPr>
            <w:pStyle w:val="TOC2"/>
            <w:tabs>
              <w:tab w:val="right" w:leader="dot" w:pos="9350"/>
            </w:tabs>
            <w:rPr>
              <w:rFonts w:asciiTheme="minorHAnsi" w:eastAsiaTheme="minorEastAsia" w:hAnsiTheme="minorHAnsi"/>
              <w:noProof/>
            </w:rPr>
          </w:pPr>
          <w:hyperlink w:anchor="_Toc243534605" w:history="1">
            <w:r w:rsidRPr="00362D8D">
              <w:rPr>
                <w:rStyle w:val="Hyperlink"/>
                <w:noProof/>
              </w:rPr>
              <w:t>3.2 Reflection on Strategic Decisions and Alternative Approaches</w:t>
            </w:r>
            <w:r>
              <w:rPr>
                <w:noProof/>
                <w:webHidden/>
              </w:rPr>
              <w:tab/>
            </w:r>
            <w:r>
              <w:rPr>
                <w:noProof/>
                <w:webHidden/>
              </w:rPr>
              <w:fldChar w:fldCharType="begin"/>
            </w:r>
            <w:r>
              <w:rPr>
                <w:noProof/>
                <w:webHidden/>
              </w:rPr>
              <w:instrText xml:space="preserve"> PAGEREF _Toc243534605 \h </w:instrText>
            </w:r>
            <w:r>
              <w:rPr>
                <w:noProof/>
                <w:webHidden/>
              </w:rPr>
            </w:r>
            <w:r>
              <w:rPr>
                <w:noProof/>
                <w:webHidden/>
              </w:rPr>
              <w:fldChar w:fldCharType="separate"/>
            </w:r>
            <w:r>
              <w:rPr>
                <w:noProof/>
                <w:webHidden/>
              </w:rPr>
              <w:t>12</w:t>
            </w:r>
            <w:r>
              <w:rPr>
                <w:noProof/>
                <w:webHidden/>
              </w:rPr>
              <w:fldChar w:fldCharType="end"/>
            </w:r>
          </w:hyperlink>
        </w:p>
        <w:p w14:paraId="1F7741FB" w14:textId="0F2AF309" w:rsidR="0052217E" w:rsidRDefault="0052217E">
          <w:pPr>
            <w:pStyle w:val="TOC2"/>
            <w:tabs>
              <w:tab w:val="right" w:leader="dot" w:pos="9350"/>
            </w:tabs>
            <w:rPr>
              <w:rFonts w:asciiTheme="minorHAnsi" w:eastAsiaTheme="minorEastAsia" w:hAnsiTheme="minorHAnsi"/>
              <w:noProof/>
            </w:rPr>
          </w:pPr>
          <w:hyperlink w:anchor="_Toc243534606" w:history="1">
            <w:r w:rsidRPr="00362D8D">
              <w:rPr>
                <w:rStyle w:val="Hyperlink"/>
                <w:noProof/>
              </w:rPr>
              <w:t>3.3 Critical Limitations and Further Consultancy Research</w:t>
            </w:r>
            <w:r>
              <w:rPr>
                <w:noProof/>
                <w:webHidden/>
              </w:rPr>
              <w:tab/>
            </w:r>
            <w:r>
              <w:rPr>
                <w:noProof/>
                <w:webHidden/>
              </w:rPr>
              <w:fldChar w:fldCharType="begin"/>
            </w:r>
            <w:r>
              <w:rPr>
                <w:noProof/>
                <w:webHidden/>
              </w:rPr>
              <w:instrText xml:space="preserve"> PAGEREF _Toc243534606 \h </w:instrText>
            </w:r>
            <w:r>
              <w:rPr>
                <w:noProof/>
                <w:webHidden/>
              </w:rPr>
            </w:r>
            <w:r>
              <w:rPr>
                <w:noProof/>
                <w:webHidden/>
              </w:rPr>
              <w:fldChar w:fldCharType="separate"/>
            </w:r>
            <w:r>
              <w:rPr>
                <w:noProof/>
                <w:webHidden/>
              </w:rPr>
              <w:t>12</w:t>
            </w:r>
            <w:r>
              <w:rPr>
                <w:noProof/>
                <w:webHidden/>
              </w:rPr>
              <w:fldChar w:fldCharType="end"/>
            </w:r>
          </w:hyperlink>
        </w:p>
        <w:p w14:paraId="3D2AFF45" w14:textId="6FAFFD9E" w:rsidR="0052217E" w:rsidRDefault="0052217E" w:rsidP="0052217E">
          <w:pPr>
            <w:pStyle w:val="TOC1"/>
            <w:rPr>
              <w:rFonts w:asciiTheme="minorHAnsi" w:eastAsiaTheme="minorEastAsia" w:hAnsiTheme="minorHAnsi"/>
              <w:noProof/>
            </w:rPr>
          </w:pPr>
          <w:hyperlink w:anchor="_Toc243534607" w:history="1">
            <w:r w:rsidRPr="00362D8D">
              <w:rPr>
                <w:rStyle w:val="Hyperlink"/>
                <w:noProof/>
              </w:rPr>
              <w:t>References</w:t>
            </w:r>
            <w:r>
              <w:rPr>
                <w:noProof/>
                <w:webHidden/>
              </w:rPr>
              <w:tab/>
            </w:r>
            <w:r>
              <w:rPr>
                <w:noProof/>
                <w:webHidden/>
              </w:rPr>
              <w:fldChar w:fldCharType="begin"/>
            </w:r>
            <w:r>
              <w:rPr>
                <w:noProof/>
                <w:webHidden/>
              </w:rPr>
              <w:instrText xml:space="preserve"> PAGEREF _Toc243534607 \h </w:instrText>
            </w:r>
            <w:r>
              <w:rPr>
                <w:noProof/>
                <w:webHidden/>
              </w:rPr>
            </w:r>
            <w:r>
              <w:rPr>
                <w:noProof/>
                <w:webHidden/>
              </w:rPr>
              <w:fldChar w:fldCharType="separate"/>
            </w:r>
            <w:r>
              <w:rPr>
                <w:noProof/>
                <w:webHidden/>
              </w:rPr>
              <w:t>14</w:t>
            </w:r>
            <w:r>
              <w:rPr>
                <w:noProof/>
                <w:webHidden/>
              </w:rPr>
              <w:fldChar w:fldCharType="end"/>
            </w:r>
          </w:hyperlink>
        </w:p>
        <w:p w14:paraId="703ECD9E" w14:textId="358FBFAD" w:rsidR="0052217E" w:rsidRDefault="0052217E" w:rsidP="0052217E">
          <w:pPr>
            <w:spacing w:line="360" w:lineRule="auto"/>
          </w:pPr>
          <w:r>
            <w:rPr>
              <w:b/>
              <w:bCs/>
              <w:noProof/>
            </w:rPr>
            <w:fldChar w:fldCharType="end"/>
          </w:r>
        </w:p>
      </w:sdtContent>
    </w:sdt>
    <w:p w14:paraId="66B6197E" w14:textId="77777777" w:rsidR="00993FDE" w:rsidRDefault="00993FDE" w:rsidP="0052217E">
      <w:pPr>
        <w:spacing w:line="360" w:lineRule="auto"/>
      </w:pPr>
    </w:p>
    <w:p w14:paraId="6B8ABE49" w14:textId="77777777" w:rsidR="00993FDE" w:rsidRDefault="00993FDE" w:rsidP="0052217E">
      <w:pPr>
        <w:spacing w:line="360" w:lineRule="auto"/>
      </w:pPr>
    </w:p>
    <w:p w14:paraId="1F4B78FE" w14:textId="77777777" w:rsidR="00993FDE" w:rsidRDefault="00993FDE" w:rsidP="0052217E">
      <w:pPr>
        <w:spacing w:line="360" w:lineRule="auto"/>
      </w:pPr>
    </w:p>
    <w:p w14:paraId="5A3725F6" w14:textId="77777777" w:rsidR="00993FDE" w:rsidRDefault="00993FDE" w:rsidP="0052217E">
      <w:pPr>
        <w:spacing w:line="360" w:lineRule="auto"/>
      </w:pPr>
    </w:p>
    <w:p w14:paraId="0410A940" w14:textId="77777777" w:rsidR="00993FDE" w:rsidRDefault="00993FDE" w:rsidP="0052217E">
      <w:pPr>
        <w:spacing w:line="360" w:lineRule="auto"/>
      </w:pPr>
    </w:p>
    <w:p w14:paraId="55CFC8A9" w14:textId="77777777" w:rsidR="00993FDE" w:rsidRDefault="00993FDE" w:rsidP="0052217E">
      <w:pPr>
        <w:spacing w:line="360" w:lineRule="auto"/>
      </w:pPr>
    </w:p>
    <w:p w14:paraId="526B1C95" w14:textId="77777777" w:rsidR="00993FDE" w:rsidRPr="00993FDE" w:rsidRDefault="00993FDE" w:rsidP="0052217E">
      <w:pPr>
        <w:pStyle w:val="Heading1"/>
        <w:spacing w:line="360" w:lineRule="auto"/>
      </w:pPr>
      <w:bookmarkStart w:id="0" w:name="_Toc243534589"/>
      <w:r w:rsidRPr="00993FDE">
        <w:lastRenderedPageBreak/>
        <w:t>Task 1: Marketing Environment Analysis</w:t>
      </w:r>
      <w:bookmarkEnd w:id="0"/>
    </w:p>
    <w:p w14:paraId="7234705E" w14:textId="77777777" w:rsidR="00993FDE" w:rsidRPr="00993FDE" w:rsidRDefault="00993FDE" w:rsidP="0052217E">
      <w:pPr>
        <w:pStyle w:val="Heading2"/>
        <w:spacing w:line="360" w:lineRule="auto"/>
      </w:pPr>
      <w:bookmarkStart w:id="1" w:name="_Toc243534590"/>
      <w:r w:rsidRPr="00993FDE">
        <w:t>1.1 Introduction and Company Context</w:t>
      </w:r>
      <w:bookmarkEnd w:id="1"/>
    </w:p>
    <w:p w14:paraId="228DA38A" w14:textId="10446794" w:rsidR="00993FDE" w:rsidRDefault="00993FDE" w:rsidP="0052217E">
      <w:pPr>
        <w:spacing w:line="360" w:lineRule="auto"/>
        <w:jc w:val="both"/>
      </w:pPr>
      <w:r w:rsidRPr="00993FDE">
        <w:t>The transformation to less carbon intensive steel production is changing the competitive landscape of the global steel industry. Tata Steel UK's plans to transform the Port Talbot site, with £500m UK government-funded, using electric arc furnace (EAF) technology replacing conventional blast-furnace production, at a cost of £1.25billion. Based on Kotler et al. (2020) marketing-environment framework, this analysis critically reviews three external actors, namely, the natural environment, political and regulatory forces, and industrial customers. Special emphasis is placed on the various environmental opportunities as well as key constraints and their significance for sustainability in terms of competitive advantage.</w:t>
      </w:r>
    </w:p>
    <w:p w14:paraId="179B3979" w14:textId="25BE37DC" w:rsidR="00993FDE" w:rsidRPr="00993FDE" w:rsidRDefault="00993FDE" w:rsidP="0052217E">
      <w:pPr>
        <w:pStyle w:val="Heading2"/>
        <w:spacing w:line="360" w:lineRule="auto"/>
      </w:pPr>
      <w:bookmarkStart w:id="2" w:name="_Toc243534591"/>
      <w:r w:rsidRPr="00993FDE">
        <w:t xml:space="preserve">1.2 Natural Environment: Climate Change, Resource Scarcity and </w:t>
      </w:r>
      <w:r w:rsidRPr="00993FDE">
        <w:t>Decarbonization</w:t>
      </w:r>
      <w:bookmarkEnd w:id="2"/>
    </w:p>
    <w:p w14:paraId="38F89898" w14:textId="77777777" w:rsidR="00993FDE" w:rsidRPr="00993FDE" w:rsidRDefault="00993FDE" w:rsidP="0052217E">
      <w:pPr>
        <w:pStyle w:val="Heading3"/>
        <w:spacing w:line="360" w:lineRule="auto"/>
      </w:pPr>
      <w:bookmarkStart w:id="3" w:name="_Toc243534592"/>
      <w:r w:rsidRPr="00993FDE">
        <w:t>1.2.1 Climate Change and Carbon Emissions</w:t>
      </w:r>
      <w:bookmarkEnd w:id="3"/>
    </w:p>
    <w:p w14:paraId="44072B43" w14:textId="0A75DDA5" w:rsidR="00993FDE" w:rsidRDefault="00F55E21" w:rsidP="0052217E">
      <w:pPr>
        <w:spacing w:line="360" w:lineRule="auto"/>
        <w:jc w:val="both"/>
      </w:pPr>
      <w:r>
        <w:t>The most important external factor impacting Tata Steel UK's transition is the natural environment. Kotler et al. (2020) would call the environmental degradation, resource scarcity and sustainability pressures as significant influences impacting marketing decisions. For carbon intensive sectors they are ever more significant when considering product development, when defining procurement needs and their customer expectations.</w:t>
      </w:r>
      <w:r>
        <w:t xml:space="preserve"> </w:t>
      </w:r>
      <w:r>
        <w:t xml:space="preserve">Global climate change emissions from the energy-system are largely due to iron and steel production which is estimated to be around 7% by the International Energy Agency (2020). The World Steel Association (2025) later reported the average carbon intensity for 2024 to be 1.92 </w:t>
      </w:r>
      <w:r>
        <w:t>tons of</w:t>
      </w:r>
      <w:r>
        <w:t xml:space="preserve"> CO₂ per </w:t>
      </w:r>
      <w:r>
        <w:t>tons</w:t>
      </w:r>
      <w:r>
        <w:t xml:space="preserve"> of crude steel. Programmable logic, however, shows significant differences among production technologies in terms of emission.</w:t>
      </w:r>
      <w:r>
        <w:t xml:space="preserve"> </w:t>
      </w:r>
      <w:r>
        <w:t>In comparison, the conventional method of Blast Furnace</w:t>
      </w:r>
      <w:r>
        <w:t xml:space="preserve"> </w:t>
      </w:r>
      <w:r>
        <w:t xml:space="preserve">Basic Oxygen Furnace steelmaking emitted 2.34 </w:t>
      </w:r>
      <w:r>
        <w:t>tons</w:t>
      </w:r>
      <w:r>
        <w:t xml:space="preserve"> of CO₂ per </w:t>
      </w:r>
      <w:r>
        <w:t>tons</w:t>
      </w:r>
      <w:r>
        <w:t xml:space="preserve"> of crude steel, while Scrap based EAF (1.47 </w:t>
      </w:r>
      <w:r>
        <w:t>tons</w:t>
      </w:r>
      <w:r>
        <w:t xml:space="preserve"> of CO₂ per </w:t>
      </w:r>
      <w:r>
        <w:t>tons</w:t>
      </w:r>
      <w:r>
        <w:t xml:space="preserve"> of crude steel) and DRI based EAF (0.69 </w:t>
      </w:r>
      <w:r>
        <w:t>tons</w:t>
      </w:r>
      <w:r>
        <w:t xml:space="preserve"> of CO₂ per </w:t>
      </w:r>
      <w:r>
        <w:t>tons</w:t>
      </w:r>
      <w:r>
        <w:t xml:space="preserve"> of crude steel) emitted significantly less. (World Steel Association, 2025)</w:t>
      </w:r>
    </w:p>
    <w:p w14:paraId="5B6975D8" w14:textId="0940FDCC" w:rsidR="00F55E21" w:rsidRDefault="00F55E21" w:rsidP="0052217E">
      <w:pPr>
        <w:spacing w:line="360" w:lineRule="auto"/>
        <w:jc w:val="both"/>
      </w:pPr>
      <w:r w:rsidRPr="00F55E21">
        <w:lastRenderedPageBreak/>
        <w:drawing>
          <wp:inline distT="0" distB="0" distL="0" distR="0" wp14:anchorId="7697864F" wp14:editId="34750B58">
            <wp:extent cx="5943600" cy="4457700"/>
            <wp:effectExtent l="0" t="0" r="0" b="0"/>
            <wp:docPr id="605406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406054" name=""/>
                    <pic:cNvPicPr/>
                  </pic:nvPicPr>
                  <pic:blipFill>
                    <a:blip r:embed="rId6"/>
                    <a:stretch>
                      <a:fillRect/>
                    </a:stretch>
                  </pic:blipFill>
                  <pic:spPr>
                    <a:xfrm>
                      <a:off x="0" y="0"/>
                      <a:ext cx="5943600" cy="4457700"/>
                    </a:xfrm>
                    <a:prstGeom prst="rect">
                      <a:avLst/>
                    </a:prstGeom>
                  </pic:spPr>
                </pic:pic>
              </a:graphicData>
            </a:graphic>
          </wp:inline>
        </w:drawing>
      </w:r>
    </w:p>
    <w:p w14:paraId="1FCCBD4D" w14:textId="2A02B565" w:rsidR="00F55E21" w:rsidRDefault="00F55E21" w:rsidP="0052217E">
      <w:pPr>
        <w:spacing w:line="360" w:lineRule="auto"/>
        <w:jc w:val="both"/>
      </w:pPr>
      <w:r>
        <w:t xml:space="preserve">The potential environmental benefit of EAF technology is shown in Figure 1. </w:t>
      </w:r>
      <w:r>
        <w:t>However,</w:t>
      </w:r>
      <w:r>
        <w:t xml:space="preserve"> these figures are industry averages and not actual results of Tata Steel's Port Talbot business. Actual emissions performance may change </w:t>
      </w:r>
      <w:proofErr w:type="gramStart"/>
      <w:r>
        <w:t>as a result of</w:t>
      </w:r>
      <w:proofErr w:type="gramEnd"/>
      <w:r>
        <w:t xml:space="preserve"> differences in electricity generation, in </w:t>
      </w:r>
      <w:r>
        <w:t>raw material</w:t>
      </w:r>
      <w:r>
        <w:t xml:space="preserve"> inputs and in production conditions. Hence, averages of reductions achieved in the industry should not be used as evidence of Tata Steel's reductions.</w:t>
      </w:r>
      <w:r>
        <w:t xml:space="preserve"> </w:t>
      </w:r>
      <w:r>
        <w:t xml:space="preserve">Tata Steel (2026) estimates that its new EAF in Port Talbot with an expected capacity of around 3.2 million </w:t>
      </w:r>
      <w:r>
        <w:t>tons</w:t>
      </w:r>
      <w:r>
        <w:t xml:space="preserve"> annually will result in a carbon footprint of about 90% less than that of the previous activity. While of strategic importance, this is a future projection. Green marketing will be dependent upon actual, verifiable performance and not what the company has stated it is doing for the environment.</w:t>
      </w:r>
    </w:p>
    <w:p w14:paraId="4ACC54AB" w14:textId="77777777" w:rsidR="00F55E21" w:rsidRPr="00F55E21" w:rsidRDefault="00F55E21" w:rsidP="0052217E">
      <w:pPr>
        <w:pStyle w:val="Heading3"/>
        <w:spacing w:line="360" w:lineRule="auto"/>
      </w:pPr>
      <w:bookmarkStart w:id="4" w:name="_Toc243534593"/>
      <w:r w:rsidRPr="00F55E21">
        <w:t>1.2.2 Resource Scarcity and Circular Economy</w:t>
      </w:r>
      <w:bookmarkEnd w:id="4"/>
    </w:p>
    <w:p w14:paraId="22805B90" w14:textId="51E49565" w:rsidR="00F55E21" w:rsidRDefault="00F55E21" w:rsidP="0052217E">
      <w:pPr>
        <w:spacing w:line="360" w:lineRule="auto"/>
        <w:jc w:val="both"/>
      </w:pPr>
      <w:r w:rsidRPr="00F55E21">
        <w:t xml:space="preserve">Tata Steel has opportunities and constraints due to resource availability. While conventional steelmaking relies on high and intensive usage of iron ore and metallurgical coal, production in EAFs uses more recycled steel and electricity. The recycling of steel is an important </w:t>
      </w:r>
      <w:r w:rsidRPr="00F55E21">
        <w:lastRenderedPageBreak/>
        <w:t>decarbonization</w:t>
      </w:r>
      <w:r w:rsidRPr="00F55E21">
        <w:t xml:space="preserve"> pathway because it also requires much less energy to produce from recycled scrap than from primary iron ore: International Energy Agency (2020). According to Tata Steel UK (n.d.), the goal is to make packaging steel with that has at least 50% recycled steel content by 2030. May improve its appeal to industrial clients who are looking for circular materials and are reducing their supply chain emissions. </w:t>
      </w:r>
      <w:r w:rsidRPr="00F55E21">
        <w:t>But</w:t>
      </w:r>
      <w:r w:rsidRPr="00F55E21">
        <w:t xml:space="preserve"> resource circularity is not supposed to predict commercial success. The strict control of the relative content of metallic impurities and material composition of the packaging steel is required to obtain </w:t>
      </w:r>
      <w:r w:rsidRPr="00F55E21">
        <w:t>high-quality</w:t>
      </w:r>
      <w:r w:rsidRPr="00F55E21">
        <w:t xml:space="preserve"> packaging steel. Limited availability of scraps or contamination/problems and extra processing expenses could impact profitability and production security. Moreover, the chart prepared by the International Energy Agency (2020) shows that with the existing trend of steel consumption, the supply of steel from </w:t>
      </w:r>
      <w:r w:rsidRPr="00F55E21">
        <w:t>steel</w:t>
      </w:r>
      <w:r w:rsidRPr="00F55E21">
        <w:t xml:space="preserve"> cannot cover the total demand for steel in the coming years. It is therefore imperative that Tata Steel be able to guarantee regular supplies of materials of consistent quality, equal to that required by the customers.</w:t>
      </w:r>
    </w:p>
    <w:p w14:paraId="7CE957C3" w14:textId="77777777" w:rsidR="00F55E21" w:rsidRPr="00F55E21" w:rsidRDefault="00F55E21" w:rsidP="0052217E">
      <w:pPr>
        <w:pStyle w:val="Heading3"/>
        <w:spacing w:line="360" w:lineRule="auto"/>
      </w:pPr>
      <w:bookmarkStart w:id="5" w:name="_Toc243534594"/>
      <w:r w:rsidRPr="00F55E21">
        <w:t>1.2.3 EAF Technology and Environmental Trade-offs</w:t>
      </w:r>
      <w:bookmarkEnd w:id="5"/>
    </w:p>
    <w:p w14:paraId="57AEBF3D" w14:textId="5EC6AA90" w:rsidR="00F55E21" w:rsidRDefault="00980847" w:rsidP="0052217E">
      <w:pPr>
        <w:spacing w:line="360" w:lineRule="auto"/>
        <w:jc w:val="both"/>
      </w:pPr>
      <w:r w:rsidRPr="00980847">
        <w:t xml:space="preserve">Tata Steel's technological transition is an example of the effect of the external environment pressures on </w:t>
      </w:r>
      <w:r w:rsidRPr="00980847">
        <w:t>organization</w:t>
      </w:r>
      <w:r w:rsidRPr="00980847">
        <w:t xml:space="preserve"> investments. According to World Steel Association (2025), the average energy consumption in 2024 was 23.88 GJ/t of crude steel for the BF–BOF process for crude steel production, while the average energy consumption for the EAF process in 2024 is 9.84 GJ/t of crude steel. These figures indicate potential areas of opportunity to work toward energy efficiency. However, increased electrification also comes with exposure to electricity-related cost and capacity as well as capacity exposure to electricity-related emissions. Access to proper energy infrastructure is an important enabler for industrial </w:t>
      </w:r>
      <w:r w:rsidRPr="00980847">
        <w:t>decarbonization</w:t>
      </w:r>
      <w:r w:rsidRPr="00980847">
        <w:t xml:space="preserve"> (IEA 2020). Tata Steel UK (n.d.) notes that electricity price and good quality segregation of the scrap will have an impact on its future competitiveness of packaging-steel. So, environmental enhancement can lead to operation and economic vulnerability while decreasing reliance on coal production. Uncertainty is also added by the production time schedule. As for the EAF production, Tata Steel UK (n.d.) anticipates starting production in 2028 and then in 2030 packaging-customer trials and qualification are expected to be completed. This can result in a potential disconnect between the environment marketing targets and the number of qualified products that are available for commercial </w:t>
      </w:r>
      <w:proofErr w:type="gramStart"/>
      <w:r w:rsidRPr="00980847">
        <w:t>sale</w:t>
      </w:r>
      <w:proofErr w:type="gramEnd"/>
      <w:r w:rsidRPr="00980847">
        <w:t xml:space="preserve">. From a societal marketing point of view, sustainability should balance out customer needs, business functions, and societal well-being (Kotler et al., 2020). As such Tata </w:t>
      </w:r>
      <w:r w:rsidRPr="00980847">
        <w:lastRenderedPageBreak/>
        <w:t>Steel needs to prove that the lower-carbon production pathways do offer real lifecycle benefits and do not compromise product quality and long-term economic viability.</w:t>
      </w:r>
    </w:p>
    <w:p w14:paraId="233D3ABA" w14:textId="77777777" w:rsidR="00980847" w:rsidRPr="00980847" w:rsidRDefault="00980847" w:rsidP="0052217E">
      <w:pPr>
        <w:pStyle w:val="Heading2"/>
        <w:spacing w:line="360" w:lineRule="auto"/>
      </w:pPr>
      <w:bookmarkStart w:id="6" w:name="_Toc243534595"/>
      <w:r w:rsidRPr="00980847">
        <w:t>1.3 Political and Regulatory Environment</w:t>
      </w:r>
      <w:bookmarkEnd w:id="6"/>
    </w:p>
    <w:p w14:paraId="2E547873" w14:textId="5B498FDA" w:rsidR="00980847" w:rsidRDefault="00980847" w:rsidP="0052217E">
      <w:pPr>
        <w:spacing w:line="360" w:lineRule="auto"/>
        <w:jc w:val="both"/>
      </w:pPr>
      <w:r>
        <w:t>Second external marketing actor is the political and regulatory environment. Carbon regulations and trade policies are direct influencing factors for the financial attractiveness of lower carbon steelmaking while government interventions are also direct influencing factors.</w:t>
      </w:r>
      <w:r>
        <w:t xml:space="preserve"> </w:t>
      </w:r>
      <w:r>
        <w:t>In September 2024, Tata Steel struck a £500 million deal with the UK Government for grant funding for its £1.25 billion transformation project at Port Talbot (Tata Steel, 2024). Such support can alleviate the upfront investment pressure and signal public-</w:t>
      </w:r>
      <w:r>
        <w:t>policy with</w:t>
      </w:r>
      <w:r>
        <w:t xml:space="preserve"> intent to support industrial </w:t>
      </w:r>
      <w:r>
        <w:t>decarbonization</w:t>
      </w:r>
      <w:r>
        <w:t xml:space="preserve">. However, this does not mean commercial competitiveness when the facility comes into operation. Another important development is related to </w:t>
      </w:r>
      <w:r>
        <w:t xml:space="preserve">carbon </w:t>
      </w:r>
      <w:r>
        <w:t>border regulation. The UK Carbon Border Adjustment Mechanism (CBAM) will begin imposing charges for carbon-related emissions on a range of imports such as iron and steel products from 1 January 2027 (HM Revenue &amp; Customs, 2026). It is supposed to curtail 'carbon leakage', that is improve the lack of incentives to produce in the jurisdictions where the carbon price is different.</w:t>
      </w:r>
    </w:p>
    <w:p w14:paraId="018AF5A2" w14:textId="51F0BF88" w:rsidR="00980847" w:rsidRDefault="00980847" w:rsidP="0052217E">
      <w:pPr>
        <w:spacing w:line="360" w:lineRule="auto"/>
        <w:jc w:val="both"/>
      </w:pPr>
      <w:r>
        <w:t xml:space="preserve">This might better the competitive environment of domestic producers investing in emissions reduction. </w:t>
      </w:r>
      <w:r>
        <w:t>But</w:t>
      </w:r>
      <w:r>
        <w:t xml:space="preserve"> CBAM won't automatically give a subsidy to Tata Steel, remove all the disadvantages for industry and cover all steel products. This concern is backed up by the conditions in the world market. By 2028, there is a risk of potentially as much as 745 MT of surplus steelmaking capacity, according to OECD (2026), which could increase competition and put downward pressure on prices. But even if Tata Steel makes significant strides on the environmental front, it's not a sure bet that it will be able to out-compete international supply. Political support should thus be considered as an enabling factor and not as a constantly recurring competitive advantage. Tata Steel's marketing plan should eventually prove to be commercially viable product differentiation other than that provided by the regulations.</w:t>
      </w:r>
    </w:p>
    <w:p w14:paraId="7CFCDE97" w14:textId="77777777" w:rsidR="00980847" w:rsidRPr="00980847" w:rsidRDefault="00980847" w:rsidP="0052217E">
      <w:pPr>
        <w:pStyle w:val="Heading2"/>
        <w:spacing w:line="360" w:lineRule="auto"/>
      </w:pPr>
      <w:bookmarkStart w:id="7" w:name="_Toc243534596"/>
      <w:r w:rsidRPr="00980847">
        <w:t>1.4 Industrial Customers and Changing Market Expectations</w:t>
      </w:r>
      <w:bookmarkEnd w:id="7"/>
    </w:p>
    <w:p w14:paraId="417694BE" w14:textId="7A673AAF" w:rsidR="00980847" w:rsidRDefault="00980847" w:rsidP="0052217E">
      <w:pPr>
        <w:spacing w:line="360" w:lineRule="auto"/>
        <w:jc w:val="both"/>
      </w:pPr>
      <w:r>
        <w:t xml:space="preserve">The third external factor to Tata Steel UK's microenvironment is the industrial customers. Unlike macroenvironmental forces, customers have a direct influence on product acceptance, their sales revenue and the sustainability of business relationships (Kotler et al., 2020). Tata Steel UK serves automotive, construction, engineering and packaging industries. In written submission to </w:t>
      </w:r>
      <w:r>
        <w:lastRenderedPageBreak/>
        <w:t>Parliament, it mentioned other customers such as BMW, Heinz, Jaguar Land Rover and JCB (Tata Steel UK, 2025). Frequent technical requirements, guaranteed supply and negotiating positions are needed in these areas. The packaging roadmap for Tata Steel is a relevant opportunity. The company targets to have at least 50% recycled content in packaging steel and about 50% reduction in emissions compared to the similar applications in the present state by 2030 (Tata Steel UK, n.d.). These can aid industrial customers to meet their sustainability goals.</w:t>
      </w:r>
    </w:p>
    <w:p w14:paraId="7AAE54A4" w14:textId="3267D26A" w:rsidR="00980847" w:rsidRDefault="00980847" w:rsidP="0052217E">
      <w:pPr>
        <w:spacing w:line="360" w:lineRule="auto"/>
        <w:jc w:val="both"/>
      </w:pPr>
      <w:r>
        <w:t xml:space="preserve">However, willingness to pay or purchasing commitments can't be assumed - and environmental claims can't be </w:t>
      </w:r>
      <w:r>
        <w:t>accepted</w:t>
      </w:r>
      <w:r>
        <w:t xml:space="preserve"> either. Hooley et al. (2020) stress that the positioning is successful </w:t>
      </w:r>
      <w:proofErr w:type="gramStart"/>
      <w:r>
        <w:t>as long as</w:t>
      </w:r>
      <w:proofErr w:type="gramEnd"/>
      <w:r>
        <w:t xml:space="preserve"> the attributes supplied are those truly desired by customers. Tata Steel needs therefore to establish the value-addition through verifiable carbon data, product qualification and verification of customer demand. There is much less commercial uncertainty for existing customers, but success </w:t>
      </w:r>
      <w:proofErr w:type="gramStart"/>
      <w:r>
        <w:t>of</w:t>
      </w:r>
      <w:proofErr w:type="gramEnd"/>
      <w:r>
        <w:t xml:space="preserve"> </w:t>
      </w:r>
      <w:r>
        <w:t>product</w:t>
      </w:r>
      <w:r>
        <w:t xml:space="preserve"> development is dependent on cost, quality and delivery. Sustainability is not a sure winner or the source of profitable demands, but a possibility.</w:t>
      </w:r>
    </w:p>
    <w:p w14:paraId="3E1E45AF" w14:textId="77777777" w:rsidR="00980847" w:rsidRPr="00980847" w:rsidRDefault="00980847" w:rsidP="0052217E">
      <w:pPr>
        <w:pStyle w:val="Heading2"/>
        <w:spacing w:line="360" w:lineRule="auto"/>
      </w:pPr>
      <w:bookmarkStart w:id="8" w:name="_Toc243534597"/>
      <w:r w:rsidRPr="00980847">
        <w:t>1.5 Critical Synthesis of External Opportunities and Threats</w:t>
      </w:r>
      <w:bookmarkEnd w:id="8"/>
    </w:p>
    <w:p w14:paraId="20D3857F" w14:textId="4132AF4B" w:rsidR="00980847" w:rsidRDefault="00980847" w:rsidP="0052217E">
      <w:pPr>
        <w:spacing w:line="360" w:lineRule="auto"/>
        <w:jc w:val="both"/>
      </w:pPr>
      <w:r w:rsidRPr="00980847">
        <w:t xml:space="preserve">They </w:t>
      </w:r>
      <w:r w:rsidRPr="00980847">
        <w:t>must</w:t>
      </w:r>
      <w:r w:rsidRPr="00980847">
        <w:t xml:space="preserve"> interact with each other to influence Tata Steel UK's strategic decision making. The push for </w:t>
      </w:r>
      <w:r w:rsidRPr="00980847">
        <w:t>decarbonization</w:t>
      </w:r>
      <w:r w:rsidRPr="00980847">
        <w:t xml:space="preserve"> leads to environmental pressure, the influence of political measures means that </w:t>
      </w:r>
      <w:r w:rsidRPr="00980847">
        <w:t>economic</w:t>
      </w:r>
      <w:r w:rsidRPr="00980847">
        <w:t xml:space="preserve"> feasibility is addressed, while industrial customers influence the commercial value gained from the </w:t>
      </w:r>
      <w:r w:rsidRPr="00980847">
        <w:t>decarbonization</w:t>
      </w:r>
      <w:r w:rsidRPr="00980847">
        <w:t xml:space="preserve"> products.</w:t>
      </w:r>
    </w:p>
    <w:p w14:paraId="6D4CED87" w14:textId="77777777" w:rsidR="00980847" w:rsidRDefault="00980847" w:rsidP="0052217E">
      <w:pPr>
        <w:spacing w:line="360" w:lineRule="auto"/>
        <w:jc w:val="both"/>
      </w:pPr>
    </w:p>
    <w:p w14:paraId="521EFFAB" w14:textId="40905736" w:rsidR="00980847" w:rsidRDefault="00980847" w:rsidP="0052217E">
      <w:pPr>
        <w:spacing w:line="360" w:lineRule="auto"/>
        <w:jc w:val="center"/>
      </w:pPr>
      <w:r w:rsidRPr="00980847">
        <w:drawing>
          <wp:inline distT="0" distB="0" distL="0" distR="0" wp14:anchorId="7C6E84A9" wp14:editId="01389993">
            <wp:extent cx="5140329" cy="2671763"/>
            <wp:effectExtent l="0" t="0" r="3175" b="0"/>
            <wp:docPr id="1937812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12589" name=""/>
                    <pic:cNvPicPr/>
                  </pic:nvPicPr>
                  <pic:blipFill>
                    <a:blip r:embed="rId7"/>
                    <a:stretch>
                      <a:fillRect/>
                    </a:stretch>
                  </pic:blipFill>
                  <pic:spPr>
                    <a:xfrm>
                      <a:off x="0" y="0"/>
                      <a:ext cx="5180204" cy="2692488"/>
                    </a:xfrm>
                    <a:prstGeom prst="rect">
                      <a:avLst/>
                    </a:prstGeom>
                  </pic:spPr>
                </pic:pic>
              </a:graphicData>
            </a:graphic>
          </wp:inline>
        </w:drawing>
      </w:r>
    </w:p>
    <w:p w14:paraId="26F4AA3C" w14:textId="77777777" w:rsidR="00980847" w:rsidRPr="00980847" w:rsidRDefault="00980847" w:rsidP="0052217E">
      <w:pPr>
        <w:pStyle w:val="Heading1"/>
        <w:spacing w:line="360" w:lineRule="auto"/>
      </w:pPr>
      <w:bookmarkStart w:id="9" w:name="_Toc243534598"/>
      <w:r w:rsidRPr="00980847">
        <w:lastRenderedPageBreak/>
        <w:t>Task 2: Strategic Growth and Competitive Positioning</w:t>
      </w:r>
      <w:bookmarkEnd w:id="9"/>
    </w:p>
    <w:p w14:paraId="13338183" w14:textId="77777777" w:rsidR="00980847" w:rsidRPr="00980847" w:rsidRDefault="00980847" w:rsidP="0052217E">
      <w:pPr>
        <w:pStyle w:val="Heading2"/>
        <w:spacing w:line="360" w:lineRule="auto"/>
      </w:pPr>
      <w:bookmarkStart w:id="10" w:name="_Toc243534599"/>
      <w:r w:rsidRPr="00980847">
        <w:t>2.1 Evaluation of Strategic Growth Alternatives Using Ansoff's Matrix</w:t>
      </w:r>
      <w:bookmarkEnd w:id="10"/>
    </w:p>
    <w:p w14:paraId="3CE0B438" w14:textId="53DBD35F" w:rsidR="00980847" w:rsidRDefault="00B60BE4" w:rsidP="0052217E">
      <w:pPr>
        <w:spacing w:line="360" w:lineRule="auto"/>
        <w:jc w:val="both"/>
      </w:pPr>
      <w:r w:rsidRPr="00B60BE4">
        <w:t xml:space="preserve">As identified in Task 1, environmental pressures, regulatory developments and expectations of industrial customers are driving Tata Steel UK towards achieving commercially sustainable growth. Ansoff (1957) has suggested four product–market growth strategies; market penetration, market development, product development and diversification. Figure 2 indicates the relevance of </w:t>
      </w:r>
      <w:proofErr w:type="gramStart"/>
      <w:r w:rsidRPr="00B60BE4">
        <w:t>their</w:t>
      </w:r>
      <w:proofErr w:type="gramEnd"/>
      <w:r w:rsidRPr="00B60BE4">
        <w:t xml:space="preserve"> to Tata Steel's low-carbon transition.</w:t>
      </w:r>
    </w:p>
    <w:p w14:paraId="07E59F43" w14:textId="115AD0D4" w:rsidR="00B60BE4" w:rsidRDefault="00B60BE4" w:rsidP="0052217E">
      <w:pPr>
        <w:spacing w:line="360" w:lineRule="auto"/>
        <w:jc w:val="center"/>
      </w:pPr>
      <w:r w:rsidRPr="00B60BE4">
        <w:drawing>
          <wp:inline distT="0" distB="0" distL="0" distR="0" wp14:anchorId="640A04BE" wp14:editId="7FDFB945">
            <wp:extent cx="5286375" cy="3524252"/>
            <wp:effectExtent l="0" t="0" r="0" b="0"/>
            <wp:docPr id="1520051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051131" name=""/>
                    <pic:cNvPicPr/>
                  </pic:nvPicPr>
                  <pic:blipFill>
                    <a:blip r:embed="rId8"/>
                    <a:stretch>
                      <a:fillRect/>
                    </a:stretch>
                  </pic:blipFill>
                  <pic:spPr>
                    <a:xfrm>
                      <a:off x="0" y="0"/>
                      <a:ext cx="5298011" cy="3532009"/>
                    </a:xfrm>
                    <a:prstGeom prst="rect">
                      <a:avLst/>
                    </a:prstGeom>
                  </pic:spPr>
                </pic:pic>
              </a:graphicData>
            </a:graphic>
          </wp:inline>
        </w:drawing>
      </w:r>
    </w:p>
    <w:p w14:paraId="05B3068F" w14:textId="6F7C8989" w:rsidR="00B60BE4" w:rsidRDefault="00B60BE4" w:rsidP="0052217E">
      <w:pPr>
        <w:spacing w:line="360" w:lineRule="auto"/>
        <w:jc w:val="both"/>
      </w:pPr>
      <w:r w:rsidRPr="00B60BE4">
        <w:t xml:space="preserve">Market penetration provides less risk in entering and less product differentiation as seen in figure 2. Market development can increase a company's customers, though it might need more commercial resources, and diversification is an incredibly risky approach that can add a lot of uncertainty. Product development is the most suitable strategic fit </w:t>
      </w:r>
      <w:r w:rsidRPr="00B60BE4">
        <w:t>if</w:t>
      </w:r>
      <w:r w:rsidRPr="00B60BE4">
        <w:t xml:space="preserve"> lower-carbon packaging steel can provide a new environmental or functional customer benefit, rather than just utilizing a new manufacturing process (Ansoff, 1957).</w:t>
      </w:r>
    </w:p>
    <w:p w14:paraId="51865CCD" w14:textId="77777777" w:rsidR="00B60BE4" w:rsidRPr="00B60BE4" w:rsidRDefault="00B60BE4" w:rsidP="0052217E">
      <w:pPr>
        <w:pStyle w:val="Heading2"/>
        <w:spacing w:line="360" w:lineRule="auto"/>
      </w:pPr>
      <w:bookmarkStart w:id="11" w:name="_Toc243534600"/>
      <w:r w:rsidRPr="00B60BE4">
        <w:lastRenderedPageBreak/>
        <w:t>2.2 Recommended Product Development Strategy</w:t>
      </w:r>
      <w:bookmarkEnd w:id="11"/>
    </w:p>
    <w:p w14:paraId="1DEA05BA" w14:textId="73B6867E" w:rsidR="00B60BE4" w:rsidRDefault="00B60BE4" w:rsidP="0052217E">
      <w:pPr>
        <w:spacing w:line="360" w:lineRule="auto"/>
        <w:jc w:val="both"/>
      </w:pPr>
      <w:r w:rsidRPr="00B60BE4">
        <w:t xml:space="preserve">Tata Steel UK should focus on increasing the amounts of recycled steel in lower carbon packaging that can be achieved by existing industrial customers, in contexts of essential verifiable environmental performance and consistent technical specifications. The company's </w:t>
      </w:r>
      <w:proofErr w:type="spellStart"/>
      <w:r w:rsidRPr="00B60BE4">
        <w:t>Optemis</w:t>
      </w:r>
      <w:proofErr w:type="spellEnd"/>
      <w:r w:rsidRPr="00B60BE4">
        <w:t xml:space="preserve"> portfolio already demonstrates two different solutions: </w:t>
      </w:r>
      <w:proofErr w:type="spellStart"/>
      <w:r w:rsidRPr="00B60BE4">
        <w:t>Optemis</w:t>
      </w:r>
      <w:proofErr w:type="spellEnd"/>
      <w:r w:rsidRPr="00B60BE4">
        <w:t xml:space="preserve"> Carbon Lite is a declaration-based emissions solution, and </w:t>
      </w:r>
      <w:proofErr w:type="spellStart"/>
      <w:r w:rsidRPr="00B60BE4">
        <w:t>Optemis</w:t>
      </w:r>
      <w:proofErr w:type="spellEnd"/>
      <w:r w:rsidRPr="00B60BE4">
        <w:t xml:space="preserve"> Evolve is a lower embodied carbon steel that has a higher recycled content (Tata Steel UK, n.d.). These existing products form a basis for further product development. </w:t>
      </w:r>
      <w:proofErr w:type="gramStart"/>
      <w:r w:rsidRPr="00B60BE4">
        <w:t>But,</w:t>
      </w:r>
      <w:proofErr w:type="gramEnd"/>
      <w:r w:rsidRPr="00B60BE4">
        <w:t xml:space="preserve"> carbon reduction products that are available must not be presented as new </w:t>
      </w:r>
      <w:r w:rsidRPr="00B60BE4">
        <w:t>innovators</w:t>
      </w:r>
      <w:r w:rsidRPr="00B60BE4">
        <w:t xml:space="preserve">. The </w:t>
      </w:r>
      <w:r w:rsidRPr="00B60BE4">
        <w:t>prioritization</w:t>
      </w:r>
      <w:r w:rsidRPr="00B60BE4">
        <w:t xml:space="preserve"> of the new approach should focus on further product development and market uptake of improved packaging products based on EAF that have verified environmental benefits. </w:t>
      </w:r>
      <w:proofErr w:type="spellStart"/>
      <w:r w:rsidRPr="00B60BE4">
        <w:t>Bocken</w:t>
      </w:r>
      <w:proofErr w:type="spellEnd"/>
      <w:r w:rsidRPr="00B60BE4">
        <w:t xml:space="preserve"> et al., (2016) believes that value of circular economy is needed through coordinated product design and business-model innovation. So, Tata Steel must co-operate with present packaging clients concerning product specifications, recycling request and measurement of emissions. A commercial launch, either as a gradual or phasing model, will enable technical and financial feasibility to be identified, prior to the market being expanded.</w:t>
      </w:r>
    </w:p>
    <w:p w14:paraId="57A00AE8" w14:textId="77777777" w:rsidR="00B60BE4" w:rsidRPr="00B60BE4" w:rsidRDefault="00B60BE4" w:rsidP="0052217E">
      <w:pPr>
        <w:pStyle w:val="Heading2"/>
        <w:spacing w:line="360" w:lineRule="auto"/>
      </w:pPr>
      <w:bookmarkStart w:id="12" w:name="_Toc243534601"/>
      <w:r w:rsidRPr="00B60BE4">
        <w:t>2.3 Competitive Advantage Through Porter's Generic Strategies</w:t>
      </w:r>
      <w:bookmarkEnd w:id="12"/>
    </w:p>
    <w:p w14:paraId="43C1F741" w14:textId="67FD6ED3" w:rsidR="00B60BE4" w:rsidRDefault="00B60BE4" w:rsidP="0052217E">
      <w:pPr>
        <w:spacing w:line="360" w:lineRule="auto"/>
        <w:jc w:val="both"/>
      </w:pPr>
      <w:r>
        <w:t xml:space="preserve">Porter (1985) </w:t>
      </w:r>
      <w:r>
        <w:t>can</w:t>
      </w:r>
      <w:r>
        <w:t xml:space="preserve"> recognize key paths to competitive advantages: cost leadership and differentiation. Cost leadership may be a challenge for Tata Steel UK as electricity can be an expensive item and scrap may have to be brought in at a premium price, while investment is needed.</w:t>
      </w:r>
      <w:r>
        <w:t xml:space="preserve"> </w:t>
      </w:r>
      <w:r>
        <w:t xml:space="preserve">In this context, a more suitable approach is to focus on differentiation </w:t>
      </w:r>
      <w:proofErr w:type="gramStart"/>
      <w:r>
        <w:t>with regard to</w:t>
      </w:r>
      <w:proofErr w:type="gramEnd"/>
      <w:r>
        <w:t xml:space="preserve"> the supplier companies that are more demanding in terms of the environment, that is, in relation to those environmentally demanding packaging makers. In its value proposition it </w:t>
      </w:r>
      <w:proofErr w:type="gramStart"/>
      <w:r>
        <w:t>has to</w:t>
      </w:r>
      <w:proofErr w:type="gramEnd"/>
      <w:r>
        <w:t xml:space="preserve"> bring together reliable product quality, reduced life cycle emissions, higher recycled content and environmental transparency. Zeithaml (1988) shows that perceived value is the ratio of benefits/or sacrifices, that is, it includes price. Therefore, it is critical that industrial customers see a compelling return on investment. Especially Environmentally Credible. ISO 14067:2018 outlines requirements for the quantification of product carbon footprint and </w:t>
      </w:r>
      <w:r>
        <w:t>Responsible Steel</w:t>
      </w:r>
      <w:r>
        <w:t xml:space="preserve"> (2024) sets relevant principles on how to produce steel in a responsible manner and in a way that has verified environmental performance. </w:t>
      </w:r>
      <w:r>
        <w:t>But</w:t>
      </w:r>
      <w:r>
        <w:t xml:space="preserve"> differentiation does not necessarily mean sustainability. Technologies with low carbon risk to be imitable by the competitors and buyers may refuse to pay </w:t>
      </w:r>
      <w:r>
        <w:lastRenderedPageBreak/>
        <w:t>for the higher price. Thus, Tata Steel should rely on customer specific sustainability claims based on unsupported commercial benefits or independent evidence.</w:t>
      </w:r>
    </w:p>
    <w:p w14:paraId="73E77E1D" w14:textId="77777777" w:rsidR="00B60BE4" w:rsidRPr="00B60BE4" w:rsidRDefault="00B60BE4" w:rsidP="0052217E">
      <w:pPr>
        <w:pStyle w:val="Heading2"/>
        <w:spacing w:line="360" w:lineRule="auto"/>
      </w:pPr>
      <w:bookmarkStart w:id="13" w:name="_Toc243534602"/>
      <w:r w:rsidRPr="00B60BE4">
        <w:t>2.4 Strategic Implementation, Risks and Performance Measurement</w:t>
      </w:r>
      <w:bookmarkEnd w:id="13"/>
    </w:p>
    <w:p w14:paraId="6AD7B4F0" w14:textId="35415D7E" w:rsidR="00B60BE4" w:rsidRDefault="00B60BE4" w:rsidP="0052217E">
      <w:pPr>
        <w:spacing w:line="360" w:lineRule="auto"/>
        <w:jc w:val="both"/>
      </w:pPr>
      <w:proofErr w:type="gramStart"/>
      <w:r w:rsidRPr="00B60BE4">
        <w:t>In order to</w:t>
      </w:r>
      <w:proofErr w:type="gramEnd"/>
      <w:r w:rsidRPr="00B60BE4">
        <w:t xml:space="preserve"> implement, </w:t>
      </w:r>
      <w:r w:rsidRPr="00B60BE4">
        <w:t>coordination is</w:t>
      </w:r>
      <w:r w:rsidRPr="00B60BE4">
        <w:t xml:space="preserve"> needed within the product development, production, technical sales and environmental reporting. Tata Steel should come up with customer qualification programmes and work out the cost implications of other production scenarios, before any commercial expansion.</w:t>
      </w:r>
    </w:p>
    <w:p w14:paraId="21C9DCCD" w14:textId="17740889" w:rsidR="00B60BE4" w:rsidRDefault="009332E7" w:rsidP="0052217E">
      <w:pPr>
        <w:spacing w:line="360" w:lineRule="auto"/>
        <w:jc w:val="both"/>
      </w:pPr>
      <w:r w:rsidRPr="009332E7">
        <w:drawing>
          <wp:inline distT="0" distB="0" distL="0" distR="0" wp14:anchorId="59781DA0" wp14:editId="05E2F414">
            <wp:extent cx="5943600" cy="2922270"/>
            <wp:effectExtent l="0" t="0" r="0" b="0"/>
            <wp:docPr id="1170959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959353" name=""/>
                    <pic:cNvPicPr/>
                  </pic:nvPicPr>
                  <pic:blipFill>
                    <a:blip r:embed="rId9"/>
                    <a:stretch>
                      <a:fillRect/>
                    </a:stretch>
                  </pic:blipFill>
                  <pic:spPr>
                    <a:xfrm>
                      <a:off x="0" y="0"/>
                      <a:ext cx="5943600" cy="2922270"/>
                    </a:xfrm>
                    <a:prstGeom prst="rect">
                      <a:avLst/>
                    </a:prstGeom>
                  </pic:spPr>
                </pic:pic>
              </a:graphicData>
            </a:graphic>
          </wp:inline>
        </w:drawing>
      </w:r>
    </w:p>
    <w:p w14:paraId="5D6FD85D" w14:textId="5391C91D" w:rsidR="009332E7" w:rsidRDefault="009332E7" w:rsidP="0052217E">
      <w:pPr>
        <w:spacing w:line="360" w:lineRule="auto"/>
        <w:jc w:val="both"/>
      </w:pPr>
      <w:r>
        <w:t>As</w:t>
      </w:r>
      <w:r>
        <w:t xml:space="preserve"> can be observed from Table 2, success should be judged not only on the emissions, but by technical approval, commercial acceptance, proven environmental benefits, and profitability as well.</w:t>
      </w:r>
      <w:r>
        <w:t xml:space="preserve"> </w:t>
      </w:r>
      <w:r>
        <w:t xml:space="preserve">Therefore, a plan aimed at careful product testing, third-party carbon-footprint audits and (repeat) customer contracts should first precede the introduction of the product on a larger scale. </w:t>
      </w:r>
      <w:r>
        <w:t>Focused</w:t>
      </w:r>
      <w:r>
        <w:t xml:space="preserve"> differentiation offers a growth path with a </w:t>
      </w:r>
      <w:proofErr w:type="gramStart"/>
      <w:r>
        <w:t>moat</w:t>
      </w:r>
      <w:proofErr w:type="gramEnd"/>
      <w:r>
        <w:t xml:space="preserve"> but the path will only be successful if customers are willing to buy it and it is operationally reliable and can be run profitably.</w:t>
      </w:r>
    </w:p>
    <w:p w14:paraId="48C1C551" w14:textId="77777777" w:rsidR="009332E7" w:rsidRPr="009332E7" w:rsidRDefault="009332E7" w:rsidP="0052217E">
      <w:pPr>
        <w:pStyle w:val="Heading1"/>
        <w:spacing w:line="360" w:lineRule="auto"/>
      </w:pPr>
      <w:bookmarkStart w:id="14" w:name="_Toc243534603"/>
      <w:r w:rsidRPr="009332E7">
        <w:t>Task 3: Managerial and Professional Reflection</w:t>
      </w:r>
      <w:bookmarkEnd w:id="14"/>
    </w:p>
    <w:p w14:paraId="4CBB9EC0" w14:textId="77777777" w:rsidR="009332E7" w:rsidRPr="009332E7" w:rsidRDefault="009332E7" w:rsidP="0052217E">
      <w:pPr>
        <w:pStyle w:val="Heading2"/>
        <w:spacing w:line="360" w:lineRule="auto"/>
      </w:pPr>
      <w:bookmarkStart w:id="15" w:name="_Toc243534604"/>
      <w:r w:rsidRPr="009332E7">
        <w:t>3.1 Reflection on Company and Environmental Actor Selection</w:t>
      </w:r>
      <w:bookmarkEnd w:id="15"/>
    </w:p>
    <w:p w14:paraId="7B6B220A" w14:textId="7D600BD8" w:rsidR="009332E7" w:rsidRDefault="009332E7" w:rsidP="0052217E">
      <w:pPr>
        <w:spacing w:line="360" w:lineRule="auto"/>
        <w:jc w:val="both"/>
      </w:pPr>
      <w:r w:rsidRPr="009332E7">
        <w:t xml:space="preserve">I chose Tata Steel UK because it allowed me to research how environmental factors can affect strategic marketing decisions in a carbon intensive industry. Its transformation at Port Talbot </w:t>
      </w:r>
      <w:r w:rsidRPr="009332E7">
        <w:lastRenderedPageBreak/>
        <w:t xml:space="preserve">offered a topical example, as environmental goals relate to government action, production costs and expectations of its industrial customers. The natural environment was selected as the priority as </w:t>
      </w:r>
      <w:r w:rsidRPr="009332E7">
        <w:t>decarbonization</w:t>
      </w:r>
      <w:r w:rsidRPr="009332E7">
        <w:t xml:space="preserve"> is the key challenge, and political regulation and industrial customers </w:t>
      </w:r>
      <w:r w:rsidRPr="009332E7">
        <w:t>understand</w:t>
      </w:r>
      <w:r w:rsidRPr="009332E7">
        <w:t xml:space="preserve"> what the commercial impact of the </w:t>
      </w:r>
      <w:r w:rsidRPr="009332E7">
        <w:t>decarbonization</w:t>
      </w:r>
      <w:r w:rsidRPr="009332E7">
        <w:t xml:space="preserve"> might be. This is because this decision is based upon the understanding of the interconnected external influences that should be considered and not because of sustainability alone. Aguilar (1967) highlights the importance of systematic environmental scans to identify environmental opportunities and threats. Such a micro level focus on the three actors, however, inevitably ignored the other relevant influences </w:t>
      </w:r>
      <w:r w:rsidRPr="009332E7">
        <w:t>that</w:t>
      </w:r>
      <w:r w:rsidRPr="009332E7">
        <w:t xml:space="preserve"> of competitors, energy suppliers and technological uncertainty. These limitations challenged the assumption I had earlier that it was sufficient that the selected actors exhibited their </w:t>
      </w:r>
      <w:r w:rsidRPr="009332E7">
        <w:t>behaviors</w:t>
      </w:r>
      <w:r w:rsidRPr="009332E7">
        <w:t xml:space="preserve"> and claims to become a part of the explanation of Tata Steel's competitive position.</w:t>
      </w:r>
    </w:p>
    <w:p w14:paraId="79E0D00F" w14:textId="77777777" w:rsidR="009332E7" w:rsidRPr="009332E7" w:rsidRDefault="009332E7" w:rsidP="0052217E">
      <w:pPr>
        <w:pStyle w:val="Heading2"/>
        <w:spacing w:line="360" w:lineRule="auto"/>
      </w:pPr>
      <w:bookmarkStart w:id="16" w:name="_Toc243534605"/>
      <w:r w:rsidRPr="009332E7">
        <w:t>3.2 Reflection on Strategic Decisions and Alternative Approaches</w:t>
      </w:r>
      <w:bookmarkEnd w:id="16"/>
    </w:p>
    <w:p w14:paraId="13B36AD6" w14:textId="2C46225B" w:rsidR="009332E7" w:rsidRDefault="009332E7" w:rsidP="0052217E">
      <w:pPr>
        <w:spacing w:line="360" w:lineRule="auto"/>
        <w:jc w:val="both"/>
      </w:pPr>
      <w:r w:rsidRPr="009332E7">
        <w:t xml:space="preserve">My original inclination was to suggest </w:t>
      </w:r>
      <w:r w:rsidRPr="009332E7">
        <w:t>going on</w:t>
      </w:r>
      <w:r w:rsidRPr="009332E7">
        <w:t xml:space="preserve"> the route of product development by selecting low-carbon packaging steel as it could leverage on the already established base of customers, manufacturing resources etc. However, the environmental comparison of the different growth strategies showed that </w:t>
      </w:r>
      <w:r w:rsidRPr="009332E7">
        <w:t>commercial</w:t>
      </w:r>
      <w:r w:rsidRPr="009332E7">
        <w:t xml:space="preserve"> attractiveness cannot be derived from environment improvements alone. This </w:t>
      </w:r>
      <w:r w:rsidRPr="009332E7">
        <w:t>resource-based</w:t>
      </w:r>
      <w:r w:rsidRPr="009332E7">
        <w:t xml:space="preserve"> view is </w:t>
      </w:r>
      <w:r w:rsidRPr="009332E7">
        <w:t>because</w:t>
      </w:r>
      <w:r w:rsidRPr="009332E7">
        <w:t xml:space="preserve"> competitive advantage is based on valuable capabilities that cannot be easily replicated by competitors (Barney, 1991). This questioned my belief that introducing EAF technology would surely lead to differentiation, at least in those cases where other manufacturers invest in those technologies as well. I therefore believed that focused differentiation was more suitable than producing a commodity which presumably is not competitively priced in that market. Market </w:t>
      </w:r>
      <w:r w:rsidRPr="009332E7">
        <w:t>penetration,</w:t>
      </w:r>
      <w:r w:rsidRPr="009332E7">
        <w:t xml:space="preserve"> however, may be more beneficial if the consumer felt that the products offered were not adding any more value than what they already saw as such. This reflection reiterated the notion of strategic frameworks as decision support and not solutions to problems.</w:t>
      </w:r>
    </w:p>
    <w:p w14:paraId="5687AE23" w14:textId="77777777" w:rsidR="009332E7" w:rsidRPr="009332E7" w:rsidRDefault="009332E7" w:rsidP="0052217E">
      <w:pPr>
        <w:pStyle w:val="Heading2"/>
        <w:spacing w:line="360" w:lineRule="auto"/>
      </w:pPr>
      <w:bookmarkStart w:id="17" w:name="_Toc243534606"/>
      <w:r w:rsidRPr="009332E7">
        <w:t>3.3 Critical Limitations and Further Consultancy Research</w:t>
      </w:r>
      <w:bookmarkEnd w:id="17"/>
    </w:p>
    <w:p w14:paraId="493EB44A" w14:textId="099B132B" w:rsidR="009332E7" w:rsidRDefault="009332E7" w:rsidP="0052217E">
      <w:pPr>
        <w:spacing w:line="360" w:lineRule="auto"/>
        <w:jc w:val="both"/>
      </w:pPr>
      <w:r w:rsidRPr="009332E7">
        <w:t xml:space="preserve">My major constraint in conducting my analysis of the subject concerned was that it was based on secondary information through publications like corporate reports, various industry publications and government documents. While </w:t>
      </w:r>
      <w:r w:rsidRPr="009332E7">
        <w:t>this was</w:t>
      </w:r>
      <w:r w:rsidRPr="009332E7">
        <w:t xml:space="preserve"> helpful contextual evidence, these were not effective at providing an indication of the customers' willingness to pay or pointing towards product-level </w:t>
      </w:r>
      <w:r w:rsidRPr="009332E7">
        <w:lastRenderedPageBreak/>
        <w:t xml:space="preserve">profitability or the performance of </w:t>
      </w:r>
      <w:r w:rsidRPr="009332E7">
        <w:t>future</w:t>
      </w:r>
      <w:r w:rsidRPr="009332E7">
        <w:t xml:space="preserve"> EAF production. Schön (1983) claims one </w:t>
      </w:r>
      <w:r w:rsidRPr="009332E7">
        <w:t>must</w:t>
      </w:r>
      <w:r w:rsidRPr="009332E7">
        <w:t xml:space="preserve"> question assumptions that underlie the practice, to reflect. Applying this principle, I </w:t>
      </w:r>
      <w:r w:rsidRPr="009332E7">
        <w:t>realized</w:t>
      </w:r>
      <w:r w:rsidRPr="009332E7">
        <w:t xml:space="preserve"> that level of emission reductions promised should not be treated as deliverables of the corporation and that corporate sustainability pledges do not always lead to commercial interest. Prior to engaging with Tata Steel's senior packaging decision makers with recommendations, I would interview packaging customers, research competitor's lower carbon packaging options and secure an independent lifecycle assessment. I would also ask them to do financial sensitivity analyses when it comes to electricity prices, the availability of the scrap and the qualification costs of the products </w:t>
      </w:r>
      <w:proofErr w:type="gramStart"/>
      <w:r w:rsidRPr="009332E7">
        <w:t>and also</w:t>
      </w:r>
      <w:proofErr w:type="gramEnd"/>
      <w:r w:rsidRPr="009332E7">
        <w:t xml:space="preserve"> the expected profit. These investigations may show that it is necessary to adjust the price or to alter the target segments or change the product-development project rate.</w:t>
      </w:r>
    </w:p>
    <w:p w14:paraId="45793182" w14:textId="77777777" w:rsidR="009332E7" w:rsidRDefault="009332E7" w:rsidP="0052217E">
      <w:pPr>
        <w:spacing w:line="360" w:lineRule="auto"/>
        <w:jc w:val="both"/>
      </w:pPr>
    </w:p>
    <w:p w14:paraId="56B2587E" w14:textId="77777777" w:rsidR="009332E7" w:rsidRDefault="009332E7" w:rsidP="0052217E">
      <w:pPr>
        <w:spacing w:line="360" w:lineRule="auto"/>
        <w:jc w:val="both"/>
      </w:pPr>
    </w:p>
    <w:p w14:paraId="13719CEC" w14:textId="77777777" w:rsidR="009332E7" w:rsidRDefault="009332E7" w:rsidP="0052217E">
      <w:pPr>
        <w:spacing w:line="360" w:lineRule="auto"/>
        <w:jc w:val="both"/>
      </w:pPr>
    </w:p>
    <w:p w14:paraId="43797D62" w14:textId="77777777" w:rsidR="0052217E" w:rsidRDefault="0052217E" w:rsidP="0052217E">
      <w:pPr>
        <w:spacing w:line="360" w:lineRule="auto"/>
        <w:jc w:val="both"/>
      </w:pPr>
    </w:p>
    <w:p w14:paraId="7B0C349B" w14:textId="77777777" w:rsidR="0052217E" w:rsidRDefault="0052217E" w:rsidP="0052217E">
      <w:pPr>
        <w:spacing w:line="360" w:lineRule="auto"/>
        <w:jc w:val="both"/>
      </w:pPr>
    </w:p>
    <w:p w14:paraId="40ADD27B" w14:textId="77777777" w:rsidR="0052217E" w:rsidRDefault="0052217E" w:rsidP="0052217E">
      <w:pPr>
        <w:spacing w:line="360" w:lineRule="auto"/>
        <w:jc w:val="both"/>
      </w:pPr>
    </w:p>
    <w:p w14:paraId="6453149E" w14:textId="77777777" w:rsidR="0052217E" w:rsidRDefault="0052217E" w:rsidP="0052217E">
      <w:pPr>
        <w:spacing w:line="360" w:lineRule="auto"/>
        <w:jc w:val="both"/>
      </w:pPr>
    </w:p>
    <w:p w14:paraId="6D747186" w14:textId="77777777" w:rsidR="0052217E" w:rsidRDefault="0052217E" w:rsidP="0052217E">
      <w:pPr>
        <w:spacing w:line="360" w:lineRule="auto"/>
        <w:jc w:val="both"/>
      </w:pPr>
    </w:p>
    <w:p w14:paraId="1413634D" w14:textId="77777777" w:rsidR="0052217E" w:rsidRDefault="0052217E" w:rsidP="0052217E">
      <w:pPr>
        <w:spacing w:line="360" w:lineRule="auto"/>
        <w:jc w:val="both"/>
      </w:pPr>
    </w:p>
    <w:p w14:paraId="7BEB15B7" w14:textId="77777777" w:rsidR="0052217E" w:rsidRDefault="0052217E" w:rsidP="0052217E">
      <w:pPr>
        <w:spacing w:line="360" w:lineRule="auto"/>
        <w:jc w:val="both"/>
      </w:pPr>
    </w:p>
    <w:p w14:paraId="7B43C327" w14:textId="77777777" w:rsidR="0052217E" w:rsidRDefault="0052217E" w:rsidP="0052217E">
      <w:pPr>
        <w:spacing w:line="360" w:lineRule="auto"/>
        <w:jc w:val="both"/>
      </w:pPr>
    </w:p>
    <w:p w14:paraId="073D57B6" w14:textId="77777777" w:rsidR="0052217E" w:rsidRDefault="0052217E" w:rsidP="0052217E">
      <w:pPr>
        <w:spacing w:line="360" w:lineRule="auto"/>
        <w:jc w:val="both"/>
      </w:pPr>
    </w:p>
    <w:p w14:paraId="48A76107" w14:textId="77777777" w:rsidR="0052217E" w:rsidRDefault="0052217E" w:rsidP="0052217E">
      <w:pPr>
        <w:spacing w:line="360" w:lineRule="auto"/>
        <w:jc w:val="both"/>
      </w:pPr>
    </w:p>
    <w:p w14:paraId="26F7AC36" w14:textId="77777777" w:rsidR="009332E7" w:rsidRDefault="009332E7" w:rsidP="0052217E">
      <w:pPr>
        <w:spacing w:line="360" w:lineRule="auto"/>
        <w:jc w:val="both"/>
      </w:pPr>
    </w:p>
    <w:p w14:paraId="17A0A348" w14:textId="77777777" w:rsidR="0052217E" w:rsidRPr="0052217E" w:rsidRDefault="0052217E" w:rsidP="0052217E">
      <w:pPr>
        <w:pStyle w:val="Heading1"/>
        <w:spacing w:line="360" w:lineRule="auto"/>
      </w:pPr>
      <w:bookmarkStart w:id="18" w:name="_Toc243534607"/>
      <w:r w:rsidRPr="0052217E">
        <w:lastRenderedPageBreak/>
        <w:t>References</w:t>
      </w:r>
      <w:bookmarkEnd w:id="18"/>
    </w:p>
    <w:p w14:paraId="1682EA04" w14:textId="77777777" w:rsidR="0052217E" w:rsidRPr="0052217E" w:rsidRDefault="0052217E" w:rsidP="0052217E">
      <w:pPr>
        <w:spacing w:line="360" w:lineRule="auto"/>
        <w:jc w:val="both"/>
      </w:pPr>
      <w:r w:rsidRPr="0052217E">
        <w:t xml:space="preserve">Aguilar, F.J. (1967) </w:t>
      </w:r>
      <w:r w:rsidRPr="0052217E">
        <w:rPr>
          <w:i/>
          <w:iCs/>
        </w:rPr>
        <w:t>Scanning the Business Environment</w:t>
      </w:r>
      <w:r w:rsidRPr="0052217E">
        <w:t>. New York: Macmillan.</w:t>
      </w:r>
    </w:p>
    <w:p w14:paraId="37584EEE" w14:textId="77777777" w:rsidR="0052217E" w:rsidRPr="0052217E" w:rsidRDefault="0052217E" w:rsidP="0052217E">
      <w:pPr>
        <w:spacing w:line="360" w:lineRule="auto"/>
        <w:jc w:val="both"/>
      </w:pPr>
      <w:r w:rsidRPr="0052217E">
        <w:t xml:space="preserve">Ansoff, H.I. (1957) 'Strategies for diversification', </w:t>
      </w:r>
      <w:r w:rsidRPr="0052217E">
        <w:rPr>
          <w:i/>
          <w:iCs/>
        </w:rPr>
        <w:t>Harvard Business Review</w:t>
      </w:r>
      <w:r w:rsidRPr="0052217E">
        <w:t xml:space="preserve">, 35(5), pp. 113–124. Available at: </w:t>
      </w:r>
      <w:hyperlink r:id="rId10" w:history="1">
        <w:r w:rsidRPr="0052217E">
          <w:rPr>
            <w:rStyle w:val="Hyperlink"/>
          </w:rPr>
          <w:t>https://hbr.org/1957/09/strategies-for-diversification</w:t>
        </w:r>
      </w:hyperlink>
    </w:p>
    <w:p w14:paraId="51D8D222" w14:textId="77777777" w:rsidR="0052217E" w:rsidRPr="0052217E" w:rsidRDefault="0052217E" w:rsidP="0052217E">
      <w:pPr>
        <w:spacing w:line="360" w:lineRule="auto"/>
        <w:jc w:val="both"/>
      </w:pPr>
      <w:r w:rsidRPr="0052217E">
        <w:t xml:space="preserve">Barney, J.B. (1991) 'Firm resources and sustained competitive advantage', </w:t>
      </w:r>
      <w:r w:rsidRPr="0052217E">
        <w:rPr>
          <w:i/>
          <w:iCs/>
        </w:rPr>
        <w:t>Journal of Management</w:t>
      </w:r>
      <w:r w:rsidRPr="0052217E">
        <w:t xml:space="preserve">, 17(1), pp. 99–120. Available at: </w:t>
      </w:r>
      <w:hyperlink r:id="rId11" w:history="1">
        <w:r w:rsidRPr="0052217E">
          <w:rPr>
            <w:rStyle w:val="Hyperlink"/>
          </w:rPr>
          <w:t>https://doi.org/10.1177/014920639101700108</w:t>
        </w:r>
      </w:hyperlink>
    </w:p>
    <w:p w14:paraId="06023BBF" w14:textId="77777777" w:rsidR="0052217E" w:rsidRPr="0052217E" w:rsidRDefault="0052217E" w:rsidP="0052217E">
      <w:pPr>
        <w:spacing w:line="360" w:lineRule="auto"/>
        <w:jc w:val="both"/>
      </w:pPr>
      <w:proofErr w:type="spellStart"/>
      <w:r w:rsidRPr="0052217E">
        <w:t>Bocken</w:t>
      </w:r>
      <w:proofErr w:type="spellEnd"/>
      <w:r w:rsidRPr="0052217E">
        <w:t xml:space="preserve">, N.M.P., de Pauw, I., Bakker, C. and van der </w:t>
      </w:r>
      <w:proofErr w:type="spellStart"/>
      <w:r w:rsidRPr="0052217E">
        <w:t>Grinten</w:t>
      </w:r>
      <w:proofErr w:type="spellEnd"/>
      <w:r w:rsidRPr="0052217E">
        <w:t xml:space="preserve">, B. (2016) 'Product design and business model strategies for a circular economy', </w:t>
      </w:r>
      <w:r w:rsidRPr="0052217E">
        <w:rPr>
          <w:i/>
          <w:iCs/>
        </w:rPr>
        <w:t>Journal of Industrial and Production Engineering</w:t>
      </w:r>
      <w:r w:rsidRPr="0052217E">
        <w:t xml:space="preserve">, 33(5), pp. 308–320. Available at: </w:t>
      </w:r>
      <w:hyperlink r:id="rId12" w:history="1">
        <w:r w:rsidRPr="0052217E">
          <w:rPr>
            <w:rStyle w:val="Hyperlink"/>
          </w:rPr>
          <w:t>https://doi.org/10.1080/21681015.2016.1172124</w:t>
        </w:r>
      </w:hyperlink>
    </w:p>
    <w:p w14:paraId="1EBAB640" w14:textId="77777777" w:rsidR="0052217E" w:rsidRPr="0052217E" w:rsidRDefault="0052217E" w:rsidP="0052217E">
      <w:pPr>
        <w:spacing w:line="360" w:lineRule="auto"/>
        <w:jc w:val="both"/>
      </w:pPr>
      <w:r w:rsidRPr="0052217E">
        <w:t xml:space="preserve">HM Revenue &amp; Customs (2026) </w:t>
      </w:r>
      <w:r w:rsidRPr="0052217E">
        <w:rPr>
          <w:i/>
          <w:iCs/>
        </w:rPr>
        <w:t>Carbon Border Adjustment Mechanism</w:t>
      </w:r>
      <w:r w:rsidRPr="0052217E">
        <w:t xml:space="preserve">. Available at: </w:t>
      </w:r>
      <w:hyperlink r:id="rId13" w:history="1">
        <w:r w:rsidRPr="0052217E">
          <w:rPr>
            <w:rStyle w:val="Hyperlink"/>
          </w:rPr>
          <w:t>https://www.gov.uk/government/publications/introduction-of-carbon-border-adjustment-mechanism/carbon-border-adjustment-mechanism</w:t>
        </w:r>
      </w:hyperlink>
    </w:p>
    <w:p w14:paraId="7BEE8100" w14:textId="77777777" w:rsidR="0052217E" w:rsidRPr="0052217E" w:rsidRDefault="0052217E" w:rsidP="0052217E">
      <w:pPr>
        <w:spacing w:line="360" w:lineRule="auto"/>
        <w:jc w:val="both"/>
      </w:pPr>
      <w:r w:rsidRPr="0052217E">
        <w:t xml:space="preserve">Hooley, G.J., </w:t>
      </w:r>
      <w:proofErr w:type="spellStart"/>
      <w:r w:rsidRPr="0052217E">
        <w:t>Nicoulaud</w:t>
      </w:r>
      <w:proofErr w:type="spellEnd"/>
      <w:r w:rsidRPr="0052217E">
        <w:t xml:space="preserve">, B., Rudd, J.M. and Lee, N. (2020) </w:t>
      </w:r>
      <w:r w:rsidRPr="0052217E">
        <w:rPr>
          <w:i/>
          <w:iCs/>
        </w:rPr>
        <w:t>Marketing Strategy and Competitive Positioning</w:t>
      </w:r>
      <w:r w:rsidRPr="0052217E">
        <w:t xml:space="preserve">. 7th </w:t>
      </w:r>
      <w:proofErr w:type="spellStart"/>
      <w:r w:rsidRPr="0052217E">
        <w:t>edn</w:t>
      </w:r>
      <w:proofErr w:type="spellEnd"/>
      <w:r w:rsidRPr="0052217E">
        <w:t>. Harlow: Pearson.</w:t>
      </w:r>
    </w:p>
    <w:p w14:paraId="07D7CF58" w14:textId="77777777" w:rsidR="0052217E" w:rsidRPr="0052217E" w:rsidRDefault="0052217E" w:rsidP="0052217E">
      <w:pPr>
        <w:spacing w:line="360" w:lineRule="auto"/>
        <w:jc w:val="both"/>
      </w:pPr>
      <w:r w:rsidRPr="0052217E">
        <w:t xml:space="preserve">International Energy Agency (2020) </w:t>
      </w:r>
      <w:r w:rsidRPr="0052217E">
        <w:rPr>
          <w:i/>
          <w:iCs/>
        </w:rPr>
        <w:t>Iron and Steel Technology Roadmap: Towards More Sustainable Steelmaking</w:t>
      </w:r>
      <w:r w:rsidRPr="0052217E">
        <w:t xml:space="preserve">. Paris: International Energy Agency. Available at: </w:t>
      </w:r>
      <w:hyperlink r:id="rId14" w:history="1">
        <w:r w:rsidRPr="0052217E">
          <w:rPr>
            <w:rStyle w:val="Hyperlink"/>
          </w:rPr>
          <w:t>https://www.iea.org/reports/iron-and-steel-technology-roadmap</w:t>
        </w:r>
      </w:hyperlink>
    </w:p>
    <w:p w14:paraId="7D3A1DA2" w14:textId="392E3B35" w:rsidR="0052217E" w:rsidRPr="0052217E" w:rsidRDefault="0052217E" w:rsidP="0052217E">
      <w:pPr>
        <w:spacing w:line="360" w:lineRule="auto"/>
        <w:jc w:val="both"/>
      </w:pPr>
      <w:r w:rsidRPr="0052217E">
        <w:t xml:space="preserve">International Organization for Standardization (2018) </w:t>
      </w:r>
      <w:r w:rsidRPr="0052217E">
        <w:rPr>
          <w:i/>
          <w:iCs/>
        </w:rPr>
        <w:t xml:space="preserve">ISO 14067:2018: Greenhouse Gases — Carbon Footprint of </w:t>
      </w:r>
      <w:proofErr w:type="gramStart"/>
      <w:r w:rsidRPr="0052217E">
        <w:rPr>
          <w:i/>
          <w:iCs/>
        </w:rPr>
        <w:t>Products  Requirements</w:t>
      </w:r>
      <w:proofErr w:type="gramEnd"/>
      <w:r w:rsidRPr="0052217E">
        <w:rPr>
          <w:i/>
          <w:iCs/>
        </w:rPr>
        <w:t xml:space="preserve"> and Guidelines for Quantification</w:t>
      </w:r>
      <w:r w:rsidRPr="0052217E">
        <w:t xml:space="preserve">. Geneva: ISO. Available at: </w:t>
      </w:r>
      <w:hyperlink r:id="rId15" w:history="1">
        <w:r w:rsidRPr="0052217E">
          <w:rPr>
            <w:rStyle w:val="Hyperlink"/>
          </w:rPr>
          <w:t>https://www.iso.org/standard/71206.html</w:t>
        </w:r>
      </w:hyperlink>
    </w:p>
    <w:p w14:paraId="398FD8AC" w14:textId="77777777" w:rsidR="0052217E" w:rsidRPr="0052217E" w:rsidRDefault="0052217E" w:rsidP="0052217E">
      <w:pPr>
        <w:spacing w:line="360" w:lineRule="auto"/>
        <w:jc w:val="both"/>
      </w:pPr>
      <w:r w:rsidRPr="0052217E">
        <w:t xml:space="preserve">Kotler, P., Armstrong, G., Harris, L. and Piercy, N. (2020) </w:t>
      </w:r>
      <w:r w:rsidRPr="0052217E">
        <w:rPr>
          <w:i/>
          <w:iCs/>
        </w:rPr>
        <w:t>Principles of Marketing</w:t>
      </w:r>
      <w:r w:rsidRPr="0052217E">
        <w:t xml:space="preserve">. 8th European </w:t>
      </w:r>
      <w:proofErr w:type="spellStart"/>
      <w:r w:rsidRPr="0052217E">
        <w:t>edn</w:t>
      </w:r>
      <w:proofErr w:type="spellEnd"/>
      <w:r w:rsidRPr="0052217E">
        <w:t>. Harlow: Pearson.</w:t>
      </w:r>
    </w:p>
    <w:p w14:paraId="5E780C09" w14:textId="77777777" w:rsidR="0052217E" w:rsidRPr="0052217E" w:rsidRDefault="0052217E" w:rsidP="0052217E">
      <w:pPr>
        <w:spacing w:line="360" w:lineRule="auto"/>
        <w:jc w:val="both"/>
      </w:pPr>
      <w:proofErr w:type="spellStart"/>
      <w:r w:rsidRPr="0052217E">
        <w:t>Organisation</w:t>
      </w:r>
      <w:proofErr w:type="spellEnd"/>
      <w:r w:rsidRPr="0052217E">
        <w:t xml:space="preserve"> for Economic Co-operation and Development (2026) </w:t>
      </w:r>
      <w:r w:rsidRPr="0052217E">
        <w:rPr>
          <w:i/>
          <w:iCs/>
        </w:rPr>
        <w:t>OECD Steel Outlook 2026</w:t>
      </w:r>
      <w:r w:rsidRPr="0052217E">
        <w:t xml:space="preserve">. Paris: OECD Publishing. Available at: </w:t>
      </w:r>
      <w:hyperlink r:id="rId16" w:history="1">
        <w:r w:rsidRPr="0052217E">
          <w:rPr>
            <w:rStyle w:val="Hyperlink"/>
          </w:rPr>
          <w:t>https://doi.org/10.1787/99ab9b0c-en</w:t>
        </w:r>
      </w:hyperlink>
    </w:p>
    <w:p w14:paraId="3E728F09" w14:textId="77777777" w:rsidR="0052217E" w:rsidRPr="0052217E" w:rsidRDefault="0052217E" w:rsidP="0052217E">
      <w:pPr>
        <w:spacing w:line="360" w:lineRule="auto"/>
        <w:jc w:val="both"/>
      </w:pPr>
      <w:r w:rsidRPr="0052217E">
        <w:t xml:space="preserve">Porter, M.E. (1985) </w:t>
      </w:r>
      <w:r w:rsidRPr="0052217E">
        <w:rPr>
          <w:i/>
          <w:iCs/>
        </w:rPr>
        <w:t>Competitive Advantage: Creating and Sustaining Superior Performance</w:t>
      </w:r>
      <w:r w:rsidRPr="0052217E">
        <w:t>. New York: Free Press.</w:t>
      </w:r>
    </w:p>
    <w:p w14:paraId="4BE616F9" w14:textId="77777777" w:rsidR="0052217E" w:rsidRPr="0052217E" w:rsidRDefault="0052217E" w:rsidP="0052217E">
      <w:pPr>
        <w:spacing w:line="360" w:lineRule="auto"/>
        <w:jc w:val="both"/>
      </w:pPr>
      <w:proofErr w:type="spellStart"/>
      <w:r w:rsidRPr="0052217E">
        <w:lastRenderedPageBreak/>
        <w:t>ResponsibleSteel</w:t>
      </w:r>
      <w:proofErr w:type="spellEnd"/>
      <w:r w:rsidRPr="0052217E">
        <w:t xml:space="preserve"> (2024) </w:t>
      </w:r>
      <w:proofErr w:type="spellStart"/>
      <w:r w:rsidRPr="0052217E">
        <w:rPr>
          <w:i/>
          <w:iCs/>
        </w:rPr>
        <w:t>ResponsibleSteel</w:t>
      </w:r>
      <w:proofErr w:type="spellEnd"/>
      <w:r w:rsidRPr="0052217E">
        <w:rPr>
          <w:i/>
          <w:iCs/>
        </w:rPr>
        <w:t xml:space="preserve"> International Production Standard: Version 2.1.1</w:t>
      </w:r>
      <w:r w:rsidRPr="0052217E">
        <w:t xml:space="preserve">. Available at: </w:t>
      </w:r>
      <w:hyperlink r:id="rId17" w:history="1">
        <w:r w:rsidRPr="0052217E">
          <w:rPr>
            <w:rStyle w:val="Hyperlink"/>
          </w:rPr>
          <w:t>https://www.responsiblesteel.org/standards</w:t>
        </w:r>
      </w:hyperlink>
    </w:p>
    <w:p w14:paraId="550C2BF7" w14:textId="77777777" w:rsidR="0052217E" w:rsidRPr="0052217E" w:rsidRDefault="0052217E" w:rsidP="0052217E">
      <w:pPr>
        <w:spacing w:line="360" w:lineRule="auto"/>
        <w:jc w:val="both"/>
      </w:pPr>
      <w:r w:rsidRPr="0052217E">
        <w:t xml:space="preserve">Schön, D.A. (1983) </w:t>
      </w:r>
      <w:r w:rsidRPr="0052217E">
        <w:rPr>
          <w:i/>
          <w:iCs/>
        </w:rPr>
        <w:t>The Reflective Practitioner: How Professionals Think in Action</w:t>
      </w:r>
      <w:r w:rsidRPr="0052217E">
        <w:t>. New York: Basic Books.</w:t>
      </w:r>
    </w:p>
    <w:p w14:paraId="4EFF96F2" w14:textId="77777777" w:rsidR="0052217E" w:rsidRPr="0052217E" w:rsidRDefault="0052217E" w:rsidP="0052217E">
      <w:pPr>
        <w:spacing w:line="360" w:lineRule="auto"/>
        <w:jc w:val="both"/>
      </w:pPr>
      <w:r w:rsidRPr="0052217E">
        <w:t xml:space="preserve">Tata Steel (2024) </w:t>
      </w:r>
      <w:r w:rsidRPr="0052217E">
        <w:rPr>
          <w:i/>
          <w:iCs/>
        </w:rPr>
        <w:t>Tata Steel signs £500 million grant funding agreement with UK Government for £1.25 billion green steel project in Port Talbot</w:t>
      </w:r>
      <w:r w:rsidRPr="0052217E">
        <w:t xml:space="preserve">. Available at: </w:t>
      </w:r>
      <w:hyperlink r:id="rId18" w:history="1">
        <w:r w:rsidRPr="0052217E">
          <w:rPr>
            <w:rStyle w:val="Hyperlink"/>
          </w:rPr>
          <w:t>https://www.tatasteel.com/media/newsroom/press-releases/india/2024/tata-steel-signs-500-million-grant-funding-agreement-with-uk-government-for-125-billion-green-steel-project-in-port-talbot/</w:t>
        </w:r>
      </w:hyperlink>
    </w:p>
    <w:p w14:paraId="3E4E9130" w14:textId="77777777" w:rsidR="0052217E" w:rsidRPr="0052217E" w:rsidRDefault="0052217E" w:rsidP="0052217E">
      <w:pPr>
        <w:spacing w:line="360" w:lineRule="auto"/>
        <w:jc w:val="both"/>
      </w:pPr>
      <w:r w:rsidRPr="0052217E">
        <w:t xml:space="preserve">Tata Steel (2026) </w:t>
      </w:r>
      <w:r w:rsidRPr="0052217E">
        <w:rPr>
          <w:i/>
          <w:iCs/>
        </w:rPr>
        <w:t>Integrated Report and Annual Accounts 2025–26: Advancing</w:t>
      </w:r>
      <w:r w:rsidRPr="0052217E">
        <w:t xml:space="preserve">. Available at: </w:t>
      </w:r>
      <w:hyperlink r:id="rId19" w:history="1">
        <w:r w:rsidRPr="0052217E">
          <w:rPr>
            <w:rStyle w:val="Hyperlink"/>
          </w:rPr>
          <w:t>https://www.tatasteel.com/investors/integrated-report-2025-26/advancing.html</w:t>
        </w:r>
      </w:hyperlink>
    </w:p>
    <w:p w14:paraId="6724BF05" w14:textId="77777777" w:rsidR="0052217E" w:rsidRPr="0052217E" w:rsidRDefault="0052217E" w:rsidP="0052217E">
      <w:pPr>
        <w:spacing w:line="360" w:lineRule="auto"/>
        <w:jc w:val="both"/>
      </w:pPr>
      <w:r w:rsidRPr="0052217E">
        <w:t xml:space="preserve">Tata Steel UK (2025) </w:t>
      </w:r>
      <w:r w:rsidRPr="0052217E">
        <w:rPr>
          <w:i/>
          <w:iCs/>
        </w:rPr>
        <w:t>Written evidence submitted to the Business and Trade Committee: Industrial Strategy Inquiry (IND0060)</w:t>
      </w:r>
      <w:r w:rsidRPr="0052217E">
        <w:t xml:space="preserve">. UK Parliament. Available at: </w:t>
      </w:r>
      <w:hyperlink r:id="rId20" w:history="1">
        <w:r w:rsidRPr="0052217E">
          <w:rPr>
            <w:rStyle w:val="Hyperlink"/>
          </w:rPr>
          <w:t>https://committees.parliament.uk/writtenevidence/137897/html/</w:t>
        </w:r>
      </w:hyperlink>
    </w:p>
    <w:p w14:paraId="07C101D4" w14:textId="77777777" w:rsidR="0052217E" w:rsidRPr="0052217E" w:rsidRDefault="0052217E" w:rsidP="0052217E">
      <w:pPr>
        <w:spacing w:line="360" w:lineRule="auto"/>
        <w:jc w:val="both"/>
      </w:pPr>
      <w:r w:rsidRPr="0052217E">
        <w:t>Tata Steel UK (</w:t>
      </w:r>
      <w:proofErr w:type="spellStart"/>
      <w:r w:rsidRPr="0052217E">
        <w:t>n.d.a</w:t>
      </w:r>
      <w:proofErr w:type="spellEnd"/>
      <w:r w:rsidRPr="0052217E">
        <w:t xml:space="preserve">) </w:t>
      </w:r>
      <w:r w:rsidRPr="0052217E">
        <w:rPr>
          <w:i/>
          <w:iCs/>
        </w:rPr>
        <w:t>Electrifying Packaging</w:t>
      </w:r>
      <w:r w:rsidRPr="0052217E">
        <w:t xml:space="preserve">. Available at: </w:t>
      </w:r>
      <w:hyperlink r:id="rId21" w:history="1">
        <w:r w:rsidRPr="0052217E">
          <w:rPr>
            <w:rStyle w:val="Hyperlink"/>
          </w:rPr>
          <w:t>https://www.tatasteeluk.com/packaging/electrifying</w:t>
        </w:r>
      </w:hyperlink>
    </w:p>
    <w:p w14:paraId="126FE1C8" w14:textId="77777777" w:rsidR="0052217E" w:rsidRPr="0052217E" w:rsidRDefault="0052217E" w:rsidP="0052217E">
      <w:pPr>
        <w:spacing w:line="360" w:lineRule="auto"/>
        <w:jc w:val="both"/>
      </w:pPr>
      <w:r w:rsidRPr="0052217E">
        <w:t>Tata Steel UK (</w:t>
      </w:r>
      <w:proofErr w:type="spellStart"/>
      <w:r w:rsidRPr="0052217E">
        <w:t>n.d.b</w:t>
      </w:r>
      <w:proofErr w:type="spellEnd"/>
      <w:r w:rsidRPr="0052217E">
        <w:t xml:space="preserve">) </w:t>
      </w:r>
      <w:proofErr w:type="spellStart"/>
      <w:r w:rsidRPr="0052217E">
        <w:rPr>
          <w:i/>
          <w:iCs/>
        </w:rPr>
        <w:t>Optemis</w:t>
      </w:r>
      <w:proofErr w:type="spellEnd"/>
      <w:r w:rsidRPr="0052217E">
        <w:rPr>
          <w:i/>
          <w:iCs/>
        </w:rPr>
        <w:t>: Green Steel Solutions</w:t>
      </w:r>
      <w:r w:rsidRPr="0052217E">
        <w:t xml:space="preserve">. Available at: </w:t>
      </w:r>
      <w:hyperlink r:id="rId22" w:history="1">
        <w:r w:rsidRPr="0052217E">
          <w:rPr>
            <w:rStyle w:val="Hyperlink"/>
          </w:rPr>
          <w:t>https://www.tatasteeluk.com/sustainability/green-steel-solutions/optemis</w:t>
        </w:r>
      </w:hyperlink>
    </w:p>
    <w:p w14:paraId="69357F3C" w14:textId="77777777" w:rsidR="0052217E" w:rsidRPr="0052217E" w:rsidRDefault="0052217E" w:rsidP="0052217E">
      <w:pPr>
        <w:spacing w:line="360" w:lineRule="auto"/>
        <w:jc w:val="both"/>
      </w:pPr>
      <w:r w:rsidRPr="0052217E">
        <w:t xml:space="preserve">World Steel Association (2025) </w:t>
      </w:r>
      <w:r w:rsidRPr="0052217E">
        <w:rPr>
          <w:i/>
          <w:iCs/>
        </w:rPr>
        <w:t>Sustainability Indicators Report 2025</w:t>
      </w:r>
      <w:r w:rsidRPr="0052217E">
        <w:t xml:space="preserve">. Brussels: World Steel Association. Available at: </w:t>
      </w:r>
      <w:hyperlink r:id="rId23" w:history="1">
        <w:r w:rsidRPr="0052217E">
          <w:rPr>
            <w:rStyle w:val="Hyperlink"/>
          </w:rPr>
          <w:t>https://worldsteel.org/wider-sustainability/sustainability-indicators/</w:t>
        </w:r>
      </w:hyperlink>
    </w:p>
    <w:p w14:paraId="445F08DF" w14:textId="77777777" w:rsidR="0052217E" w:rsidRPr="0052217E" w:rsidRDefault="0052217E" w:rsidP="0052217E">
      <w:pPr>
        <w:spacing w:line="360" w:lineRule="auto"/>
        <w:jc w:val="both"/>
      </w:pPr>
      <w:r w:rsidRPr="0052217E">
        <w:t xml:space="preserve">Zeithaml, V.A. (1988) 'Consumer perceptions of price, quality, and value: A means-end model and synthesis of evidence', </w:t>
      </w:r>
      <w:r w:rsidRPr="0052217E">
        <w:rPr>
          <w:i/>
          <w:iCs/>
        </w:rPr>
        <w:t>Journal of Marketing</w:t>
      </w:r>
      <w:r w:rsidRPr="0052217E">
        <w:t xml:space="preserve">, 52(3), pp. 2–22. Available at: </w:t>
      </w:r>
      <w:hyperlink r:id="rId24" w:history="1">
        <w:r w:rsidRPr="0052217E">
          <w:rPr>
            <w:rStyle w:val="Hyperlink"/>
          </w:rPr>
          <w:t>https://doi.org/10.1177/002224298805200302</w:t>
        </w:r>
      </w:hyperlink>
    </w:p>
    <w:p w14:paraId="5398D72F" w14:textId="77777777" w:rsidR="009332E7" w:rsidRDefault="009332E7" w:rsidP="0052217E">
      <w:pPr>
        <w:spacing w:line="360" w:lineRule="auto"/>
        <w:jc w:val="both"/>
      </w:pPr>
    </w:p>
    <w:p w14:paraId="56AEF37D" w14:textId="77777777" w:rsidR="009332E7" w:rsidRDefault="009332E7" w:rsidP="0052217E">
      <w:pPr>
        <w:spacing w:line="360" w:lineRule="auto"/>
        <w:jc w:val="both"/>
      </w:pPr>
    </w:p>
    <w:sectPr w:rsidR="009332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FDE"/>
    <w:rsid w:val="001150F4"/>
    <w:rsid w:val="0052217E"/>
    <w:rsid w:val="0072053B"/>
    <w:rsid w:val="007A7915"/>
    <w:rsid w:val="007B100F"/>
    <w:rsid w:val="007D4B72"/>
    <w:rsid w:val="009332E7"/>
    <w:rsid w:val="00980847"/>
    <w:rsid w:val="00993FDE"/>
    <w:rsid w:val="00AF0A44"/>
    <w:rsid w:val="00B60BE4"/>
    <w:rsid w:val="00F55E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4F38A"/>
  <w15:chartTrackingRefBased/>
  <w15:docId w15:val="{7AC14FCC-4E71-4B5B-AB1D-27BF7324F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0F4"/>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1150F4"/>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7A7915"/>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993FD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93FD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93FD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3FD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3FD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3FD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0F4"/>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1150F4"/>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7A7915"/>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993FD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93FD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93FD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93FD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93FD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93FD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93F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F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FD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FD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93FDE"/>
    <w:pPr>
      <w:spacing w:before="160"/>
      <w:jc w:val="center"/>
    </w:pPr>
    <w:rPr>
      <w:i/>
      <w:iCs/>
      <w:color w:val="404040" w:themeColor="text1" w:themeTint="BF"/>
    </w:rPr>
  </w:style>
  <w:style w:type="character" w:customStyle="1" w:styleId="QuoteChar">
    <w:name w:val="Quote Char"/>
    <w:basedOn w:val="DefaultParagraphFont"/>
    <w:link w:val="Quote"/>
    <w:uiPriority w:val="29"/>
    <w:rsid w:val="00993FDE"/>
    <w:rPr>
      <w:i/>
      <w:iCs/>
      <w:color w:val="404040" w:themeColor="text1" w:themeTint="BF"/>
    </w:rPr>
  </w:style>
  <w:style w:type="paragraph" w:styleId="ListParagraph">
    <w:name w:val="List Paragraph"/>
    <w:basedOn w:val="Normal"/>
    <w:uiPriority w:val="34"/>
    <w:qFormat/>
    <w:rsid w:val="00993FDE"/>
    <w:pPr>
      <w:ind w:left="720"/>
      <w:contextualSpacing/>
    </w:pPr>
  </w:style>
  <w:style w:type="character" w:styleId="IntenseEmphasis">
    <w:name w:val="Intense Emphasis"/>
    <w:basedOn w:val="DefaultParagraphFont"/>
    <w:uiPriority w:val="21"/>
    <w:qFormat/>
    <w:rsid w:val="00993FDE"/>
    <w:rPr>
      <w:i/>
      <w:iCs/>
      <w:color w:val="0F4761" w:themeColor="accent1" w:themeShade="BF"/>
    </w:rPr>
  </w:style>
  <w:style w:type="paragraph" w:styleId="IntenseQuote">
    <w:name w:val="Intense Quote"/>
    <w:basedOn w:val="Normal"/>
    <w:next w:val="Normal"/>
    <w:link w:val="IntenseQuoteChar"/>
    <w:uiPriority w:val="30"/>
    <w:qFormat/>
    <w:rsid w:val="00993F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3FDE"/>
    <w:rPr>
      <w:i/>
      <w:iCs/>
      <w:color w:val="0F4761" w:themeColor="accent1" w:themeShade="BF"/>
    </w:rPr>
  </w:style>
  <w:style w:type="character" w:styleId="IntenseReference">
    <w:name w:val="Intense Reference"/>
    <w:basedOn w:val="DefaultParagraphFont"/>
    <w:uiPriority w:val="32"/>
    <w:qFormat/>
    <w:rsid w:val="00993FDE"/>
    <w:rPr>
      <w:b/>
      <w:bCs/>
      <w:smallCaps/>
      <w:color w:val="0F4761" w:themeColor="accent1" w:themeShade="BF"/>
      <w:spacing w:val="5"/>
    </w:rPr>
  </w:style>
  <w:style w:type="paragraph" w:styleId="TOCHeading">
    <w:name w:val="TOC Heading"/>
    <w:basedOn w:val="Heading1"/>
    <w:next w:val="Normal"/>
    <w:uiPriority w:val="39"/>
    <w:unhideWhenUsed/>
    <w:qFormat/>
    <w:rsid w:val="0052217E"/>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52217E"/>
    <w:pPr>
      <w:tabs>
        <w:tab w:val="right" w:leader="dot" w:pos="9350"/>
      </w:tabs>
      <w:spacing w:after="100" w:line="360" w:lineRule="auto"/>
    </w:pPr>
  </w:style>
  <w:style w:type="paragraph" w:styleId="TOC2">
    <w:name w:val="toc 2"/>
    <w:basedOn w:val="Normal"/>
    <w:next w:val="Normal"/>
    <w:autoRedefine/>
    <w:uiPriority w:val="39"/>
    <w:unhideWhenUsed/>
    <w:rsid w:val="0052217E"/>
    <w:pPr>
      <w:spacing w:after="100"/>
      <w:ind w:left="240"/>
    </w:pPr>
  </w:style>
  <w:style w:type="paragraph" w:styleId="TOC3">
    <w:name w:val="toc 3"/>
    <w:basedOn w:val="Normal"/>
    <w:next w:val="Normal"/>
    <w:autoRedefine/>
    <w:uiPriority w:val="39"/>
    <w:unhideWhenUsed/>
    <w:rsid w:val="0052217E"/>
    <w:pPr>
      <w:spacing w:after="100"/>
      <w:ind w:left="480"/>
    </w:pPr>
  </w:style>
  <w:style w:type="character" w:styleId="Hyperlink">
    <w:name w:val="Hyperlink"/>
    <w:basedOn w:val="DefaultParagraphFont"/>
    <w:uiPriority w:val="99"/>
    <w:unhideWhenUsed/>
    <w:rsid w:val="0052217E"/>
    <w:rPr>
      <w:color w:val="467886" w:themeColor="hyperlink"/>
      <w:u w:val="single"/>
    </w:rPr>
  </w:style>
  <w:style w:type="character" w:styleId="UnresolvedMention">
    <w:name w:val="Unresolved Mention"/>
    <w:basedOn w:val="DefaultParagraphFont"/>
    <w:uiPriority w:val="99"/>
    <w:semiHidden/>
    <w:unhideWhenUsed/>
    <w:rsid w:val="005221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gov.uk/government/publications/introduction-of-carbon-border-adjustment-mechanism/carbon-border-adjustment-mechanism" TargetMode="External"/><Relationship Id="rId18" Type="http://schemas.openxmlformats.org/officeDocument/2006/relationships/hyperlink" Target="https://www.tatasteel.com/media/newsroom/press-releases/india/2024/tata-steel-signs-500-million-grant-funding-agreement-with-uk-government-for-125-billion-green-steel-project-in-port-talbo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atasteeluk.com/packaging/electrifying" TargetMode="External"/><Relationship Id="rId7" Type="http://schemas.openxmlformats.org/officeDocument/2006/relationships/image" Target="media/image3.png"/><Relationship Id="rId12" Type="http://schemas.openxmlformats.org/officeDocument/2006/relationships/hyperlink" Target="https://doi.org/10.1080/21681015.2016.1172124" TargetMode="External"/><Relationship Id="rId17" Type="http://schemas.openxmlformats.org/officeDocument/2006/relationships/hyperlink" Target="https://www.responsiblesteel.org/standard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787/99ab9b0c-en" TargetMode="External"/><Relationship Id="rId20" Type="http://schemas.openxmlformats.org/officeDocument/2006/relationships/hyperlink" Target="https://committees.parliament.uk/writtenevidence/137897/html/"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177/014920639101700108" TargetMode="External"/><Relationship Id="rId24" Type="http://schemas.openxmlformats.org/officeDocument/2006/relationships/hyperlink" Target="https://doi.org/10.1177/002224298805200302" TargetMode="External"/><Relationship Id="rId5" Type="http://schemas.openxmlformats.org/officeDocument/2006/relationships/image" Target="media/image1.png"/><Relationship Id="rId15" Type="http://schemas.openxmlformats.org/officeDocument/2006/relationships/hyperlink" Target="https://www.iso.org/standard/71206.html" TargetMode="External"/><Relationship Id="rId23" Type="http://schemas.openxmlformats.org/officeDocument/2006/relationships/hyperlink" Target="https://worldsteel.org/wider-sustainability/sustainability-indicators/" TargetMode="External"/><Relationship Id="rId10" Type="http://schemas.openxmlformats.org/officeDocument/2006/relationships/hyperlink" Target="https://hbr.org/1957/09/strategies-for-diversification" TargetMode="External"/><Relationship Id="rId19" Type="http://schemas.openxmlformats.org/officeDocument/2006/relationships/hyperlink" Target="https://www.tatasteel.com/investors/integrated-report-2025-26/advancing.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iea.org/reports/iron-and-steel-technology-roadmap" TargetMode="External"/><Relationship Id="rId22" Type="http://schemas.openxmlformats.org/officeDocument/2006/relationships/hyperlink" Target="https://www.tatasteeluk.com/sustainability/green-steel-solutions/optem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30884-597A-4B37-B2F7-6D1D7CF33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14</Pages>
  <Words>3934</Words>
  <Characters>22424</Characters>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2026-10-22T10:17:00Z</dcterms:created>
  <dcterms:modified xsi:type="dcterms:W3CDTF">2026-10-22T11:17:00Z</dcterms:modified>
</cp:coreProperties>
</file>