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078E6" w14:textId="21E8ADDD" w:rsidR="009C4E66" w:rsidRDefault="00193B76">
      <w:pPr>
        <w:spacing w:line="360" w:lineRule="auto"/>
        <w:jc w:val="center"/>
        <w:rPr>
          <w:rFonts w:ascii="Times New Roman" w:eastAsia="Times New Roman" w:hAnsi="Times New Roman" w:cs="Times New Roman"/>
          <w:sz w:val="24"/>
          <w:szCs w:val="24"/>
        </w:rPr>
      </w:pPr>
      <w:r w:rsidRPr="00A72D0A">
        <w:rPr>
          <w:noProof/>
        </w:rPr>
        <w:drawing>
          <wp:inline distT="0" distB="0" distL="0" distR="0" wp14:anchorId="7662B4CC" wp14:editId="43BEFB2F">
            <wp:extent cx="3256280" cy="1081809"/>
            <wp:effectExtent l="0" t="0" r="0" b="0"/>
            <wp:docPr id="9" name="Picture 9"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V="1">
                      <a:off x="0" y="0"/>
                      <a:ext cx="3303103" cy="1097365"/>
                    </a:xfrm>
                    <a:prstGeom prst="rect">
                      <a:avLst/>
                    </a:prstGeom>
                    <a:noFill/>
                    <a:ln>
                      <a:noFill/>
                    </a:ln>
                  </pic:spPr>
                </pic:pic>
              </a:graphicData>
            </a:graphic>
          </wp:inline>
        </w:drawing>
      </w:r>
    </w:p>
    <w:p w14:paraId="696EE018" w14:textId="77777777" w:rsidR="00193B76" w:rsidRDefault="00193B76">
      <w:pPr>
        <w:spacing w:line="360" w:lineRule="auto"/>
        <w:jc w:val="center"/>
        <w:rPr>
          <w:rFonts w:ascii="Times New Roman" w:eastAsia="Times New Roman" w:hAnsi="Times New Roman" w:cs="Times New Roman"/>
          <w:sz w:val="24"/>
          <w:szCs w:val="24"/>
        </w:rPr>
      </w:pPr>
    </w:p>
    <w:p w14:paraId="5A28AE9F" w14:textId="77777777" w:rsidR="00193B76" w:rsidRDefault="00193B76" w:rsidP="00193B76">
      <w:pPr>
        <w:pStyle w:val="Title"/>
        <w:spacing w:line="480" w:lineRule="auto"/>
      </w:pPr>
      <w:r>
        <w:t>ACCOUNTING FUNDAMENTALS - ASSIGNMENT A1</w:t>
      </w:r>
    </w:p>
    <w:p w14:paraId="65BFDDD4" w14:textId="77777777" w:rsidR="00193B76" w:rsidRDefault="00193B76" w:rsidP="00193B76"/>
    <w:p w14:paraId="0CAE0694" w14:textId="77777777" w:rsidR="00193B76" w:rsidRPr="00C037F7" w:rsidRDefault="00193B76" w:rsidP="00193B76"/>
    <w:p w14:paraId="0B3F1936" w14:textId="77777777" w:rsidR="00193B76" w:rsidRDefault="00193B76" w:rsidP="00193B76">
      <w:pPr>
        <w:spacing w:line="480" w:lineRule="auto"/>
        <w:rPr>
          <w:rFonts w:ascii="Times New Roman" w:eastAsia="Times New Roman" w:hAnsi="Times New Roman" w:cs="Times New Roman"/>
          <w:sz w:val="36"/>
          <w:szCs w:val="36"/>
          <w:lang w:val="en-US"/>
        </w:rPr>
      </w:pPr>
      <w:r>
        <w:rPr>
          <w:rFonts w:ascii="Times New Roman" w:eastAsia="Times New Roman" w:hAnsi="Times New Roman" w:cs="Times New Roman"/>
        </w:rPr>
        <w:t xml:space="preserve">                      </w:t>
      </w:r>
      <w:proofErr w:type="gramStart"/>
      <w:r w:rsidRPr="003C0E9A">
        <w:rPr>
          <w:rFonts w:ascii="Times New Roman" w:eastAsia="Times New Roman" w:hAnsi="Times New Roman" w:cs="Times New Roman"/>
          <w:sz w:val="36"/>
          <w:szCs w:val="36"/>
        </w:rPr>
        <w:t xml:space="preserve">Student </w:t>
      </w:r>
      <w:r>
        <w:rPr>
          <w:rFonts w:ascii="Times New Roman" w:eastAsia="Times New Roman" w:hAnsi="Times New Roman" w:cs="Times New Roman"/>
          <w:sz w:val="36"/>
          <w:szCs w:val="36"/>
        </w:rPr>
        <w:t>:</w:t>
      </w:r>
      <w:proofErr w:type="gramEnd"/>
      <w:r w:rsidRPr="003C0E9A">
        <w:rPr>
          <w:rFonts w:ascii="Times New Roman" w:eastAsia="Times New Roman" w:hAnsi="Times New Roman" w:cs="Times New Roman"/>
          <w:sz w:val="36"/>
          <w:szCs w:val="36"/>
        </w:rPr>
        <w:t xml:space="preserve"> </w:t>
      </w:r>
      <w:r>
        <w:rPr>
          <w:rFonts w:ascii="Times New Roman" w:eastAsia="Times New Roman" w:hAnsi="Times New Roman" w:cs="Times New Roman"/>
        </w:rPr>
        <w:t xml:space="preserve"> </w:t>
      </w:r>
      <w:proofErr w:type="spellStart"/>
      <w:r w:rsidRPr="00897F8F">
        <w:rPr>
          <w:rFonts w:ascii="Times New Roman" w:eastAsia="Times New Roman" w:hAnsi="Times New Roman" w:cs="Times New Roman"/>
          <w:sz w:val="36"/>
          <w:szCs w:val="36"/>
          <w:lang w:val="en-US"/>
        </w:rPr>
        <w:t>Vasilena</w:t>
      </w:r>
      <w:proofErr w:type="spellEnd"/>
      <w:r w:rsidRPr="00897F8F">
        <w:rPr>
          <w:rFonts w:ascii="Times New Roman" w:eastAsia="Times New Roman" w:hAnsi="Times New Roman" w:cs="Times New Roman"/>
          <w:sz w:val="36"/>
          <w:szCs w:val="36"/>
          <w:lang w:val="en-US"/>
        </w:rPr>
        <w:t xml:space="preserve"> </w:t>
      </w:r>
      <w:proofErr w:type="spellStart"/>
      <w:r w:rsidRPr="00897F8F">
        <w:rPr>
          <w:rFonts w:ascii="Times New Roman" w:eastAsia="Times New Roman" w:hAnsi="Times New Roman" w:cs="Times New Roman"/>
          <w:sz w:val="36"/>
          <w:szCs w:val="36"/>
          <w:lang w:val="en-US"/>
        </w:rPr>
        <w:t>Zhivkova</w:t>
      </w:r>
      <w:proofErr w:type="spellEnd"/>
      <w:r w:rsidRPr="00897F8F">
        <w:rPr>
          <w:rFonts w:ascii="Times New Roman" w:eastAsia="Times New Roman" w:hAnsi="Times New Roman" w:cs="Times New Roman"/>
          <w:sz w:val="36"/>
          <w:szCs w:val="36"/>
          <w:lang w:val="en-US"/>
        </w:rPr>
        <w:t xml:space="preserve"> </w:t>
      </w:r>
      <w:proofErr w:type="spellStart"/>
      <w:r w:rsidRPr="00897F8F">
        <w:rPr>
          <w:rFonts w:ascii="Times New Roman" w:eastAsia="Times New Roman" w:hAnsi="Times New Roman" w:cs="Times New Roman"/>
          <w:sz w:val="36"/>
          <w:szCs w:val="36"/>
          <w:lang w:val="en-US"/>
        </w:rPr>
        <w:t>Mersinkova</w:t>
      </w:r>
      <w:proofErr w:type="spellEnd"/>
      <w:r>
        <w:rPr>
          <w:rFonts w:ascii="Times New Roman" w:eastAsia="Times New Roman" w:hAnsi="Times New Roman" w:cs="Times New Roman"/>
          <w:sz w:val="36"/>
          <w:szCs w:val="36"/>
          <w:lang w:val="en-US"/>
        </w:rPr>
        <w:t xml:space="preserve"> </w:t>
      </w:r>
      <w:r w:rsidRPr="00897F8F">
        <w:rPr>
          <w:rFonts w:ascii="Times New Roman" w:eastAsia="Times New Roman" w:hAnsi="Times New Roman" w:cs="Times New Roman"/>
          <w:sz w:val="36"/>
          <w:szCs w:val="36"/>
          <w:lang w:val="en-US"/>
        </w:rPr>
        <w:t>(2014054)</w:t>
      </w:r>
    </w:p>
    <w:p w14:paraId="0EB6DE00" w14:textId="77777777" w:rsidR="00193B76" w:rsidRDefault="00193B76" w:rsidP="00193B76">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sz w:val="36"/>
          <w:szCs w:val="36"/>
        </w:rPr>
        <w:t xml:space="preserve">                   </w:t>
      </w:r>
      <w:r w:rsidRPr="00C967CD">
        <w:rPr>
          <w:rFonts w:ascii="Times New Roman" w:eastAsia="Times New Roman" w:hAnsi="Times New Roman" w:cs="Times New Roman"/>
          <w:sz w:val="36"/>
          <w:szCs w:val="36"/>
        </w:rPr>
        <w:t>Course:</w:t>
      </w:r>
      <w:r>
        <w:rPr>
          <w:rFonts w:ascii="Times New Roman" w:eastAsia="Times New Roman" w:hAnsi="Times New Roman" w:cs="Times New Roman"/>
          <w:sz w:val="36"/>
          <w:szCs w:val="36"/>
        </w:rPr>
        <w:t xml:space="preserve"> </w:t>
      </w:r>
      <w:r>
        <w:rPr>
          <w:rFonts w:ascii="Times New Roman" w:eastAsia="Times New Roman" w:hAnsi="Times New Roman" w:cs="Times New Roman"/>
          <w:b/>
          <w:sz w:val="32"/>
          <w:szCs w:val="32"/>
        </w:rPr>
        <w:t xml:space="preserve">Accounting Fundamentals </w:t>
      </w:r>
    </w:p>
    <w:p w14:paraId="186F4E04" w14:textId="77777777" w:rsidR="00193B76" w:rsidRDefault="00193B76" w:rsidP="00193B76">
      <w:pPr>
        <w:spacing w:line="480" w:lineRule="auto"/>
        <w:jc w:val="center"/>
        <w:rPr>
          <w:rFonts w:ascii="Times New Roman" w:eastAsia="Times New Roman" w:hAnsi="Times New Roman" w:cs="Times New Roman"/>
          <w:sz w:val="36"/>
          <w:szCs w:val="36"/>
        </w:rPr>
      </w:pPr>
    </w:p>
    <w:p w14:paraId="0110A2C8" w14:textId="77777777" w:rsidR="00193B76" w:rsidRPr="00C967CD" w:rsidRDefault="00193B76" w:rsidP="00193B76">
      <w:pPr>
        <w:spacing w:line="48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Module code:</w:t>
      </w:r>
      <w:r w:rsidRPr="00F46FB8">
        <w:rPr>
          <w:rFonts w:ascii="Times New Roman" w:eastAsia="Times New Roman" w:hAnsi="Times New Roman" w:cs="Times New Roman"/>
          <w:sz w:val="36"/>
          <w:szCs w:val="36"/>
        </w:rPr>
        <w:t xml:space="preserve"> </w:t>
      </w:r>
      <w:r>
        <w:rPr>
          <w:rFonts w:ascii="Times New Roman" w:eastAsia="Times New Roman" w:hAnsi="Times New Roman" w:cs="Times New Roman"/>
          <w:sz w:val="36"/>
          <w:szCs w:val="36"/>
        </w:rPr>
        <w:t>LCBB4001</w:t>
      </w:r>
    </w:p>
    <w:p w14:paraId="76419663" w14:textId="77777777" w:rsidR="00193B76" w:rsidRDefault="00193B76" w:rsidP="00193B76">
      <w:pPr>
        <w:spacing w:line="480" w:lineRule="auto"/>
        <w:jc w:val="center"/>
        <w:rPr>
          <w:rFonts w:ascii="Times New Roman" w:eastAsia="Times New Roman" w:hAnsi="Times New Roman" w:cs="Times New Roman"/>
          <w:sz w:val="36"/>
          <w:szCs w:val="36"/>
        </w:rPr>
      </w:pPr>
      <w:r w:rsidRPr="00C967CD">
        <w:rPr>
          <w:rFonts w:ascii="Times New Roman" w:eastAsia="Times New Roman" w:hAnsi="Times New Roman" w:cs="Times New Roman"/>
          <w:sz w:val="36"/>
          <w:szCs w:val="36"/>
        </w:rPr>
        <w:t xml:space="preserve">Lecture Name: </w:t>
      </w:r>
      <w:r>
        <w:rPr>
          <w:rFonts w:ascii="Times New Roman" w:eastAsia="Times New Roman" w:hAnsi="Times New Roman" w:cs="Times New Roman"/>
          <w:sz w:val="36"/>
          <w:szCs w:val="36"/>
        </w:rPr>
        <w:t>Thomas Adeyemi</w:t>
      </w:r>
    </w:p>
    <w:p w14:paraId="4D335BF6" w14:textId="77777777" w:rsidR="00193B76" w:rsidRDefault="00193B76" w:rsidP="00193B76">
      <w:pPr>
        <w:spacing w:line="480" w:lineRule="auto"/>
        <w:jc w:val="center"/>
        <w:rPr>
          <w:rFonts w:ascii="Times New Roman" w:eastAsia="Times New Roman" w:hAnsi="Times New Roman" w:cs="Times New Roman"/>
          <w:sz w:val="36"/>
          <w:szCs w:val="36"/>
        </w:rPr>
      </w:pPr>
    </w:p>
    <w:p w14:paraId="465BC575" w14:textId="77777777" w:rsidR="00193B76" w:rsidRDefault="00193B76" w:rsidP="00193B76">
      <w:pPr>
        <w:spacing w:line="480" w:lineRule="auto"/>
        <w:jc w:val="center"/>
        <w:rPr>
          <w:rFonts w:ascii="Times New Roman" w:eastAsia="Times New Roman" w:hAnsi="Times New Roman" w:cs="Times New Roman"/>
          <w:sz w:val="36"/>
          <w:szCs w:val="36"/>
        </w:rPr>
      </w:pPr>
    </w:p>
    <w:p w14:paraId="49B2F238" w14:textId="77777777" w:rsidR="00193B76" w:rsidRDefault="00193B76" w:rsidP="00193B76">
      <w:pPr>
        <w:spacing w:line="48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Date:07.05.2023</w:t>
      </w:r>
    </w:p>
    <w:p w14:paraId="2A634557" w14:textId="77777777" w:rsidR="00193B76" w:rsidRDefault="00193B76">
      <w:pPr>
        <w:spacing w:line="360" w:lineRule="auto"/>
        <w:jc w:val="center"/>
        <w:rPr>
          <w:rFonts w:ascii="Times New Roman" w:eastAsia="Times New Roman" w:hAnsi="Times New Roman" w:cs="Times New Roman"/>
          <w:sz w:val="24"/>
          <w:szCs w:val="24"/>
        </w:rPr>
      </w:pPr>
    </w:p>
    <w:p w14:paraId="40AD4AEF" w14:textId="77777777" w:rsidR="00193B76" w:rsidRDefault="00193B76" w:rsidP="00193B76">
      <w:pPr>
        <w:spacing w:line="360" w:lineRule="auto"/>
        <w:rPr>
          <w:rFonts w:ascii="Times New Roman" w:eastAsia="Times New Roman" w:hAnsi="Times New Roman" w:cs="Times New Roman"/>
          <w:sz w:val="24"/>
          <w:szCs w:val="24"/>
        </w:rPr>
      </w:pPr>
    </w:p>
    <w:p w14:paraId="579AEA11" w14:textId="77777777" w:rsidR="009C4E66" w:rsidRDefault="00000000">
      <w:pPr>
        <w:keepNext/>
        <w:keepLines/>
        <w:pBdr>
          <w:top w:val="nil"/>
          <w:left w:val="nil"/>
          <w:bottom w:val="nil"/>
          <w:right w:val="nil"/>
          <w:between w:val="nil"/>
        </w:pBdr>
        <w:spacing w:before="240" w:after="0"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Table of Contents</w:t>
      </w:r>
    </w:p>
    <w:sdt>
      <w:sdtPr>
        <w:id w:val="-1039744942"/>
        <w:docPartObj>
          <w:docPartGallery w:val="Table of Contents"/>
          <w:docPartUnique/>
        </w:docPartObj>
      </w:sdtPr>
      <w:sdtContent>
        <w:p w14:paraId="6D127832" w14:textId="77777777" w:rsidR="009C4E66" w:rsidRDefault="00000000">
          <w:pPr>
            <w:widowControl w:val="0"/>
            <w:tabs>
              <w:tab w:val="right" w:pos="12000"/>
            </w:tabs>
            <w:spacing w:before="60" w:after="0" w:line="240" w:lineRule="auto"/>
            <w:rPr>
              <w:rFonts w:ascii="Times New Roman" w:eastAsia="Times New Roman" w:hAnsi="Times New Roman" w:cs="Times New Roman"/>
              <w:b/>
              <w:color w:val="000000"/>
            </w:rPr>
          </w:pPr>
          <w:r>
            <w:fldChar w:fldCharType="begin"/>
          </w:r>
          <w:r>
            <w:instrText xml:space="preserve"> TOC \h \u \z \t "Heading 1,1,Heading 2,2,Heading 3,3,Heading 4,4,Heading 5,5,Heading 6,6,"</w:instrText>
          </w:r>
          <w:r>
            <w:fldChar w:fldCharType="separate"/>
          </w:r>
          <w:hyperlink w:anchor="_1fob9te">
            <w:r>
              <w:rPr>
                <w:rFonts w:ascii="Times New Roman" w:eastAsia="Times New Roman" w:hAnsi="Times New Roman" w:cs="Times New Roman"/>
                <w:color w:val="000000"/>
              </w:rPr>
              <w:t>Question One</w:t>
            </w:r>
            <w:r>
              <w:rPr>
                <w:rFonts w:ascii="Times New Roman" w:eastAsia="Times New Roman" w:hAnsi="Times New Roman" w:cs="Times New Roman"/>
                <w:color w:val="000000"/>
              </w:rPr>
              <w:tab/>
              <w:t>3</w:t>
            </w:r>
          </w:hyperlink>
        </w:p>
        <w:p w14:paraId="789A1730" w14:textId="77777777" w:rsidR="009C4E66" w:rsidRDefault="00000000">
          <w:pPr>
            <w:widowControl w:val="0"/>
            <w:tabs>
              <w:tab w:val="right" w:pos="12000"/>
            </w:tabs>
            <w:spacing w:before="60" w:after="0" w:line="240" w:lineRule="auto"/>
            <w:ind w:left="360"/>
            <w:rPr>
              <w:rFonts w:ascii="Times New Roman" w:eastAsia="Times New Roman" w:hAnsi="Times New Roman" w:cs="Times New Roman"/>
              <w:color w:val="000000"/>
            </w:rPr>
          </w:pPr>
          <w:hyperlink w:anchor="_3znysh7">
            <w:r>
              <w:rPr>
                <w:rFonts w:ascii="Times New Roman" w:eastAsia="Times New Roman" w:hAnsi="Times New Roman" w:cs="Times New Roman"/>
                <w:color w:val="000000"/>
              </w:rPr>
              <w:t>a) Income statement for year ending on December 31st 2022 for Wales plc and financial position statement as of that date</w:t>
            </w:r>
            <w:r>
              <w:rPr>
                <w:rFonts w:ascii="Times New Roman" w:eastAsia="Times New Roman" w:hAnsi="Times New Roman" w:cs="Times New Roman"/>
                <w:color w:val="000000"/>
              </w:rPr>
              <w:tab/>
              <w:t>3</w:t>
            </w:r>
          </w:hyperlink>
        </w:p>
        <w:p w14:paraId="4A78848C"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2et92p0">
            <w:r>
              <w:rPr>
                <w:rFonts w:ascii="Times New Roman" w:eastAsia="Times New Roman" w:hAnsi="Times New Roman" w:cs="Times New Roman"/>
                <w:color w:val="000000"/>
              </w:rPr>
              <w:t>Income statement for year ending on December 31st 2022</w:t>
            </w:r>
            <w:r>
              <w:rPr>
                <w:rFonts w:ascii="Times New Roman" w:eastAsia="Times New Roman" w:hAnsi="Times New Roman" w:cs="Times New Roman"/>
                <w:color w:val="000000"/>
              </w:rPr>
              <w:tab/>
              <w:t>3</w:t>
            </w:r>
          </w:hyperlink>
        </w:p>
        <w:p w14:paraId="0C81CF4C"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tyjcwt">
            <w:r>
              <w:rPr>
                <w:rFonts w:ascii="Times New Roman" w:eastAsia="Times New Roman" w:hAnsi="Times New Roman" w:cs="Times New Roman"/>
                <w:color w:val="000000"/>
              </w:rPr>
              <w:t>Financial position statement as of December 31st 2022</w:t>
            </w:r>
            <w:r>
              <w:rPr>
                <w:rFonts w:ascii="Times New Roman" w:eastAsia="Times New Roman" w:hAnsi="Times New Roman" w:cs="Times New Roman"/>
                <w:color w:val="000000"/>
              </w:rPr>
              <w:tab/>
              <w:t>5</w:t>
            </w:r>
          </w:hyperlink>
        </w:p>
        <w:p w14:paraId="6AFA4151" w14:textId="77777777" w:rsidR="009C4E66" w:rsidRDefault="00000000">
          <w:pPr>
            <w:widowControl w:val="0"/>
            <w:tabs>
              <w:tab w:val="right" w:pos="12000"/>
            </w:tabs>
            <w:spacing w:before="60" w:after="0" w:line="240" w:lineRule="auto"/>
            <w:ind w:left="360"/>
            <w:rPr>
              <w:rFonts w:ascii="Times New Roman" w:eastAsia="Times New Roman" w:hAnsi="Times New Roman" w:cs="Times New Roman"/>
              <w:color w:val="000000"/>
            </w:rPr>
          </w:pPr>
          <w:hyperlink w:anchor="_3dy6vkm">
            <w:r>
              <w:rPr>
                <w:rFonts w:ascii="Times New Roman" w:eastAsia="Times New Roman" w:hAnsi="Times New Roman" w:cs="Times New Roman"/>
                <w:color w:val="000000"/>
              </w:rPr>
              <w:t>b) Why does the financial position statement balance?</w:t>
            </w:r>
            <w:r>
              <w:rPr>
                <w:rFonts w:ascii="Times New Roman" w:eastAsia="Times New Roman" w:hAnsi="Times New Roman" w:cs="Times New Roman"/>
                <w:color w:val="000000"/>
              </w:rPr>
              <w:tab/>
              <w:t>7</w:t>
            </w:r>
          </w:hyperlink>
        </w:p>
        <w:p w14:paraId="1DA8AECC" w14:textId="77777777" w:rsidR="009C4E66" w:rsidRDefault="00000000">
          <w:pPr>
            <w:widowControl w:val="0"/>
            <w:tabs>
              <w:tab w:val="right" w:pos="12000"/>
            </w:tabs>
            <w:spacing w:before="60" w:after="0" w:line="240" w:lineRule="auto"/>
            <w:rPr>
              <w:rFonts w:ascii="Times New Roman" w:eastAsia="Times New Roman" w:hAnsi="Times New Roman" w:cs="Times New Roman"/>
              <w:b/>
              <w:color w:val="000000"/>
            </w:rPr>
          </w:pPr>
          <w:hyperlink w:anchor="_1t3h5sf">
            <w:r>
              <w:rPr>
                <w:rFonts w:ascii="Times New Roman" w:eastAsia="Times New Roman" w:hAnsi="Times New Roman" w:cs="Times New Roman"/>
                <w:color w:val="000000"/>
              </w:rPr>
              <w:t>Question Two</w:t>
            </w:r>
            <w:r>
              <w:rPr>
                <w:rFonts w:ascii="Times New Roman" w:eastAsia="Times New Roman" w:hAnsi="Times New Roman" w:cs="Times New Roman"/>
                <w:color w:val="000000"/>
              </w:rPr>
              <w:tab/>
              <w:t>8</w:t>
            </w:r>
          </w:hyperlink>
        </w:p>
        <w:p w14:paraId="6B469103" w14:textId="77777777" w:rsidR="009C4E66" w:rsidRDefault="00000000">
          <w:pPr>
            <w:widowControl w:val="0"/>
            <w:tabs>
              <w:tab w:val="right" w:pos="12000"/>
            </w:tabs>
            <w:spacing w:before="60" w:after="0" w:line="240" w:lineRule="auto"/>
            <w:ind w:left="360"/>
            <w:rPr>
              <w:rFonts w:ascii="Times New Roman" w:eastAsia="Times New Roman" w:hAnsi="Times New Roman" w:cs="Times New Roman"/>
              <w:color w:val="000000"/>
            </w:rPr>
          </w:pPr>
          <w:hyperlink w:anchor="_4d34og8">
            <w:r>
              <w:rPr>
                <w:rFonts w:ascii="Times New Roman" w:eastAsia="Times New Roman" w:hAnsi="Times New Roman" w:cs="Times New Roman"/>
                <w:color w:val="000000"/>
              </w:rPr>
              <w:t>a) Calculation of the ratios for Sweets plc for the years 2021 and 2020</w:t>
            </w:r>
            <w:r>
              <w:rPr>
                <w:rFonts w:ascii="Times New Roman" w:eastAsia="Times New Roman" w:hAnsi="Times New Roman" w:cs="Times New Roman"/>
                <w:color w:val="000000"/>
              </w:rPr>
              <w:tab/>
              <w:t>8</w:t>
            </w:r>
          </w:hyperlink>
        </w:p>
        <w:p w14:paraId="0D36162E"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2s8eyo1">
            <w:r>
              <w:rPr>
                <w:rFonts w:ascii="Times New Roman" w:eastAsia="Times New Roman" w:hAnsi="Times New Roman" w:cs="Times New Roman"/>
                <w:color w:val="000000"/>
              </w:rPr>
              <w:t>1. Return on capital employed</w:t>
            </w:r>
            <w:r>
              <w:rPr>
                <w:rFonts w:ascii="Times New Roman" w:eastAsia="Times New Roman" w:hAnsi="Times New Roman" w:cs="Times New Roman"/>
                <w:color w:val="000000"/>
              </w:rPr>
              <w:tab/>
              <w:t>8</w:t>
            </w:r>
          </w:hyperlink>
        </w:p>
        <w:p w14:paraId="6EFDA060"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3rdcrjn">
            <w:r>
              <w:rPr>
                <w:rFonts w:ascii="Times New Roman" w:eastAsia="Times New Roman" w:hAnsi="Times New Roman" w:cs="Times New Roman"/>
                <w:color w:val="000000"/>
              </w:rPr>
              <w:t>2. Return on equity</w:t>
            </w:r>
            <w:r>
              <w:rPr>
                <w:rFonts w:ascii="Times New Roman" w:eastAsia="Times New Roman" w:hAnsi="Times New Roman" w:cs="Times New Roman"/>
                <w:color w:val="000000"/>
              </w:rPr>
              <w:tab/>
              <w:t>8</w:t>
            </w:r>
          </w:hyperlink>
        </w:p>
        <w:p w14:paraId="12FE6F86"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26in1rg">
            <w:r>
              <w:rPr>
                <w:rFonts w:ascii="Times New Roman" w:eastAsia="Times New Roman" w:hAnsi="Times New Roman" w:cs="Times New Roman"/>
                <w:color w:val="000000"/>
              </w:rPr>
              <w:t>3. Earnings per share</w:t>
            </w:r>
            <w:r>
              <w:rPr>
                <w:rFonts w:ascii="Times New Roman" w:eastAsia="Times New Roman" w:hAnsi="Times New Roman" w:cs="Times New Roman"/>
                <w:color w:val="000000"/>
              </w:rPr>
              <w:tab/>
              <w:t>9</w:t>
            </w:r>
          </w:hyperlink>
        </w:p>
        <w:p w14:paraId="460929D7"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lnxbz9">
            <w:r>
              <w:rPr>
                <w:rFonts w:ascii="Times New Roman" w:eastAsia="Times New Roman" w:hAnsi="Times New Roman" w:cs="Times New Roman"/>
                <w:color w:val="000000"/>
              </w:rPr>
              <w:t>4. Net profit margin</w:t>
            </w:r>
            <w:r>
              <w:rPr>
                <w:rFonts w:ascii="Times New Roman" w:eastAsia="Times New Roman" w:hAnsi="Times New Roman" w:cs="Times New Roman"/>
                <w:color w:val="000000"/>
              </w:rPr>
              <w:tab/>
              <w:t>9</w:t>
            </w:r>
          </w:hyperlink>
        </w:p>
        <w:p w14:paraId="689705DA"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35nkun2">
            <w:r>
              <w:rPr>
                <w:rFonts w:ascii="Times New Roman" w:eastAsia="Times New Roman" w:hAnsi="Times New Roman" w:cs="Times New Roman"/>
                <w:color w:val="000000"/>
              </w:rPr>
              <w:t>5. Asset turnover ratio</w:t>
            </w:r>
            <w:r>
              <w:rPr>
                <w:rFonts w:ascii="Times New Roman" w:eastAsia="Times New Roman" w:hAnsi="Times New Roman" w:cs="Times New Roman"/>
                <w:color w:val="000000"/>
              </w:rPr>
              <w:tab/>
              <w:t>10</w:t>
            </w:r>
          </w:hyperlink>
        </w:p>
        <w:p w14:paraId="04C879DB"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1ksv4uv">
            <w:r>
              <w:rPr>
                <w:rFonts w:ascii="Times New Roman" w:eastAsia="Times New Roman" w:hAnsi="Times New Roman" w:cs="Times New Roman"/>
                <w:color w:val="000000"/>
              </w:rPr>
              <w:t>6. Stock holding days’ ratio</w:t>
            </w:r>
            <w:r>
              <w:rPr>
                <w:rFonts w:ascii="Times New Roman" w:eastAsia="Times New Roman" w:hAnsi="Times New Roman" w:cs="Times New Roman"/>
                <w:color w:val="000000"/>
              </w:rPr>
              <w:tab/>
              <w:t>10</w:t>
            </w:r>
          </w:hyperlink>
        </w:p>
        <w:p w14:paraId="19F76B20"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44sinio">
            <w:r>
              <w:rPr>
                <w:rFonts w:ascii="Times New Roman" w:eastAsia="Times New Roman" w:hAnsi="Times New Roman" w:cs="Times New Roman"/>
                <w:color w:val="000000"/>
              </w:rPr>
              <w:t>7. Debtors collection period</w:t>
            </w:r>
            <w:r>
              <w:rPr>
                <w:rFonts w:ascii="Times New Roman" w:eastAsia="Times New Roman" w:hAnsi="Times New Roman" w:cs="Times New Roman"/>
                <w:color w:val="000000"/>
              </w:rPr>
              <w:tab/>
              <w:t>11</w:t>
            </w:r>
          </w:hyperlink>
        </w:p>
        <w:p w14:paraId="43D576AD"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2jxsxqh">
            <w:r>
              <w:rPr>
                <w:rFonts w:ascii="Times New Roman" w:eastAsia="Times New Roman" w:hAnsi="Times New Roman" w:cs="Times New Roman"/>
                <w:color w:val="000000"/>
              </w:rPr>
              <w:t>8. Current ratio</w:t>
            </w:r>
            <w:r>
              <w:rPr>
                <w:rFonts w:ascii="Times New Roman" w:eastAsia="Times New Roman" w:hAnsi="Times New Roman" w:cs="Times New Roman"/>
                <w:color w:val="000000"/>
              </w:rPr>
              <w:tab/>
              <w:t>12</w:t>
            </w:r>
          </w:hyperlink>
        </w:p>
        <w:p w14:paraId="6F36B2B2"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z337ya">
            <w:r>
              <w:rPr>
                <w:rFonts w:ascii="Times New Roman" w:eastAsia="Times New Roman" w:hAnsi="Times New Roman" w:cs="Times New Roman"/>
                <w:color w:val="000000"/>
              </w:rPr>
              <w:t>9. Gearing ratio</w:t>
            </w:r>
            <w:r>
              <w:rPr>
                <w:rFonts w:ascii="Times New Roman" w:eastAsia="Times New Roman" w:hAnsi="Times New Roman" w:cs="Times New Roman"/>
                <w:color w:val="000000"/>
              </w:rPr>
              <w:tab/>
              <w:t>12</w:t>
            </w:r>
          </w:hyperlink>
        </w:p>
        <w:p w14:paraId="20724D6D" w14:textId="77777777" w:rsidR="009C4E66" w:rsidRDefault="00000000">
          <w:pPr>
            <w:widowControl w:val="0"/>
            <w:tabs>
              <w:tab w:val="right" w:pos="12000"/>
            </w:tabs>
            <w:spacing w:before="60" w:after="0" w:line="240" w:lineRule="auto"/>
            <w:ind w:left="720"/>
            <w:rPr>
              <w:rFonts w:ascii="Times New Roman" w:eastAsia="Times New Roman" w:hAnsi="Times New Roman" w:cs="Times New Roman"/>
              <w:color w:val="000000"/>
            </w:rPr>
          </w:pPr>
          <w:hyperlink w:anchor="_3j2qqm3">
            <w:r>
              <w:rPr>
                <w:rFonts w:ascii="Times New Roman" w:eastAsia="Times New Roman" w:hAnsi="Times New Roman" w:cs="Times New Roman"/>
                <w:color w:val="000000"/>
              </w:rPr>
              <w:t>10. Interest cover</w:t>
            </w:r>
            <w:r>
              <w:rPr>
                <w:rFonts w:ascii="Times New Roman" w:eastAsia="Times New Roman" w:hAnsi="Times New Roman" w:cs="Times New Roman"/>
                <w:color w:val="000000"/>
              </w:rPr>
              <w:tab/>
              <w:t>12</w:t>
            </w:r>
          </w:hyperlink>
        </w:p>
        <w:p w14:paraId="5C1124B0" w14:textId="77777777" w:rsidR="009C4E66" w:rsidRDefault="00000000">
          <w:pPr>
            <w:widowControl w:val="0"/>
            <w:tabs>
              <w:tab w:val="right" w:pos="12000"/>
            </w:tabs>
            <w:spacing w:before="60" w:after="0" w:line="240" w:lineRule="auto"/>
            <w:ind w:left="360"/>
            <w:rPr>
              <w:rFonts w:ascii="Times New Roman" w:eastAsia="Times New Roman" w:hAnsi="Times New Roman" w:cs="Times New Roman"/>
              <w:color w:val="000000"/>
            </w:rPr>
          </w:pPr>
          <w:hyperlink w:anchor="_1y810tw">
            <w:r>
              <w:rPr>
                <w:rFonts w:ascii="Times New Roman" w:eastAsia="Times New Roman" w:hAnsi="Times New Roman" w:cs="Times New Roman"/>
                <w:color w:val="000000"/>
              </w:rPr>
              <w:t>b) Financial performance and position of Sweets plc.</w:t>
            </w:r>
            <w:r>
              <w:rPr>
                <w:rFonts w:ascii="Times New Roman" w:eastAsia="Times New Roman" w:hAnsi="Times New Roman" w:cs="Times New Roman"/>
                <w:color w:val="000000"/>
              </w:rPr>
              <w:tab/>
              <w:t>13</w:t>
            </w:r>
          </w:hyperlink>
        </w:p>
        <w:p w14:paraId="18B968D4" w14:textId="77777777" w:rsidR="009C4E66" w:rsidRDefault="00000000">
          <w:pPr>
            <w:widowControl w:val="0"/>
            <w:tabs>
              <w:tab w:val="right" w:pos="12000"/>
            </w:tabs>
            <w:spacing w:before="60" w:after="0" w:line="240" w:lineRule="auto"/>
            <w:rPr>
              <w:rFonts w:ascii="Times New Roman" w:eastAsia="Times New Roman" w:hAnsi="Times New Roman" w:cs="Times New Roman"/>
              <w:b/>
              <w:color w:val="000000"/>
            </w:rPr>
          </w:pPr>
          <w:hyperlink w:anchor="_4i7ojhp">
            <w:r>
              <w:rPr>
                <w:rFonts w:ascii="Times New Roman" w:eastAsia="Times New Roman" w:hAnsi="Times New Roman" w:cs="Times New Roman"/>
                <w:color w:val="000000"/>
              </w:rPr>
              <w:t>Reference List</w:t>
            </w:r>
            <w:r>
              <w:rPr>
                <w:rFonts w:ascii="Times New Roman" w:eastAsia="Times New Roman" w:hAnsi="Times New Roman" w:cs="Times New Roman"/>
                <w:color w:val="000000"/>
              </w:rPr>
              <w:tab/>
              <w:t>15</w:t>
            </w:r>
          </w:hyperlink>
          <w:r>
            <w:fldChar w:fldCharType="end"/>
          </w:r>
        </w:p>
      </w:sdtContent>
    </w:sdt>
    <w:p w14:paraId="1BF74E48" w14:textId="77777777" w:rsidR="009C4E66" w:rsidRDefault="00000000">
      <w:pPr>
        <w:rPr>
          <w:rFonts w:ascii="Times New Roman" w:eastAsia="Times New Roman" w:hAnsi="Times New Roman" w:cs="Times New Roman"/>
        </w:rPr>
      </w:pPr>
      <w:bookmarkStart w:id="0" w:name="_gjdgxs" w:colFirst="0" w:colLast="0"/>
      <w:bookmarkEnd w:id="0"/>
      <w:r>
        <w:br w:type="page"/>
      </w:r>
    </w:p>
    <w:p w14:paraId="7982DBA5" w14:textId="77777777" w:rsidR="009C4E66" w:rsidRDefault="009C4E66">
      <w:pPr>
        <w:rPr>
          <w:rFonts w:ascii="Times New Roman" w:eastAsia="Times New Roman" w:hAnsi="Times New Roman" w:cs="Times New Roman"/>
        </w:rPr>
      </w:pPr>
      <w:bookmarkStart w:id="1" w:name="_30j0zll" w:colFirst="0" w:colLast="0"/>
      <w:bookmarkEnd w:id="1"/>
    </w:p>
    <w:p w14:paraId="2C3151B0" w14:textId="77777777" w:rsidR="009C4E66" w:rsidRDefault="00000000">
      <w:pPr>
        <w:pStyle w:val="Heading1"/>
        <w:spacing w:line="480" w:lineRule="auto"/>
        <w:jc w:val="center"/>
        <w:rPr>
          <w:sz w:val="32"/>
          <w:szCs w:val="32"/>
          <w:u w:val="single"/>
        </w:rPr>
      </w:pPr>
      <w:bookmarkStart w:id="2" w:name="_1fob9te" w:colFirst="0" w:colLast="0"/>
      <w:bookmarkEnd w:id="2"/>
      <w:r>
        <w:rPr>
          <w:sz w:val="32"/>
          <w:szCs w:val="32"/>
          <w:u w:val="single"/>
        </w:rPr>
        <w:t>Question One</w:t>
      </w:r>
    </w:p>
    <w:p w14:paraId="7B179371" w14:textId="77777777" w:rsidR="009C4E66" w:rsidRDefault="00000000">
      <w:pPr>
        <w:pStyle w:val="Heading2"/>
        <w:spacing w:line="480" w:lineRule="auto"/>
        <w:ind w:firstLine="720"/>
        <w:rPr>
          <w:sz w:val="28"/>
          <w:szCs w:val="28"/>
        </w:rPr>
      </w:pPr>
      <w:bookmarkStart w:id="3" w:name="_3znysh7" w:colFirst="0" w:colLast="0"/>
      <w:bookmarkEnd w:id="3"/>
      <w:r>
        <w:rPr>
          <w:sz w:val="28"/>
          <w:szCs w:val="28"/>
        </w:rPr>
        <w:t>a) Income statement for year ending on December 31st</w:t>
      </w:r>
      <w:proofErr w:type="gramStart"/>
      <w:r>
        <w:rPr>
          <w:sz w:val="28"/>
          <w:szCs w:val="28"/>
        </w:rPr>
        <w:t xml:space="preserve"> 2022</w:t>
      </w:r>
      <w:proofErr w:type="gramEnd"/>
      <w:r>
        <w:rPr>
          <w:sz w:val="28"/>
          <w:szCs w:val="28"/>
        </w:rPr>
        <w:t xml:space="preserve"> for Wales plc and financial position statement as of that date</w:t>
      </w:r>
    </w:p>
    <w:p w14:paraId="52805354" w14:textId="77777777" w:rsidR="009C4E66" w:rsidRDefault="009C4E66">
      <w:pPr>
        <w:rPr>
          <w:rFonts w:ascii="Times New Roman" w:eastAsia="Times New Roman" w:hAnsi="Times New Roman" w:cs="Times New Roman"/>
        </w:rPr>
      </w:pPr>
    </w:p>
    <w:p w14:paraId="2009B255" w14:textId="77777777" w:rsidR="009C4E66" w:rsidRDefault="00000000">
      <w:pPr>
        <w:pStyle w:val="Heading3"/>
        <w:spacing w:line="480" w:lineRule="auto"/>
        <w:ind w:firstLine="720"/>
        <w:rPr>
          <w:b/>
        </w:rPr>
      </w:pPr>
      <w:bookmarkStart w:id="4" w:name="_2et92p0" w:colFirst="0" w:colLast="0"/>
      <w:bookmarkEnd w:id="4"/>
      <w:r>
        <w:rPr>
          <w:b/>
        </w:rPr>
        <w:t>Income statement for year ending on December 31st</w:t>
      </w:r>
      <w:proofErr w:type="gramStart"/>
      <w:r>
        <w:rPr>
          <w:b/>
        </w:rPr>
        <w:t xml:space="preserve"> 2022</w:t>
      </w:r>
      <w:proofErr w:type="gramEnd"/>
    </w:p>
    <w:p w14:paraId="2F0B212D" w14:textId="77777777" w:rsidR="009C4E66" w:rsidRDefault="009C4E66">
      <w:pPr>
        <w:spacing w:line="480" w:lineRule="auto"/>
        <w:ind w:firstLine="720"/>
        <w:rPr>
          <w:rFonts w:ascii="Times New Roman" w:eastAsia="Times New Roman" w:hAnsi="Times New Roman" w:cs="Times New Roman"/>
          <w:sz w:val="24"/>
          <w:szCs w:val="24"/>
        </w:rPr>
      </w:pPr>
    </w:p>
    <w:tbl>
      <w:tblPr>
        <w:tblStyle w:val="a"/>
        <w:tblW w:w="8411" w:type="dxa"/>
        <w:tblLayout w:type="fixed"/>
        <w:tblLook w:val="0400" w:firstRow="0" w:lastRow="0" w:firstColumn="0" w:lastColumn="0" w:noHBand="0" w:noVBand="1"/>
      </w:tblPr>
      <w:tblGrid>
        <w:gridCol w:w="5955"/>
        <w:gridCol w:w="1160"/>
        <w:gridCol w:w="1296"/>
      </w:tblGrid>
      <w:tr w:rsidR="009C4E66" w14:paraId="171D59D5" w14:textId="77777777">
        <w:trPr>
          <w:trHeight w:val="300"/>
        </w:trPr>
        <w:tc>
          <w:tcPr>
            <w:tcW w:w="8411"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9047AF6" w14:textId="77777777" w:rsidR="009C4E66"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Wales plc</w:t>
            </w:r>
          </w:p>
          <w:p w14:paraId="1BEE1160"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r>
      <w:tr w:rsidR="009C4E66" w14:paraId="3EF9D930" w14:textId="77777777">
        <w:trPr>
          <w:trHeight w:val="300"/>
        </w:trPr>
        <w:tc>
          <w:tcPr>
            <w:tcW w:w="8411" w:type="dxa"/>
            <w:gridSpan w:val="3"/>
            <w:tcBorders>
              <w:top w:val="nil"/>
              <w:left w:val="single" w:sz="4" w:space="0" w:color="000000"/>
              <w:bottom w:val="single" w:sz="4" w:space="0" w:color="000000"/>
              <w:right w:val="single" w:sz="4" w:space="0" w:color="000000"/>
            </w:tcBorders>
            <w:shd w:val="clear" w:color="auto" w:fill="auto"/>
            <w:vAlign w:val="bottom"/>
          </w:tcPr>
          <w:p w14:paraId="5C0BFE91" w14:textId="77777777" w:rsidR="009C4E66"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Profit and Loss Statement for the Year Ended 31st December 2022</w:t>
            </w:r>
          </w:p>
          <w:p w14:paraId="5331F7BC" w14:textId="77777777" w:rsidR="009C4E66" w:rsidRDefault="009C4E66">
            <w:pPr>
              <w:spacing w:after="0" w:line="240" w:lineRule="auto"/>
              <w:rPr>
                <w:rFonts w:ascii="Times New Roman" w:eastAsia="Times New Roman" w:hAnsi="Times New Roman" w:cs="Times New Roman"/>
                <w:b/>
                <w:sz w:val="24"/>
                <w:szCs w:val="24"/>
              </w:rPr>
            </w:pPr>
          </w:p>
        </w:tc>
      </w:tr>
      <w:tr w:rsidR="009C4E66" w14:paraId="547E1EB8"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120DE3E0"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Particulars </w:t>
            </w:r>
          </w:p>
        </w:tc>
        <w:tc>
          <w:tcPr>
            <w:tcW w:w="1160" w:type="dxa"/>
            <w:tcBorders>
              <w:top w:val="nil"/>
              <w:left w:val="nil"/>
              <w:bottom w:val="single" w:sz="4" w:space="0" w:color="000000"/>
              <w:right w:val="single" w:sz="4" w:space="0" w:color="000000"/>
            </w:tcBorders>
            <w:shd w:val="clear" w:color="auto" w:fill="auto"/>
            <w:vAlign w:val="bottom"/>
          </w:tcPr>
          <w:p w14:paraId="39EBCF42"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 (£)</w:t>
            </w:r>
          </w:p>
        </w:tc>
        <w:tc>
          <w:tcPr>
            <w:tcW w:w="1296" w:type="dxa"/>
            <w:tcBorders>
              <w:top w:val="nil"/>
              <w:left w:val="nil"/>
              <w:bottom w:val="single" w:sz="4" w:space="0" w:color="000000"/>
              <w:right w:val="single" w:sz="4" w:space="0" w:color="000000"/>
            </w:tcBorders>
            <w:shd w:val="clear" w:color="auto" w:fill="auto"/>
            <w:vAlign w:val="bottom"/>
          </w:tcPr>
          <w:p w14:paraId="267AEA60"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Amount (£) </w:t>
            </w:r>
          </w:p>
        </w:tc>
      </w:tr>
      <w:tr w:rsidR="009C4E66" w14:paraId="32B9E88A"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056D5B6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Cash sales </w:t>
            </w:r>
          </w:p>
        </w:tc>
        <w:tc>
          <w:tcPr>
            <w:tcW w:w="1160" w:type="dxa"/>
            <w:tcBorders>
              <w:top w:val="nil"/>
              <w:left w:val="nil"/>
              <w:bottom w:val="single" w:sz="4" w:space="0" w:color="000000"/>
              <w:right w:val="single" w:sz="4" w:space="0" w:color="000000"/>
            </w:tcBorders>
            <w:shd w:val="clear" w:color="auto" w:fill="auto"/>
            <w:vAlign w:val="bottom"/>
          </w:tcPr>
          <w:p w14:paraId="4F57463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4" w:space="0" w:color="000000"/>
            </w:tcBorders>
            <w:shd w:val="clear" w:color="auto" w:fill="auto"/>
            <w:vAlign w:val="bottom"/>
          </w:tcPr>
          <w:p w14:paraId="622EA697"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800,000.00 </w:t>
            </w:r>
          </w:p>
        </w:tc>
      </w:tr>
      <w:tr w:rsidR="009C4E66" w14:paraId="6A0651D7"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211ACF6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 Credit sales</w:t>
            </w:r>
          </w:p>
        </w:tc>
        <w:tc>
          <w:tcPr>
            <w:tcW w:w="1160" w:type="dxa"/>
            <w:tcBorders>
              <w:top w:val="nil"/>
              <w:left w:val="nil"/>
              <w:bottom w:val="single" w:sz="4" w:space="0" w:color="000000"/>
              <w:right w:val="single" w:sz="4" w:space="0" w:color="000000"/>
            </w:tcBorders>
            <w:shd w:val="clear" w:color="auto" w:fill="auto"/>
            <w:vAlign w:val="bottom"/>
          </w:tcPr>
          <w:p w14:paraId="1C92562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4" w:space="0" w:color="000000"/>
            </w:tcBorders>
            <w:shd w:val="clear" w:color="auto" w:fill="auto"/>
            <w:vAlign w:val="bottom"/>
          </w:tcPr>
          <w:p w14:paraId="35005D4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980.00 </w:t>
            </w:r>
          </w:p>
        </w:tc>
      </w:tr>
      <w:tr w:rsidR="009C4E66" w14:paraId="5C53AC72"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0F7E8D09"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sales (A)</w:t>
            </w:r>
          </w:p>
        </w:tc>
        <w:tc>
          <w:tcPr>
            <w:tcW w:w="1160" w:type="dxa"/>
            <w:tcBorders>
              <w:top w:val="nil"/>
              <w:left w:val="nil"/>
              <w:bottom w:val="single" w:sz="4" w:space="0" w:color="000000"/>
              <w:right w:val="single" w:sz="4" w:space="0" w:color="000000"/>
            </w:tcBorders>
            <w:shd w:val="clear" w:color="auto" w:fill="auto"/>
            <w:vAlign w:val="bottom"/>
          </w:tcPr>
          <w:p w14:paraId="04F54347"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4" w:space="0" w:color="000000"/>
            </w:tcBorders>
            <w:shd w:val="clear" w:color="auto" w:fill="auto"/>
            <w:vAlign w:val="bottom"/>
          </w:tcPr>
          <w:p w14:paraId="5022A653"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800,980.00 </w:t>
            </w:r>
          </w:p>
        </w:tc>
      </w:tr>
      <w:tr w:rsidR="009C4E66" w14:paraId="030042CE"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110B79A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Cost of sales (B)</w:t>
            </w:r>
          </w:p>
        </w:tc>
        <w:tc>
          <w:tcPr>
            <w:tcW w:w="1160" w:type="dxa"/>
            <w:tcBorders>
              <w:top w:val="nil"/>
              <w:left w:val="nil"/>
              <w:bottom w:val="single" w:sz="4" w:space="0" w:color="000000"/>
              <w:right w:val="single" w:sz="4" w:space="0" w:color="000000"/>
            </w:tcBorders>
            <w:shd w:val="clear" w:color="auto" w:fill="auto"/>
            <w:vAlign w:val="bottom"/>
          </w:tcPr>
          <w:p w14:paraId="00465575"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578,650</w:t>
            </w:r>
          </w:p>
        </w:tc>
        <w:tc>
          <w:tcPr>
            <w:tcW w:w="1296" w:type="dxa"/>
            <w:tcBorders>
              <w:top w:val="nil"/>
              <w:left w:val="nil"/>
              <w:bottom w:val="single" w:sz="4" w:space="0" w:color="000000"/>
              <w:right w:val="single" w:sz="4" w:space="0" w:color="000000"/>
            </w:tcBorders>
            <w:shd w:val="clear" w:color="auto" w:fill="auto"/>
            <w:vAlign w:val="bottom"/>
          </w:tcPr>
          <w:p w14:paraId="25492AE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17E95934"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3C0F9B0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Gross profit C = (A-B</w:t>
            </w:r>
            <w:r>
              <w:rPr>
                <w:rFonts w:ascii="Times New Roman" w:eastAsia="Times New Roman" w:hAnsi="Times New Roman" w:cs="Times New Roman"/>
                <w:sz w:val="24"/>
                <w:szCs w:val="24"/>
              </w:rPr>
              <w:t>)</w:t>
            </w:r>
          </w:p>
        </w:tc>
        <w:tc>
          <w:tcPr>
            <w:tcW w:w="1160" w:type="dxa"/>
            <w:tcBorders>
              <w:top w:val="nil"/>
              <w:left w:val="nil"/>
              <w:bottom w:val="single" w:sz="4" w:space="0" w:color="000000"/>
              <w:right w:val="single" w:sz="4" w:space="0" w:color="000000"/>
            </w:tcBorders>
            <w:shd w:val="clear" w:color="auto" w:fill="auto"/>
            <w:vAlign w:val="bottom"/>
          </w:tcPr>
          <w:p w14:paraId="3DBA116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4" w:space="0" w:color="000000"/>
            </w:tcBorders>
            <w:shd w:val="clear" w:color="auto" w:fill="auto"/>
            <w:vAlign w:val="bottom"/>
          </w:tcPr>
          <w:p w14:paraId="2639F143"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222,330.00 </w:t>
            </w:r>
          </w:p>
        </w:tc>
      </w:tr>
      <w:tr w:rsidR="009C4E66" w14:paraId="5628E11E"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6E0FECC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Expenses</w:t>
            </w:r>
          </w:p>
        </w:tc>
        <w:tc>
          <w:tcPr>
            <w:tcW w:w="1160" w:type="dxa"/>
            <w:tcBorders>
              <w:top w:val="nil"/>
              <w:left w:val="nil"/>
              <w:bottom w:val="single" w:sz="4" w:space="0" w:color="000000"/>
              <w:right w:val="single" w:sz="4" w:space="0" w:color="000000"/>
            </w:tcBorders>
            <w:shd w:val="clear" w:color="auto" w:fill="auto"/>
            <w:vAlign w:val="bottom"/>
          </w:tcPr>
          <w:p w14:paraId="73FB02F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4" w:space="0" w:color="000000"/>
            </w:tcBorders>
            <w:shd w:val="clear" w:color="auto" w:fill="auto"/>
            <w:vAlign w:val="bottom"/>
          </w:tcPr>
          <w:p w14:paraId="7FAE20A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388BED87"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79512C5D"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Administrative expenses</w:t>
            </w:r>
          </w:p>
        </w:tc>
        <w:tc>
          <w:tcPr>
            <w:tcW w:w="1160" w:type="dxa"/>
            <w:tcBorders>
              <w:top w:val="nil"/>
              <w:left w:val="nil"/>
              <w:bottom w:val="single" w:sz="4" w:space="0" w:color="000000"/>
              <w:right w:val="single" w:sz="4" w:space="0" w:color="000000"/>
            </w:tcBorders>
            <w:shd w:val="clear" w:color="auto" w:fill="auto"/>
            <w:vAlign w:val="bottom"/>
          </w:tcPr>
          <w:p w14:paraId="3A1FDE47"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30,000</w:t>
            </w:r>
          </w:p>
        </w:tc>
        <w:tc>
          <w:tcPr>
            <w:tcW w:w="1296" w:type="dxa"/>
            <w:tcBorders>
              <w:top w:val="nil"/>
              <w:left w:val="nil"/>
              <w:bottom w:val="single" w:sz="4" w:space="0" w:color="000000"/>
              <w:right w:val="single" w:sz="4" w:space="0" w:color="000000"/>
            </w:tcBorders>
            <w:shd w:val="clear" w:color="auto" w:fill="auto"/>
            <w:vAlign w:val="bottom"/>
          </w:tcPr>
          <w:p w14:paraId="739F123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09E8A7D6"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6B242A95" w14:textId="77777777" w:rsidR="009C4E66" w:rsidRDefault="00000000">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Directors</w:t>
            </w:r>
            <w:proofErr w:type="gramEnd"/>
            <w:r>
              <w:rPr>
                <w:rFonts w:ascii="Times New Roman" w:eastAsia="Times New Roman" w:hAnsi="Times New Roman" w:cs="Times New Roman"/>
                <w:sz w:val="24"/>
                <w:szCs w:val="24"/>
              </w:rPr>
              <w:t xml:space="preserve"> remuneration</w:t>
            </w:r>
          </w:p>
        </w:tc>
        <w:tc>
          <w:tcPr>
            <w:tcW w:w="1160" w:type="dxa"/>
            <w:tcBorders>
              <w:top w:val="nil"/>
              <w:left w:val="nil"/>
              <w:bottom w:val="single" w:sz="4" w:space="0" w:color="000000"/>
              <w:right w:val="single" w:sz="4" w:space="0" w:color="000000"/>
            </w:tcBorders>
            <w:shd w:val="clear" w:color="auto" w:fill="auto"/>
            <w:vAlign w:val="bottom"/>
          </w:tcPr>
          <w:p w14:paraId="65828E76"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296" w:type="dxa"/>
            <w:tcBorders>
              <w:top w:val="nil"/>
              <w:left w:val="nil"/>
              <w:bottom w:val="single" w:sz="4" w:space="0" w:color="000000"/>
              <w:right w:val="single" w:sz="4" w:space="0" w:color="000000"/>
            </w:tcBorders>
            <w:shd w:val="clear" w:color="auto" w:fill="auto"/>
            <w:vAlign w:val="bottom"/>
          </w:tcPr>
          <w:p w14:paraId="5CA03A47"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1B2B7C25"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3D7B81C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Distribution costs</w:t>
            </w:r>
          </w:p>
        </w:tc>
        <w:tc>
          <w:tcPr>
            <w:tcW w:w="1160" w:type="dxa"/>
            <w:tcBorders>
              <w:top w:val="nil"/>
              <w:left w:val="nil"/>
              <w:bottom w:val="single" w:sz="4" w:space="0" w:color="000000"/>
              <w:right w:val="single" w:sz="4" w:space="0" w:color="000000"/>
            </w:tcBorders>
            <w:shd w:val="clear" w:color="auto" w:fill="auto"/>
            <w:vAlign w:val="bottom"/>
          </w:tcPr>
          <w:p w14:paraId="462D87C1"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28,000</w:t>
            </w:r>
          </w:p>
        </w:tc>
        <w:tc>
          <w:tcPr>
            <w:tcW w:w="1296" w:type="dxa"/>
            <w:tcBorders>
              <w:top w:val="nil"/>
              <w:left w:val="nil"/>
              <w:bottom w:val="single" w:sz="4" w:space="0" w:color="000000"/>
              <w:right w:val="single" w:sz="4" w:space="0" w:color="000000"/>
            </w:tcBorders>
            <w:shd w:val="clear" w:color="auto" w:fill="auto"/>
            <w:vAlign w:val="bottom"/>
          </w:tcPr>
          <w:p w14:paraId="5BBDCB42"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2D05BA02"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6E4650C2"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paid</w:t>
            </w:r>
          </w:p>
        </w:tc>
        <w:tc>
          <w:tcPr>
            <w:tcW w:w="1160" w:type="dxa"/>
            <w:tcBorders>
              <w:top w:val="nil"/>
              <w:left w:val="nil"/>
              <w:bottom w:val="single" w:sz="4" w:space="0" w:color="000000"/>
              <w:right w:val="single" w:sz="4" w:space="0" w:color="000000"/>
            </w:tcBorders>
            <w:shd w:val="clear" w:color="auto" w:fill="auto"/>
            <w:vAlign w:val="bottom"/>
          </w:tcPr>
          <w:p w14:paraId="1A9520F5"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296" w:type="dxa"/>
            <w:tcBorders>
              <w:top w:val="nil"/>
              <w:left w:val="nil"/>
              <w:bottom w:val="single" w:sz="4" w:space="0" w:color="000000"/>
              <w:right w:val="single" w:sz="4" w:space="0" w:color="000000"/>
            </w:tcBorders>
            <w:shd w:val="clear" w:color="auto" w:fill="auto"/>
            <w:vAlign w:val="bottom"/>
          </w:tcPr>
          <w:p w14:paraId="661E21D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0E1987B0"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4FBDA45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Sales Commission </w:t>
            </w:r>
          </w:p>
        </w:tc>
        <w:tc>
          <w:tcPr>
            <w:tcW w:w="1160" w:type="dxa"/>
            <w:tcBorders>
              <w:top w:val="nil"/>
              <w:left w:val="nil"/>
              <w:bottom w:val="single" w:sz="4" w:space="0" w:color="000000"/>
              <w:right w:val="single" w:sz="4" w:space="0" w:color="000000"/>
            </w:tcBorders>
            <w:shd w:val="clear" w:color="auto" w:fill="auto"/>
            <w:vAlign w:val="bottom"/>
          </w:tcPr>
          <w:p w14:paraId="39564744"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c>
          <w:tcPr>
            <w:tcW w:w="1296" w:type="dxa"/>
            <w:tcBorders>
              <w:top w:val="nil"/>
              <w:left w:val="nil"/>
              <w:bottom w:val="single" w:sz="4" w:space="0" w:color="000000"/>
              <w:right w:val="single" w:sz="4" w:space="0" w:color="000000"/>
            </w:tcBorders>
            <w:shd w:val="clear" w:color="auto" w:fill="auto"/>
            <w:vAlign w:val="bottom"/>
          </w:tcPr>
          <w:p w14:paraId="3DF8D53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476CAF23"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04772E74"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Expenses (D)</w:t>
            </w:r>
          </w:p>
        </w:tc>
        <w:tc>
          <w:tcPr>
            <w:tcW w:w="1160" w:type="dxa"/>
            <w:tcBorders>
              <w:top w:val="nil"/>
              <w:left w:val="nil"/>
              <w:bottom w:val="single" w:sz="4" w:space="0" w:color="000000"/>
              <w:right w:val="single" w:sz="4" w:space="0" w:color="000000"/>
            </w:tcBorders>
            <w:shd w:val="clear" w:color="auto" w:fill="auto"/>
            <w:vAlign w:val="bottom"/>
          </w:tcPr>
          <w:p w14:paraId="6B3DBE80" w14:textId="77777777" w:rsidR="009C4E66" w:rsidRDefault="00000000">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68,000</w:t>
            </w:r>
          </w:p>
        </w:tc>
        <w:tc>
          <w:tcPr>
            <w:tcW w:w="1296" w:type="dxa"/>
            <w:tcBorders>
              <w:top w:val="nil"/>
              <w:left w:val="nil"/>
              <w:bottom w:val="single" w:sz="4" w:space="0" w:color="000000"/>
              <w:right w:val="single" w:sz="4" w:space="0" w:color="000000"/>
            </w:tcBorders>
            <w:shd w:val="clear" w:color="auto" w:fill="auto"/>
            <w:vAlign w:val="bottom"/>
          </w:tcPr>
          <w:p w14:paraId="3AC234B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6ED3C703"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2F87B213"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Income Before Taxes (E= C-D)</w:t>
            </w:r>
          </w:p>
        </w:tc>
        <w:tc>
          <w:tcPr>
            <w:tcW w:w="1160" w:type="dxa"/>
            <w:tcBorders>
              <w:top w:val="nil"/>
              <w:left w:val="nil"/>
              <w:bottom w:val="single" w:sz="4" w:space="0" w:color="000000"/>
              <w:right w:val="single" w:sz="4" w:space="0" w:color="000000"/>
            </w:tcBorders>
            <w:shd w:val="clear" w:color="auto" w:fill="auto"/>
            <w:vAlign w:val="bottom"/>
          </w:tcPr>
          <w:p w14:paraId="03C74D03"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4" w:space="0" w:color="000000"/>
            </w:tcBorders>
            <w:shd w:val="clear" w:color="auto" w:fill="auto"/>
            <w:vAlign w:val="bottom"/>
          </w:tcPr>
          <w:p w14:paraId="0FE211DB"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154,330.00 </w:t>
            </w:r>
          </w:p>
        </w:tc>
      </w:tr>
      <w:tr w:rsidR="009C4E66" w14:paraId="01E2AA26"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4D86B0B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Provision for Corporation tax (F)</w:t>
            </w:r>
          </w:p>
        </w:tc>
        <w:tc>
          <w:tcPr>
            <w:tcW w:w="1160" w:type="dxa"/>
            <w:tcBorders>
              <w:top w:val="nil"/>
              <w:left w:val="nil"/>
              <w:bottom w:val="single" w:sz="4" w:space="0" w:color="000000"/>
              <w:right w:val="single" w:sz="4" w:space="0" w:color="000000"/>
            </w:tcBorders>
            <w:shd w:val="clear" w:color="auto" w:fill="auto"/>
            <w:vAlign w:val="bottom"/>
          </w:tcPr>
          <w:p w14:paraId="4336CC7A"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tc>
        <w:tc>
          <w:tcPr>
            <w:tcW w:w="1296" w:type="dxa"/>
            <w:tcBorders>
              <w:top w:val="nil"/>
              <w:left w:val="nil"/>
              <w:bottom w:val="single" w:sz="4" w:space="0" w:color="000000"/>
              <w:right w:val="single" w:sz="4" w:space="0" w:color="000000"/>
            </w:tcBorders>
            <w:shd w:val="clear" w:color="auto" w:fill="auto"/>
            <w:vAlign w:val="bottom"/>
          </w:tcPr>
          <w:p w14:paraId="284F364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5ABDA415" w14:textId="77777777">
        <w:trPr>
          <w:trHeight w:val="300"/>
        </w:trPr>
        <w:tc>
          <w:tcPr>
            <w:tcW w:w="5955" w:type="dxa"/>
            <w:tcBorders>
              <w:top w:val="nil"/>
              <w:left w:val="single" w:sz="4" w:space="0" w:color="000000"/>
              <w:bottom w:val="single" w:sz="4" w:space="0" w:color="000000"/>
              <w:right w:val="single" w:sz="4" w:space="0" w:color="000000"/>
            </w:tcBorders>
            <w:shd w:val="clear" w:color="auto" w:fill="auto"/>
            <w:vAlign w:val="bottom"/>
          </w:tcPr>
          <w:p w14:paraId="6FA6318B"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Net Income (G = E-F)</w:t>
            </w:r>
          </w:p>
        </w:tc>
        <w:tc>
          <w:tcPr>
            <w:tcW w:w="1160" w:type="dxa"/>
            <w:tcBorders>
              <w:top w:val="nil"/>
              <w:left w:val="nil"/>
              <w:bottom w:val="single" w:sz="4" w:space="0" w:color="000000"/>
              <w:right w:val="single" w:sz="4" w:space="0" w:color="000000"/>
            </w:tcBorders>
            <w:shd w:val="clear" w:color="auto" w:fill="auto"/>
            <w:vAlign w:val="bottom"/>
          </w:tcPr>
          <w:p w14:paraId="55C7951D"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4" w:space="0" w:color="000000"/>
            </w:tcBorders>
            <w:shd w:val="clear" w:color="auto" w:fill="auto"/>
            <w:vAlign w:val="bottom"/>
          </w:tcPr>
          <w:p w14:paraId="64B04E6D"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54,330.00 </w:t>
            </w:r>
          </w:p>
        </w:tc>
      </w:tr>
    </w:tbl>
    <w:p w14:paraId="384C9677" w14:textId="77777777" w:rsidR="009C4E66" w:rsidRDefault="009C4E66">
      <w:pPr>
        <w:spacing w:after="0" w:line="480" w:lineRule="auto"/>
        <w:rPr>
          <w:rFonts w:ascii="Times New Roman" w:eastAsia="Times New Roman" w:hAnsi="Times New Roman" w:cs="Times New Roman"/>
          <w:sz w:val="24"/>
          <w:szCs w:val="24"/>
        </w:rPr>
      </w:pPr>
    </w:p>
    <w:p w14:paraId="6D352F17"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income statement is a financial document that reveals the results of a business organisation’s activities </w:t>
      </w:r>
      <w:proofErr w:type="gramStart"/>
      <w:r>
        <w:rPr>
          <w:rFonts w:ascii="Times New Roman" w:eastAsia="Times New Roman" w:hAnsi="Times New Roman" w:cs="Times New Roman"/>
          <w:sz w:val="24"/>
          <w:szCs w:val="24"/>
        </w:rPr>
        <w:t>in the course of</w:t>
      </w:r>
      <w:proofErr w:type="gramEnd"/>
      <w:r>
        <w:rPr>
          <w:rFonts w:ascii="Times New Roman" w:eastAsia="Times New Roman" w:hAnsi="Times New Roman" w:cs="Times New Roman"/>
          <w:sz w:val="24"/>
          <w:szCs w:val="24"/>
        </w:rPr>
        <w:t xml:space="preserve"> a financial year. The relationship between the shareholders of a company and the managers is regulated by the agency theory of management. According to the principles of this theory, the managers of a corporation act as agents of the shareholders such that their decisions should be geared towards maximising a company’s profitability (Payne &amp; </w:t>
      </w:r>
      <w:proofErr w:type="spellStart"/>
      <w:r>
        <w:rPr>
          <w:rFonts w:ascii="Times New Roman" w:eastAsia="Times New Roman" w:hAnsi="Times New Roman" w:cs="Times New Roman"/>
          <w:sz w:val="24"/>
          <w:szCs w:val="24"/>
        </w:rPr>
        <w:t>Petrenko</w:t>
      </w:r>
      <w:proofErr w:type="spellEnd"/>
      <w:r>
        <w:rPr>
          <w:rFonts w:ascii="Times New Roman" w:eastAsia="Times New Roman" w:hAnsi="Times New Roman" w:cs="Times New Roman"/>
          <w:sz w:val="24"/>
          <w:szCs w:val="24"/>
        </w:rPr>
        <w:t xml:space="preserve">, 2019). Therefore, the income statement for Wales Plc is critical in evaluating whether the managers have achieved their fiduciary duty to the shareholders. </w:t>
      </w:r>
    </w:p>
    <w:p w14:paraId="2C5C79B8" w14:textId="77777777" w:rsidR="009C4E6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notable features of the income statement is that it begins with sales as the top line. The implication is that when a company records an increase in sales, it is likely to experience an increase in other entries such as operating income and net income (De Luca, 2018). In the case of Wales Plc, the company’s sales are more than the cost of sales, thereby leading to a positive gross profit. The gross profit of £222,330 translates to a gross margin of 27.75%, meaning that the company converts about 28% of the revenue into gross profit. This is a positive attribute, implying that the company has the headroom to experience a marginal decline in revenue without making losses (De Luca, 2018). Overall, it is also notable that the company’s operating efficiency is optimal because when the gross profit is adjusted for operating expenses, the company still closed the year with a net income of £54,330</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This is the income which is attributable to the shareholders of the company and the proceeds can be used to issue dividends and the remainder commitment to capital expenditures.</w:t>
      </w:r>
    </w:p>
    <w:p w14:paraId="72B66520" w14:textId="77777777" w:rsidR="009C4E66" w:rsidRDefault="009C4E66">
      <w:pPr>
        <w:spacing w:line="480" w:lineRule="auto"/>
        <w:ind w:firstLine="720"/>
        <w:rPr>
          <w:rFonts w:ascii="Times New Roman" w:eastAsia="Times New Roman" w:hAnsi="Times New Roman" w:cs="Times New Roman"/>
          <w:sz w:val="24"/>
          <w:szCs w:val="24"/>
        </w:rPr>
      </w:pPr>
    </w:p>
    <w:p w14:paraId="5A52824C" w14:textId="77777777" w:rsidR="009C4E66" w:rsidRDefault="00000000">
      <w:pPr>
        <w:pStyle w:val="Heading3"/>
        <w:spacing w:line="480" w:lineRule="auto"/>
        <w:ind w:firstLine="720"/>
        <w:rPr>
          <w:b/>
        </w:rPr>
      </w:pPr>
      <w:bookmarkStart w:id="5" w:name="_tyjcwt" w:colFirst="0" w:colLast="0"/>
      <w:bookmarkEnd w:id="5"/>
      <w:r>
        <w:rPr>
          <w:b/>
        </w:rPr>
        <w:lastRenderedPageBreak/>
        <w:t>Financial position statement as of December 31</w:t>
      </w:r>
      <w:r>
        <w:rPr>
          <w:b/>
          <w:vertAlign w:val="superscript"/>
        </w:rPr>
        <w:t>st</w:t>
      </w:r>
      <w:proofErr w:type="gramStart"/>
      <w:r>
        <w:rPr>
          <w:b/>
        </w:rPr>
        <w:t xml:space="preserve"> 2022</w:t>
      </w:r>
      <w:proofErr w:type="gramEnd"/>
    </w:p>
    <w:p w14:paraId="2A5D7940" w14:textId="77777777" w:rsidR="009C4E6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statement of financial position is a financial document which reveals a company’s assets, liabilities, and equity at a specific period. The statement can be used to evaluate a company’s financial health by calculating various ratios in categories such as solvency, liquidity, and efficiency (</w:t>
      </w:r>
      <w:proofErr w:type="spellStart"/>
      <w:r>
        <w:rPr>
          <w:rFonts w:ascii="Times New Roman" w:eastAsia="Times New Roman" w:hAnsi="Times New Roman" w:cs="Times New Roman"/>
          <w:sz w:val="24"/>
          <w:szCs w:val="24"/>
        </w:rPr>
        <w:t>Laitinen</w:t>
      </w:r>
      <w:proofErr w:type="spellEnd"/>
      <w:r>
        <w:rPr>
          <w:rFonts w:ascii="Times New Roman" w:eastAsia="Times New Roman" w:hAnsi="Times New Roman" w:cs="Times New Roman"/>
          <w:sz w:val="24"/>
          <w:szCs w:val="24"/>
        </w:rPr>
        <w:t>, 2018). Further, since profit derived from the income statement is transferred to the balance sheet as equity, an increase in the size of the balance sheet implies that the company is maximising shareholder wealth in line with the agency theory of management (</w:t>
      </w:r>
      <w:proofErr w:type="spellStart"/>
      <w:r>
        <w:rPr>
          <w:rFonts w:ascii="Times New Roman" w:eastAsia="Times New Roman" w:hAnsi="Times New Roman" w:cs="Times New Roman"/>
          <w:sz w:val="24"/>
          <w:szCs w:val="24"/>
        </w:rPr>
        <w:t>Laitinen</w:t>
      </w:r>
      <w:proofErr w:type="spellEnd"/>
      <w:r>
        <w:rPr>
          <w:rFonts w:ascii="Times New Roman" w:eastAsia="Times New Roman" w:hAnsi="Times New Roman" w:cs="Times New Roman"/>
          <w:sz w:val="24"/>
          <w:szCs w:val="24"/>
        </w:rPr>
        <w:t xml:space="preserve">, 2018). In preparing the balance sheet, it is pivotal to demonstrate the changes in equity to adjust the opening equity to changes </w:t>
      </w:r>
      <w:proofErr w:type="gramStart"/>
      <w:r>
        <w:rPr>
          <w:rFonts w:ascii="Times New Roman" w:eastAsia="Times New Roman" w:hAnsi="Times New Roman" w:cs="Times New Roman"/>
          <w:sz w:val="24"/>
          <w:szCs w:val="24"/>
        </w:rPr>
        <w:t>in the course of</w:t>
      </w:r>
      <w:proofErr w:type="gramEnd"/>
      <w:r>
        <w:rPr>
          <w:rFonts w:ascii="Times New Roman" w:eastAsia="Times New Roman" w:hAnsi="Times New Roman" w:cs="Times New Roman"/>
          <w:sz w:val="24"/>
          <w:szCs w:val="24"/>
        </w:rPr>
        <w:t xml:space="preserve"> the year such as dividend </w:t>
      </w:r>
      <w:proofErr w:type="spellStart"/>
      <w:r>
        <w:rPr>
          <w:rFonts w:ascii="Times New Roman" w:eastAsia="Times New Roman" w:hAnsi="Times New Roman" w:cs="Times New Roman"/>
          <w:sz w:val="24"/>
          <w:szCs w:val="24"/>
        </w:rPr>
        <w:t>payouts</w:t>
      </w:r>
      <w:proofErr w:type="spellEnd"/>
      <w:r>
        <w:rPr>
          <w:rFonts w:ascii="Times New Roman" w:eastAsia="Times New Roman" w:hAnsi="Times New Roman" w:cs="Times New Roman"/>
          <w:sz w:val="24"/>
          <w:szCs w:val="24"/>
        </w:rPr>
        <w:t xml:space="preserve">. </w:t>
      </w:r>
    </w:p>
    <w:tbl>
      <w:tblPr>
        <w:tblStyle w:val="a0"/>
        <w:tblW w:w="8383" w:type="dxa"/>
        <w:tblLayout w:type="fixed"/>
        <w:tblLook w:val="0400" w:firstRow="0" w:lastRow="0" w:firstColumn="0" w:lastColumn="0" w:noHBand="0" w:noVBand="1"/>
      </w:tblPr>
      <w:tblGrid>
        <w:gridCol w:w="5183"/>
        <w:gridCol w:w="1480"/>
        <w:gridCol w:w="1720"/>
      </w:tblGrid>
      <w:tr w:rsidR="009C4E66" w14:paraId="5642EDB6" w14:textId="77777777">
        <w:trPr>
          <w:trHeight w:val="300"/>
        </w:trPr>
        <w:tc>
          <w:tcPr>
            <w:tcW w:w="838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F014558" w14:textId="77777777" w:rsidR="009C4E66"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Wales Plc</w:t>
            </w:r>
          </w:p>
          <w:p w14:paraId="4ECE2A8B"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r>
      <w:tr w:rsidR="009C4E66" w14:paraId="596FACFE" w14:textId="77777777">
        <w:trPr>
          <w:trHeight w:val="300"/>
        </w:trPr>
        <w:tc>
          <w:tcPr>
            <w:tcW w:w="8383" w:type="dxa"/>
            <w:gridSpan w:val="3"/>
            <w:tcBorders>
              <w:top w:val="nil"/>
              <w:left w:val="single" w:sz="4" w:space="0" w:color="000000"/>
              <w:bottom w:val="single" w:sz="4" w:space="0" w:color="000000"/>
              <w:right w:val="single" w:sz="4" w:space="0" w:color="000000"/>
            </w:tcBorders>
            <w:shd w:val="clear" w:color="auto" w:fill="auto"/>
            <w:vAlign w:val="bottom"/>
          </w:tcPr>
          <w:p w14:paraId="60A64970" w14:textId="77777777" w:rsidR="009C4E66"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Financial position statement as of December 31st</w:t>
            </w:r>
            <w:proofErr w:type="gramStart"/>
            <w:r>
              <w:rPr>
                <w:rFonts w:ascii="Times New Roman" w:eastAsia="Times New Roman" w:hAnsi="Times New Roman" w:cs="Times New Roman"/>
                <w:b/>
                <w:sz w:val="24"/>
                <w:szCs w:val="24"/>
              </w:rPr>
              <w:t xml:space="preserve"> 2022</w:t>
            </w:r>
            <w:proofErr w:type="gramEnd"/>
          </w:p>
          <w:p w14:paraId="665C4439" w14:textId="77777777" w:rsidR="009C4E66" w:rsidRDefault="009C4E66">
            <w:pPr>
              <w:spacing w:after="0" w:line="240" w:lineRule="auto"/>
              <w:rPr>
                <w:rFonts w:ascii="Times New Roman" w:eastAsia="Times New Roman" w:hAnsi="Times New Roman" w:cs="Times New Roman"/>
                <w:b/>
                <w:sz w:val="24"/>
                <w:szCs w:val="24"/>
              </w:rPr>
            </w:pPr>
          </w:p>
          <w:p w14:paraId="7CB2262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4C1F0F96"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2C4C76E6"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1480" w:type="dxa"/>
            <w:tcBorders>
              <w:top w:val="nil"/>
              <w:left w:val="nil"/>
              <w:bottom w:val="single" w:sz="4" w:space="0" w:color="000000"/>
              <w:right w:val="single" w:sz="4" w:space="0" w:color="000000"/>
            </w:tcBorders>
            <w:shd w:val="clear" w:color="auto" w:fill="auto"/>
            <w:vAlign w:val="bottom"/>
          </w:tcPr>
          <w:p w14:paraId="0C7A1B3E"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Amount (£) </w:t>
            </w:r>
          </w:p>
        </w:tc>
        <w:tc>
          <w:tcPr>
            <w:tcW w:w="1720" w:type="dxa"/>
            <w:tcBorders>
              <w:top w:val="nil"/>
              <w:left w:val="nil"/>
              <w:bottom w:val="single" w:sz="4" w:space="0" w:color="000000"/>
              <w:right w:val="single" w:sz="4" w:space="0" w:color="000000"/>
            </w:tcBorders>
            <w:shd w:val="clear" w:color="auto" w:fill="auto"/>
            <w:vAlign w:val="bottom"/>
          </w:tcPr>
          <w:p w14:paraId="4373CA27"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 (£)</w:t>
            </w:r>
          </w:p>
        </w:tc>
      </w:tr>
      <w:tr w:rsidR="009C4E66" w14:paraId="70EECF8F"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5EA5CA07"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ASSETS</w:t>
            </w:r>
          </w:p>
        </w:tc>
        <w:tc>
          <w:tcPr>
            <w:tcW w:w="1480" w:type="dxa"/>
            <w:tcBorders>
              <w:top w:val="nil"/>
              <w:left w:val="nil"/>
              <w:bottom w:val="single" w:sz="4" w:space="0" w:color="000000"/>
              <w:right w:val="single" w:sz="4" w:space="0" w:color="000000"/>
            </w:tcBorders>
            <w:shd w:val="clear" w:color="auto" w:fill="auto"/>
            <w:vAlign w:val="bottom"/>
          </w:tcPr>
          <w:p w14:paraId="194454E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20" w:type="dxa"/>
            <w:tcBorders>
              <w:top w:val="nil"/>
              <w:left w:val="nil"/>
              <w:bottom w:val="single" w:sz="4" w:space="0" w:color="000000"/>
              <w:right w:val="single" w:sz="4" w:space="0" w:color="000000"/>
            </w:tcBorders>
            <w:shd w:val="clear" w:color="auto" w:fill="auto"/>
            <w:vAlign w:val="bottom"/>
          </w:tcPr>
          <w:p w14:paraId="6D79B3AC"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0A077DA8"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149D8761" w14:textId="77777777" w:rsidR="009C4E66" w:rsidRDefault="00000000">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Non-Current Assets</w:t>
            </w:r>
          </w:p>
        </w:tc>
        <w:tc>
          <w:tcPr>
            <w:tcW w:w="1480" w:type="dxa"/>
            <w:tcBorders>
              <w:top w:val="nil"/>
              <w:left w:val="nil"/>
              <w:bottom w:val="single" w:sz="4" w:space="0" w:color="000000"/>
              <w:right w:val="single" w:sz="4" w:space="0" w:color="000000"/>
            </w:tcBorders>
            <w:shd w:val="clear" w:color="auto" w:fill="auto"/>
            <w:vAlign w:val="bottom"/>
          </w:tcPr>
          <w:p w14:paraId="7A5F536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20" w:type="dxa"/>
            <w:tcBorders>
              <w:top w:val="nil"/>
              <w:left w:val="nil"/>
              <w:bottom w:val="single" w:sz="4" w:space="0" w:color="000000"/>
              <w:right w:val="single" w:sz="4" w:space="0" w:color="000000"/>
            </w:tcBorders>
            <w:shd w:val="clear" w:color="auto" w:fill="auto"/>
            <w:vAlign w:val="bottom"/>
          </w:tcPr>
          <w:p w14:paraId="360F74F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2D5F7FF4"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5C6C398C"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Plant and equipment</w:t>
            </w:r>
          </w:p>
        </w:tc>
        <w:tc>
          <w:tcPr>
            <w:tcW w:w="1480" w:type="dxa"/>
            <w:tcBorders>
              <w:top w:val="nil"/>
              <w:left w:val="nil"/>
              <w:bottom w:val="single" w:sz="4" w:space="0" w:color="000000"/>
              <w:right w:val="single" w:sz="4" w:space="0" w:color="000000"/>
            </w:tcBorders>
            <w:shd w:val="clear" w:color="auto" w:fill="auto"/>
            <w:vAlign w:val="bottom"/>
          </w:tcPr>
          <w:p w14:paraId="3EE88D72"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1,250,000.00 </w:t>
            </w:r>
          </w:p>
        </w:tc>
        <w:tc>
          <w:tcPr>
            <w:tcW w:w="1720" w:type="dxa"/>
            <w:tcBorders>
              <w:top w:val="nil"/>
              <w:left w:val="nil"/>
              <w:bottom w:val="single" w:sz="4" w:space="0" w:color="000000"/>
              <w:right w:val="single" w:sz="4" w:space="0" w:color="000000"/>
            </w:tcBorders>
            <w:shd w:val="clear" w:color="auto" w:fill="auto"/>
            <w:vAlign w:val="bottom"/>
          </w:tcPr>
          <w:p w14:paraId="7A87233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7BC2C2A6"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43BC6E4F" w14:textId="77777777" w:rsidR="009C4E66" w:rsidRDefault="00000000">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Current Assets</w:t>
            </w:r>
          </w:p>
        </w:tc>
        <w:tc>
          <w:tcPr>
            <w:tcW w:w="1480" w:type="dxa"/>
            <w:tcBorders>
              <w:top w:val="nil"/>
              <w:left w:val="nil"/>
              <w:bottom w:val="single" w:sz="4" w:space="0" w:color="000000"/>
              <w:right w:val="single" w:sz="4" w:space="0" w:color="000000"/>
            </w:tcBorders>
            <w:shd w:val="clear" w:color="auto" w:fill="auto"/>
            <w:vAlign w:val="bottom"/>
          </w:tcPr>
          <w:p w14:paraId="2EE0AF2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20" w:type="dxa"/>
            <w:tcBorders>
              <w:top w:val="nil"/>
              <w:left w:val="nil"/>
              <w:bottom w:val="single" w:sz="4" w:space="0" w:color="000000"/>
              <w:right w:val="single" w:sz="4" w:space="0" w:color="000000"/>
            </w:tcBorders>
            <w:shd w:val="clear" w:color="auto" w:fill="auto"/>
            <w:vAlign w:val="bottom"/>
          </w:tcPr>
          <w:p w14:paraId="7CAC5EE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7D61073E"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79B2539C"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Trade receivables</w:t>
            </w:r>
          </w:p>
        </w:tc>
        <w:tc>
          <w:tcPr>
            <w:tcW w:w="1480" w:type="dxa"/>
            <w:tcBorders>
              <w:top w:val="nil"/>
              <w:left w:val="nil"/>
              <w:bottom w:val="single" w:sz="4" w:space="0" w:color="000000"/>
              <w:right w:val="single" w:sz="4" w:space="0" w:color="000000"/>
            </w:tcBorders>
            <w:shd w:val="clear" w:color="auto" w:fill="auto"/>
            <w:vAlign w:val="bottom"/>
          </w:tcPr>
          <w:p w14:paraId="493E8AD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171,105.00 </w:t>
            </w:r>
          </w:p>
        </w:tc>
        <w:tc>
          <w:tcPr>
            <w:tcW w:w="1720" w:type="dxa"/>
            <w:tcBorders>
              <w:top w:val="nil"/>
              <w:left w:val="nil"/>
              <w:bottom w:val="single" w:sz="4" w:space="0" w:color="000000"/>
              <w:right w:val="single" w:sz="4" w:space="0" w:color="000000"/>
            </w:tcBorders>
            <w:shd w:val="clear" w:color="auto" w:fill="auto"/>
            <w:vAlign w:val="bottom"/>
          </w:tcPr>
          <w:p w14:paraId="7F6268F2"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3137A081"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0E5FD52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Cash and bank</w:t>
            </w:r>
          </w:p>
        </w:tc>
        <w:tc>
          <w:tcPr>
            <w:tcW w:w="1480" w:type="dxa"/>
            <w:tcBorders>
              <w:top w:val="nil"/>
              <w:left w:val="nil"/>
              <w:bottom w:val="single" w:sz="4" w:space="0" w:color="000000"/>
              <w:right w:val="single" w:sz="4" w:space="0" w:color="000000"/>
            </w:tcBorders>
            <w:shd w:val="clear" w:color="auto" w:fill="auto"/>
            <w:vAlign w:val="bottom"/>
          </w:tcPr>
          <w:p w14:paraId="0D80135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96,000.00 </w:t>
            </w:r>
          </w:p>
        </w:tc>
        <w:tc>
          <w:tcPr>
            <w:tcW w:w="1720" w:type="dxa"/>
            <w:tcBorders>
              <w:top w:val="nil"/>
              <w:left w:val="nil"/>
              <w:bottom w:val="single" w:sz="4" w:space="0" w:color="000000"/>
              <w:right w:val="single" w:sz="4" w:space="0" w:color="000000"/>
            </w:tcBorders>
            <w:shd w:val="clear" w:color="auto" w:fill="auto"/>
            <w:vAlign w:val="bottom"/>
          </w:tcPr>
          <w:p w14:paraId="05733EA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6458746E"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3E1536CD"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Inventory</w:t>
            </w:r>
          </w:p>
        </w:tc>
        <w:tc>
          <w:tcPr>
            <w:tcW w:w="1480" w:type="dxa"/>
            <w:tcBorders>
              <w:top w:val="nil"/>
              <w:left w:val="nil"/>
              <w:bottom w:val="single" w:sz="4" w:space="0" w:color="000000"/>
              <w:right w:val="single" w:sz="4" w:space="0" w:color="000000"/>
            </w:tcBorders>
            <w:shd w:val="clear" w:color="auto" w:fill="auto"/>
            <w:vAlign w:val="bottom"/>
          </w:tcPr>
          <w:p w14:paraId="4EE42A5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510,850.00 </w:t>
            </w:r>
          </w:p>
        </w:tc>
        <w:tc>
          <w:tcPr>
            <w:tcW w:w="1720" w:type="dxa"/>
            <w:tcBorders>
              <w:top w:val="nil"/>
              <w:left w:val="nil"/>
              <w:bottom w:val="single" w:sz="4" w:space="0" w:color="000000"/>
              <w:right w:val="single" w:sz="4" w:space="0" w:color="000000"/>
            </w:tcBorders>
            <w:shd w:val="clear" w:color="auto" w:fill="auto"/>
            <w:vAlign w:val="bottom"/>
          </w:tcPr>
          <w:p w14:paraId="22384915"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2A70B3DA"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30779CF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Current assets</w:t>
            </w:r>
          </w:p>
        </w:tc>
        <w:tc>
          <w:tcPr>
            <w:tcW w:w="1480" w:type="dxa"/>
            <w:tcBorders>
              <w:top w:val="nil"/>
              <w:left w:val="nil"/>
              <w:bottom w:val="single" w:sz="4" w:space="0" w:color="000000"/>
              <w:right w:val="single" w:sz="4" w:space="0" w:color="000000"/>
            </w:tcBorders>
            <w:shd w:val="clear" w:color="auto" w:fill="auto"/>
            <w:vAlign w:val="bottom"/>
          </w:tcPr>
          <w:p w14:paraId="77CCA27D"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777,955.00 </w:t>
            </w:r>
          </w:p>
        </w:tc>
        <w:tc>
          <w:tcPr>
            <w:tcW w:w="1720" w:type="dxa"/>
            <w:tcBorders>
              <w:top w:val="nil"/>
              <w:left w:val="nil"/>
              <w:bottom w:val="single" w:sz="4" w:space="0" w:color="000000"/>
              <w:right w:val="single" w:sz="4" w:space="0" w:color="000000"/>
            </w:tcBorders>
            <w:shd w:val="clear" w:color="auto" w:fill="auto"/>
            <w:vAlign w:val="bottom"/>
          </w:tcPr>
          <w:p w14:paraId="0082868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1E06D80D"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40B089DD"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Assets</w:t>
            </w:r>
          </w:p>
        </w:tc>
        <w:tc>
          <w:tcPr>
            <w:tcW w:w="1480" w:type="dxa"/>
            <w:tcBorders>
              <w:top w:val="nil"/>
              <w:left w:val="nil"/>
              <w:bottom w:val="single" w:sz="4" w:space="0" w:color="000000"/>
              <w:right w:val="single" w:sz="4" w:space="0" w:color="000000"/>
            </w:tcBorders>
            <w:shd w:val="clear" w:color="auto" w:fill="auto"/>
            <w:vAlign w:val="bottom"/>
          </w:tcPr>
          <w:p w14:paraId="4FA5B63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20" w:type="dxa"/>
            <w:tcBorders>
              <w:top w:val="nil"/>
              <w:left w:val="nil"/>
              <w:bottom w:val="single" w:sz="4" w:space="0" w:color="000000"/>
              <w:right w:val="single" w:sz="4" w:space="0" w:color="000000"/>
            </w:tcBorders>
            <w:shd w:val="clear" w:color="auto" w:fill="auto"/>
            <w:vAlign w:val="bottom"/>
          </w:tcPr>
          <w:p w14:paraId="234B624D"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2,027,955.00 </w:t>
            </w:r>
          </w:p>
        </w:tc>
      </w:tr>
      <w:tr w:rsidR="009C4E66" w14:paraId="0980338A"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079B276B"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LIABILITIES AND EQUITY</w:t>
            </w:r>
          </w:p>
        </w:tc>
        <w:tc>
          <w:tcPr>
            <w:tcW w:w="1480" w:type="dxa"/>
            <w:tcBorders>
              <w:top w:val="nil"/>
              <w:left w:val="nil"/>
              <w:bottom w:val="single" w:sz="4" w:space="0" w:color="000000"/>
              <w:right w:val="single" w:sz="4" w:space="0" w:color="000000"/>
            </w:tcBorders>
            <w:shd w:val="clear" w:color="auto" w:fill="auto"/>
            <w:vAlign w:val="bottom"/>
          </w:tcPr>
          <w:p w14:paraId="6643EC4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20" w:type="dxa"/>
            <w:tcBorders>
              <w:top w:val="nil"/>
              <w:left w:val="nil"/>
              <w:bottom w:val="single" w:sz="4" w:space="0" w:color="000000"/>
              <w:right w:val="single" w:sz="4" w:space="0" w:color="000000"/>
            </w:tcBorders>
            <w:shd w:val="clear" w:color="auto" w:fill="auto"/>
            <w:vAlign w:val="bottom"/>
          </w:tcPr>
          <w:p w14:paraId="56CCCA7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2D037A22"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1645F5B9" w14:textId="77777777" w:rsidR="009C4E66" w:rsidRDefault="00000000">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Long Term Liabilities</w:t>
            </w:r>
          </w:p>
        </w:tc>
        <w:tc>
          <w:tcPr>
            <w:tcW w:w="1480" w:type="dxa"/>
            <w:tcBorders>
              <w:top w:val="nil"/>
              <w:left w:val="nil"/>
              <w:bottom w:val="single" w:sz="4" w:space="0" w:color="000000"/>
              <w:right w:val="single" w:sz="4" w:space="0" w:color="000000"/>
            </w:tcBorders>
            <w:shd w:val="clear" w:color="auto" w:fill="auto"/>
            <w:vAlign w:val="bottom"/>
          </w:tcPr>
          <w:p w14:paraId="14F083B7"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20" w:type="dxa"/>
            <w:tcBorders>
              <w:top w:val="nil"/>
              <w:left w:val="nil"/>
              <w:bottom w:val="single" w:sz="4" w:space="0" w:color="000000"/>
              <w:right w:val="single" w:sz="4" w:space="0" w:color="000000"/>
            </w:tcBorders>
            <w:shd w:val="clear" w:color="auto" w:fill="auto"/>
            <w:vAlign w:val="bottom"/>
          </w:tcPr>
          <w:p w14:paraId="69F9BE39"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5A2E7B9D"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797133A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Debentures</w:t>
            </w:r>
          </w:p>
        </w:tc>
        <w:tc>
          <w:tcPr>
            <w:tcW w:w="1480" w:type="dxa"/>
            <w:tcBorders>
              <w:top w:val="nil"/>
              <w:left w:val="nil"/>
              <w:bottom w:val="single" w:sz="4" w:space="0" w:color="000000"/>
              <w:right w:val="single" w:sz="4" w:space="0" w:color="000000"/>
            </w:tcBorders>
            <w:shd w:val="clear" w:color="auto" w:fill="auto"/>
            <w:vAlign w:val="bottom"/>
          </w:tcPr>
          <w:p w14:paraId="06D69A0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200,000.00 </w:t>
            </w:r>
          </w:p>
        </w:tc>
        <w:tc>
          <w:tcPr>
            <w:tcW w:w="1720" w:type="dxa"/>
            <w:tcBorders>
              <w:top w:val="nil"/>
              <w:left w:val="nil"/>
              <w:bottom w:val="single" w:sz="4" w:space="0" w:color="000000"/>
              <w:right w:val="single" w:sz="4" w:space="0" w:color="000000"/>
            </w:tcBorders>
            <w:shd w:val="clear" w:color="auto" w:fill="auto"/>
            <w:vAlign w:val="bottom"/>
          </w:tcPr>
          <w:p w14:paraId="71E0DA95"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31A3DF54"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44492F0B" w14:textId="77777777" w:rsidR="009C4E66" w:rsidRDefault="00000000">
            <w:pPr>
              <w:spacing w:after="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Current liabilities </w:t>
            </w:r>
          </w:p>
        </w:tc>
        <w:tc>
          <w:tcPr>
            <w:tcW w:w="1480" w:type="dxa"/>
            <w:tcBorders>
              <w:top w:val="nil"/>
              <w:left w:val="nil"/>
              <w:bottom w:val="single" w:sz="4" w:space="0" w:color="000000"/>
              <w:right w:val="single" w:sz="4" w:space="0" w:color="000000"/>
            </w:tcBorders>
            <w:shd w:val="clear" w:color="auto" w:fill="auto"/>
            <w:vAlign w:val="bottom"/>
          </w:tcPr>
          <w:p w14:paraId="469EA03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20" w:type="dxa"/>
            <w:tcBorders>
              <w:top w:val="nil"/>
              <w:left w:val="nil"/>
              <w:bottom w:val="single" w:sz="4" w:space="0" w:color="000000"/>
              <w:right w:val="single" w:sz="4" w:space="0" w:color="000000"/>
            </w:tcBorders>
            <w:shd w:val="clear" w:color="auto" w:fill="auto"/>
            <w:vAlign w:val="bottom"/>
          </w:tcPr>
          <w:p w14:paraId="4E76764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49535A88"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76BB5E12"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Trade payables</w:t>
            </w:r>
          </w:p>
        </w:tc>
        <w:tc>
          <w:tcPr>
            <w:tcW w:w="1480" w:type="dxa"/>
            <w:tcBorders>
              <w:top w:val="nil"/>
              <w:left w:val="nil"/>
              <w:bottom w:val="single" w:sz="4" w:space="0" w:color="000000"/>
              <w:right w:val="single" w:sz="4" w:space="0" w:color="000000"/>
            </w:tcBorders>
            <w:shd w:val="clear" w:color="auto" w:fill="auto"/>
            <w:vAlign w:val="bottom"/>
          </w:tcPr>
          <w:p w14:paraId="0D14E07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188,625.00 </w:t>
            </w:r>
          </w:p>
        </w:tc>
        <w:tc>
          <w:tcPr>
            <w:tcW w:w="1720" w:type="dxa"/>
            <w:tcBorders>
              <w:top w:val="nil"/>
              <w:left w:val="nil"/>
              <w:bottom w:val="single" w:sz="4" w:space="0" w:color="000000"/>
              <w:right w:val="single" w:sz="4" w:space="0" w:color="000000"/>
            </w:tcBorders>
            <w:shd w:val="clear" w:color="auto" w:fill="auto"/>
            <w:vAlign w:val="bottom"/>
          </w:tcPr>
          <w:p w14:paraId="74F3D58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026B08EF"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1DC5002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 sales commission</w:t>
            </w:r>
          </w:p>
        </w:tc>
        <w:tc>
          <w:tcPr>
            <w:tcW w:w="1480" w:type="dxa"/>
            <w:tcBorders>
              <w:top w:val="nil"/>
              <w:left w:val="nil"/>
              <w:bottom w:val="single" w:sz="4" w:space="0" w:color="000000"/>
              <w:right w:val="single" w:sz="4" w:space="0" w:color="000000"/>
            </w:tcBorders>
            <w:shd w:val="clear" w:color="auto" w:fill="auto"/>
            <w:vAlign w:val="bottom"/>
          </w:tcPr>
          <w:p w14:paraId="29A2BAF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3,000.00 </w:t>
            </w:r>
          </w:p>
        </w:tc>
        <w:tc>
          <w:tcPr>
            <w:tcW w:w="1720" w:type="dxa"/>
            <w:tcBorders>
              <w:top w:val="nil"/>
              <w:left w:val="nil"/>
              <w:bottom w:val="single" w:sz="4" w:space="0" w:color="000000"/>
              <w:right w:val="single" w:sz="4" w:space="0" w:color="000000"/>
            </w:tcBorders>
            <w:shd w:val="clear" w:color="auto" w:fill="auto"/>
            <w:vAlign w:val="bottom"/>
          </w:tcPr>
          <w:p w14:paraId="62EB92C9"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2DAEC57F"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5F42591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Taxes due</w:t>
            </w:r>
          </w:p>
        </w:tc>
        <w:tc>
          <w:tcPr>
            <w:tcW w:w="1480" w:type="dxa"/>
            <w:tcBorders>
              <w:top w:val="nil"/>
              <w:left w:val="nil"/>
              <w:bottom w:val="single" w:sz="4" w:space="0" w:color="000000"/>
              <w:right w:val="single" w:sz="4" w:space="0" w:color="000000"/>
            </w:tcBorders>
            <w:shd w:val="clear" w:color="auto" w:fill="auto"/>
            <w:vAlign w:val="bottom"/>
          </w:tcPr>
          <w:p w14:paraId="0F61B8C2"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100,000.00 </w:t>
            </w:r>
          </w:p>
        </w:tc>
        <w:tc>
          <w:tcPr>
            <w:tcW w:w="1720" w:type="dxa"/>
            <w:tcBorders>
              <w:top w:val="nil"/>
              <w:left w:val="nil"/>
              <w:bottom w:val="single" w:sz="4" w:space="0" w:color="000000"/>
              <w:right w:val="single" w:sz="4" w:space="0" w:color="000000"/>
            </w:tcBorders>
            <w:shd w:val="clear" w:color="auto" w:fill="auto"/>
            <w:vAlign w:val="bottom"/>
          </w:tcPr>
          <w:p w14:paraId="32F9A153"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684422AF"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24DB5289"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current liabilities</w:t>
            </w:r>
          </w:p>
        </w:tc>
        <w:tc>
          <w:tcPr>
            <w:tcW w:w="1480" w:type="dxa"/>
            <w:tcBorders>
              <w:top w:val="nil"/>
              <w:left w:val="nil"/>
              <w:bottom w:val="single" w:sz="4" w:space="0" w:color="000000"/>
              <w:right w:val="single" w:sz="4" w:space="0" w:color="000000"/>
            </w:tcBorders>
            <w:shd w:val="clear" w:color="auto" w:fill="auto"/>
            <w:vAlign w:val="bottom"/>
          </w:tcPr>
          <w:p w14:paraId="0CFA0A7E"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291,625.00 </w:t>
            </w:r>
          </w:p>
        </w:tc>
        <w:tc>
          <w:tcPr>
            <w:tcW w:w="1720" w:type="dxa"/>
            <w:tcBorders>
              <w:top w:val="nil"/>
              <w:left w:val="nil"/>
              <w:bottom w:val="single" w:sz="4" w:space="0" w:color="000000"/>
              <w:right w:val="single" w:sz="4" w:space="0" w:color="000000"/>
            </w:tcBorders>
            <w:shd w:val="clear" w:color="auto" w:fill="auto"/>
            <w:vAlign w:val="bottom"/>
          </w:tcPr>
          <w:p w14:paraId="6F714A8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2D34966A"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18F37C1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Liabilities</w:t>
            </w:r>
          </w:p>
        </w:tc>
        <w:tc>
          <w:tcPr>
            <w:tcW w:w="1480" w:type="dxa"/>
            <w:tcBorders>
              <w:top w:val="nil"/>
              <w:left w:val="nil"/>
              <w:bottom w:val="single" w:sz="4" w:space="0" w:color="000000"/>
              <w:right w:val="single" w:sz="4" w:space="0" w:color="000000"/>
            </w:tcBorders>
            <w:shd w:val="clear" w:color="auto" w:fill="auto"/>
            <w:vAlign w:val="bottom"/>
          </w:tcPr>
          <w:p w14:paraId="4FECB3D5"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491,625.00 </w:t>
            </w:r>
          </w:p>
        </w:tc>
        <w:tc>
          <w:tcPr>
            <w:tcW w:w="1720" w:type="dxa"/>
            <w:tcBorders>
              <w:top w:val="nil"/>
              <w:left w:val="nil"/>
              <w:bottom w:val="single" w:sz="4" w:space="0" w:color="000000"/>
              <w:right w:val="single" w:sz="4" w:space="0" w:color="000000"/>
            </w:tcBorders>
            <w:shd w:val="clear" w:color="auto" w:fill="auto"/>
            <w:vAlign w:val="bottom"/>
          </w:tcPr>
          <w:p w14:paraId="46BBC9AC"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2BAC421B"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557B2C8F"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EQUITY</w:t>
            </w:r>
          </w:p>
        </w:tc>
        <w:tc>
          <w:tcPr>
            <w:tcW w:w="1480" w:type="dxa"/>
            <w:tcBorders>
              <w:top w:val="nil"/>
              <w:left w:val="nil"/>
              <w:bottom w:val="single" w:sz="4" w:space="0" w:color="000000"/>
              <w:right w:val="single" w:sz="4" w:space="0" w:color="000000"/>
            </w:tcBorders>
            <w:shd w:val="clear" w:color="auto" w:fill="auto"/>
            <w:vAlign w:val="bottom"/>
          </w:tcPr>
          <w:p w14:paraId="716951CC"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20" w:type="dxa"/>
            <w:tcBorders>
              <w:top w:val="nil"/>
              <w:left w:val="nil"/>
              <w:bottom w:val="single" w:sz="4" w:space="0" w:color="000000"/>
              <w:right w:val="single" w:sz="4" w:space="0" w:color="000000"/>
            </w:tcBorders>
            <w:shd w:val="clear" w:color="auto" w:fill="auto"/>
            <w:vAlign w:val="bottom"/>
          </w:tcPr>
          <w:p w14:paraId="7073F5D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68364B6D"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0A70D469"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ordinary shares</w:t>
            </w:r>
          </w:p>
        </w:tc>
        <w:tc>
          <w:tcPr>
            <w:tcW w:w="1480" w:type="dxa"/>
            <w:tcBorders>
              <w:top w:val="nil"/>
              <w:left w:val="nil"/>
              <w:bottom w:val="single" w:sz="4" w:space="0" w:color="000000"/>
              <w:right w:val="single" w:sz="4" w:space="0" w:color="000000"/>
            </w:tcBorders>
            <w:shd w:val="clear" w:color="auto" w:fill="auto"/>
            <w:vAlign w:val="bottom"/>
          </w:tcPr>
          <w:p w14:paraId="2591886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900,000.00 </w:t>
            </w:r>
          </w:p>
        </w:tc>
        <w:tc>
          <w:tcPr>
            <w:tcW w:w="1720" w:type="dxa"/>
            <w:tcBorders>
              <w:top w:val="nil"/>
              <w:left w:val="nil"/>
              <w:bottom w:val="single" w:sz="4" w:space="0" w:color="000000"/>
              <w:right w:val="single" w:sz="4" w:space="0" w:color="000000"/>
            </w:tcBorders>
            <w:shd w:val="clear" w:color="auto" w:fill="auto"/>
            <w:vAlign w:val="bottom"/>
          </w:tcPr>
          <w:p w14:paraId="5B29A89C"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78076D8E"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05F87DE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£1 preference shares</w:t>
            </w:r>
          </w:p>
        </w:tc>
        <w:tc>
          <w:tcPr>
            <w:tcW w:w="1480" w:type="dxa"/>
            <w:tcBorders>
              <w:top w:val="nil"/>
              <w:left w:val="nil"/>
              <w:bottom w:val="single" w:sz="4" w:space="0" w:color="000000"/>
              <w:right w:val="single" w:sz="4" w:space="0" w:color="000000"/>
            </w:tcBorders>
            <w:shd w:val="clear" w:color="auto" w:fill="auto"/>
            <w:vAlign w:val="bottom"/>
          </w:tcPr>
          <w:p w14:paraId="2901B5B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500,000.00 </w:t>
            </w:r>
          </w:p>
        </w:tc>
        <w:tc>
          <w:tcPr>
            <w:tcW w:w="1720" w:type="dxa"/>
            <w:tcBorders>
              <w:top w:val="nil"/>
              <w:left w:val="nil"/>
              <w:bottom w:val="single" w:sz="4" w:space="0" w:color="000000"/>
              <w:right w:val="single" w:sz="4" w:space="0" w:color="000000"/>
            </w:tcBorders>
            <w:shd w:val="clear" w:color="auto" w:fill="auto"/>
            <w:vAlign w:val="bottom"/>
          </w:tcPr>
          <w:p w14:paraId="41A5284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7E495CA4"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5002D626" w14:textId="77777777" w:rsidR="009C4E66" w:rsidRDefault="00000000">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add </w:t>
            </w:r>
            <w:r>
              <w:rPr>
                <w:rFonts w:ascii="Times New Roman" w:eastAsia="Times New Roman" w:hAnsi="Times New Roman" w:cs="Times New Roman"/>
                <w:sz w:val="24"/>
                <w:szCs w:val="24"/>
              </w:rPr>
              <w:t xml:space="preserve">Retained profits as </w:t>
            </w:r>
            <w:proofErr w:type="gramStart"/>
            <w:r>
              <w:rPr>
                <w:rFonts w:ascii="Times New Roman" w:eastAsia="Times New Roman" w:hAnsi="Times New Roman" w:cs="Times New Roman"/>
                <w:sz w:val="24"/>
                <w:szCs w:val="24"/>
              </w:rPr>
              <w:t>at</w:t>
            </w:r>
            <w:proofErr w:type="gramEnd"/>
            <w:r>
              <w:rPr>
                <w:rFonts w:ascii="Times New Roman" w:eastAsia="Times New Roman" w:hAnsi="Times New Roman" w:cs="Times New Roman"/>
                <w:sz w:val="24"/>
                <w:szCs w:val="24"/>
              </w:rPr>
              <w:t xml:space="preserve"> 1st January 2021</w:t>
            </w:r>
          </w:p>
        </w:tc>
        <w:tc>
          <w:tcPr>
            <w:tcW w:w="1480" w:type="dxa"/>
            <w:tcBorders>
              <w:top w:val="nil"/>
              <w:left w:val="nil"/>
              <w:bottom w:val="single" w:sz="4" w:space="0" w:color="000000"/>
              <w:right w:val="single" w:sz="4" w:space="0" w:color="000000"/>
            </w:tcBorders>
            <w:shd w:val="clear" w:color="auto" w:fill="auto"/>
            <w:vAlign w:val="bottom"/>
          </w:tcPr>
          <w:p w14:paraId="17DE497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132,000.00 </w:t>
            </w:r>
          </w:p>
        </w:tc>
        <w:tc>
          <w:tcPr>
            <w:tcW w:w="1720" w:type="dxa"/>
            <w:tcBorders>
              <w:top w:val="nil"/>
              <w:left w:val="nil"/>
              <w:bottom w:val="single" w:sz="4" w:space="0" w:color="000000"/>
              <w:right w:val="single" w:sz="4" w:space="0" w:color="000000"/>
            </w:tcBorders>
            <w:shd w:val="clear" w:color="auto" w:fill="auto"/>
            <w:vAlign w:val="bottom"/>
          </w:tcPr>
          <w:p w14:paraId="45B650D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417A9CFB"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5F73F36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 Profit for the year ended 31st December 2022</w:t>
            </w:r>
          </w:p>
        </w:tc>
        <w:tc>
          <w:tcPr>
            <w:tcW w:w="1480" w:type="dxa"/>
            <w:tcBorders>
              <w:top w:val="nil"/>
              <w:left w:val="nil"/>
              <w:bottom w:val="single" w:sz="4" w:space="0" w:color="000000"/>
              <w:right w:val="single" w:sz="4" w:space="0" w:color="000000"/>
            </w:tcBorders>
            <w:shd w:val="clear" w:color="auto" w:fill="auto"/>
            <w:vAlign w:val="bottom"/>
          </w:tcPr>
          <w:p w14:paraId="7E4E22D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54,330.00 </w:t>
            </w:r>
          </w:p>
        </w:tc>
        <w:tc>
          <w:tcPr>
            <w:tcW w:w="1720" w:type="dxa"/>
            <w:tcBorders>
              <w:top w:val="nil"/>
              <w:left w:val="nil"/>
              <w:bottom w:val="single" w:sz="4" w:space="0" w:color="000000"/>
              <w:right w:val="single" w:sz="4" w:space="0" w:color="000000"/>
            </w:tcBorders>
            <w:shd w:val="clear" w:color="auto" w:fill="auto"/>
            <w:vAlign w:val="bottom"/>
          </w:tcPr>
          <w:p w14:paraId="169A88B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08B39B8D"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17E5293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Less ordinary dividends</w:t>
            </w:r>
          </w:p>
        </w:tc>
        <w:tc>
          <w:tcPr>
            <w:tcW w:w="1480" w:type="dxa"/>
            <w:tcBorders>
              <w:top w:val="nil"/>
              <w:left w:val="nil"/>
              <w:bottom w:val="single" w:sz="4" w:space="0" w:color="000000"/>
              <w:right w:val="single" w:sz="4" w:space="0" w:color="000000"/>
            </w:tcBorders>
            <w:shd w:val="clear" w:color="auto" w:fill="auto"/>
            <w:vAlign w:val="bottom"/>
          </w:tcPr>
          <w:p w14:paraId="4D6C041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20,000.00 </w:t>
            </w:r>
          </w:p>
        </w:tc>
        <w:tc>
          <w:tcPr>
            <w:tcW w:w="1720" w:type="dxa"/>
            <w:tcBorders>
              <w:top w:val="nil"/>
              <w:left w:val="nil"/>
              <w:bottom w:val="single" w:sz="4" w:space="0" w:color="000000"/>
              <w:right w:val="single" w:sz="4" w:space="0" w:color="000000"/>
            </w:tcBorders>
            <w:shd w:val="clear" w:color="auto" w:fill="auto"/>
            <w:vAlign w:val="bottom"/>
          </w:tcPr>
          <w:p w14:paraId="43E6CF83"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54A2D763"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6D63243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Less:  preference dividends</w:t>
            </w:r>
          </w:p>
        </w:tc>
        <w:tc>
          <w:tcPr>
            <w:tcW w:w="1480" w:type="dxa"/>
            <w:tcBorders>
              <w:top w:val="nil"/>
              <w:left w:val="nil"/>
              <w:bottom w:val="single" w:sz="4" w:space="0" w:color="000000"/>
              <w:right w:val="single" w:sz="4" w:space="0" w:color="000000"/>
            </w:tcBorders>
            <w:shd w:val="clear" w:color="auto" w:fill="auto"/>
            <w:vAlign w:val="bottom"/>
          </w:tcPr>
          <w:p w14:paraId="0F717ACC"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30,000.00 </w:t>
            </w:r>
          </w:p>
        </w:tc>
        <w:tc>
          <w:tcPr>
            <w:tcW w:w="1720" w:type="dxa"/>
            <w:tcBorders>
              <w:top w:val="nil"/>
              <w:left w:val="nil"/>
              <w:bottom w:val="single" w:sz="4" w:space="0" w:color="000000"/>
              <w:right w:val="single" w:sz="4" w:space="0" w:color="000000"/>
            </w:tcBorders>
            <w:shd w:val="clear" w:color="auto" w:fill="auto"/>
            <w:vAlign w:val="bottom"/>
          </w:tcPr>
          <w:p w14:paraId="0F80A0B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456A5575"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062DC65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Equity </w:t>
            </w:r>
          </w:p>
        </w:tc>
        <w:tc>
          <w:tcPr>
            <w:tcW w:w="1480" w:type="dxa"/>
            <w:tcBorders>
              <w:top w:val="nil"/>
              <w:left w:val="nil"/>
              <w:bottom w:val="single" w:sz="4" w:space="0" w:color="000000"/>
              <w:right w:val="single" w:sz="4" w:space="0" w:color="000000"/>
            </w:tcBorders>
            <w:shd w:val="clear" w:color="auto" w:fill="auto"/>
            <w:vAlign w:val="bottom"/>
          </w:tcPr>
          <w:p w14:paraId="251D9A45"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1,536,330.00 </w:t>
            </w:r>
          </w:p>
        </w:tc>
        <w:tc>
          <w:tcPr>
            <w:tcW w:w="1720" w:type="dxa"/>
            <w:tcBorders>
              <w:top w:val="nil"/>
              <w:left w:val="nil"/>
              <w:bottom w:val="single" w:sz="4" w:space="0" w:color="000000"/>
              <w:right w:val="single" w:sz="4" w:space="0" w:color="000000"/>
            </w:tcBorders>
            <w:shd w:val="clear" w:color="auto" w:fill="auto"/>
            <w:vAlign w:val="bottom"/>
          </w:tcPr>
          <w:p w14:paraId="7BB40D2C"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4A9ADAEB"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1B5D48B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80" w:type="dxa"/>
            <w:tcBorders>
              <w:top w:val="nil"/>
              <w:left w:val="nil"/>
              <w:bottom w:val="single" w:sz="4" w:space="0" w:color="000000"/>
              <w:right w:val="single" w:sz="4" w:space="0" w:color="000000"/>
            </w:tcBorders>
            <w:shd w:val="clear" w:color="auto" w:fill="auto"/>
            <w:vAlign w:val="bottom"/>
          </w:tcPr>
          <w:p w14:paraId="64BC4F5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20" w:type="dxa"/>
            <w:tcBorders>
              <w:top w:val="nil"/>
              <w:left w:val="nil"/>
              <w:bottom w:val="single" w:sz="4" w:space="0" w:color="000000"/>
              <w:right w:val="single" w:sz="4" w:space="0" w:color="000000"/>
            </w:tcBorders>
            <w:shd w:val="clear" w:color="auto" w:fill="auto"/>
            <w:vAlign w:val="bottom"/>
          </w:tcPr>
          <w:p w14:paraId="273C2D19"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9C4E66" w14:paraId="40C77E17" w14:textId="77777777">
        <w:trPr>
          <w:trHeight w:val="300"/>
        </w:trPr>
        <w:tc>
          <w:tcPr>
            <w:tcW w:w="5183" w:type="dxa"/>
            <w:tcBorders>
              <w:top w:val="nil"/>
              <w:left w:val="single" w:sz="4" w:space="0" w:color="000000"/>
              <w:bottom w:val="single" w:sz="4" w:space="0" w:color="000000"/>
              <w:right w:val="single" w:sz="4" w:space="0" w:color="000000"/>
            </w:tcBorders>
            <w:shd w:val="clear" w:color="auto" w:fill="auto"/>
            <w:vAlign w:val="bottom"/>
          </w:tcPr>
          <w:p w14:paraId="31CD441C"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LIABILITIES AND EQUITY TOTAL</w:t>
            </w:r>
          </w:p>
        </w:tc>
        <w:tc>
          <w:tcPr>
            <w:tcW w:w="1480" w:type="dxa"/>
            <w:tcBorders>
              <w:top w:val="nil"/>
              <w:left w:val="nil"/>
              <w:bottom w:val="single" w:sz="4" w:space="0" w:color="000000"/>
              <w:right w:val="single" w:sz="4" w:space="0" w:color="000000"/>
            </w:tcBorders>
            <w:shd w:val="clear" w:color="auto" w:fill="auto"/>
            <w:vAlign w:val="bottom"/>
          </w:tcPr>
          <w:p w14:paraId="2ABABEBD"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720" w:type="dxa"/>
            <w:tcBorders>
              <w:top w:val="nil"/>
              <w:left w:val="nil"/>
              <w:bottom w:val="single" w:sz="4" w:space="0" w:color="000000"/>
              <w:right w:val="single" w:sz="4" w:space="0" w:color="000000"/>
            </w:tcBorders>
            <w:shd w:val="clear" w:color="auto" w:fill="auto"/>
            <w:vAlign w:val="bottom"/>
          </w:tcPr>
          <w:p w14:paraId="593426F6" w14:textId="77777777" w:rsidR="009C4E66"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2,027,955.00 </w:t>
            </w:r>
          </w:p>
        </w:tc>
      </w:tr>
    </w:tbl>
    <w:p w14:paraId="403D0036" w14:textId="77777777" w:rsidR="009C4E66" w:rsidRDefault="009C4E66">
      <w:pPr>
        <w:spacing w:after="0" w:line="480" w:lineRule="auto"/>
        <w:ind w:firstLine="720"/>
        <w:rPr>
          <w:rFonts w:ascii="Times New Roman" w:eastAsia="Times New Roman" w:hAnsi="Times New Roman" w:cs="Times New Roman"/>
          <w:sz w:val="24"/>
          <w:szCs w:val="24"/>
        </w:rPr>
      </w:pPr>
    </w:p>
    <w:p w14:paraId="7F3DF8DF" w14:textId="77777777" w:rsidR="009C4E6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From the preceding financial position statement for Wales Plc, it is notable that the </w:t>
      </w:r>
      <w:proofErr w:type="gramStart"/>
      <w:r>
        <w:rPr>
          <w:rFonts w:ascii="Times New Roman" w:eastAsia="Times New Roman" w:hAnsi="Times New Roman" w:cs="Times New Roman"/>
          <w:sz w:val="24"/>
          <w:szCs w:val="24"/>
        </w:rPr>
        <w:t>sum total</w:t>
      </w:r>
      <w:proofErr w:type="gramEnd"/>
      <w:r>
        <w:rPr>
          <w:rFonts w:ascii="Times New Roman" w:eastAsia="Times New Roman" w:hAnsi="Times New Roman" w:cs="Times New Roman"/>
          <w:sz w:val="24"/>
          <w:szCs w:val="24"/>
        </w:rPr>
        <w:t xml:space="preserve"> of liabilities and equity equals to the sum of assets. This shows that the balance sheet is correctly prepared such that the acquisition of the assets of the company is financed through liabilities and equity. The figures in the balance sheet can subsequently be used to compute ratios to determine the company’s solvency, liquidity, profitability, and operating efficiency. </w:t>
      </w:r>
    </w:p>
    <w:p w14:paraId="07817A60" w14:textId="77777777" w:rsidR="009C4E66" w:rsidRDefault="009C4E66">
      <w:pPr>
        <w:spacing w:line="480" w:lineRule="auto"/>
        <w:ind w:firstLine="720"/>
        <w:rPr>
          <w:rFonts w:ascii="Times New Roman" w:eastAsia="Times New Roman" w:hAnsi="Times New Roman" w:cs="Times New Roman"/>
          <w:sz w:val="24"/>
          <w:szCs w:val="24"/>
        </w:rPr>
      </w:pPr>
    </w:p>
    <w:p w14:paraId="0D4075FE" w14:textId="77777777" w:rsidR="009C4E66" w:rsidRDefault="00000000">
      <w:pPr>
        <w:pStyle w:val="Heading2"/>
        <w:spacing w:line="480" w:lineRule="auto"/>
        <w:ind w:firstLine="720"/>
        <w:rPr>
          <w:sz w:val="28"/>
          <w:szCs w:val="28"/>
        </w:rPr>
      </w:pPr>
      <w:bookmarkStart w:id="6" w:name="_3dy6vkm" w:colFirst="0" w:colLast="0"/>
      <w:bookmarkEnd w:id="6"/>
      <w:r>
        <w:rPr>
          <w:sz w:val="28"/>
          <w:szCs w:val="28"/>
        </w:rPr>
        <w:lastRenderedPageBreak/>
        <w:t>b) Why does the financial position statement balance?</w:t>
      </w:r>
    </w:p>
    <w:p w14:paraId="7CFB3ED4"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evidenced in the case of Wales Plc, a balance sheet needs to balance to reflect that all the accounting figures as at the date of preparation have been captured correctly. There are two primary reasons why the balance sheet balances. The first one is the use of the double-entry accounting principle in recording all financial and accounting transactions during the financial year. The principle contends that for every transaction, there is an equal but opposite transaction in a different account. (Thomas &amp; Ward, 2019) The principle is applied across all transactions such that for every debit transaction, there is an equal corresponding transaction in a different account with an opposite effect. </w:t>
      </w:r>
    </w:p>
    <w:p w14:paraId="4DA635A3" w14:textId="77777777" w:rsidR="009C4E6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reason why the balance sheet document balances is the balance-sheet equation. The equation contends that the sum of liabilities and equity should be equal to the sum of assets (Thomas &amp; Ward, 2019). The fundamental implication of the equation is that all the assets of a company are financed either through liabilities or equity. For example, for Wales Plc, the purchase of inventory through credit would be reflected in accounts namely a credit in the accounts payables (liabilities) account and a debit in the inventory account. Additionally, if the company wanted to acquire additional fixed assets such as plant and equipment, this would need the company to raise debt or issue additional equity (Thomas &amp; Ward, 2019). The hallmark observation, therefore, is that when all the accounting entries are captured correctly in their respective ledgers, the balance sheet should show a balance between the assets on one hand, and liabilities and equity on the other hand. </w:t>
      </w:r>
    </w:p>
    <w:p w14:paraId="7C649A55" w14:textId="77777777" w:rsidR="009C4E66" w:rsidRDefault="009C4E66">
      <w:pPr>
        <w:spacing w:line="480" w:lineRule="auto"/>
        <w:ind w:firstLine="720"/>
        <w:rPr>
          <w:rFonts w:ascii="Times New Roman" w:eastAsia="Times New Roman" w:hAnsi="Times New Roman" w:cs="Times New Roman"/>
          <w:sz w:val="24"/>
          <w:szCs w:val="24"/>
        </w:rPr>
      </w:pPr>
    </w:p>
    <w:p w14:paraId="3A81B334" w14:textId="77777777" w:rsidR="009C4E66" w:rsidRDefault="00000000">
      <w:pPr>
        <w:pStyle w:val="Heading1"/>
        <w:spacing w:line="480" w:lineRule="auto"/>
        <w:jc w:val="center"/>
        <w:rPr>
          <w:sz w:val="32"/>
          <w:szCs w:val="32"/>
          <w:u w:val="single"/>
        </w:rPr>
      </w:pPr>
      <w:bookmarkStart w:id="7" w:name="_1t3h5sf" w:colFirst="0" w:colLast="0"/>
      <w:bookmarkEnd w:id="7"/>
      <w:r>
        <w:rPr>
          <w:sz w:val="32"/>
          <w:szCs w:val="32"/>
          <w:u w:val="single"/>
        </w:rPr>
        <w:lastRenderedPageBreak/>
        <w:t xml:space="preserve">Question Two </w:t>
      </w:r>
    </w:p>
    <w:p w14:paraId="1CC4A357" w14:textId="77777777" w:rsidR="009C4E66" w:rsidRDefault="00000000">
      <w:pPr>
        <w:pStyle w:val="Heading2"/>
        <w:spacing w:line="480" w:lineRule="auto"/>
        <w:ind w:firstLine="720"/>
        <w:rPr>
          <w:sz w:val="28"/>
          <w:szCs w:val="28"/>
        </w:rPr>
      </w:pPr>
      <w:bookmarkStart w:id="8" w:name="_4d34og8" w:colFirst="0" w:colLast="0"/>
      <w:bookmarkEnd w:id="8"/>
      <w:r>
        <w:rPr>
          <w:sz w:val="28"/>
          <w:szCs w:val="28"/>
        </w:rPr>
        <w:t xml:space="preserve">a) Calculation of the ratios for </w:t>
      </w:r>
      <w:proofErr w:type="gramStart"/>
      <w:r>
        <w:rPr>
          <w:sz w:val="28"/>
          <w:szCs w:val="28"/>
        </w:rPr>
        <w:t>Sweets</w:t>
      </w:r>
      <w:proofErr w:type="gramEnd"/>
      <w:r>
        <w:rPr>
          <w:sz w:val="28"/>
          <w:szCs w:val="28"/>
        </w:rPr>
        <w:t xml:space="preserve"> plc for the years 2021 and 2020</w:t>
      </w:r>
    </w:p>
    <w:p w14:paraId="3EBB0517" w14:textId="77777777" w:rsidR="009C4E66" w:rsidRDefault="00000000">
      <w:pPr>
        <w:pStyle w:val="Heading3"/>
        <w:spacing w:line="480" w:lineRule="auto"/>
        <w:ind w:left="0" w:firstLine="720"/>
        <w:rPr>
          <w:b/>
        </w:rPr>
      </w:pPr>
      <w:bookmarkStart w:id="9" w:name="_2s8eyo1" w:colFirst="0" w:colLast="0"/>
      <w:bookmarkEnd w:id="9"/>
      <w:r>
        <w:rPr>
          <w:b/>
        </w:rPr>
        <w:t>1. Return on capital employed</w:t>
      </w:r>
    </w:p>
    <w:p w14:paraId="27BF1DF2"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ROCE refers to the return on capital employed. The ratio is calculated through the formula: </w:t>
      </w:r>
    </w:p>
    <w:p w14:paraId="69EC978A" w14:textId="77777777" w:rsidR="009C4E66"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ROCE = (EBIT/Capital employed) * 100</w:t>
      </w:r>
    </w:p>
    <w:p w14:paraId="347E860A" w14:textId="77777777" w:rsidR="009C4E66"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Capital employed = Total assets </w:t>
      </w:r>
      <w:proofErr w:type="gramStart"/>
      <w:r>
        <w:rPr>
          <w:rFonts w:ascii="Times New Roman" w:eastAsia="Times New Roman" w:hAnsi="Times New Roman" w:cs="Times New Roman"/>
          <w:sz w:val="24"/>
          <w:szCs w:val="24"/>
        </w:rPr>
        <w:t>-  total</w:t>
      </w:r>
      <w:proofErr w:type="gramEnd"/>
      <w:r>
        <w:rPr>
          <w:rFonts w:ascii="Times New Roman" w:eastAsia="Times New Roman" w:hAnsi="Times New Roman" w:cs="Times New Roman"/>
          <w:sz w:val="24"/>
          <w:szCs w:val="24"/>
        </w:rPr>
        <w:t xml:space="preserve"> current liabilities </w:t>
      </w:r>
    </w:p>
    <w:p w14:paraId="74E8FF9A" w14:textId="77777777" w:rsidR="009C4E6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Capital employed: </w:t>
      </w:r>
    </w:p>
    <w:tbl>
      <w:tblPr>
        <w:tblStyle w:val="a1"/>
        <w:tblW w:w="8005" w:type="dxa"/>
        <w:jc w:val="center"/>
        <w:tblLayout w:type="fixed"/>
        <w:tblLook w:val="0400" w:firstRow="0" w:lastRow="0" w:firstColumn="0" w:lastColumn="0" w:noHBand="0" w:noVBand="1"/>
      </w:tblPr>
      <w:tblGrid>
        <w:gridCol w:w="960"/>
        <w:gridCol w:w="1626"/>
        <w:gridCol w:w="2471"/>
        <w:gridCol w:w="2948"/>
      </w:tblGrid>
      <w:tr w:rsidR="009C4E66" w14:paraId="592D9B0D"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A2AC3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26" w:type="dxa"/>
            <w:tcBorders>
              <w:top w:val="single" w:sz="4" w:space="0" w:color="000000"/>
              <w:left w:val="nil"/>
              <w:bottom w:val="single" w:sz="4" w:space="0" w:color="000000"/>
              <w:right w:val="single" w:sz="4" w:space="0" w:color="000000"/>
            </w:tcBorders>
            <w:shd w:val="clear" w:color="auto" w:fill="auto"/>
            <w:vAlign w:val="bottom"/>
          </w:tcPr>
          <w:p w14:paraId="60B5516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Total assets(£m) </w:t>
            </w:r>
          </w:p>
        </w:tc>
        <w:tc>
          <w:tcPr>
            <w:tcW w:w="2471" w:type="dxa"/>
            <w:tcBorders>
              <w:top w:val="single" w:sz="4" w:space="0" w:color="000000"/>
              <w:left w:val="nil"/>
              <w:bottom w:val="single" w:sz="4" w:space="0" w:color="000000"/>
              <w:right w:val="single" w:sz="4" w:space="0" w:color="000000"/>
            </w:tcBorders>
            <w:shd w:val="clear" w:color="auto" w:fill="auto"/>
            <w:vAlign w:val="bottom"/>
          </w:tcPr>
          <w:p w14:paraId="2701E38C"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Current liabilities(£m) </w:t>
            </w:r>
          </w:p>
        </w:tc>
        <w:tc>
          <w:tcPr>
            <w:tcW w:w="2948" w:type="dxa"/>
            <w:tcBorders>
              <w:top w:val="single" w:sz="4" w:space="0" w:color="000000"/>
              <w:left w:val="nil"/>
              <w:bottom w:val="single" w:sz="4" w:space="0" w:color="000000"/>
              <w:right w:val="single" w:sz="4" w:space="0" w:color="000000"/>
            </w:tcBorders>
            <w:shd w:val="clear" w:color="auto" w:fill="auto"/>
            <w:vAlign w:val="bottom"/>
          </w:tcPr>
          <w:p w14:paraId="0E832BA2"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Capital employed (£m)</w:t>
            </w:r>
          </w:p>
        </w:tc>
      </w:tr>
      <w:tr w:rsidR="009C4E66" w14:paraId="75777A7C"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45A21A37"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26" w:type="dxa"/>
            <w:tcBorders>
              <w:top w:val="nil"/>
              <w:left w:val="nil"/>
              <w:bottom w:val="nil"/>
              <w:right w:val="nil"/>
            </w:tcBorders>
            <w:shd w:val="clear" w:color="auto" w:fill="auto"/>
            <w:vAlign w:val="bottom"/>
          </w:tcPr>
          <w:p w14:paraId="76D4774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10,087</w:t>
            </w:r>
          </w:p>
        </w:tc>
        <w:tc>
          <w:tcPr>
            <w:tcW w:w="2471" w:type="dxa"/>
            <w:tcBorders>
              <w:top w:val="nil"/>
              <w:left w:val="single" w:sz="4" w:space="0" w:color="000000"/>
              <w:bottom w:val="single" w:sz="4" w:space="0" w:color="000000"/>
              <w:right w:val="single" w:sz="4" w:space="0" w:color="000000"/>
            </w:tcBorders>
            <w:shd w:val="clear" w:color="auto" w:fill="auto"/>
            <w:vAlign w:val="bottom"/>
          </w:tcPr>
          <w:p w14:paraId="4FF20EE7"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3,046 </w:t>
            </w:r>
          </w:p>
        </w:tc>
        <w:tc>
          <w:tcPr>
            <w:tcW w:w="2948" w:type="dxa"/>
            <w:tcBorders>
              <w:top w:val="nil"/>
              <w:left w:val="nil"/>
              <w:bottom w:val="single" w:sz="4" w:space="0" w:color="000000"/>
              <w:right w:val="single" w:sz="4" w:space="0" w:color="000000"/>
            </w:tcBorders>
            <w:shd w:val="clear" w:color="auto" w:fill="auto"/>
            <w:vAlign w:val="bottom"/>
          </w:tcPr>
          <w:p w14:paraId="1432A1D7"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10,087 -3,046 =7,041 </w:t>
            </w:r>
          </w:p>
        </w:tc>
      </w:tr>
      <w:tr w:rsidR="009C4E66" w14:paraId="52BFF9CA"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03A2EEE5"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26" w:type="dxa"/>
            <w:tcBorders>
              <w:top w:val="single" w:sz="4" w:space="0" w:color="000000"/>
              <w:left w:val="nil"/>
              <w:bottom w:val="single" w:sz="4" w:space="0" w:color="000000"/>
              <w:right w:val="single" w:sz="4" w:space="0" w:color="000000"/>
            </w:tcBorders>
            <w:shd w:val="clear" w:color="auto" w:fill="auto"/>
            <w:vAlign w:val="bottom"/>
          </w:tcPr>
          <w:p w14:paraId="1CB386C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9,736 </w:t>
            </w:r>
          </w:p>
        </w:tc>
        <w:tc>
          <w:tcPr>
            <w:tcW w:w="2471" w:type="dxa"/>
            <w:tcBorders>
              <w:top w:val="nil"/>
              <w:left w:val="nil"/>
              <w:bottom w:val="single" w:sz="4" w:space="0" w:color="000000"/>
              <w:right w:val="single" w:sz="4" w:space="0" w:color="000000"/>
            </w:tcBorders>
            <w:shd w:val="clear" w:color="auto" w:fill="auto"/>
            <w:vAlign w:val="bottom"/>
          </w:tcPr>
          <w:p w14:paraId="2E476ED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2,511 </w:t>
            </w:r>
          </w:p>
        </w:tc>
        <w:tc>
          <w:tcPr>
            <w:tcW w:w="2948" w:type="dxa"/>
            <w:tcBorders>
              <w:top w:val="nil"/>
              <w:left w:val="nil"/>
              <w:bottom w:val="single" w:sz="4" w:space="0" w:color="000000"/>
              <w:right w:val="single" w:sz="4" w:space="0" w:color="000000"/>
            </w:tcBorders>
            <w:shd w:val="clear" w:color="auto" w:fill="auto"/>
            <w:vAlign w:val="bottom"/>
          </w:tcPr>
          <w:p w14:paraId="05741E6D"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9,736 -2,511 = 7,225 </w:t>
            </w:r>
          </w:p>
        </w:tc>
      </w:tr>
    </w:tbl>
    <w:p w14:paraId="29DE8B15" w14:textId="77777777" w:rsidR="009C4E66" w:rsidRDefault="009C4E66">
      <w:pPr>
        <w:spacing w:line="480" w:lineRule="auto"/>
        <w:rPr>
          <w:rFonts w:ascii="Times New Roman" w:eastAsia="Times New Roman" w:hAnsi="Times New Roman" w:cs="Times New Roman"/>
          <w:sz w:val="24"/>
          <w:szCs w:val="24"/>
        </w:rPr>
      </w:pPr>
    </w:p>
    <w:p w14:paraId="598A7028" w14:textId="77777777" w:rsidR="009C4E6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for Sweets Plc, ROCE is as presented below. </w:t>
      </w:r>
    </w:p>
    <w:tbl>
      <w:tblPr>
        <w:tblStyle w:val="a2"/>
        <w:tblW w:w="8095" w:type="dxa"/>
        <w:jc w:val="center"/>
        <w:tblLayout w:type="fixed"/>
        <w:tblLook w:val="0400" w:firstRow="0" w:lastRow="0" w:firstColumn="0" w:lastColumn="0" w:noHBand="0" w:noVBand="1"/>
      </w:tblPr>
      <w:tblGrid>
        <w:gridCol w:w="960"/>
        <w:gridCol w:w="1638"/>
        <w:gridCol w:w="2451"/>
        <w:gridCol w:w="3046"/>
      </w:tblGrid>
      <w:tr w:rsidR="009C4E66" w14:paraId="60B73EF7"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FD8BF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4FEF6FF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EBIT (£m) </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2FA79D3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Capital Employed(£m) </w:t>
            </w:r>
          </w:p>
        </w:tc>
        <w:tc>
          <w:tcPr>
            <w:tcW w:w="3046" w:type="dxa"/>
            <w:tcBorders>
              <w:top w:val="single" w:sz="4" w:space="0" w:color="000000"/>
              <w:left w:val="nil"/>
              <w:bottom w:val="single" w:sz="4" w:space="0" w:color="000000"/>
              <w:right w:val="single" w:sz="4" w:space="0" w:color="000000"/>
            </w:tcBorders>
            <w:shd w:val="clear" w:color="auto" w:fill="auto"/>
            <w:vAlign w:val="bottom"/>
          </w:tcPr>
          <w:p w14:paraId="4C47273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ROCE</w:t>
            </w:r>
          </w:p>
        </w:tc>
      </w:tr>
      <w:tr w:rsidR="009C4E66" w14:paraId="1AB413C7"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70F78476"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62A190E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699.00 </w:t>
            </w:r>
          </w:p>
        </w:tc>
        <w:tc>
          <w:tcPr>
            <w:tcW w:w="2451" w:type="dxa"/>
            <w:tcBorders>
              <w:top w:val="nil"/>
              <w:left w:val="nil"/>
              <w:bottom w:val="single" w:sz="4" w:space="0" w:color="000000"/>
              <w:right w:val="single" w:sz="4" w:space="0" w:color="000000"/>
            </w:tcBorders>
            <w:shd w:val="clear" w:color="auto" w:fill="auto"/>
            <w:vAlign w:val="bottom"/>
          </w:tcPr>
          <w:p w14:paraId="6B421A95"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7,041.00 </w:t>
            </w:r>
          </w:p>
        </w:tc>
        <w:tc>
          <w:tcPr>
            <w:tcW w:w="3046" w:type="dxa"/>
            <w:tcBorders>
              <w:top w:val="nil"/>
              <w:left w:val="nil"/>
              <w:bottom w:val="single" w:sz="4" w:space="0" w:color="000000"/>
              <w:right w:val="single" w:sz="4" w:space="0" w:color="000000"/>
            </w:tcBorders>
            <w:shd w:val="clear" w:color="auto" w:fill="auto"/>
            <w:vAlign w:val="bottom"/>
          </w:tcPr>
          <w:p w14:paraId="6202A656"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(699.00 /7,041) *100 = </w:t>
            </w:r>
            <w:r>
              <w:rPr>
                <w:rFonts w:ascii="Times New Roman" w:eastAsia="Times New Roman" w:hAnsi="Times New Roman" w:cs="Times New Roman"/>
                <w:b/>
                <w:sz w:val="24"/>
                <w:szCs w:val="24"/>
              </w:rPr>
              <w:t>9.93%</w:t>
            </w:r>
          </w:p>
        </w:tc>
      </w:tr>
      <w:tr w:rsidR="009C4E66" w14:paraId="79C9F497"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0967674D"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5EF2BCAD"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805.00 </w:t>
            </w:r>
          </w:p>
        </w:tc>
        <w:tc>
          <w:tcPr>
            <w:tcW w:w="2451" w:type="dxa"/>
            <w:tcBorders>
              <w:top w:val="nil"/>
              <w:left w:val="nil"/>
              <w:bottom w:val="single" w:sz="4" w:space="0" w:color="000000"/>
              <w:right w:val="single" w:sz="4" w:space="0" w:color="000000"/>
            </w:tcBorders>
            <w:shd w:val="clear" w:color="auto" w:fill="auto"/>
            <w:vAlign w:val="bottom"/>
          </w:tcPr>
          <w:p w14:paraId="213D3289"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7,225.00 </w:t>
            </w:r>
          </w:p>
        </w:tc>
        <w:tc>
          <w:tcPr>
            <w:tcW w:w="3046" w:type="dxa"/>
            <w:tcBorders>
              <w:top w:val="nil"/>
              <w:left w:val="nil"/>
              <w:bottom w:val="single" w:sz="4" w:space="0" w:color="000000"/>
              <w:right w:val="single" w:sz="4" w:space="0" w:color="000000"/>
            </w:tcBorders>
            <w:shd w:val="clear" w:color="auto" w:fill="auto"/>
            <w:vAlign w:val="bottom"/>
          </w:tcPr>
          <w:p w14:paraId="43C864A5" w14:textId="77777777" w:rsidR="009C4E66" w:rsidRDefault="00000000">
            <w:pPr>
              <w:spacing w:after="0" w:line="240" w:lineRule="auto"/>
              <w:jc w:val="right"/>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805/7,225) * 100 = </w:t>
            </w:r>
            <w:r>
              <w:rPr>
                <w:rFonts w:ascii="Times New Roman" w:eastAsia="Times New Roman" w:hAnsi="Times New Roman" w:cs="Times New Roman"/>
                <w:b/>
                <w:sz w:val="24"/>
                <w:szCs w:val="24"/>
              </w:rPr>
              <w:t>11.14%</w:t>
            </w:r>
          </w:p>
        </w:tc>
      </w:tr>
    </w:tbl>
    <w:p w14:paraId="53B93F36" w14:textId="77777777" w:rsidR="009C4E66" w:rsidRDefault="009C4E66">
      <w:pPr>
        <w:pStyle w:val="Heading2"/>
        <w:spacing w:line="480" w:lineRule="auto"/>
        <w:ind w:firstLine="720"/>
      </w:pPr>
      <w:bookmarkStart w:id="10" w:name="_17dp8vu" w:colFirst="0" w:colLast="0"/>
      <w:bookmarkEnd w:id="10"/>
    </w:p>
    <w:p w14:paraId="04BAEC4A" w14:textId="77777777" w:rsidR="009C4E66" w:rsidRDefault="00000000">
      <w:pPr>
        <w:pStyle w:val="Heading3"/>
        <w:spacing w:line="480" w:lineRule="auto"/>
        <w:ind w:left="0" w:firstLine="720"/>
        <w:rPr>
          <w:b/>
        </w:rPr>
      </w:pPr>
      <w:bookmarkStart w:id="11" w:name="_3rdcrjn" w:colFirst="0" w:colLast="0"/>
      <w:bookmarkEnd w:id="11"/>
      <w:r>
        <w:rPr>
          <w:b/>
        </w:rPr>
        <w:t>2. Return on equity</w:t>
      </w:r>
    </w:p>
    <w:p w14:paraId="1207750E"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Return on equity is the rate of net income measured against a company’s equity (</w:t>
      </w:r>
      <w:proofErr w:type="spellStart"/>
      <w:r>
        <w:rPr>
          <w:rFonts w:ascii="Times New Roman" w:eastAsia="Times New Roman" w:hAnsi="Times New Roman" w:cs="Times New Roman"/>
          <w:sz w:val="24"/>
          <w:szCs w:val="24"/>
        </w:rPr>
        <w:t>Laitinen</w:t>
      </w:r>
      <w:proofErr w:type="spellEnd"/>
      <w:r>
        <w:rPr>
          <w:rFonts w:ascii="Times New Roman" w:eastAsia="Times New Roman" w:hAnsi="Times New Roman" w:cs="Times New Roman"/>
          <w:sz w:val="24"/>
          <w:szCs w:val="24"/>
        </w:rPr>
        <w:t xml:space="preserve">, 2018). The formula for ROE is: (Net income/Shareholders’ equity) * </w:t>
      </w:r>
      <w:proofErr w:type="gramStart"/>
      <w:r>
        <w:rPr>
          <w:rFonts w:ascii="Times New Roman" w:eastAsia="Times New Roman" w:hAnsi="Times New Roman" w:cs="Times New Roman"/>
          <w:sz w:val="24"/>
          <w:szCs w:val="24"/>
        </w:rPr>
        <w:t>100</w:t>
      </w:r>
      <w:proofErr w:type="gramEnd"/>
    </w:p>
    <w:p w14:paraId="432246F8" w14:textId="77777777" w:rsidR="009C4E6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ROE for Sweets Plc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w:t>
      </w:r>
    </w:p>
    <w:tbl>
      <w:tblPr>
        <w:tblStyle w:val="a3"/>
        <w:tblW w:w="8095" w:type="dxa"/>
        <w:jc w:val="center"/>
        <w:tblLayout w:type="fixed"/>
        <w:tblLook w:val="0400" w:firstRow="0" w:lastRow="0" w:firstColumn="0" w:lastColumn="0" w:noHBand="0" w:noVBand="1"/>
      </w:tblPr>
      <w:tblGrid>
        <w:gridCol w:w="960"/>
        <w:gridCol w:w="1638"/>
        <w:gridCol w:w="2451"/>
        <w:gridCol w:w="3046"/>
      </w:tblGrid>
      <w:tr w:rsidR="009C4E66" w14:paraId="19CC83A1"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096A5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25425C8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Net Income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7DE5AD9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Shareholder’s Equity (£m)</w:t>
            </w:r>
          </w:p>
        </w:tc>
        <w:tc>
          <w:tcPr>
            <w:tcW w:w="3046" w:type="dxa"/>
            <w:tcBorders>
              <w:top w:val="single" w:sz="4" w:space="0" w:color="000000"/>
              <w:left w:val="nil"/>
              <w:bottom w:val="single" w:sz="4" w:space="0" w:color="000000"/>
              <w:right w:val="single" w:sz="4" w:space="0" w:color="000000"/>
            </w:tcBorders>
            <w:shd w:val="clear" w:color="auto" w:fill="auto"/>
            <w:vAlign w:val="bottom"/>
          </w:tcPr>
          <w:p w14:paraId="6F4088C9"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ROE</w:t>
            </w:r>
          </w:p>
        </w:tc>
      </w:tr>
      <w:tr w:rsidR="009C4E66" w14:paraId="48354CA2"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55E26DA9"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6A95D2B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366 </w:t>
            </w:r>
          </w:p>
        </w:tc>
        <w:tc>
          <w:tcPr>
            <w:tcW w:w="2451" w:type="dxa"/>
            <w:tcBorders>
              <w:top w:val="nil"/>
              <w:left w:val="nil"/>
              <w:bottom w:val="single" w:sz="4" w:space="0" w:color="000000"/>
              <w:right w:val="single" w:sz="4" w:space="0" w:color="000000"/>
            </w:tcBorders>
            <w:shd w:val="clear" w:color="auto" w:fill="auto"/>
            <w:vAlign w:val="bottom"/>
          </w:tcPr>
          <w:p w14:paraId="10C2C7E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2,912 </w:t>
            </w:r>
          </w:p>
        </w:tc>
        <w:tc>
          <w:tcPr>
            <w:tcW w:w="3046" w:type="dxa"/>
            <w:tcBorders>
              <w:top w:val="nil"/>
              <w:left w:val="nil"/>
              <w:bottom w:val="single" w:sz="4" w:space="0" w:color="000000"/>
              <w:right w:val="single" w:sz="4" w:space="0" w:color="000000"/>
            </w:tcBorders>
            <w:shd w:val="clear" w:color="auto" w:fill="auto"/>
            <w:vAlign w:val="bottom"/>
          </w:tcPr>
          <w:p w14:paraId="1B7A91BA"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(366/</w:t>
            </w:r>
            <w:proofErr w:type="gramStart"/>
            <w:r>
              <w:rPr>
                <w:rFonts w:ascii="Times New Roman" w:eastAsia="Times New Roman" w:hAnsi="Times New Roman" w:cs="Times New Roman"/>
                <w:sz w:val="24"/>
                <w:szCs w:val="24"/>
              </w:rPr>
              <w:t>2,912)*</w:t>
            </w:r>
            <w:proofErr w:type="gramEnd"/>
            <w:r>
              <w:rPr>
                <w:rFonts w:ascii="Times New Roman" w:eastAsia="Times New Roman" w:hAnsi="Times New Roman" w:cs="Times New Roman"/>
                <w:sz w:val="24"/>
                <w:szCs w:val="24"/>
              </w:rPr>
              <w:t xml:space="preserve">100 = </w:t>
            </w:r>
            <w:r>
              <w:rPr>
                <w:rFonts w:ascii="Times New Roman" w:eastAsia="Times New Roman" w:hAnsi="Times New Roman" w:cs="Times New Roman"/>
                <w:b/>
                <w:sz w:val="24"/>
                <w:szCs w:val="24"/>
              </w:rPr>
              <w:t>12.57%</w:t>
            </w:r>
          </w:p>
        </w:tc>
      </w:tr>
      <w:tr w:rsidR="009C4E66" w14:paraId="68F4F865"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3FC9C84E"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3B162FE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431 </w:t>
            </w:r>
          </w:p>
        </w:tc>
        <w:tc>
          <w:tcPr>
            <w:tcW w:w="2451" w:type="dxa"/>
            <w:tcBorders>
              <w:top w:val="nil"/>
              <w:left w:val="nil"/>
              <w:bottom w:val="single" w:sz="4" w:space="0" w:color="000000"/>
              <w:right w:val="single" w:sz="4" w:space="0" w:color="000000"/>
            </w:tcBorders>
            <w:shd w:val="clear" w:color="auto" w:fill="auto"/>
            <w:vAlign w:val="bottom"/>
          </w:tcPr>
          <w:p w14:paraId="5D397DE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3,088 </w:t>
            </w:r>
          </w:p>
        </w:tc>
        <w:tc>
          <w:tcPr>
            <w:tcW w:w="3046" w:type="dxa"/>
            <w:tcBorders>
              <w:top w:val="nil"/>
              <w:left w:val="nil"/>
              <w:bottom w:val="single" w:sz="4" w:space="0" w:color="000000"/>
              <w:right w:val="single" w:sz="4" w:space="0" w:color="000000"/>
            </w:tcBorders>
            <w:shd w:val="clear" w:color="auto" w:fill="auto"/>
            <w:vAlign w:val="bottom"/>
          </w:tcPr>
          <w:p w14:paraId="019FC27D"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(431/</w:t>
            </w:r>
            <w:proofErr w:type="gramStart"/>
            <w:r>
              <w:rPr>
                <w:rFonts w:ascii="Times New Roman" w:eastAsia="Times New Roman" w:hAnsi="Times New Roman" w:cs="Times New Roman"/>
                <w:sz w:val="24"/>
                <w:szCs w:val="24"/>
              </w:rPr>
              <w:t>3,088)*</w:t>
            </w:r>
            <w:proofErr w:type="gramEnd"/>
            <w:r>
              <w:rPr>
                <w:rFonts w:ascii="Times New Roman" w:eastAsia="Times New Roman" w:hAnsi="Times New Roman" w:cs="Times New Roman"/>
                <w:sz w:val="24"/>
                <w:szCs w:val="24"/>
              </w:rPr>
              <w:t xml:space="preserve">100   = </w:t>
            </w:r>
            <w:r>
              <w:rPr>
                <w:rFonts w:ascii="Times New Roman" w:eastAsia="Times New Roman" w:hAnsi="Times New Roman" w:cs="Times New Roman"/>
                <w:b/>
                <w:sz w:val="24"/>
                <w:szCs w:val="24"/>
              </w:rPr>
              <w:t>13.96%</w:t>
            </w:r>
          </w:p>
        </w:tc>
      </w:tr>
    </w:tbl>
    <w:p w14:paraId="18EA235F" w14:textId="77777777" w:rsidR="009C4E66" w:rsidRDefault="009C4E66">
      <w:pPr>
        <w:spacing w:line="480" w:lineRule="auto"/>
        <w:rPr>
          <w:rFonts w:ascii="Times New Roman" w:eastAsia="Times New Roman" w:hAnsi="Times New Roman" w:cs="Times New Roman"/>
          <w:sz w:val="24"/>
          <w:szCs w:val="24"/>
        </w:rPr>
      </w:pPr>
    </w:p>
    <w:p w14:paraId="695BA8EF" w14:textId="77777777" w:rsidR="009C4E66" w:rsidRDefault="00000000">
      <w:pPr>
        <w:pStyle w:val="Heading3"/>
        <w:spacing w:line="480" w:lineRule="auto"/>
        <w:ind w:left="0" w:firstLine="720"/>
        <w:rPr>
          <w:b/>
        </w:rPr>
      </w:pPr>
      <w:bookmarkStart w:id="12" w:name="_26in1rg" w:colFirst="0" w:colLast="0"/>
      <w:bookmarkEnd w:id="12"/>
      <w:r>
        <w:rPr>
          <w:b/>
        </w:rPr>
        <w:t>3. Earnings per share</w:t>
      </w:r>
    </w:p>
    <w:p w14:paraId="7C6CC637"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Earnings per share (EPS) refers to the net income of a company per unit of ownership (</w:t>
      </w:r>
      <w:proofErr w:type="spellStart"/>
      <w:r>
        <w:rPr>
          <w:rFonts w:ascii="Times New Roman" w:eastAsia="Times New Roman" w:hAnsi="Times New Roman" w:cs="Times New Roman"/>
          <w:sz w:val="24"/>
          <w:szCs w:val="24"/>
        </w:rPr>
        <w:t>Laitinen</w:t>
      </w:r>
      <w:proofErr w:type="spellEnd"/>
      <w:r>
        <w:rPr>
          <w:rFonts w:ascii="Times New Roman" w:eastAsia="Times New Roman" w:hAnsi="Times New Roman" w:cs="Times New Roman"/>
          <w:sz w:val="24"/>
          <w:szCs w:val="24"/>
        </w:rPr>
        <w:t xml:space="preserve">, 2018). In this case, a unit of ownership is a unit of ordinary stock. The formula for EPS is: </w:t>
      </w:r>
    </w:p>
    <w:p w14:paraId="73FD33AC" w14:textId="77777777" w:rsidR="009C4E66"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EPS = Net income/Shares Outstanding</w:t>
      </w:r>
    </w:p>
    <w:p w14:paraId="53B44BE3" w14:textId="77777777" w:rsidR="009C4E66"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Shares outstanding = Share capital/book value per share</w:t>
      </w:r>
    </w:p>
    <w:p w14:paraId="46D02DCA" w14:textId="77777777" w:rsidR="009C4E66"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shares outstanding for 2020 and 2021 = (300,000,000/50) = 6,000,000</w:t>
      </w:r>
    </w:p>
    <w:p w14:paraId="3B796E8F" w14:textId="77777777" w:rsidR="009C4E6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EPS for Sweets Plc is: </w:t>
      </w:r>
    </w:p>
    <w:tbl>
      <w:tblPr>
        <w:tblStyle w:val="a4"/>
        <w:tblW w:w="7285" w:type="dxa"/>
        <w:jc w:val="center"/>
        <w:tblLayout w:type="fixed"/>
        <w:tblLook w:val="0400" w:firstRow="0" w:lastRow="0" w:firstColumn="0" w:lastColumn="0" w:noHBand="0" w:noVBand="1"/>
      </w:tblPr>
      <w:tblGrid>
        <w:gridCol w:w="960"/>
        <w:gridCol w:w="1638"/>
        <w:gridCol w:w="2451"/>
        <w:gridCol w:w="2236"/>
      </w:tblGrid>
      <w:tr w:rsidR="009C4E66" w14:paraId="555346CA"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C93251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7401AAB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Net Income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7EFFB28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Shares outstanding (millions)</w:t>
            </w:r>
          </w:p>
        </w:tc>
        <w:tc>
          <w:tcPr>
            <w:tcW w:w="2236" w:type="dxa"/>
            <w:tcBorders>
              <w:top w:val="single" w:sz="4" w:space="0" w:color="000000"/>
              <w:left w:val="nil"/>
              <w:bottom w:val="single" w:sz="4" w:space="0" w:color="000000"/>
              <w:right w:val="single" w:sz="4" w:space="0" w:color="000000"/>
            </w:tcBorders>
            <w:shd w:val="clear" w:color="auto" w:fill="auto"/>
            <w:vAlign w:val="bottom"/>
          </w:tcPr>
          <w:p w14:paraId="3271DDB5"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EPS</w:t>
            </w:r>
          </w:p>
        </w:tc>
      </w:tr>
      <w:tr w:rsidR="009C4E66" w14:paraId="204D4861"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76CF8BA5"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132D3819"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366    </w:t>
            </w:r>
          </w:p>
        </w:tc>
        <w:tc>
          <w:tcPr>
            <w:tcW w:w="2451" w:type="dxa"/>
            <w:tcBorders>
              <w:top w:val="nil"/>
              <w:left w:val="nil"/>
              <w:bottom w:val="single" w:sz="4" w:space="0" w:color="000000"/>
              <w:right w:val="single" w:sz="4" w:space="0" w:color="000000"/>
            </w:tcBorders>
            <w:shd w:val="clear" w:color="auto" w:fill="auto"/>
            <w:vAlign w:val="bottom"/>
          </w:tcPr>
          <w:p w14:paraId="48CDD40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w:t>
            </w:r>
          </w:p>
        </w:tc>
        <w:tc>
          <w:tcPr>
            <w:tcW w:w="2236" w:type="dxa"/>
            <w:tcBorders>
              <w:top w:val="nil"/>
              <w:left w:val="nil"/>
              <w:bottom w:val="single" w:sz="4" w:space="0" w:color="000000"/>
              <w:right w:val="single" w:sz="4" w:space="0" w:color="000000"/>
            </w:tcBorders>
            <w:shd w:val="clear" w:color="auto" w:fill="auto"/>
            <w:vAlign w:val="bottom"/>
          </w:tcPr>
          <w:p w14:paraId="1B4AD154"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(366/6) =</w:t>
            </w:r>
            <w:r>
              <w:rPr>
                <w:rFonts w:ascii="Times New Roman" w:eastAsia="Times New Roman" w:hAnsi="Times New Roman" w:cs="Times New Roman"/>
                <w:b/>
                <w:sz w:val="24"/>
                <w:szCs w:val="24"/>
              </w:rPr>
              <w:t>£61</w:t>
            </w:r>
            <w:r>
              <w:rPr>
                <w:rFonts w:ascii="Times New Roman" w:eastAsia="Times New Roman" w:hAnsi="Times New Roman" w:cs="Times New Roman"/>
                <w:sz w:val="24"/>
                <w:szCs w:val="24"/>
              </w:rPr>
              <w:t xml:space="preserve">  </w:t>
            </w:r>
          </w:p>
        </w:tc>
      </w:tr>
      <w:tr w:rsidR="009C4E66" w14:paraId="748B0872"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4FDE61F1"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216036F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431 </w:t>
            </w:r>
          </w:p>
        </w:tc>
        <w:tc>
          <w:tcPr>
            <w:tcW w:w="2451" w:type="dxa"/>
            <w:tcBorders>
              <w:top w:val="nil"/>
              <w:left w:val="nil"/>
              <w:bottom w:val="single" w:sz="4" w:space="0" w:color="000000"/>
              <w:right w:val="single" w:sz="4" w:space="0" w:color="000000"/>
            </w:tcBorders>
            <w:shd w:val="clear" w:color="auto" w:fill="auto"/>
            <w:vAlign w:val="bottom"/>
          </w:tcPr>
          <w:p w14:paraId="03286D9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 </w:t>
            </w:r>
          </w:p>
        </w:tc>
        <w:tc>
          <w:tcPr>
            <w:tcW w:w="2236" w:type="dxa"/>
            <w:tcBorders>
              <w:top w:val="nil"/>
              <w:left w:val="nil"/>
              <w:bottom w:val="single" w:sz="4" w:space="0" w:color="000000"/>
              <w:right w:val="single" w:sz="4" w:space="0" w:color="000000"/>
            </w:tcBorders>
            <w:shd w:val="clear" w:color="auto" w:fill="auto"/>
            <w:vAlign w:val="bottom"/>
          </w:tcPr>
          <w:p w14:paraId="410193AC"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(431/6) = </w:t>
            </w:r>
            <w:r>
              <w:rPr>
                <w:rFonts w:ascii="Times New Roman" w:eastAsia="Times New Roman" w:hAnsi="Times New Roman" w:cs="Times New Roman"/>
                <w:b/>
                <w:sz w:val="24"/>
                <w:szCs w:val="24"/>
              </w:rPr>
              <w:t>£71.8</w:t>
            </w:r>
          </w:p>
        </w:tc>
      </w:tr>
    </w:tbl>
    <w:p w14:paraId="14D001E4" w14:textId="77777777" w:rsidR="009C4E66" w:rsidRDefault="009C4E66">
      <w:pPr>
        <w:spacing w:line="480" w:lineRule="auto"/>
        <w:rPr>
          <w:rFonts w:ascii="Times New Roman" w:eastAsia="Times New Roman" w:hAnsi="Times New Roman" w:cs="Times New Roman"/>
          <w:sz w:val="24"/>
          <w:szCs w:val="24"/>
        </w:rPr>
      </w:pPr>
    </w:p>
    <w:p w14:paraId="0AE540B4" w14:textId="77777777" w:rsidR="009C4E66" w:rsidRDefault="00000000">
      <w:pPr>
        <w:pStyle w:val="Heading3"/>
        <w:spacing w:line="480" w:lineRule="auto"/>
        <w:ind w:left="0" w:firstLine="720"/>
        <w:rPr>
          <w:b/>
        </w:rPr>
      </w:pPr>
      <w:bookmarkStart w:id="13" w:name="_lnxbz9" w:colFirst="0" w:colLast="0"/>
      <w:bookmarkEnd w:id="13"/>
      <w:r>
        <w:rPr>
          <w:b/>
        </w:rPr>
        <w:t>4. Net profit margin</w:t>
      </w:r>
    </w:p>
    <w:p w14:paraId="17EFE7B3"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 margin evaluates the share of revenue that is converted into net income during a financial year (</w:t>
      </w:r>
      <w:proofErr w:type="spellStart"/>
      <w:r>
        <w:rPr>
          <w:rFonts w:ascii="Times New Roman" w:eastAsia="Times New Roman" w:hAnsi="Times New Roman" w:cs="Times New Roman"/>
          <w:sz w:val="24"/>
          <w:szCs w:val="24"/>
        </w:rPr>
        <w:t>Laitinen</w:t>
      </w:r>
      <w:proofErr w:type="spellEnd"/>
      <w:r>
        <w:rPr>
          <w:rFonts w:ascii="Times New Roman" w:eastAsia="Times New Roman" w:hAnsi="Times New Roman" w:cs="Times New Roman"/>
          <w:sz w:val="24"/>
          <w:szCs w:val="24"/>
        </w:rPr>
        <w:t xml:space="preserve">, 2018). The formula for net profit margin is: </w:t>
      </w:r>
    </w:p>
    <w:p w14:paraId="69987B3E" w14:textId="77777777" w:rsidR="009C4E66"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 margin = (Net income/Revenue) *100</w:t>
      </w:r>
    </w:p>
    <w:p w14:paraId="19BCE2BA" w14:textId="77777777" w:rsidR="009C4E6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Sweets Plc, the net profit margin is: </w:t>
      </w:r>
    </w:p>
    <w:tbl>
      <w:tblPr>
        <w:tblStyle w:val="a5"/>
        <w:tblW w:w="8365" w:type="dxa"/>
        <w:jc w:val="center"/>
        <w:tblLayout w:type="fixed"/>
        <w:tblLook w:val="0400" w:firstRow="0" w:lastRow="0" w:firstColumn="0" w:lastColumn="0" w:noHBand="0" w:noVBand="1"/>
      </w:tblPr>
      <w:tblGrid>
        <w:gridCol w:w="960"/>
        <w:gridCol w:w="1638"/>
        <w:gridCol w:w="2451"/>
        <w:gridCol w:w="3316"/>
      </w:tblGrid>
      <w:tr w:rsidR="009C4E66" w14:paraId="790A55B3"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E52ADF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44E7F57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Net Income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11C13E23"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Revenue (£m)</w:t>
            </w:r>
          </w:p>
        </w:tc>
        <w:tc>
          <w:tcPr>
            <w:tcW w:w="3316" w:type="dxa"/>
            <w:tcBorders>
              <w:top w:val="single" w:sz="4" w:space="0" w:color="000000"/>
              <w:left w:val="nil"/>
              <w:bottom w:val="single" w:sz="4" w:space="0" w:color="000000"/>
              <w:right w:val="single" w:sz="4" w:space="0" w:color="000000"/>
            </w:tcBorders>
            <w:shd w:val="clear" w:color="auto" w:fill="auto"/>
            <w:vAlign w:val="bottom"/>
          </w:tcPr>
          <w:p w14:paraId="3D797F02"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Net Profit Margin</w:t>
            </w:r>
          </w:p>
        </w:tc>
      </w:tr>
      <w:tr w:rsidR="009C4E66" w14:paraId="1C32A2D5"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1C86BC66"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77F65F0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366    </w:t>
            </w:r>
          </w:p>
        </w:tc>
        <w:tc>
          <w:tcPr>
            <w:tcW w:w="2451" w:type="dxa"/>
            <w:tcBorders>
              <w:top w:val="nil"/>
              <w:left w:val="nil"/>
              <w:bottom w:val="single" w:sz="4" w:space="0" w:color="000000"/>
              <w:right w:val="single" w:sz="4" w:space="0" w:color="000000"/>
            </w:tcBorders>
            <w:shd w:val="clear" w:color="auto" w:fill="auto"/>
            <w:vAlign w:val="bottom"/>
          </w:tcPr>
          <w:p w14:paraId="41A7B44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6,441</w:t>
            </w:r>
          </w:p>
        </w:tc>
        <w:tc>
          <w:tcPr>
            <w:tcW w:w="3316" w:type="dxa"/>
            <w:tcBorders>
              <w:top w:val="nil"/>
              <w:left w:val="nil"/>
              <w:bottom w:val="single" w:sz="4" w:space="0" w:color="000000"/>
              <w:right w:val="single" w:sz="4" w:space="0" w:color="000000"/>
            </w:tcBorders>
            <w:shd w:val="clear" w:color="auto" w:fill="auto"/>
            <w:vAlign w:val="bottom"/>
          </w:tcPr>
          <w:p w14:paraId="59BBFF01"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(366/6,441) *100 = </w:t>
            </w:r>
            <w:r>
              <w:rPr>
                <w:rFonts w:ascii="Times New Roman" w:eastAsia="Times New Roman" w:hAnsi="Times New Roman" w:cs="Times New Roman"/>
                <w:b/>
                <w:sz w:val="24"/>
                <w:szCs w:val="24"/>
              </w:rPr>
              <w:t>5.68%</w:t>
            </w:r>
            <w:r>
              <w:rPr>
                <w:rFonts w:ascii="Times New Roman" w:eastAsia="Times New Roman" w:hAnsi="Times New Roman" w:cs="Times New Roman"/>
                <w:sz w:val="24"/>
                <w:szCs w:val="24"/>
              </w:rPr>
              <w:t xml:space="preserve">  </w:t>
            </w:r>
          </w:p>
        </w:tc>
      </w:tr>
      <w:tr w:rsidR="009C4E66" w14:paraId="5F72CD7B"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5D9D7435"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2021</w:t>
            </w:r>
          </w:p>
        </w:tc>
        <w:tc>
          <w:tcPr>
            <w:tcW w:w="1638" w:type="dxa"/>
            <w:tcBorders>
              <w:top w:val="nil"/>
              <w:left w:val="nil"/>
              <w:bottom w:val="single" w:sz="4" w:space="0" w:color="000000"/>
              <w:right w:val="single" w:sz="4" w:space="0" w:color="000000"/>
            </w:tcBorders>
            <w:shd w:val="clear" w:color="auto" w:fill="auto"/>
            <w:vAlign w:val="bottom"/>
          </w:tcPr>
          <w:p w14:paraId="7C80033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431 </w:t>
            </w:r>
          </w:p>
        </w:tc>
        <w:tc>
          <w:tcPr>
            <w:tcW w:w="2451" w:type="dxa"/>
            <w:tcBorders>
              <w:top w:val="nil"/>
              <w:left w:val="nil"/>
              <w:bottom w:val="single" w:sz="4" w:space="0" w:color="000000"/>
              <w:right w:val="single" w:sz="4" w:space="0" w:color="000000"/>
            </w:tcBorders>
            <w:shd w:val="clear" w:color="auto" w:fill="auto"/>
            <w:vAlign w:val="bottom"/>
          </w:tcPr>
          <w:p w14:paraId="56097A9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6,738</w:t>
            </w:r>
          </w:p>
        </w:tc>
        <w:tc>
          <w:tcPr>
            <w:tcW w:w="3316" w:type="dxa"/>
            <w:tcBorders>
              <w:top w:val="nil"/>
              <w:left w:val="nil"/>
              <w:bottom w:val="single" w:sz="4" w:space="0" w:color="000000"/>
              <w:right w:val="single" w:sz="4" w:space="0" w:color="000000"/>
            </w:tcBorders>
            <w:shd w:val="clear" w:color="auto" w:fill="auto"/>
            <w:vAlign w:val="bottom"/>
          </w:tcPr>
          <w:p w14:paraId="44B14362"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(431/6,738) *100 = </w:t>
            </w:r>
            <w:r>
              <w:rPr>
                <w:rFonts w:ascii="Times New Roman" w:eastAsia="Times New Roman" w:hAnsi="Times New Roman" w:cs="Times New Roman"/>
                <w:b/>
                <w:sz w:val="24"/>
                <w:szCs w:val="24"/>
              </w:rPr>
              <w:t>6.40%</w:t>
            </w:r>
          </w:p>
        </w:tc>
      </w:tr>
    </w:tbl>
    <w:p w14:paraId="5241E171" w14:textId="77777777" w:rsidR="009C4E66" w:rsidRDefault="009C4E66">
      <w:pPr>
        <w:spacing w:line="480" w:lineRule="auto"/>
        <w:rPr>
          <w:rFonts w:ascii="Times New Roman" w:eastAsia="Times New Roman" w:hAnsi="Times New Roman" w:cs="Times New Roman"/>
          <w:sz w:val="24"/>
          <w:szCs w:val="24"/>
        </w:rPr>
      </w:pPr>
    </w:p>
    <w:p w14:paraId="44728C42" w14:textId="77777777" w:rsidR="009C4E66" w:rsidRDefault="00000000">
      <w:pPr>
        <w:pStyle w:val="Heading3"/>
        <w:spacing w:line="480" w:lineRule="auto"/>
        <w:ind w:left="0" w:firstLine="720"/>
        <w:rPr>
          <w:b/>
        </w:rPr>
      </w:pPr>
      <w:bookmarkStart w:id="14" w:name="_35nkun2" w:colFirst="0" w:colLast="0"/>
      <w:bookmarkEnd w:id="14"/>
      <w:r>
        <w:rPr>
          <w:b/>
        </w:rPr>
        <w:t>5. Asset turnover ratio</w:t>
      </w:r>
    </w:p>
    <w:p w14:paraId="797BA281"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Asset turnover ratio is a measure of operating efficiency, measuring the ability of a company to use the available assets to generate revenue (</w:t>
      </w:r>
      <w:proofErr w:type="spellStart"/>
      <w:r>
        <w:rPr>
          <w:rFonts w:ascii="Times New Roman" w:eastAsia="Times New Roman" w:hAnsi="Times New Roman" w:cs="Times New Roman"/>
          <w:sz w:val="24"/>
          <w:szCs w:val="24"/>
        </w:rPr>
        <w:t>Laitinen</w:t>
      </w:r>
      <w:proofErr w:type="spellEnd"/>
      <w:r>
        <w:rPr>
          <w:rFonts w:ascii="Times New Roman" w:eastAsia="Times New Roman" w:hAnsi="Times New Roman" w:cs="Times New Roman"/>
          <w:sz w:val="24"/>
          <w:szCs w:val="24"/>
        </w:rPr>
        <w:t xml:space="preserve">, 2018). The formula for the asset turnover ratio is: </w:t>
      </w:r>
    </w:p>
    <w:p w14:paraId="17162999"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Asset turnover ratio = Revenue/Average total assets</w:t>
      </w:r>
    </w:p>
    <w:p w14:paraId="48469A70"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Average total assets = (Assets for the current year + Assets for the previous year)/</w:t>
      </w:r>
    </w:p>
    <w:p w14:paraId="579F9BF1" w14:textId="77777777" w:rsidR="009C4E6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average total assets are calculated as follows. </w:t>
      </w:r>
    </w:p>
    <w:tbl>
      <w:tblPr>
        <w:tblStyle w:val="a6"/>
        <w:tblW w:w="8095" w:type="dxa"/>
        <w:jc w:val="center"/>
        <w:tblLayout w:type="fixed"/>
        <w:tblLook w:val="0400" w:firstRow="0" w:lastRow="0" w:firstColumn="0" w:lastColumn="0" w:noHBand="0" w:noVBand="1"/>
      </w:tblPr>
      <w:tblGrid>
        <w:gridCol w:w="960"/>
        <w:gridCol w:w="1638"/>
        <w:gridCol w:w="2451"/>
        <w:gridCol w:w="3046"/>
      </w:tblGrid>
      <w:tr w:rsidR="009C4E66" w14:paraId="677979B8"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2E63E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0BBBC90D"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Assets for the previous year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3E1C9E5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Current year assets (£m)</w:t>
            </w:r>
          </w:p>
        </w:tc>
        <w:tc>
          <w:tcPr>
            <w:tcW w:w="3046" w:type="dxa"/>
            <w:tcBorders>
              <w:top w:val="single" w:sz="4" w:space="0" w:color="000000"/>
              <w:left w:val="nil"/>
              <w:bottom w:val="single" w:sz="4" w:space="0" w:color="000000"/>
              <w:right w:val="single" w:sz="4" w:space="0" w:color="000000"/>
            </w:tcBorders>
            <w:shd w:val="clear" w:color="auto" w:fill="auto"/>
            <w:vAlign w:val="bottom"/>
          </w:tcPr>
          <w:p w14:paraId="6AF22B7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Average total assets</w:t>
            </w:r>
          </w:p>
        </w:tc>
      </w:tr>
      <w:tr w:rsidR="009C4E66" w14:paraId="27B79E30"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3A3F88CC"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326FC4BD"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w:t>
            </w:r>
          </w:p>
        </w:tc>
        <w:tc>
          <w:tcPr>
            <w:tcW w:w="2451" w:type="dxa"/>
            <w:tcBorders>
              <w:top w:val="nil"/>
              <w:left w:val="nil"/>
              <w:bottom w:val="single" w:sz="4" w:space="0" w:color="000000"/>
              <w:right w:val="single" w:sz="4" w:space="0" w:color="000000"/>
            </w:tcBorders>
            <w:shd w:val="clear" w:color="auto" w:fill="auto"/>
            <w:vAlign w:val="bottom"/>
          </w:tcPr>
          <w:p w14:paraId="04DB5D35"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10,087</w:t>
            </w:r>
          </w:p>
        </w:tc>
        <w:tc>
          <w:tcPr>
            <w:tcW w:w="3046" w:type="dxa"/>
            <w:tcBorders>
              <w:top w:val="nil"/>
              <w:left w:val="nil"/>
              <w:bottom w:val="single" w:sz="4" w:space="0" w:color="000000"/>
              <w:right w:val="single" w:sz="4" w:space="0" w:color="000000"/>
            </w:tcBorders>
            <w:shd w:val="clear" w:color="auto" w:fill="auto"/>
            <w:vAlign w:val="bottom"/>
          </w:tcPr>
          <w:p w14:paraId="6E9365DC"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=10,087 </w:t>
            </w:r>
          </w:p>
        </w:tc>
      </w:tr>
      <w:tr w:rsidR="009C4E66" w14:paraId="52A5B6A8"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4A3C5541"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079F72D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10,087</w:t>
            </w:r>
          </w:p>
        </w:tc>
        <w:tc>
          <w:tcPr>
            <w:tcW w:w="2451" w:type="dxa"/>
            <w:tcBorders>
              <w:top w:val="nil"/>
              <w:left w:val="nil"/>
              <w:bottom w:val="single" w:sz="4" w:space="0" w:color="000000"/>
              <w:right w:val="single" w:sz="4" w:space="0" w:color="000000"/>
            </w:tcBorders>
            <w:shd w:val="clear" w:color="auto" w:fill="auto"/>
            <w:vAlign w:val="bottom"/>
          </w:tcPr>
          <w:p w14:paraId="0B05358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9,736</w:t>
            </w:r>
          </w:p>
        </w:tc>
        <w:tc>
          <w:tcPr>
            <w:tcW w:w="3046" w:type="dxa"/>
            <w:tcBorders>
              <w:top w:val="nil"/>
              <w:left w:val="nil"/>
              <w:bottom w:val="single" w:sz="4" w:space="0" w:color="000000"/>
              <w:right w:val="single" w:sz="4" w:space="0" w:color="000000"/>
            </w:tcBorders>
            <w:shd w:val="clear" w:color="auto" w:fill="auto"/>
            <w:vAlign w:val="bottom"/>
          </w:tcPr>
          <w:p w14:paraId="61E2BE27"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(10,087+9,736)/2 =9,911.5 </w:t>
            </w:r>
          </w:p>
        </w:tc>
      </w:tr>
    </w:tbl>
    <w:p w14:paraId="3A5D38BA" w14:textId="77777777" w:rsidR="009C4E66" w:rsidRDefault="009C4E66">
      <w:pPr>
        <w:spacing w:after="0" w:line="480" w:lineRule="auto"/>
        <w:rPr>
          <w:rFonts w:ascii="Times New Roman" w:eastAsia="Times New Roman" w:hAnsi="Times New Roman" w:cs="Times New Roman"/>
          <w:sz w:val="24"/>
          <w:szCs w:val="24"/>
        </w:rPr>
      </w:pPr>
    </w:p>
    <w:p w14:paraId="25560E6A" w14:textId="77777777" w:rsidR="009C4E6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Assets turnover for the two years is: </w:t>
      </w:r>
    </w:p>
    <w:tbl>
      <w:tblPr>
        <w:tblStyle w:val="a7"/>
        <w:tblW w:w="8275" w:type="dxa"/>
        <w:jc w:val="center"/>
        <w:tblLayout w:type="fixed"/>
        <w:tblLook w:val="0400" w:firstRow="0" w:lastRow="0" w:firstColumn="0" w:lastColumn="0" w:noHBand="0" w:noVBand="1"/>
      </w:tblPr>
      <w:tblGrid>
        <w:gridCol w:w="960"/>
        <w:gridCol w:w="1638"/>
        <w:gridCol w:w="2451"/>
        <w:gridCol w:w="3226"/>
      </w:tblGrid>
      <w:tr w:rsidR="009C4E66" w14:paraId="3F7D3059"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73BFFD"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009931B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Revenue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1014129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Average total assets (£m)</w:t>
            </w:r>
          </w:p>
        </w:tc>
        <w:tc>
          <w:tcPr>
            <w:tcW w:w="3226" w:type="dxa"/>
            <w:tcBorders>
              <w:top w:val="single" w:sz="4" w:space="0" w:color="000000"/>
              <w:left w:val="nil"/>
              <w:bottom w:val="single" w:sz="4" w:space="0" w:color="000000"/>
              <w:right w:val="single" w:sz="4" w:space="0" w:color="000000"/>
            </w:tcBorders>
            <w:shd w:val="clear" w:color="auto" w:fill="auto"/>
            <w:vAlign w:val="bottom"/>
          </w:tcPr>
          <w:p w14:paraId="6D1AFD8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Asset turnover ratio</w:t>
            </w:r>
          </w:p>
        </w:tc>
      </w:tr>
      <w:tr w:rsidR="009C4E66" w14:paraId="631B3FC5" w14:textId="77777777">
        <w:trPr>
          <w:trHeight w:val="665"/>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40B491C9"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6A49A27C"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c>
          <w:tcPr>
            <w:tcW w:w="2451" w:type="dxa"/>
            <w:tcBorders>
              <w:top w:val="nil"/>
              <w:left w:val="nil"/>
              <w:bottom w:val="single" w:sz="4" w:space="0" w:color="000000"/>
              <w:right w:val="single" w:sz="4" w:space="0" w:color="000000"/>
            </w:tcBorders>
            <w:shd w:val="clear" w:color="auto" w:fill="auto"/>
            <w:vAlign w:val="bottom"/>
          </w:tcPr>
          <w:p w14:paraId="25EB606A"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10,087</w:t>
            </w:r>
          </w:p>
        </w:tc>
        <w:tc>
          <w:tcPr>
            <w:tcW w:w="3226" w:type="dxa"/>
            <w:tcBorders>
              <w:top w:val="nil"/>
              <w:left w:val="nil"/>
              <w:bottom w:val="single" w:sz="4" w:space="0" w:color="000000"/>
              <w:right w:val="single" w:sz="4" w:space="0" w:color="000000"/>
            </w:tcBorders>
            <w:shd w:val="clear" w:color="auto" w:fill="auto"/>
            <w:vAlign w:val="bottom"/>
          </w:tcPr>
          <w:p w14:paraId="51DE9587"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6,441/10,087) =</w:t>
            </w:r>
            <w:r>
              <w:rPr>
                <w:rFonts w:ascii="Times New Roman" w:eastAsia="Times New Roman" w:hAnsi="Times New Roman" w:cs="Times New Roman"/>
                <w:b/>
                <w:sz w:val="24"/>
                <w:szCs w:val="24"/>
              </w:rPr>
              <w:t>0.63</w:t>
            </w:r>
            <w:r>
              <w:rPr>
                <w:rFonts w:ascii="Times New Roman" w:eastAsia="Times New Roman" w:hAnsi="Times New Roman" w:cs="Times New Roman"/>
                <w:sz w:val="24"/>
                <w:szCs w:val="24"/>
              </w:rPr>
              <w:t xml:space="preserve"> </w:t>
            </w:r>
          </w:p>
        </w:tc>
      </w:tr>
      <w:tr w:rsidR="009C4E66" w14:paraId="6F754EE1"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276A5FB4"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36E64EE3"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6,738</w:t>
            </w:r>
          </w:p>
        </w:tc>
        <w:tc>
          <w:tcPr>
            <w:tcW w:w="2451" w:type="dxa"/>
            <w:tcBorders>
              <w:top w:val="nil"/>
              <w:left w:val="nil"/>
              <w:bottom w:val="single" w:sz="4" w:space="0" w:color="000000"/>
              <w:right w:val="single" w:sz="4" w:space="0" w:color="000000"/>
            </w:tcBorders>
            <w:shd w:val="clear" w:color="auto" w:fill="auto"/>
            <w:vAlign w:val="bottom"/>
          </w:tcPr>
          <w:p w14:paraId="3C6D33C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9,911.5</w:t>
            </w:r>
          </w:p>
        </w:tc>
        <w:tc>
          <w:tcPr>
            <w:tcW w:w="3226" w:type="dxa"/>
            <w:tcBorders>
              <w:top w:val="nil"/>
              <w:left w:val="nil"/>
              <w:bottom w:val="single" w:sz="4" w:space="0" w:color="000000"/>
              <w:right w:val="single" w:sz="4" w:space="0" w:color="000000"/>
            </w:tcBorders>
            <w:shd w:val="clear" w:color="auto" w:fill="auto"/>
            <w:vAlign w:val="bottom"/>
          </w:tcPr>
          <w:p w14:paraId="446846EA"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(6,738/9,911.5) = </w:t>
            </w:r>
            <w:r>
              <w:rPr>
                <w:rFonts w:ascii="Times New Roman" w:eastAsia="Times New Roman" w:hAnsi="Times New Roman" w:cs="Times New Roman"/>
                <w:b/>
                <w:sz w:val="24"/>
                <w:szCs w:val="24"/>
              </w:rPr>
              <w:t>0.68</w:t>
            </w:r>
            <w:r>
              <w:rPr>
                <w:rFonts w:ascii="Times New Roman" w:eastAsia="Times New Roman" w:hAnsi="Times New Roman" w:cs="Times New Roman"/>
                <w:sz w:val="24"/>
                <w:szCs w:val="24"/>
              </w:rPr>
              <w:t xml:space="preserve"> </w:t>
            </w:r>
          </w:p>
        </w:tc>
      </w:tr>
    </w:tbl>
    <w:p w14:paraId="025FFFB5" w14:textId="77777777" w:rsidR="009C4E66" w:rsidRDefault="009C4E66">
      <w:pPr>
        <w:spacing w:line="480" w:lineRule="auto"/>
        <w:rPr>
          <w:rFonts w:ascii="Times New Roman" w:eastAsia="Times New Roman" w:hAnsi="Times New Roman" w:cs="Times New Roman"/>
          <w:sz w:val="24"/>
          <w:szCs w:val="24"/>
        </w:rPr>
      </w:pPr>
    </w:p>
    <w:p w14:paraId="37E180DF" w14:textId="77777777" w:rsidR="009C4E66" w:rsidRDefault="00000000">
      <w:pPr>
        <w:pStyle w:val="Heading3"/>
        <w:spacing w:line="480" w:lineRule="auto"/>
        <w:ind w:left="0" w:firstLine="720"/>
        <w:rPr>
          <w:b/>
        </w:rPr>
      </w:pPr>
      <w:bookmarkStart w:id="15" w:name="_1ksv4uv" w:colFirst="0" w:colLast="0"/>
      <w:bookmarkEnd w:id="15"/>
      <w:r>
        <w:rPr>
          <w:b/>
        </w:rPr>
        <w:t>6. Stock holding days’ ratio</w:t>
      </w:r>
    </w:p>
    <w:p w14:paraId="6119B4BE"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Stock holding days’ ratio measures the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days a firm keeps inventory before this inventory is being converted into sales (</w:t>
      </w:r>
      <w:proofErr w:type="spellStart"/>
      <w:r>
        <w:rPr>
          <w:rFonts w:ascii="Times New Roman" w:eastAsia="Times New Roman" w:hAnsi="Times New Roman" w:cs="Times New Roman"/>
          <w:sz w:val="24"/>
          <w:szCs w:val="24"/>
        </w:rPr>
        <w:t>Cuyos</w:t>
      </w:r>
      <w:proofErr w:type="spellEnd"/>
      <w:r>
        <w:rPr>
          <w:rFonts w:ascii="Times New Roman" w:eastAsia="Times New Roman" w:hAnsi="Times New Roman" w:cs="Times New Roman"/>
          <w:sz w:val="24"/>
          <w:szCs w:val="24"/>
        </w:rPr>
        <w:t xml:space="preserve">, 2019). The formula for the ratio is: </w:t>
      </w:r>
    </w:p>
    <w:p w14:paraId="3237C3AD"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Stock holding days = (Average inventory/cost of sales) * 365</w:t>
      </w:r>
    </w:p>
    <w:p w14:paraId="205A97D8"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Average inventory = (Opening inventory +Closing inventory)/2</w:t>
      </w:r>
    </w:p>
    <w:p w14:paraId="4E8004B2" w14:textId="77777777" w:rsidR="009C4E6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average inventory for two financial years is calculated as </w:t>
      </w:r>
      <w:proofErr w:type="gramStart"/>
      <w:r>
        <w:rPr>
          <w:rFonts w:ascii="Times New Roman" w:eastAsia="Times New Roman" w:hAnsi="Times New Roman" w:cs="Times New Roman"/>
          <w:sz w:val="24"/>
          <w:szCs w:val="24"/>
        </w:rPr>
        <w:t>follows;</w:t>
      </w:r>
      <w:proofErr w:type="gramEnd"/>
    </w:p>
    <w:tbl>
      <w:tblPr>
        <w:tblStyle w:val="a8"/>
        <w:tblW w:w="6809" w:type="dxa"/>
        <w:jc w:val="center"/>
        <w:tblLayout w:type="fixed"/>
        <w:tblLook w:val="0400" w:firstRow="0" w:lastRow="0" w:firstColumn="0" w:lastColumn="0" w:noHBand="0" w:noVBand="1"/>
      </w:tblPr>
      <w:tblGrid>
        <w:gridCol w:w="960"/>
        <w:gridCol w:w="1638"/>
        <w:gridCol w:w="2451"/>
        <w:gridCol w:w="1760"/>
      </w:tblGrid>
      <w:tr w:rsidR="009C4E66" w14:paraId="20EBC242"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41089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79F3603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Opening Inventory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08BF3C9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Closing inventory (£m)</w:t>
            </w:r>
          </w:p>
        </w:tc>
        <w:tc>
          <w:tcPr>
            <w:tcW w:w="1760" w:type="dxa"/>
            <w:tcBorders>
              <w:top w:val="single" w:sz="4" w:space="0" w:color="000000"/>
              <w:left w:val="nil"/>
              <w:bottom w:val="single" w:sz="4" w:space="0" w:color="000000"/>
              <w:right w:val="single" w:sz="4" w:space="0" w:color="000000"/>
            </w:tcBorders>
            <w:shd w:val="clear" w:color="auto" w:fill="auto"/>
            <w:vAlign w:val="bottom"/>
          </w:tcPr>
          <w:p w14:paraId="2B84CE5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Average Inventory</w:t>
            </w:r>
          </w:p>
        </w:tc>
      </w:tr>
      <w:tr w:rsidR="009C4E66" w14:paraId="30620711"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0F8826BC"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7542BC15"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t>
            </w:r>
          </w:p>
        </w:tc>
        <w:tc>
          <w:tcPr>
            <w:tcW w:w="2451" w:type="dxa"/>
            <w:tcBorders>
              <w:top w:val="nil"/>
              <w:left w:val="nil"/>
              <w:bottom w:val="single" w:sz="4" w:space="0" w:color="000000"/>
              <w:right w:val="single" w:sz="4" w:space="0" w:color="000000"/>
            </w:tcBorders>
            <w:shd w:val="clear" w:color="auto" w:fill="auto"/>
            <w:vAlign w:val="bottom"/>
          </w:tcPr>
          <w:p w14:paraId="1C365DE7"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659</w:t>
            </w:r>
          </w:p>
        </w:tc>
        <w:tc>
          <w:tcPr>
            <w:tcW w:w="1760" w:type="dxa"/>
            <w:tcBorders>
              <w:top w:val="nil"/>
              <w:left w:val="nil"/>
              <w:bottom w:val="single" w:sz="4" w:space="0" w:color="000000"/>
              <w:right w:val="single" w:sz="4" w:space="0" w:color="000000"/>
            </w:tcBorders>
            <w:shd w:val="clear" w:color="auto" w:fill="auto"/>
            <w:vAlign w:val="bottom"/>
          </w:tcPr>
          <w:p w14:paraId="6CBD2C86"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=659 </w:t>
            </w:r>
          </w:p>
        </w:tc>
      </w:tr>
      <w:tr w:rsidR="009C4E66" w14:paraId="7BD3517C"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3BB5F0B7"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4DE078A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659</w:t>
            </w:r>
          </w:p>
        </w:tc>
        <w:tc>
          <w:tcPr>
            <w:tcW w:w="2451" w:type="dxa"/>
            <w:tcBorders>
              <w:top w:val="nil"/>
              <w:left w:val="nil"/>
              <w:bottom w:val="single" w:sz="4" w:space="0" w:color="000000"/>
              <w:right w:val="single" w:sz="4" w:space="0" w:color="000000"/>
            </w:tcBorders>
            <w:shd w:val="clear" w:color="auto" w:fill="auto"/>
            <w:vAlign w:val="bottom"/>
          </w:tcPr>
          <w:p w14:paraId="3781157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708</w:t>
            </w:r>
          </w:p>
        </w:tc>
        <w:tc>
          <w:tcPr>
            <w:tcW w:w="1760" w:type="dxa"/>
            <w:tcBorders>
              <w:top w:val="nil"/>
              <w:left w:val="nil"/>
              <w:bottom w:val="single" w:sz="4" w:space="0" w:color="000000"/>
              <w:right w:val="single" w:sz="4" w:space="0" w:color="000000"/>
            </w:tcBorders>
            <w:shd w:val="clear" w:color="auto" w:fill="auto"/>
            <w:vAlign w:val="bottom"/>
          </w:tcPr>
          <w:p w14:paraId="6E20CFDD"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(659+708)/2 = 683.5 </w:t>
            </w:r>
          </w:p>
        </w:tc>
      </w:tr>
    </w:tbl>
    <w:p w14:paraId="74E9FA27" w14:textId="77777777" w:rsidR="009C4E6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Consequently, the stock holding days’ ratio is calculated as follows. </w:t>
      </w:r>
    </w:p>
    <w:tbl>
      <w:tblPr>
        <w:tblStyle w:val="a9"/>
        <w:tblW w:w="7052" w:type="dxa"/>
        <w:jc w:val="center"/>
        <w:tblLayout w:type="fixed"/>
        <w:tblLook w:val="0400" w:firstRow="0" w:lastRow="0" w:firstColumn="0" w:lastColumn="0" w:noHBand="0" w:noVBand="1"/>
      </w:tblPr>
      <w:tblGrid>
        <w:gridCol w:w="960"/>
        <w:gridCol w:w="1638"/>
        <w:gridCol w:w="2451"/>
        <w:gridCol w:w="2003"/>
      </w:tblGrid>
      <w:tr w:rsidR="009C4E66" w14:paraId="39EFF7EE"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2EB0F7"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4D47C4E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Average inventory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5558BAB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Cost of sales (£m)</w:t>
            </w:r>
          </w:p>
        </w:tc>
        <w:tc>
          <w:tcPr>
            <w:tcW w:w="2003" w:type="dxa"/>
            <w:tcBorders>
              <w:top w:val="single" w:sz="4" w:space="0" w:color="000000"/>
              <w:left w:val="nil"/>
              <w:bottom w:val="single" w:sz="4" w:space="0" w:color="000000"/>
              <w:right w:val="single" w:sz="4" w:space="0" w:color="000000"/>
            </w:tcBorders>
            <w:shd w:val="clear" w:color="auto" w:fill="auto"/>
            <w:vAlign w:val="bottom"/>
          </w:tcPr>
          <w:p w14:paraId="47FFC33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Stock holding days</w:t>
            </w:r>
          </w:p>
        </w:tc>
      </w:tr>
      <w:tr w:rsidR="009C4E66" w14:paraId="39501CB2"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46074A17"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20B22C0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659</w:t>
            </w:r>
          </w:p>
        </w:tc>
        <w:tc>
          <w:tcPr>
            <w:tcW w:w="2451" w:type="dxa"/>
            <w:tcBorders>
              <w:top w:val="nil"/>
              <w:left w:val="nil"/>
              <w:bottom w:val="single" w:sz="4" w:space="0" w:color="000000"/>
              <w:right w:val="single" w:sz="4" w:space="0" w:color="000000"/>
            </w:tcBorders>
            <w:shd w:val="clear" w:color="auto" w:fill="auto"/>
            <w:vAlign w:val="bottom"/>
          </w:tcPr>
          <w:p w14:paraId="6E4FA995" w14:textId="77777777" w:rsidR="009C4E6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3,096</w:t>
            </w:r>
          </w:p>
        </w:tc>
        <w:tc>
          <w:tcPr>
            <w:tcW w:w="2003" w:type="dxa"/>
            <w:tcBorders>
              <w:top w:val="nil"/>
              <w:left w:val="nil"/>
              <w:bottom w:val="single" w:sz="4" w:space="0" w:color="000000"/>
              <w:right w:val="single" w:sz="4" w:space="0" w:color="000000"/>
            </w:tcBorders>
            <w:shd w:val="clear" w:color="auto" w:fill="auto"/>
            <w:vAlign w:val="bottom"/>
          </w:tcPr>
          <w:p w14:paraId="0129BD4E"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659/3,096)*365 = </w:t>
            </w:r>
            <w:r>
              <w:rPr>
                <w:rFonts w:ascii="Times New Roman" w:eastAsia="Times New Roman" w:hAnsi="Times New Roman" w:cs="Times New Roman"/>
                <w:b/>
                <w:sz w:val="24"/>
                <w:szCs w:val="24"/>
              </w:rPr>
              <w:t>77.69 days</w:t>
            </w:r>
            <w:r>
              <w:rPr>
                <w:rFonts w:ascii="Times New Roman" w:eastAsia="Times New Roman" w:hAnsi="Times New Roman" w:cs="Times New Roman"/>
                <w:sz w:val="24"/>
                <w:szCs w:val="24"/>
              </w:rPr>
              <w:t xml:space="preserve"> </w:t>
            </w:r>
          </w:p>
        </w:tc>
      </w:tr>
      <w:tr w:rsidR="009C4E66" w14:paraId="288BE8C2"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5169BDD1"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60A3E87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683.5</w:t>
            </w:r>
          </w:p>
        </w:tc>
        <w:tc>
          <w:tcPr>
            <w:tcW w:w="2451" w:type="dxa"/>
            <w:tcBorders>
              <w:top w:val="nil"/>
              <w:left w:val="nil"/>
              <w:bottom w:val="single" w:sz="4" w:space="0" w:color="000000"/>
              <w:right w:val="single" w:sz="4" w:space="0" w:color="000000"/>
            </w:tcBorders>
            <w:shd w:val="clear" w:color="auto" w:fill="auto"/>
            <w:vAlign w:val="bottom"/>
          </w:tcPr>
          <w:p w14:paraId="0B1A32DE" w14:textId="77777777" w:rsidR="009C4E6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3,235</w:t>
            </w:r>
          </w:p>
        </w:tc>
        <w:tc>
          <w:tcPr>
            <w:tcW w:w="2003" w:type="dxa"/>
            <w:tcBorders>
              <w:top w:val="nil"/>
              <w:left w:val="nil"/>
              <w:bottom w:val="single" w:sz="4" w:space="0" w:color="000000"/>
              <w:right w:val="single" w:sz="4" w:space="0" w:color="000000"/>
            </w:tcBorders>
            <w:shd w:val="clear" w:color="auto" w:fill="auto"/>
            <w:vAlign w:val="bottom"/>
          </w:tcPr>
          <w:p w14:paraId="071E1803"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(683.5/</w:t>
            </w:r>
            <w:proofErr w:type="gramStart"/>
            <w:r>
              <w:rPr>
                <w:rFonts w:ascii="Times New Roman" w:eastAsia="Times New Roman" w:hAnsi="Times New Roman" w:cs="Times New Roman"/>
                <w:sz w:val="24"/>
                <w:szCs w:val="24"/>
              </w:rPr>
              <w:t>3,235)*</w:t>
            </w:r>
            <w:proofErr w:type="gramEnd"/>
            <w:r>
              <w:rPr>
                <w:rFonts w:ascii="Times New Roman" w:eastAsia="Times New Roman" w:hAnsi="Times New Roman" w:cs="Times New Roman"/>
                <w:sz w:val="24"/>
                <w:szCs w:val="24"/>
              </w:rPr>
              <w:t xml:space="preserve">365 = </w:t>
            </w:r>
            <w:r>
              <w:rPr>
                <w:rFonts w:ascii="Times New Roman" w:eastAsia="Times New Roman" w:hAnsi="Times New Roman" w:cs="Times New Roman"/>
                <w:b/>
                <w:sz w:val="24"/>
                <w:szCs w:val="24"/>
              </w:rPr>
              <w:t>77.12 days</w:t>
            </w:r>
            <w:r>
              <w:rPr>
                <w:rFonts w:ascii="Times New Roman" w:eastAsia="Times New Roman" w:hAnsi="Times New Roman" w:cs="Times New Roman"/>
                <w:sz w:val="24"/>
                <w:szCs w:val="24"/>
              </w:rPr>
              <w:t xml:space="preserve"> </w:t>
            </w:r>
          </w:p>
        </w:tc>
      </w:tr>
    </w:tbl>
    <w:p w14:paraId="1A6D20C3" w14:textId="77777777" w:rsidR="009C4E66" w:rsidRDefault="009C4E66">
      <w:pPr>
        <w:spacing w:line="480" w:lineRule="auto"/>
        <w:rPr>
          <w:rFonts w:ascii="Times New Roman" w:eastAsia="Times New Roman" w:hAnsi="Times New Roman" w:cs="Times New Roman"/>
          <w:sz w:val="24"/>
          <w:szCs w:val="24"/>
        </w:rPr>
      </w:pPr>
    </w:p>
    <w:p w14:paraId="678E9AD9" w14:textId="77777777" w:rsidR="009C4E66" w:rsidRDefault="00000000">
      <w:pPr>
        <w:pStyle w:val="Heading3"/>
        <w:spacing w:line="480" w:lineRule="auto"/>
        <w:ind w:left="0" w:firstLine="720"/>
        <w:rPr>
          <w:b/>
        </w:rPr>
      </w:pPr>
      <w:bookmarkStart w:id="16" w:name="_44sinio" w:colFirst="0" w:colLast="0"/>
      <w:bookmarkEnd w:id="16"/>
      <w:r>
        <w:rPr>
          <w:b/>
        </w:rPr>
        <w:t>7. Debtors collection period</w:t>
      </w:r>
    </w:p>
    <w:p w14:paraId="64D77802"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debtors’ collection period represents an efficiency ratio that shows the number of days a company takes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collect the trade receivables (</w:t>
      </w:r>
      <w:proofErr w:type="spellStart"/>
      <w:r>
        <w:rPr>
          <w:rFonts w:ascii="Times New Roman" w:eastAsia="Times New Roman" w:hAnsi="Times New Roman" w:cs="Times New Roman"/>
          <w:sz w:val="24"/>
          <w:szCs w:val="24"/>
        </w:rPr>
        <w:t>Cuyos</w:t>
      </w:r>
      <w:proofErr w:type="spellEnd"/>
      <w:r>
        <w:rPr>
          <w:rFonts w:ascii="Times New Roman" w:eastAsia="Times New Roman" w:hAnsi="Times New Roman" w:cs="Times New Roman"/>
          <w:sz w:val="24"/>
          <w:szCs w:val="24"/>
        </w:rPr>
        <w:t>, 2019). The formula for this ratio is as follows:</w:t>
      </w:r>
    </w:p>
    <w:p w14:paraId="3923C443" w14:textId="77777777" w:rsidR="009C4E66" w:rsidRDefault="00000000">
      <w:pPr>
        <w:spacing w:line="480" w:lineRule="auto"/>
        <w:ind w:firstLine="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Debtors</w:t>
      </w:r>
      <w:proofErr w:type="gramEnd"/>
      <w:r>
        <w:rPr>
          <w:rFonts w:ascii="Times New Roman" w:eastAsia="Times New Roman" w:hAnsi="Times New Roman" w:cs="Times New Roman"/>
          <w:sz w:val="24"/>
          <w:szCs w:val="24"/>
        </w:rPr>
        <w:t xml:space="preserve"> collection period = (Accounts receivables/credit sales) *365</w:t>
      </w:r>
    </w:p>
    <w:tbl>
      <w:tblPr>
        <w:tblStyle w:val="aa"/>
        <w:tblW w:w="8725" w:type="dxa"/>
        <w:jc w:val="center"/>
        <w:tblLayout w:type="fixed"/>
        <w:tblLook w:val="0400" w:firstRow="0" w:lastRow="0" w:firstColumn="0" w:lastColumn="0" w:noHBand="0" w:noVBand="1"/>
      </w:tblPr>
      <w:tblGrid>
        <w:gridCol w:w="960"/>
        <w:gridCol w:w="1638"/>
        <w:gridCol w:w="2451"/>
        <w:gridCol w:w="3676"/>
      </w:tblGrid>
      <w:tr w:rsidR="009C4E66" w14:paraId="594FBA22"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2D0885"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56ACA969"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Accounts receivables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38EC0BD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Credit sales (£m)</w:t>
            </w:r>
          </w:p>
        </w:tc>
        <w:tc>
          <w:tcPr>
            <w:tcW w:w="3676" w:type="dxa"/>
            <w:tcBorders>
              <w:top w:val="single" w:sz="4" w:space="0" w:color="000000"/>
              <w:left w:val="nil"/>
              <w:bottom w:val="single" w:sz="4" w:space="0" w:color="000000"/>
              <w:right w:val="single" w:sz="4" w:space="0" w:color="000000"/>
            </w:tcBorders>
            <w:shd w:val="clear" w:color="auto" w:fill="auto"/>
            <w:vAlign w:val="bottom"/>
          </w:tcPr>
          <w:p w14:paraId="528F2A1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Debtors’ collection period</w:t>
            </w:r>
          </w:p>
        </w:tc>
      </w:tr>
      <w:tr w:rsidR="009C4E66" w14:paraId="2A8683C7"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62A48025"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5BD4E47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1,287</w:t>
            </w:r>
          </w:p>
        </w:tc>
        <w:tc>
          <w:tcPr>
            <w:tcW w:w="2451" w:type="dxa"/>
            <w:tcBorders>
              <w:top w:val="nil"/>
              <w:left w:val="nil"/>
              <w:bottom w:val="single" w:sz="4" w:space="0" w:color="000000"/>
              <w:right w:val="single" w:sz="4" w:space="0" w:color="000000"/>
            </w:tcBorders>
            <w:shd w:val="clear" w:color="auto" w:fill="auto"/>
            <w:vAlign w:val="bottom"/>
          </w:tcPr>
          <w:p w14:paraId="114D2E41" w14:textId="77777777" w:rsidR="009C4E6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6,441</w:t>
            </w:r>
          </w:p>
        </w:tc>
        <w:tc>
          <w:tcPr>
            <w:tcW w:w="3676" w:type="dxa"/>
            <w:tcBorders>
              <w:top w:val="nil"/>
              <w:left w:val="nil"/>
              <w:bottom w:val="single" w:sz="4" w:space="0" w:color="000000"/>
              <w:right w:val="single" w:sz="4" w:space="0" w:color="000000"/>
            </w:tcBorders>
            <w:shd w:val="clear" w:color="auto" w:fill="auto"/>
            <w:vAlign w:val="bottom"/>
          </w:tcPr>
          <w:p w14:paraId="58F42D9B"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1,287/6,441)*365 = </w:t>
            </w:r>
            <w:r>
              <w:rPr>
                <w:rFonts w:ascii="Times New Roman" w:eastAsia="Times New Roman" w:hAnsi="Times New Roman" w:cs="Times New Roman"/>
                <w:b/>
                <w:sz w:val="24"/>
                <w:szCs w:val="24"/>
              </w:rPr>
              <w:t>20 days</w:t>
            </w:r>
            <w:r>
              <w:rPr>
                <w:rFonts w:ascii="Times New Roman" w:eastAsia="Times New Roman" w:hAnsi="Times New Roman" w:cs="Times New Roman"/>
                <w:sz w:val="24"/>
                <w:szCs w:val="24"/>
              </w:rPr>
              <w:t xml:space="preserve"> </w:t>
            </w:r>
          </w:p>
        </w:tc>
      </w:tr>
      <w:tr w:rsidR="009C4E66" w14:paraId="326DD6EE"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057A356D"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3C6038B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1,249</w:t>
            </w:r>
          </w:p>
        </w:tc>
        <w:tc>
          <w:tcPr>
            <w:tcW w:w="2451" w:type="dxa"/>
            <w:tcBorders>
              <w:top w:val="nil"/>
              <w:left w:val="nil"/>
              <w:bottom w:val="single" w:sz="4" w:space="0" w:color="000000"/>
              <w:right w:val="single" w:sz="4" w:space="0" w:color="000000"/>
            </w:tcBorders>
            <w:shd w:val="clear" w:color="auto" w:fill="auto"/>
            <w:vAlign w:val="bottom"/>
          </w:tcPr>
          <w:p w14:paraId="526BAA94" w14:textId="77777777" w:rsidR="009C4E6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6,738</w:t>
            </w:r>
          </w:p>
        </w:tc>
        <w:tc>
          <w:tcPr>
            <w:tcW w:w="3676" w:type="dxa"/>
            <w:tcBorders>
              <w:top w:val="nil"/>
              <w:left w:val="nil"/>
              <w:bottom w:val="single" w:sz="4" w:space="0" w:color="000000"/>
              <w:right w:val="single" w:sz="4" w:space="0" w:color="000000"/>
            </w:tcBorders>
            <w:shd w:val="clear" w:color="auto" w:fill="auto"/>
            <w:vAlign w:val="bottom"/>
          </w:tcPr>
          <w:p w14:paraId="077BC629"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(683.5/</w:t>
            </w:r>
            <w:proofErr w:type="gramStart"/>
            <w:r>
              <w:rPr>
                <w:rFonts w:ascii="Times New Roman" w:eastAsia="Times New Roman" w:hAnsi="Times New Roman" w:cs="Times New Roman"/>
                <w:sz w:val="24"/>
                <w:szCs w:val="24"/>
              </w:rPr>
              <w:t>3,235)*</w:t>
            </w:r>
            <w:proofErr w:type="gramEnd"/>
            <w:r>
              <w:rPr>
                <w:rFonts w:ascii="Times New Roman" w:eastAsia="Times New Roman" w:hAnsi="Times New Roman" w:cs="Times New Roman"/>
                <w:sz w:val="24"/>
                <w:szCs w:val="24"/>
              </w:rPr>
              <w:t xml:space="preserve">365 = </w:t>
            </w:r>
            <w:r>
              <w:rPr>
                <w:rFonts w:ascii="Times New Roman" w:eastAsia="Times New Roman" w:hAnsi="Times New Roman" w:cs="Times New Roman"/>
                <w:b/>
                <w:sz w:val="24"/>
                <w:szCs w:val="24"/>
              </w:rPr>
              <w:t>67.66 days</w:t>
            </w:r>
            <w:r>
              <w:rPr>
                <w:rFonts w:ascii="Times New Roman" w:eastAsia="Times New Roman" w:hAnsi="Times New Roman" w:cs="Times New Roman"/>
                <w:sz w:val="24"/>
                <w:szCs w:val="24"/>
              </w:rPr>
              <w:t xml:space="preserve"> </w:t>
            </w:r>
          </w:p>
        </w:tc>
      </w:tr>
    </w:tbl>
    <w:p w14:paraId="3ADB3F9A" w14:textId="77777777" w:rsidR="009C4E66" w:rsidRDefault="009C4E66">
      <w:pPr>
        <w:spacing w:line="480" w:lineRule="auto"/>
        <w:ind w:firstLine="720"/>
        <w:rPr>
          <w:rFonts w:ascii="Times New Roman" w:eastAsia="Times New Roman" w:hAnsi="Times New Roman" w:cs="Times New Roman"/>
          <w:sz w:val="24"/>
          <w:szCs w:val="24"/>
        </w:rPr>
      </w:pPr>
    </w:p>
    <w:p w14:paraId="0823DA4E" w14:textId="77777777" w:rsidR="009C4E66" w:rsidRDefault="00000000">
      <w:pPr>
        <w:pStyle w:val="Heading3"/>
        <w:spacing w:line="480" w:lineRule="auto"/>
        <w:ind w:left="0" w:firstLine="720"/>
        <w:rPr>
          <w:b/>
        </w:rPr>
      </w:pPr>
      <w:bookmarkStart w:id="17" w:name="_2jxsxqh" w:colFirst="0" w:colLast="0"/>
      <w:bookmarkEnd w:id="17"/>
      <w:r>
        <w:rPr>
          <w:b/>
        </w:rPr>
        <w:lastRenderedPageBreak/>
        <w:t>8. Current ratio</w:t>
      </w:r>
    </w:p>
    <w:p w14:paraId="627A9044"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ratio is a type of liquidity ratio which measures the ability of a firm’s current assets to offset the current obligations when they fall due (</w:t>
      </w:r>
      <w:proofErr w:type="spellStart"/>
      <w:r>
        <w:rPr>
          <w:rFonts w:ascii="Times New Roman" w:eastAsia="Times New Roman" w:hAnsi="Times New Roman" w:cs="Times New Roman"/>
          <w:sz w:val="24"/>
          <w:szCs w:val="24"/>
        </w:rPr>
        <w:t>Cuyos</w:t>
      </w:r>
      <w:proofErr w:type="spellEnd"/>
      <w:r>
        <w:rPr>
          <w:rFonts w:ascii="Times New Roman" w:eastAsia="Times New Roman" w:hAnsi="Times New Roman" w:cs="Times New Roman"/>
          <w:sz w:val="24"/>
          <w:szCs w:val="24"/>
        </w:rPr>
        <w:t xml:space="preserve">, 2019). The formula for current is given as: </w:t>
      </w:r>
    </w:p>
    <w:p w14:paraId="12FD67CF" w14:textId="77777777" w:rsidR="009C4E6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 ratio equals Current assets/current </w:t>
      </w:r>
      <w:proofErr w:type="gramStart"/>
      <w:r>
        <w:rPr>
          <w:rFonts w:ascii="Times New Roman" w:eastAsia="Times New Roman" w:hAnsi="Times New Roman" w:cs="Times New Roman"/>
          <w:sz w:val="24"/>
          <w:szCs w:val="24"/>
        </w:rPr>
        <w:t>liabilities</w:t>
      </w:r>
      <w:proofErr w:type="gramEnd"/>
    </w:p>
    <w:tbl>
      <w:tblPr>
        <w:tblStyle w:val="ab"/>
        <w:tblW w:w="8725" w:type="dxa"/>
        <w:jc w:val="center"/>
        <w:tblLayout w:type="fixed"/>
        <w:tblLook w:val="0400" w:firstRow="0" w:lastRow="0" w:firstColumn="0" w:lastColumn="0" w:noHBand="0" w:noVBand="1"/>
      </w:tblPr>
      <w:tblGrid>
        <w:gridCol w:w="960"/>
        <w:gridCol w:w="1638"/>
        <w:gridCol w:w="2451"/>
        <w:gridCol w:w="3676"/>
      </w:tblGrid>
      <w:tr w:rsidR="009C4E66" w14:paraId="64951E20"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E84214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4DFD79A8"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Current Assets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10310C35"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Current Liabilities (£m)</w:t>
            </w:r>
          </w:p>
        </w:tc>
        <w:tc>
          <w:tcPr>
            <w:tcW w:w="3676" w:type="dxa"/>
            <w:tcBorders>
              <w:top w:val="single" w:sz="4" w:space="0" w:color="000000"/>
              <w:left w:val="nil"/>
              <w:bottom w:val="single" w:sz="4" w:space="0" w:color="000000"/>
              <w:right w:val="single" w:sz="4" w:space="0" w:color="000000"/>
            </w:tcBorders>
            <w:shd w:val="clear" w:color="auto" w:fill="auto"/>
            <w:vAlign w:val="bottom"/>
          </w:tcPr>
          <w:p w14:paraId="44AE0F7E"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Current Ratio</w:t>
            </w:r>
          </w:p>
        </w:tc>
      </w:tr>
      <w:tr w:rsidR="009C4E66" w14:paraId="5D87E8EF"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47B1AB29"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06000F34"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2,355</w:t>
            </w:r>
          </w:p>
        </w:tc>
        <w:tc>
          <w:tcPr>
            <w:tcW w:w="2451" w:type="dxa"/>
            <w:tcBorders>
              <w:top w:val="nil"/>
              <w:left w:val="nil"/>
              <w:bottom w:val="single" w:sz="4" w:space="0" w:color="000000"/>
              <w:right w:val="single" w:sz="4" w:space="0" w:color="000000"/>
            </w:tcBorders>
            <w:shd w:val="clear" w:color="auto" w:fill="auto"/>
            <w:vAlign w:val="bottom"/>
          </w:tcPr>
          <w:p w14:paraId="4B53E00F" w14:textId="77777777" w:rsidR="009C4E6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3,046</w:t>
            </w:r>
          </w:p>
        </w:tc>
        <w:tc>
          <w:tcPr>
            <w:tcW w:w="3676" w:type="dxa"/>
            <w:tcBorders>
              <w:top w:val="nil"/>
              <w:left w:val="nil"/>
              <w:bottom w:val="single" w:sz="4" w:space="0" w:color="000000"/>
              <w:right w:val="single" w:sz="4" w:space="0" w:color="000000"/>
            </w:tcBorders>
            <w:shd w:val="clear" w:color="auto" w:fill="auto"/>
            <w:vAlign w:val="bottom"/>
          </w:tcPr>
          <w:p w14:paraId="6BC772B1"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(2,355/3,046) = </w:t>
            </w:r>
            <w:r>
              <w:rPr>
                <w:rFonts w:ascii="Times New Roman" w:eastAsia="Times New Roman" w:hAnsi="Times New Roman" w:cs="Times New Roman"/>
                <w:b/>
                <w:sz w:val="24"/>
                <w:szCs w:val="24"/>
              </w:rPr>
              <w:t>0.77</w:t>
            </w:r>
            <w:r>
              <w:rPr>
                <w:rFonts w:ascii="Times New Roman" w:eastAsia="Times New Roman" w:hAnsi="Times New Roman" w:cs="Times New Roman"/>
                <w:sz w:val="24"/>
                <w:szCs w:val="24"/>
              </w:rPr>
              <w:t xml:space="preserve"> </w:t>
            </w:r>
          </w:p>
        </w:tc>
      </w:tr>
      <w:tr w:rsidR="009C4E66" w14:paraId="7E6BA19D"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420003BF"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159C97F2"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2,303</w:t>
            </w:r>
          </w:p>
        </w:tc>
        <w:tc>
          <w:tcPr>
            <w:tcW w:w="2451" w:type="dxa"/>
            <w:tcBorders>
              <w:top w:val="nil"/>
              <w:left w:val="nil"/>
              <w:bottom w:val="single" w:sz="4" w:space="0" w:color="000000"/>
              <w:right w:val="single" w:sz="4" w:space="0" w:color="000000"/>
            </w:tcBorders>
            <w:shd w:val="clear" w:color="auto" w:fill="auto"/>
            <w:vAlign w:val="bottom"/>
          </w:tcPr>
          <w:p w14:paraId="337DE56C" w14:textId="77777777" w:rsidR="009C4E6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2,511</w:t>
            </w:r>
          </w:p>
        </w:tc>
        <w:tc>
          <w:tcPr>
            <w:tcW w:w="3676" w:type="dxa"/>
            <w:tcBorders>
              <w:top w:val="nil"/>
              <w:left w:val="nil"/>
              <w:bottom w:val="single" w:sz="4" w:space="0" w:color="000000"/>
              <w:right w:val="single" w:sz="4" w:space="0" w:color="000000"/>
            </w:tcBorders>
            <w:shd w:val="clear" w:color="auto" w:fill="auto"/>
            <w:vAlign w:val="bottom"/>
          </w:tcPr>
          <w:p w14:paraId="7FD73726"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(2,303/2,511) = </w:t>
            </w:r>
            <w:r>
              <w:rPr>
                <w:rFonts w:ascii="Times New Roman" w:eastAsia="Times New Roman" w:hAnsi="Times New Roman" w:cs="Times New Roman"/>
                <w:b/>
                <w:sz w:val="24"/>
                <w:szCs w:val="24"/>
              </w:rPr>
              <w:t>0.92</w:t>
            </w:r>
            <w:r>
              <w:rPr>
                <w:rFonts w:ascii="Times New Roman" w:eastAsia="Times New Roman" w:hAnsi="Times New Roman" w:cs="Times New Roman"/>
                <w:sz w:val="24"/>
                <w:szCs w:val="24"/>
              </w:rPr>
              <w:t xml:space="preserve"> </w:t>
            </w:r>
          </w:p>
        </w:tc>
      </w:tr>
    </w:tbl>
    <w:p w14:paraId="02240B23" w14:textId="77777777" w:rsidR="009C4E66" w:rsidRDefault="009C4E66">
      <w:pPr>
        <w:spacing w:line="480" w:lineRule="auto"/>
        <w:ind w:firstLine="720"/>
        <w:rPr>
          <w:rFonts w:ascii="Times New Roman" w:eastAsia="Times New Roman" w:hAnsi="Times New Roman" w:cs="Times New Roman"/>
          <w:sz w:val="24"/>
          <w:szCs w:val="24"/>
        </w:rPr>
      </w:pPr>
    </w:p>
    <w:p w14:paraId="3BCBDE02" w14:textId="77777777" w:rsidR="009C4E66" w:rsidRDefault="00000000">
      <w:pPr>
        <w:pStyle w:val="Heading3"/>
        <w:spacing w:line="480" w:lineRule="auto"/>
        <w:ind w:left="0" w:firstLine="720"/>
        <w:rPr>
          <w:b/>
        </w:rPr>
      </w:pPr>
      <w:bookmarkStart w:id="18" w:name="_z337ya" w:colFirst="0" w:colLast="0"/>
      <w:bookmarkEnd w:id="18"/>
      <w:r>
        <w:rPr>
          <w:b/>
        </w:rPr>
        <w:t>9. Gearing ratio</w:t>
      </w:r>
    </w:p>
    <w:p w14:paraId="1710D796"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gearing ratio is a leverage ratio that measures the amount of a business organisation’s debt in the balance sheet (</w:t>
      </w:r>
      <w:proofErr w:type="spellStart"/>
      <w:r>
        <w:rPr>
          <w:rFonts w:ascii="Times New Roman" w:eastAsia="Times New Roman" w:hAnsi="Times New Roman" w:cs="Times New Roman"/>
          <w:sz w:val="24"/>
          <w:szCs w:val="24"/>
        </w:rPr>
        <w:t>Cuyos</w:t>
      </w:r>
      <w:proofErr w:type="spellEnd"/>
      <w:r>
        <w:rPr>
          <w:rFonts w:ascii="Times New Roman" w:eastAsia="Times New Roman" w:hAnsi="Times New Roman" w:cs="Times New Roman"/>
          <w:sz w:val="24"/>
          <w:szCs w:val="24"/>
        </w:rPr>
        <w:t xml:space="preserve">, 2019). The formula for the gearing ratio is as follows. </w:t>
      </w:r>
    </w:p>
    <w:p w14:paraId="7C2B4C56" w14:textId="77777777" w:rsidR="009C4E6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Gearing ratio = Total debt/Total Shareholders’ equity</w:t>
      </w:r>
    </w:p>
    <w:tbl>
      <w:tblPr>
        <w:tblStyle w:val="ac"/>
        <w:tblW w:w="8725" w:type="dxa"/>
        <w:jc w:val="center"/>
        <w:tblLayout w:type="fixed"/>
        <w:tblLook w:val="0400" w:firstRow="0" w:lastRow="0" w:firstColumn="0" w:lastColumn="0" w:noHBand="0" w:noVBand="1"/>
      </w:tblPr>
      <w:tblGrid>
        <w:gridCol w:w="960"/>
        <w:gridCol w:w="1638"/>
        <w:gridCol w:w="2451"/>
        <w:gridCol w:w="3676"/>
      </w:tblGrid>
      <w:tr w:rsidR="009C4E66" w14:paraId="68E07568"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1C7DF3"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74188CB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Total Debt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6CDC6170"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Equity (£m)</w:t>
            </w:r>
          </w:p>
        </w:tc>
        <w:tc>
          <w:tcPr>
            <w:tcW w:w="3676" w:type="dxa"/>
            <w:tcBorders>
              <w:top w:val="single" w:sz="4" w:space="0" w:color="000000"/>
              <w:left w:val="nil"/>
              <w:bottom w:val="single" w:sz="4" w:space="0" w:color="000000"/>
              <w:right w:val="single" w:sz="4" w:space="0" w:color="000000"/>
            </w:tcBorders>
            <w:shd w:val="clear" w:color="auto" w:fill="auto"/>
            <w:vAlign w:val="bottom"/>
          </w:tcPr>
          <w:p w14:paraId="5D92EEC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Gearing Ratio</w:t>
            </w:r>
          </w:p>
        </w:tc>
      </w:tr>
      <w:tr w:rsidR="009C4E66" w14:paraId="36DAEED9"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0604FA71"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0808647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4,129</w:t>
            </w:r>
          </w:p>
        </w:tc>
        <w:tc>
          <w:tcPr>
            <w:tcW w:w="2451" w:type="dxa"/>
            <w:tcBorders>
              <w:top w:val="nil"/>
              <w:left w:val="nil"/>
              <w:bottom w:val="single" w:sz="4" w:space="0" w:color="000000"/>
              <w:right w:val="single" w:sz="4" w:space="0" w:color="000000"/>
            </w:tcBorders>
            <w:shd w:val="clear" w:color="auto" w:fill="auto"/>
            <w:vAlign w:val="bottom"/>
          </w:tcPr>
          <w:p w14:paraId="45040C64" w14:textId="77777777" w:rsidR="009C4E6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2,912</w:t>
            </w:r>
          </w:p>
        </w:tc>
        <w:tc>
          <w:tcPr>
            <w:tcW w:w="3676" w:type="dxa"/>
            <w:tcBorders>
              <w:top w:val="nil"/>
              <w:left w:val="nil"/>
              <w:bottom w:val="single" w:sz="4" w:space="0" w:color="000000"/>
              <w:right w:val="single" w:sz="4" w:space="0" w:color="000000"/>
            </w:tcBorders>
            <w:shd w:val="clear" w:color="auto" w:fill="auto"/>
            <w:vAlign w:val="bottom"/>
          </w:tcPr>
          <w:p w14:paraId="475C3145"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(4,129/2,912) = </w:t>
            </w:r>
            <w:r>
              <w:rPr>
                <w:rFonts w:ascii="Times New Roman" w:eastAsia="Times New Roman" w:hAnsi="Times New Roman" w:cs="Times New Roman"/>
                <w:b/>
                <w:sz w:val="24"/>
                <w:szCs w:val="24"/>
              </w:rPr>
              <w:t>1.42</w:t>
            </w:r>
            <w:r>
              <w:rPr>
                <w:rFonts w:ascii="Times New Roman" w:eastAsia="Times New Roman" w:hAnsi="Times New Roman" w:cs="Times New Roman"/>
                <w:sz w:val="24"/>
                <w:szCs w:val="24"/>
              </w:rPr>
              <w:t xml:space="preserve"> </w:t>
            </w:r>
          </w:p>
        </w:tc>
      </w:tr>
      <w:tr w:rsidR="009C4E66" w14:paraId="1BF7BC77"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0809B8F4"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78090C01"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4,137</w:t>
            </w:r>
          </w:p>
        </w:tc>
        <w:tc>
          <w:tcPr>
            <w:tcW w:w="2451" w:type="dxa"/>
            <w:tcBorders>
              <w:top w:val="nil"/>
              <w:left w:val="nil"/>
              <w:bottom w:val="single" w:sz="4" w:space="0" w:color="000000"/>
              <w:right w:val="single" w:sz="4" w:space="0" w:color="000000"/>
            </w:tcBorders>
            <w:shd w:val="clear" w:color="auto" w:fill="auto"/>
            <w:vAlign w:val="bottom"/>
          </w:tcPr>
          <w:p w14:paraId="0E1E7861" w14:textId="77777777" w:rsidR="009C4E6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3,088</w:t>
            </w:r>
          </w:p>
        </w:tc>
        <w:tc>
          <w:tcPr>
            <w:tcW w:w="3676" w:type="dxa"/>
            <w:tcBorders>
              <w:top w:val="nil"/>
              <w:left w:val="nil"/>
              <w:bottom w:val="single" w:sz="4" w:space="0" w:color="000000"/>
              <w:right w:val="single" w:sz="4" w:space="0" w:color="000000"/>
            </w:tcBorders>
            <w:shd w:val="clear" w:color="auto" w:fill="auto"/>
            <w:vAlign w:val="bottom"/>
          </w:tcPr>
          <w:p w14:paraId="41FCD803"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(2,303/2,511) = </w:t>
            </w:r>
            <w:r>
              <w:rPr>
                <w:rFonts w:ascii="Times New Roman" w:eastAsia="Times New Roman" w:hAnsi="Times New Roman" w:cs="Times New Roman"/>
                <w:b/>
                <w:sz w:val="24"/>
                <w:szCs w:val="24"/>
              </w:rPr>
              <w:t>1.34</w:t>
            </w:r>
            <w:r>
              <w:rPr>
                <w:rFonts w:ascii="Times New Roman" w:eastAsia="Times New Roman" w:hAnsi="Times New Roman" w:cs="Times New Roman"/>
                <w:sz w:val="24"/>
                <w:szCs w:val="24"/>
              </w:rPr>
              <w:t xml:space="preserve"> </w:t>
            </w:r>
          </w:p>
        </w:tc>
      </w:tr>
    </w:tbl>
    <w:p w14:paraId="0A05DEC0" w14:textId="77777777" w:rsidR="009C4E66" w:rsidRDefault="009C4E66">
      <w:pPr>
        <w:spacing w:line="480" w:lineRule="auto"/>
        <w:rPr>
          <w:rFonts w:ascii="Times New Roman" w:eastAsia="Times New Roman" w:hAnsi="Times New Roman" w:cs="Times New Roman"/>
          <w:sz w:val="24"/>
          <w:szCs w:val="24"/>
        </w:rPr>
      </w:pPr>
    </w:p>
    <w:p w14:paraId="1E3F2419" w14:textId="77777777" w:rsidR="009C4E66" w:rsidRDefault="00000000">
      <w:pPr>
        <w:pStyle w:val="Heading3"/>
        <w:spacing w:line="480" w:lineRule="auto"/>
        <w:ind w:left="0" w:firstLine="720"/>
        <w:rPr>
          <w:b/>
        </w:rPr>
      </w:pPr>
      <w:bookmarkStart w:id="19" w:name="_3j2qqm3" w:colFirst="0" w:colLast="0"/>
      <w:bookmarkEnd w:id="19"/>
      <w:r>
        <w:rPr>
          <w:b/>
        </w:rPr>
        <w:t>10. Interest cover</w:t>
      </w:r>
    </w:p>
    <w:p w14:paraId="77589D55"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interest cover ratio is a leverage and a profitability ratio measuring the ease at which a company can honour the outstanding debt obligations (De Luca, 2018). The formula for the ratio is given as:</w:t>
      </w:r>
    </w:p>
    <w:p w14:paraId="1D98C64F" w14:textId="77777777" w:rsidR="009C4E66" w:rsidRDefault="009C4E66">
      <w:pPr>
        <w:spacing w:after="0" w:line="480" w:lineRule="auto"/>
        <w:ind w:firstLine="720"/>
        <w:rPr>
          <w:rFonts w:ascii="Times New Roman" w:eastAsia="Times New Roman" w:hAnsi="Times New Roman" w:cs="Times New Roman"/>
          <w:sz w:val="24"/>
          <w:szCs w:val="24"/>
        </w:rPr>
      </w:pPr>
    </w:p>
    <w:p w14:paraId="08FC8511" w14:textId="77777777" w:rsidR="009C4E6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cover = Earnings before interest and Taxes (EBIT)/Interest expense</w:t>
      </w:r>
    </w:p>
    <w:tbl>
      <w:tblPr>
        <w:tblStyle w:val="ad"/>
        <w:tblW w:w="8725" w:type="dxa"/>
        <w:jc w:val="center"/>
        <w:tblLayout w:type="fixed"/>
        <w:tblLook w:val="0400" w:firstRow="0" w:lastRow="0" w:firstColumn="0" w:lastColumn="0" w:noHBand="0" w:noVBand="1"/>
      </w:tblPr>
      <w:tblGrid>
        <w:gridCol w:w="960"/>
        <w:gridCol w:w="1638"/>
        <w:gridCol w:w="2451"/>
        <w:gridCol w:w="3676"/>
      </w:tblGrid>
      <w:tr w:rsidR="009C4E66" w14:paraId="57A33692" w14:textId="77777777">
        <w:trPr>
          <w:trHeight w:val="3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A8991C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Year </w:t>
            </w:r>
          </w:p>
        </w:tc>
        <w:tc>
          <w:tcPr>
            <w:tcW w:w="1638" w:type="dxa"/>
            <w:tcBorders>
              <w:top w:val="single" w:sz="4" w:space="0" w:color="000000"/>
              <w:left w:val="nil"/>
              <w:bottom w:val="single" w:sz="4" w:space="0" w:color="000000"/>
              <w:right w:val="single" w:sz="4" w:space="0" w:color="000000"/>
            </w:tcBorders>
            <w:shd w:val="clear" w:color="auto" w:fill="auto"/>
            <w:vAlign w:val="bottom"/>
          </w:tcPr>
          <w:p w14:paraId="6AAA4666"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EBIT (£m)</w:t>
            </w:r>
          </w:p>
        </w:tc>
        <w:tc>
          <w:tcPr>
            <w:tcW w:w="2451" w:type="dxa"/>
            <w:tcBorders>
              <w:top w:val="single" w:sz="4" w:space="0" w:color="000000"/>
              <w:left w:val="nil"/>
              <w:bottom w:val="single" w:sz="4" w:space="0" w:color="000000"/>
              <w:right w:val="single" w:sz="4" w:space="0" w:color="000000"/>
            </w:tcBorders>
            <w:shd w:val="clear" w:color="auto" w:fill="auto"/>
            <w:vAlign w:val="bottom"/>
          </w:tcPr>
          <w:p w14:paraId="215B9F5B"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Expense (£m)</w:t>
            </w:r>
          </w:p>
        </w:tc>
        <w:tc>
          <w:tcPr>
            <w:tcW w:w="3676" w:type="dxa"/>
            <w:tcBorders>
              <w:top w:val="single" w:sz="4" w:space="0" w:color="000000"/>
              <w:left w:val="nil"/>
              <w:bottom w:val="single" w:sz="4" w:space="0" w:color="000000"/>
              <w:right w:val="single" w:sz="4" w:space="0" w:color="000000"/>
            </w:tcBorders>
            <w:shd w:val="clear" w:color="auto" w:fill="auto"/>
            <w:vAlign w:val="bottom"/>
          </w:tcPr>
          <w:p w14:paraId="52FD39E7"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Interest Cover</w:t>
            </w:r>
          </w:p>
        </w:tc>
      </w:tr>
      <w:tr w:rsidR="009C4E66" w14:paraId="0E7B195A"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2B716F35"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1638" w:type="dxa"/>
            <w:tcBorders>
              <w:top w:val="nil"/>
              <w:left w:val="nil"/>
              <w:bottom w:val="single" w:sz="4" w:space="0" w:color="000000"/>
              <w:right w:val="single" w:sz="4" w:space="0" w:color="000000"/>
            </w:tcBorders>
            <w:shd w:val="clear" w:color="auto" w:fill="auto"/>
            <w:vAlign w:val="bottom"/>
          </w:tcPr>
          <w:p w14:paraId="39C41AD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699</w:t>
            </w:r>
          </w:p>
        </w:tc>
        <w:tc>
          <w:tcPr>
            <w:tcW w:w="2451" w:type="dxa"/>
            <w:tcBorders>
              <w:top w:val="nil"/>
              <w:left w:val="nil"/>
              <w:bottom w:val="single" w:sz="4" w:space="0" w:color="000000"/>
              <w:right w:val="single" w:sz="4" w:space="0" w:color="000000"/>
            </w:tcBorders>
            <w:shd w:val="clear" w:color="auto" w:fill="auto"/>
            <w:vAlign w:val="bottom"/>
          </w:tcPr>
          <w:p w14:paraId="3347B5F4" w14:textId="77777777" w:rsidR="009C4E6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181</w:t>
            </w:r>
          </w:p>
        </w:tc>
        <w:tc>
          <w:tcPr>
            <w:tcW w:w="3676" w:type="dxa"/>
            <w:tcBorders>
              <w:top w:val="nil"/>
              <w:left w:val="nil"/>
              <w:bottom w:val="single" w:sz="4" w:space="0" w:color="000000"/>
              <w:right w:val="single" w:sz="4" w:space="0" w:color="000000"/>
            </w:tcBorders>
            <w:shd w:val="clear" w:color="auto" w:fill="auto"/>
            <w:vAlign w:val="bottom"/>
          </w:tcPr>
          <w:p w14:paraId="611C1C6B"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(699/181) = </w:t>
            </w:r>
            <w:r>
              <w:rPr>
                <w:rFonts w:ascii="Times New Roman" w:eastAsia="Times New Roman" w:hAnsi="Times New Roman" w:cs="Times New Roman"/>
                <w:b/>
                <w:sz w:val="24"/>
                <w:szCs w:val="24"/>
              </w:rPr>
              <w:t>3.86</w:t>
            </w:r>
            <w:r>
              <w:rPr>
                <w:rFonts w:ascii="Times New Roman" w:eastAsia="Times New Roman" w:hAnsi="Times New Roman" w:cs="Times New Roman"/>
                <w:sz w:val="24"/>
                <w:szCs w:val="24"/>
              </w:rPr>
              <w:t xml:space="preserve"> </w:t>
            </w:r>
          </w:p>
        </w:tc>
      </w:tr>
      <w:tr w:rsidR="009C4E66" w14:paraId="02835837" w14:textId="77777777">
        <w:trPr>
          <w:trHeight w:val="300"/>
          <w:jc w:val="center"/>
        </w:trPr>
        <w:tc>
          <w:tcPr>
            <w:tcW w:w="960" w:type="dxa"/>
            <w:tcBorders>
              <w:top w:val="nil"/>
              <w:left w:val="single" w:sz="4" w:space="0" w:color="000000"/>
              <w:bottom w:val="single" w:sz="4" w:space="0" w:color="000000"/>
              <w:right w:val="single" w:sz="4" w:space="0" w:color="000000"/>
            </w:tcBorders>
            <w:shd w:val="clear" w:color="auto" w:fill="auto"/>
            <w:vAlign w:val="bottom"/>
          </w:tcPr>
          <w:p w14:paraId="23885B6D"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2021</w:t>
            </w:r>
          </w:p>
        </w:tc>
        <w:tc>
          <w:tcPr>
            <w:tcW w:w="1638" w:type="dxa"/>
            <w:tcBorders>
              <w:top w:val="nil"/>
              <w:left w:val="nil"/>
              <w:bottom w:val="single" w:sz="4" w:space="0" w:color="000000"/>
              <w:right w:val="single" w:sz="4" w:space="0" w:color="000000"/>
            </w:tcBorders>
            <w:shd w:val="clear" w:color="auto" w:fill="auto"/>
            <w:vAlign w:val="bottom"/>
          </w:tcPr>
          <w:p w14:paraId="4128343F" w14:textId="77777777" w:rsidR="009C4E6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805</w:t>
            </w:r>
          </w:p>
        </w:tc>
        <w:tc>
          <w:tcPr>
            <w:tcW w:w="2451" w:type="dxa"/>
            <w:tcBorders>
              <w:top w:val="nil"/>
              <w:left w:val="nil"/>
              <w:bottom w:val="single" w:sz="4" w:space="0" w:color="000000"/>
              <w:right w:val="single" w:sz="4" w:space="0" w:color="000000"/>
            </w:tcBorders>
            <w:shd w:val="clear" w:color="auto" w:fill="auto"/>
            <w:vAlign w:val="bottom"/>
          </w:tcPr>
          <w:p w14:paraId="3E6931F3" w14:textId="77777777" w:rsidR="009C4E66"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226</w:t>
            </w:r>
          </w:p>
        </w:tc>
        <w:tc>
          <w:tcPr>
            <w:tcW w:w="3676" w:type="dxa"/>
            <w:tcBorders>
              <w:top w:val="nil"/>
              <w:left w:val="nil"/>
              <w:bottom w:val="single" w:sz="4" w:space="0" w:color="000000"/>
              <w:right w:val="single" w:sz="4" w:space="0" w:color="000000"/>
            </w:tcBorders>
            <w:shd w:val="clear" w:color="auto" w:fill="auto"/>
            <w:vAlign w:val="bottom"/>
          </w:tcPr>
          <w:p w14:paraId="64AE01AE" w14:textId="77777777" w:rsidR="009C4E66"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(2,303/2,511) = </w:t>
            </w:r>
            <w:r>
              <w:rPr>
                <w:rFonts w:ascii="Times New Roman" w:eastAsia="Times New Roman" w:hAnsi="Times New Roman" w:cs="Times New Roman"/>
                <w:b/>
                <w:sz w:val="24"/>
                <w:szCs w:val="24"/>
              </w:rPr>
              <w:t>3.56</w:t>
            </w:r>
            <w:r>
              <w:rPr>
                <w:rFonts w:ascii="Times New Roman" w:eastAsia="Times New Roman" w:hAnsi="Times New Roman" w:cs="Times New Roman"/>
                <w:sz w:val="24"/>
                <w:szCs w:val="24"/>
              </w:rPr>
              <w:t xml:space="preserve"> </w:t>
            </w:r>
          </w:p>
        </w:tc>
      </w:tr>
    </w:tbl>
    <w:p w14:paraId="03DBEDF5" w14:textId="77777777" w:rsidR="009C4E66" w:rsidRDefault="009C4E66">
      <w:pPr>
        <w:spacing w:line="480" w:lineRule="auto"/>
        <w:rPr>
          <w:rFonts w:ascii="Times New Roman" w:eastAsia="Times New Roman" w:hAnsi="Times New Roman" w:cs="Times New Roman"/>
          <w:sz w:val="24"/>
          <w:szCs w:val="24"/>
        </w:rPr>
      </w:pPr>
    </w:p>
    <w:p w14:paraId="2744776C" w14:textId="77777777" w:rsidR="009C4E66" w:rsidRDefault="00000000">
      <w:pPr>
        <w:pStyle w:val="Heading2"/>
        <w:spacing w:line="480" w:lineRule="auto"/>
        <w:ind w:firstLine="720"/>
        <w:rPr>
          <w:sz w:val="28"/>
          <w:szCs w:val="28"/>
        </w:rPr>
      </w:pPr>
      <w:bookmarkStart w:id="20" w:name="_1y810tw" w:colFirst="0" w:colLast="0"/>
      <w:bookmarkEnd w:id="20"/>
      <w:r>
        <w:rPr>
          <w:sz w:val="28"/>
          <w:szCs w:val="28"/>
        </w:rPr>
        <w:t xml:space="preserve">b) </w:t>
      </w:r>
      <w:proofErr w:type="gramStart"/>
      <w:r>
        <w:rPr>
          <w:sz w:val="28"/>
          <w:szCs w:val="28"/>
        </w:rPr>
        <w:t>Financial</w:t>
      </w:r>
      <w:proofErr w:type="gramEnd"/>
      <w:r>
        <w:rPr>
          <w:sz w:val="28"/>
          <w:szCs w:val="28"/>
        </w:rPr>
        <w:t xml:space="preserve"> performance and position of Sweets plc.</w:t>
      </w:r>
    </w:p>
    <w:p w14:paraId="08A6232D"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Income statement </w:t>
      </w:r>
      <w:proofErr w:type="gramStart"/>
      <w:r>
        <w:rPr>
          <w:rFonts w:ascii="Times New Roman" w:eastAsia="Times New Roman" w:hAnsi="Times New Roman" w:cs="Times New Roman"/>
          <w:sz w:val="24"/>
          <w:szCs w:val="24"/>
        </w:rPr>
        <w:t>documents</w:t>
      </w:r>
      <w:proofErr w:type="gramEnd"/>
      <w:r>
        <w:rPr>
          <w:rFonts w:ascii="Times New Roman" w:eastAsia="Times New Roman" w:hAnsi="Times New Roman" w:cs="Times New Roman"/>
          <w:sz w:val="24"/>
          <w:szCs w:val="24"/>
        </w:rPr>
        <w:t xml:space="preserve"> and the balance sheet document can be supplemented by the ratio analysis to provide critical information regarding the firm’s financial position and performance. When it comes to profitability, the ROCE of 9.93% and 11.14% for the 2020 and 2021 financial years respectively shows that the company is not optimally maximising shareholder wealth (Payne &amp; </w:t>
      </w:r>
      <w:proofErr w:type="spellStart"/>
      <w:r>
        <w:rPr>
          <w:rFonts w:ascii="Times New Roman" w:eastAsia="Times New Roman" w:hAnsi="Times New Roman" w:cs="Times New Roman"/>
          <w:sz w:val="24"/>
          <w:szCs w:val="24"/>
        </w:rPr>
        <w:t>Petrenko</w:t>
      </w:r>
      <w:proofErr w:type="spellEnd"/>
      <w:r>
        <w:rPr>
          <w:rFonts w:ascii="Times New Roman" w:eastAsia="Times New Roman" w:hAnsi="Times New Roman" w:cs="Times New Roman"/>
          <w:sz w:val="24"/>
          <w:szCs w:val="24"/>
        </w:rPr>
        <w:t xml:space="preserve">, 2019). Although the optimal ROCE varies from one company to another depending on the industry where the company is domiciled, a return of at least 20% is considered ideal. Similarly, the net profit margins of 5.68% and 6.4% for the two financial years imply that the company is not efficient in converting revenue to net income. A marginal decline in the level of revenue would significantly impair the firm’s profitability. </w:t>
      </w:r>
    </w:p>
    <w:p w14:paraId="68A01B5F"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remarkable observation is that based on the operating efficiency metrics such as the stock holding days and the debtors’ collection period, the company is relatively inefficient. For example, the stock holding days of 77.69 days in 2020 and 77.12 days in 2021 exceed the ideal ratio of about 60 days. The same negative attribute is manifested in the company’s liquidity based on the current ratio of 0.77 and 0.92 for the two financial years respectively, implying that the company’s current assets are inadequate to offset the current liabilities. Similarly, in terms of leverage, the gearing ratios of 1.42 and 1.34 for the 2020 and 2021 financial years exceed the optimal ratio between 0.25 and 0.5. This shows that the company is using more debt than equity in the capital structure. Although debt is a cheaper source of capital because of the tax savings, excessive use of debt increases agency costs to the company and increases the likelihood of </w:t>
      </w:r>
      <w:r>
        <w:rPr>
          <w:rFonts w:ascii="Times New Roman" w:eastAsia="Times New Roman" w:hAnsi="Times New Roman" w:cs="Times New Roman"/>
          <w:sz w:val="24"/>
          <w:szCs w:val="24"/>
        </w:rPr>
        <w:lastRenderedPageBreak/>
        <w:t>bankruptcy (</w:t>
      </w:r>
      <w:proofErr w:type="spellStart"/>
      <w:r>
        <w:rPr>
          <w:rFonts w:ascii="Times New Roman" w:eastAsia="Times New Roman" w:hAnsi="Times New Roman" w:cs="Times New Roman"/>
          <w:sz w:val="24"/>
          <w:szCs w:val="24"/>
        </w:rPr>
        <w:t>Cuyos</w:t>
      </w:r>
      <w:proofErr w:type="spellEnd"/>
      <w:r>
        <w:rPr>
          <w:rFonts w:ascii="Times New Roman" w:eastAsia="Times New Roman" w:hAnsi="Times New Roman" w:cs="Times New Roman"/>
          <w:sz w:val="24"/>
          <w:szCs w:val="24"/>
        </w:rPr>
        <w:t xml:space="preserve">, 2019). Overall, Sweets Plc needs to employ remedial action to reverse the negative attributes in profitability, leverage, operating efficiency, and liquidity. </w:t>
      </w:r>
    </w:p>
    <w:p w14:paraId="6146FF89" w14:textId="77777777" w:rsidR="009C4E66" w:rsidRDefault="00000000">
      <w:pPr>
        <w:rPr>
          <w:rFonts w:ascii="Times New Roman" w:eastAsia="Times New Roman" w:hAnsi="Times New Roman" w:cs="Times New Roman"/>
          <w:sz w:val="24"/>
          <w:szCs w:val="24"/>
        </w:rPr>
      </w:pPr>
      <w:r>
        <w:br w:type="page"/>
      </w:r>
    </w:p>
    <w:p w14:paraId="7BC62234" w14:textId="77777777" w:rsidR="009C4E66" w:rsidRDefault="009C4E66">
      <w:pPr>
        <w:rPr>
          <w:rFonts w:ascii="Times New Roman" w:eastAsia="Times New Roman" w:hAnsi="Times New Roman" w:cs="Times New Roman"/>
          <w:sz w:val="24"/>
          <w:szCs w:val="24"/>
        </w:rPr>
      </w:pPr>
    </w:p>
    <w:p w14:paraId="7B1B1342" w14:textId="77777777" w:rsidR="009C4E66" w:rsidRDefault="00000000">
      <w:pPr>
        <w:pStyle w:val="Heading1"/>
        <w:jc w:val="center"/>
        <w:rPr>
          <w:sz w:val="32"/>
          <w:szCs w:val="32"/>
        </w:rPr>
      </w:pPr>
      <w:bookmarkStart w:id="21" w:name="_4i7ojhp" w:colFirst="0" w:colLast="0"/>
      <w:bookmarkEnd w:id="21"/>
      <w:r>
        <w:rPr>
          <w:sz w:val="32"/>
          <w:szCs w:val="32"/>
        </w:rPr>
        <w:t>Reference List</w:t>
      </w:r>
    </w:p>
    <w:p w14:paraId="58BEBA3E" w14:textId="77777777" w:rsidR="009C4E66" w:rsidRDefault="00000000">
      <w:pPr>
        <w:pBdr>
          <w:top w:val="nil"/>
          <w:left w:val="nil"/>
          <w:bottom w:val="nil"/>
          <w:right w:val="nil"/>
          <w:between w:val="nil"/>
        </w:pBdr>
        <w:spacing w:before="280" w:after="0" w:line="480" w:lineRule="auto"/>
        <w:ind w:left="562" w:hanging="562"/>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Cuyos</w:t>
      </w:r>
      <w:proofErr w:type="spellEnd"/>
      <w:r>
        <w:rPr>
          <w:rFonts w:ascii="Times New Roman" w:eastAsia="Times New Roman" w:hAnsi="Times New Roman" w:cs="Times New Roman"/>
          <w:sz w:val="24"/>
          <w:szCs w:val="24"/>
        </w:rPr>
        <w:t xml:space="preserve">, E. (2019) </w:t>
      </w:r>
      <w:r>
        <w:rPr>
          <w:rFonts w:ascii="Times New Roman" w:eastAsia="Times New Roman" w:hAnsi="Times New Roman" w:cs="Times New Roman"/>
          <w:i/>
          <w:sz w:val="24"/>
          <w:szCs w:val="24"/>
        </w:rPr>
        <w:t>Principles of financial accounting</w:t>
      </w:r>
      <w:r>
        <w:rPr>
          <w:rFonts w:ascii="Times New Roman" w:eastAsia="Times New Roman" w:hAnsi="Times New Roman" w:cs="Times New Roman"/>
          <w:sz w:val="24"/>
          <w:szCs w:val="24"/>
        </w:rPr>
        <w:t xml:space="preserve">. United States: Outskirts Press, Inc. </w:t>
      </w:r>
    </w:p>
    <w:p w14:paraId="27FBD2B0" w14:textId="77777777" w:rsidR="009C4E66" w:rsidRDefault="00000000">
      <w:pPr>
        <w:pBdr>
          <w:top w:val="nil"/>
          <w:left w:val="nil"/>
          <w:bottom w:val="nil"/>
          <w:right w:val="nil"/>
          <w:between w:val="nil"/>
        </w:pBdr>
        <w:spacing w:after="0" w:line="480" w:lineRule="auto"/>
        <w:ind w:left="562" w:hanging="56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Luca, P. (2018) “Company profitability analysis,” </w:t>
      </w:r>
      <w:r>
        <w:rPr>
          <w:rFonts w:ascii="Times New Roman" w:eastAsia="Times New Roman" w:hAnsi="Times New Roman" w:cs="Times New Roman"/>
          <w:i/>
          <w:sz w:val="24"/>
          <w:szCs w:val="24"/>
        </w:rPr>
        <w:t>Analytical Corporate Valuation</w:t>
      </w:r>
      <w:r>
        <w:rPr>
          <w:rFonts w:ascii="Times New Roman" w:eastAsia="Times New Roman" w:hAnsi="Times New Roman" w:cs="Times New Roman"/>
          <w:sz w:val="24"/>
          <w:szCs w:val="24"/>
        </w:rPr>
        <w:t xml:space="preserve">, 12(3), pp. 43–76. </w:t>
      </w:r>
    </w:p>
    <w:p w14:paraId="02CE6E93" w14:textId="77777777" w:rsidR="009C4E66" w:rsidRDefault="00000000">
      <w:pPr>
        <w:pBdr>
          <w:top w:val="nil"/>
          <w:left w:val="nil"/>
          <w:bottom w:val="nil"/>
          <w:right w:val="nil"/>
          <w:between w:val="nil"/>
        </w:pBdr>
        <w:spacing w:after="0" w:line="480" w:lineRule="auto"/>
        <w:ind w:left="562" w:hanging="562"/>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Laitinen</w:t>
      </w:r>
      <w:proofErr w:type="spellEnd"/>
      <w:r>
        <w:rPr>
          <w:rFonts w:ascii="Times New Roman" w:eastAsia="Times New Roman" w:hAnsi="Times New Roman" w:cs="Times New Roman"/>
          <w:sz w:val="24"/>
          <w:szCs w:val="24"/>
        </w:rPr>
        <w:t xml:space="preserve">, E.K. (2018) “Financial reporting: Long-term change of financial ratios,” </w:t>
      </w:r>
      <w:r>
        <w:rPr>
          <w:rFonts w:ascii="Times New Roman" w:eastAsia="Times New Roman" w:hAnsi="Times New Roman" w:cs="Times New Roman"/>
          <w:i/>
          <w:sz w:val="24"/>
          <w:szCs w:val="24"/>
        </w:rPr>
        <w:t>American Journal of Industrial and Business Management</w:t>
      </w:r>
      <w:r>
        <w:rPr>
          <w:rFonts w:ascii="Times New Roman" w:eastAsia="Times New Roman" w:hAnsi="Times New Roman" w:cs="Times New Roman"/>
          <w:sz w:val="24"/>
          <w:szCs w:val="24"/>
        </w:rPr>
        <w:t xml:space="preserve">, 08(09), pp. 1893–1927. </w:t>
      </w:r>
    </w:p>
    <w:p w14:paraId="4474BF90" w14:textId="77777777" w:rsidR="009C4E66" w:rsidRDefault="00000000">
      <w:pPr>
        <w:pBdr>
          <w:top w:val="nil"/>
          <w:left w:val="nil"/>
          <w:bottom w:val="nil"/>
          <w:right w:val="nil"/>
          <w:between w:val="nil"/>
        </w:pBdr>
        <w:spacing w:after="0" w:line="480" w:lineRule="auto"/>
        <w:ind w:left="562" w:hanging="56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Payne, G.T. and </w:t>
      </w:r>
      <w:proofErr w:type="spellStart"/>
      <w:r>
        <w:rPr>
          <w:rFonts w:ascii="Times New Roman" w:eastAsia="Times New Roman" w:hAnsi="Times New Roman" w:cs="Times New Roman"/>
          <w:sz w:val="24"/>
          <w:szCs w:val="24"/>
        </w:rPr>
        <w:t>Petrenko</w:t>
      </w:r>
      <w:proofErr w:type="spellEnd"/>
      <w:r>
        <w:rPr>
          <w:rFonts w:ascii="Times New Roman" w:eastAsia="Times New Roman" w:hAnsi="Times New Roman" w:cs="Times New Roman"/>
          <w:sz w:val="24"/>
          <w:szCs w:val="24"/>
        </w:rPr>
        <w:t xml:space="preserve">, O.V. (2019) “Agency theory in Business and Management Research,” </w:t>
      </w:r>
      <w:r>
        <w:rPr>
          <w:rFonts w:ascii="Times New Roman" w:eastAsia="Times New Roman" w:hAnsi="Times New Roman" w:cs="Times New Roman"/>
          <w:i/>
          <w:sz w:val="24"/>
          <w:szCs w:val="24"/>
        </w:rPr>
        <w:t xml:space="preserve">Oxford Research </w:t>
      </w:r>
      <w:proofErr w:type="spellStart"/>
      <w:r>
        <w:rPr>
          <w:rFonts w:ascii="Times New Roman" w:eastAsia="Times New Roman" w:hAnsi="Times New Roman" w:cs="Times New Roman"/>
          <w:i/>
          <w:sz w:val="24"/>
          <w:szCs w:val="24"/>
        </w:rPr>
        <w:t>Encyclopedia</w:t>
      </w:r>
      <w:proofErr w:type="spellEnd"/>
      <w:r>
        <w:rPr>
          <w:rFonts w:ascii="Times New Roman" w:eastAsia="Times New Roman" w:hAnsi="Times New Roman" w:cs="Times New Roman"/>
          <w:i/>
          <w:sz w:val="24"/>
          <w:szCs w:val="24"/>
        </w:rPr>
        <w:t xml:space="preserve"> of Business and Management</w:t>
      </w:r>
      <w:r>
        <w:rPr>
          <w:rFonts w:ascii="Times New Roman" w:eastAsia="Times New Roman" w:hAnsi="Times New Roman" w:cs="Times New Roman"/>
          <w:sz w:val="24"/>
          <w:szCs w:val="24"/>
        </w:rPr>
        <w:t xml:space="preserve"> [Preprint]. </w:t>
      </w:r>
    </w:p>
    <w:p w14:paraId="4DE5E010" w14:textId="77777777" w:rsidR="009C4E66" w:rsidRDefault="00000000">
      <w:pPr>
        <w:pBdr>
          <w:top w:val="nil"/>
          <w:left w:val="nil"/>
          <w:bottom w:val="nil"/>
          <w:right w:val="nil"/>
          <w:between w:val="nil"/>
        </w:pBdr>
        <w:spacing w:after="280" w:line="480" w:lineRule="auto"/>
        <w:ind w:left="562" w:hanging="56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A. and Ward, A.M. (2019) </w:t>
      </w:r>
      <w:r>
        <w:rPr>
          <w:rFonts w:ascii="Times New Roman" w:eastAsia="Times New Roman" w:hAnsi="Times New Roman" w:cs="Times New Roman"/>
          <w:i/>
          <w:sz w:val="24"/>
          <w:szCs w:val="24"/>
        </w:rPr>
        <w:t>Introduction to financial accounting</w:t>
      </w:r>
      <w:r>
        <w:rPr>
          <w:rFonts w:ascii="Times New Roman" w:eastAsia="Times New Roman" w:hAnsi="Times New Roman" w:cs="Times New Roman"/>
          <w:sz w:val="24"/>
          <w:szCs w:val="24"/>
        </w:rPr>
        <w:t xml:space="preserve">. London: McGraw-Hill Education. </w:t>
      </w:r>
    </w:p>
    <w:p w14:paraId="06D1B41C" w14:textId="77777777" w:rsidR="009C4E66" w:rsidRDefault="009C4E66">
      <w:pPr>
        <w:spacing w:after="0" w:line="480" w:lineRule="auto"/>
        <w:ind w:firstLine="720"/>
        <w:rPr>
          <w:rFonts w:ascii="Times New Roman" w:eastAsia="Times New Roman" w:hAnsi="Times New Roman" w:cs="Times New Roman"/>
          <w:sz w:val="24"/>
          <w:szCs w:val="24"/>
        </w:rPr>
      </w:pPr>
    </w:p>
    <w:p w14:paraId="35F75809" w14:textId="77777777" w:rsidR="009C4E66" w:rsidRDefault="009C4E66">
      <w:pPr>
        <w:spacing w:after="0" w:line="480" w:lineRule="auto"/>
        <w:ind w:firstLine="720"/>
        <w:rPr>
          <w:rFonts w:ascii="Times New Roman" w:eastAsia="Times New Roman" w:hAnsi="Times New Roman" w:cs="Times New Roman"/>
          <w:sz w:val="24"/>
          <w:szCs w:val="24"/>
        </w:rPr>
      </w:pPr>
    </w:p>
    <w:p w14:paraId="6CF91E25" w14:textId="77777777" w:rsidR="009C4E66"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C065938" w14:textId="77777777" w:rsidR="009C4E66" w:rsidRDefault="009C4E66">
      <w:pPr>
        <w:spacing w:line="480" w:lineRule="auto"/>
        <w:ind w:firstLine="720"/>
        <w:rPr>
          <w:rFonts w:ascii="Times New Roman" w:eastAsia="Times New Roman" w:hAnsi="Times New Roman" w:cs="Times New Roman"/>
          <w:sz w:val="24"/>
          <w:szCs w:val="24"/>
        </w:rPr>
      </w:pPr>
    </w:p>
    <w:sectPr w:rsidR="009C4E66">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98140" w14:textId="77777777" w:rsidR="001F6C7F" w:rsidRDefault="001F6C7F">
      <w:pPr>
        <w:spacing w:after="0" w:line="240" w:lineRule="auto"/>
      </w:pPr>
      <w:r>
        <w:separator/>
      </w:r>
    </w:p>
  </w:endnote>
  <w:endnote w:type="continuationSeparator" w:id="0">
    <w:p w14:paraId="3728E485" w14:textId="77777777" w:rsidR="001F6C7F" w:rsidRDefault="001F6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D3E2C" w14:textId="77777777" w:rsidR="001F6C7F" w:rsidRDefault="001F6C7F">
      <w:pPr>
        <w:spacing w:after="0" w:line="240" w:lineRule="auto"/>
      </w:pPr>
      <w:r>
        <w:separator/>
      </w:r>
    </w:p>
  </w:footnote>
  <w:footnote w:type="continuationSeparator" w:id="0">
    <w:p w14:paraId="42814302" w14:textId="77777777" w:rsidR="001F6C7F" w:rsidRDefault="001F6C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B4D0E" w14:textId="77777777" w:rsidR="009C4E66" w:rsidRDefault="00000000">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93B76">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2E97FAFD" w14:textId="77777777" w:rsidR="009C4E66" w:rsidRDefault="009C4E66">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E66"/>
    <w:rsid w:val="00193B76"/>
    <w:rsid w:val="001F6C7F"/>
    <w:rsid w:val="009C4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B15F5B"/>
  <w15:docId w15:val="{C73C6799-0895-9A43-9607-0FC41220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40" w:after="0"/>
      <w:ind w:left="720"/>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before="40" w:after="0"/>
      <w:ind w:left="720"/>
      <w:outlineLvl w:val="2"/>
    </w:pPr>
    <w:rPr>
      <w:rFonts w:ascii="Times New Roman" w:eastAsia="Times New Roman" w:hAnsi="Times New Roman" w:cs="Times New Roman"/>
      <w:i/>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jc w:val="center"/>
    </w:pPr>
    <w:rPr>
      <w:rFonts w:ascii="Times New Roman" w:eastAsia="Times New Roman" w:hAnsi="Times New Roman" w:cs="Times New Roman"/>
      <w:b/>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2562</Words>
  <Characters>14608</Characters>
  <Application>Microsoft Office Word</Application>
  <DocSecurity>0</DocSecurity>
  <Lines>121</Lines>
  <Paragraphs>34</Paragraphs>
  <ScaleCrop>false</ScaleCrop>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Vasilena Chervenkova</cp:lastModifiedBy>
  <cp:revision>2</cp:revision>
  <dcterms:created xsi:type="dcterms:W3CDTF">2023-04-29T07:22:00Z</dcterms:created>
  <dcterms:modified xsi:type="dcterms:W3CDTF">2023-04-29T07:24:00Z</dcterms:modified>
</cp:coreProperties>
</file>