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00AFAE" w14:textId="77777777" w:rsidR="00457603" w:rsidRPr="002E6390" w:rsidRDefault="00457603" w:rsidP="00457603">
      <w:pPr>
        <w:rPr>
          <w:rFonts w:ascii="Times New Roman" w:hAnsi="Times New Roman" w:cs="Times New Roman"/>
          <w:color w:val="000000"/>
        </w:rPr>
      </w:pPr>
    </w:p>
    <w:p w14:paraId="7A604E4B" w14:textId="77777777" w:rsidR="00457603" w:rsidRDefault="00457603" w:rsidP="00457603">
      <w:pPr>
        <w:pStyle w:val="NormalWeb"/>
        <w:spacing w:before="2" w:after="2"/>
        <w:ind w:left="-180" w:right="-334"/>
        <w:jc w:val="center"/>
        <w:rPr>
          <w:rFonts w:ascii="Trebuchet MS" w:hAnsi="Trebuchet MS" w:cs="Tahoma"/>
          <w:sz w:val="24"/>
          <w:szCs w:val="24"/>
        </w:rPr>
      </w:pPr>
      <w:r w:rsidRPr="005B47EC">
        <w:rPr>
          <w:noProof/>
          <w:lang w:val="en-US"/>
        </w:rPr>
        <w:drawing>
          <wp:inline distT="0" distB="0" distL="0" distR="0" wp14:anchorId="274EE717" wp14:editId="19041268">
            <wp:extent cx="2875280" cy="1046480"/>
            <wp:effectExtent l="25400" t="25400" r="20320" b="2032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5280" cy="1046480"/>
                    </a:xfrm>
                    <a:prstGeom prst="rect">
                      <a:avLst/>
                    </a:prstGeom>
                    <a:noFill/>
                    <a:ln w="19050" cmpd="sng">
                      <a:solidFill>
                        <a:srgbClr val="000000"/>
                      </a:solidFill>
                      <a:miter lim="800000"/>
                      <a:headEnd/>
                      <a:tailEnd/>
                    </a:ln>
                    <a:effectLst/>
                  </pic:spPr>
                </pic:pic>
              </a:graphicData>
            </a:graphic>
          </wp:inline>
        </w:drawing>
      </w:r>
    </w:p>
    <w:p w14:paraId="5BA89A44" w14:textId="77777777" w:rsidR="00457603" w:rsidRDefault="00457603" w:rsidP="00457603">
      <w:pPr>
        <w:pStyle w:val="Heading1"/>
        <w:spacing w:before="2" w:after="2"/>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6E3308D4" w14:textId="77777777" w:rsidR="00457603" w:rsidRPr="001E50BB" w:rsidRDefault="00457603" w:rsidP="00457603">
      <w:pPr>
        <w:jc w:val="center"/>
        <w:rPr>
          <w:rFonts w:ascii="Arial" w:hAnsi="Arial" w:cs="Arial"/>
          <w:b/>
          <w:lang w:val="cy-GB"/>
        </w:rPr>
      </w:pPr>
      <w:r w:rsidRPr="001E50BB">
        <w:rPr>
          <w:rFonts w:ascii="Arial" w:hAnsi="Arial" w:cs="Arial"/>
          <w:b/>
          <w:lang w:val="cy-GB"/>
        </w:rPr>
        <w:t>(to be completed by marker)</w:t>
      </w:r>
    </w:p>
    <w:p w14:paraId="36E69CF6" w14:textId="77777777" w:rsidR="00457603" w:rsidRPr="001E50BB" w:rsidRDefault="00457603" w:rsidP="00457603">
      <w:pPr>
        <w:jc w:val="center"/>
        <w:rPr>
          <w:rFonts w:ascii="Arial" w:hAnsi="Arial" w:cs="Arial"/>
          <w:b/>
          <w:lang w:val="cy-GB"/>
        </w:rPr>
      </w:pPr>
    </w:p>
    <w:p w14:paraId="48204B3B" w14:textId="77777777" w:rsidR="00457603" w:rsidRDefault="00457603" w:rsidP="00457603">
      <w:pPr>
        <w:pStyle w:val="Heading3"/>
        <w:jc w:val="center"/>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457603" w:rsidRPr="005B47EC" w14:paraId="2D9B52C0" w14:textId="77777777" w:rsidTr="003977B4">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9F2E350" w14:textId="77777777" w:rsidR="00457603" w:rsidRPr="005B47EC" w:rsidRDefault="00457603" w:rsidP="003977B4">
            <w:pPr>
              <w:pStyle w:val="NormalWeb"/>
              <w:spacing w:before="2" w:after="2"/>
              <w:ind w:right="34"/>
              <w:rPr>
                <w:rFonts w:ascii="Calibri" w:eastAsiaTheme="minorHAnsi" w:hAnsi="Calibri" w:cs="Tahoma"/>
                <w:i/>
                <w:sz w:val="24"/>
                <w:szCs w:val="24"/>
              </w:rPr>
            </w:pPr>
            <w:r w:rsidRPr="005B47EC">
              <w:rPr>
                <w:rFonts w:ascii="Calibri" w:eastAsiaTheme="minorHAnsi" w:hAnsi="Calibri" w:cs="Tahoma"/>
                <w:i/>
                <w:sz w:val="24"/>
                <w:szCs w:val="24"/>
              </w:rPr>
              <w:t xml:space="preserve">Student Name: </w:t>
            </w:r>
            <w:r w:rsidRPr="005B47EC">
              <w:rPr>
                <w:rFonts w:ascii="Calibri" w:eastAsiaTheme="minorHAnsi" w:hAnsi="Calibri" w:cs="Tahoma"/>
                <w:sz w:val="24"/>
                <w:szCs w:val="24"/>
              </w:rPr>
              <w:t xml:space="preserve"> </w:t>
            </w:r>
            <w:r>
              <w:rPr>
                <w:rFonts w:ascii="Calibri" w:eastAsiaTheme="minorHAnsi" w:hAnsi="Calibri" w:cs="Tahoma"/>
                <w:sz w:val="24"/>
                <w:szCs w:val="24"/>
              </w:rPr>
              <w:t>Tanith McGarry</w:t>
            </w:r>
          </w:p>
          <w:p w14:paraId="1607357A" w14:textId="77777777" w:rsidR="00457603" w:rsidRPr="005B47EC" w:rsidRDefault="00457603" w:rsidP="003977B4">
            <w:pPr>
              <w:pStyle w:val="NormalWeb"/>
              <w:spacing w:before="2" w:after="2"/>
              <w:ind w:right="34"/>
              <w:rPr>
                <w:rFonts w:ascii="Calibri" w:eastAsiaTheme="minorHAnsi" w:hAnsi="Calibri" w:cs="Tahoma"/>
                <w:i/>
                <w:sz w:val="24"/>
                <w:szCs w:val="24"/>
              </w:rPr>
            </w:pPr>
          </w:p>
        </w:tc>
      </w:tr>
      <w:tr w:rsidR="00457603" w:rsidRPr="005B47EC" w14:paraId="126BA174" w14:textId="77777777" w:rsidTr="003977B4">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3AC269E4" w14:textId="77777777" w:rsidR="00457603" w:rsidRPr="005B47EC" w:rsidRDefault="00457603" w:rsidP="003977B4">
            <w:pPr>
              <w:pStyle w:val="NormalWeb"/>
              <w:spacing w:before="2" w:after="2"/>
              <w:ind w:right="34"/>
              <w:rPr>
                <w:rFonts w:ascii="Calibri" w:eastAsiaTheme="minorHAnsi" w:hAnsi="Calibri" w:cs="Tahoma"/>
                <w:i/>
                <w:sz w:val="24"/>
                <w:szCs w:val="24"/>
              </w:rPr>
            </w:pPr>
            <w:r w:rsidRPr="005B47EC">
              <w:rPr>
                <w:rFonts w:ascii="Calibri" w:eastAsiaTheme="minorHAnsi" w:hAnsi="Calibri" w:cs="Tahoma"/>
                <w:i/>
                <w:sz w:val="24"/>
                <w:szCs w:val="24"/>
              </w:rPr>
              <w:t xml:space="preserve">Module Code: </w:t>
            </w:r>
            <w:r>
              <w:rPr>
                <w:rFonts w:ascii="Calibri" w:eastAsiaTheme="minorHAnsi" w:hAnsi="Calibri" w:cs="Tahoma"/>
                <w:i/>
                <w:sz w:val="24"/>
                <w:szCs w:val="24"/>
              </w:rPr>
              <w:t>AHMS6004</w:t>
            </w:r>
          </w:p>
          <w:p w14:paraId="4F651702" w14:textId="77777777" w:rsidR="00457603" w:rsidRPr="005B47EC" w:rsidRDefault="00457603" w:rsidP="003977B4">
            <w:pPr>
              <w:pStyle w:val="NormalWeb"/>
              <w:spacing w:before="2" w:after="2"/>
              <w:ind w:right="34"/>
              <w:rPr>
                <w:rFonts w:ascii="Calibri" w:eastAsiaTheme="minorHAnsi" w:hAnsi="Calibri" w:cs="Tahoma"/>
                <w:i/>
                <w:sz w:val="24"/>
                <w:szCs w:val="24"/>
              </w:rPr>
            </w:pPr>
          </w:p>
          <w:p w14:paraId="743096FE" w14:textId="77777777" w:rsidR="00457603" w:rsidRPr="005B47EC" w:rsidRDefault="00457603" w:rsidP="003977B4">
            <w:pPr>
              <w:pStyle w:val="NormalWeb"/>
              <w:spacing w:before="2" w:after="2"/>
              <w:ind w:right="34"/>
              <w:rPr>
                <w:rFonts w:ascii="Calibri" w:eastAsiaTheme="minorHAnsi" w:hAnsi="Calibri" w:cs="Tahoma"/>
                <w:i/>
                <w:sz w:val="24"/>
                <w:szCs w:val="24"/>
              </w:rPr>
            </w:pPr>
            <w:r w:rsidRPr="005B47EC">
              <w:rPr>
                <w:rFonts w:ascii="Calibri" w:eastAsiaTheme="minorHAnsi" w:hAnsi="Calibri" w:cs="Tahoma"/>
                <w:i/>
                <w:sz w:val="24"/>
                <w:szCs w:val="24"/>
              </w:rPr>
              <w:t xml:space="preserve">Module title: </w:t>
            </w:r>
            <w:r>
              <w:rPr>
                <w:rFonts w:ascii="Calibri" w:eastAsiaTheme="minorHAnsi" w:hAnsi="Calibri" w:cs="Tahoma"/>
                <w:i/>
                <w:sz w:val="24"/>
                <w:szCs w:val="24"/>
              </w:rPr>
              <w:t>The Normans: Myth and Identity</w:t>
            </w:r>
          </w:p>
        </w:tc>
        <w:tc>
          <w:tcPr>
            <w:tcW w:w="3967" w:type="dxa"/>
            <w:gridSpan w:val="2"/>
            <w:tcBorders>
              <w:top w:val="single" w:sz="4" w:space="0" w:color="auto"/>
              <w:left w:val="single" w:sz="4" w:space="0" w:color="auto"/>
              <w:bottom w:val="single" w:sz="4" w:space="0" w:color="auto"/>
              <w:right w:val="single" w:sz="4" w:space="0" w:color="auto"/>
            </w:tcBorders>
          </w:tcPr>
          <w:p w14:paraId="071D845D" w14:textId="77777777" w:rsidR="00457603" w:rsidRPr="005B47EC" w:rsidRDefault="00457603" w:rsidP="003977B4">
            <w:pPr>
              <w:pStyle w:val="NormalWeb"/>
              <w:spacing w:before="2" w:after="2"/>
              <w:ind w:right="34"/>
              <w:rPr>
                <w:rFonts w:ascii="Calibri" w:eastAsiaTheme="minorHAnsi" w:hAnsi="Calibri" w:cs="Tahoma"/>
                <w:i/>
                <w:sz w:val="24"/>
                <w:szCs w:val="24"/>
              </w:rPr>
            </w:pPr>
            <w:r w:rsidRPr="005B47EC">
              <w:rPr>
                <w:rFonts w:ascii="Calibri" w:eastAsiaTheme="minorHAnsi" w:hAnsi="Calibri" w:cs="Tahoma"/>
                <w:i/>
                <w:sz w:val="24"/>
                <w:szCs w:val="24"/>
              </w:rPr>
              <w:t>Student number: 1500769</w:t>
            </w:r>
          </w:p>
        </w:tc>
      </w:tr>
      <w:tr w:rsidR="00457603" w:rsidRPr="005B47EC" w14:paraId="5ABEB959" w14:textId="77777777" w:rsidTr="003977B4">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461DA56C" w14:textId="77777777" w:rsidR="00457603" w:rsidRPr="005B47EC" w:rsidRDefault="00457603" w:rsidP="003977B4">
            <w:pPr>
              <w:pStyle w:val="NormalWeb"/>
              <w:spacing w:before="2" w:after="2"/>
              <w:rPr>
                <w:rFonts w:ascii="Calibri" w:eastAsiaTheme="minorHAnsi" w:hAnsi="Calibri" w:cs="Tahoma"/>
                <w:i/>
                <w:sz w:val="24"/>
                <w:szCs w:val="24"/>
              </w:rPr>
            </w:pPr>
            <w:r w:rsidRPr="005B47EC">
              <w:rPr>
                <w:rFonts w:ascii="Calibri" w:eastAsiaTheme="minorHAnsi" w:hAnsi="Calibri" w:cs="Tahoma"/>
                <w:i/>
                <w:sz w:val="24"/>
                <w:szCs w:val="24"/>
              </w:rPr>
              <w:t>For completion by marker:</w:t>
            </w:r>
          </w:p>
          <w:p w14:paraId="7A60089B" w14:textId="77777777" w:rsidR="00457603" w:rsidRPr="005B47EC" w:rsidRDefault="00457603" w:rsidP="003977B4">
            <w:pPr>
              <w:pStyle w:val="NormalWeb"/>
              <w:spacing w:before="2" w:after="2"/>
              <w:rPr>
                <w:rFonts w:ascii="Calibri" w:eastAsiaTheme="minorHAnsi" w:hAnsi="Calibri" w:cs="Tahoma"/>
                <w:i/>
                <w:sz w:val="24"/>
                <w:szCs w:val="24"/>
              </w:rPr>
            </w:pPr>
            <w:r w:rsidRPr="005B47EC">
              <w:rPr>
                <w:rFonts w:ascii="Calibri" w:eastAsiaTheme="minorHAnsi" w:hAnsi="Calibri" w:cs="Tahoma"/>
                <w:i/>
                <w:sz w:val="24"/>
                <w:szCs w:val="24"/>
              </w:rPr>
              <w:t>Comments:</w:t>
            </w:r>
          </w:p>
          <w:p w14:paraId="5137237C" w14:textId="77777777" w:rsidR="00457603" w:rsidRPr="005B47EC" w:rsidRDefault="00457603" w:rsidP="003977B4">
            <w:pPr>
              <w:pStyle w:val="NormalWeb"/>
              <w:spacing w:before="2" w:after="2"/>
              <w:rPr>
                <w:rFonts w:ascii="Calibri" w:eastAsiaTheme="minorHAnsi" w:hAnsi="Calibri" w:cs="Tahoma"/>
                <w:i/>
                <w:sz w:val="24"/>
                <w:szCs w:val="24"/>
              </w:rPr>
            </w:pPr>
          </w:p>
          <w:p w14:paraId="4B592B95" w14:textId="77777777" w:rsidR="00457603" w:rsidRPr="005B47EC" w:rsidRDefault="00457603" w:rsidP="003977B4">
            <w:pPr>
              <w:pStyle w:val="NormalWeb"/>
              <w:spacing w:before="2" w:after="2"/>
              <w:rPr>
                <w:rFonts w:ascii="Calibri" w:eastAsiaTheme="minorHAnsi" w:hAnsi="Calibri" w:cs="Tahoma"/>
                <w:i/>
                <w:sz w:val="24"/>
                <w:szCs w:val="24"/>
              </w:rPr>
            </w:pPr>
          </w:p>
          <w:p w14:paraId="36E9BD4F" w14:textId="77777777" w:rsidR="00457603" w:rsidRPr="005B47EC" w:rsidRDefault="00457603" w:rsidP="003977B4">
            <w:pPr>
              <w:pStyle w:val="NormalWeb"/>
              <w:spacing w:before="2" w:after="2"/>
              <w:rPr>
                <w:rFonts w:ascii="Calibri" w:eastAsiaTheme="minorHAnsi" w:hAnsi="Calibri" w:cs="Tahoma"/>
                <w:i/>
                <w:sz w:val="24"/>
                <w:szCs w:val="24"/>
              </w:rPr>
            </w:pPr>
          </w:p>
          <w:p w14:paraId="401052CC" w14:textId="77777777" w:rsidR="00457603" w:rsidRPr="005B47EC" w:rsidRDefault="00457603" w:rsidP="003977B4">
            <w:pPr>
              <w:pStyle w:val="NormalWeb"/>
              <w:spacing w:before="2" w:after="2"/>
              <w:rPr>
                <w:rFonts w:ascii="Calibri" w:eastAsiaTheme="minorHAnsi" w:hAnsi="Calibri" w:cs="Tahoma"/>
                <w:i/>
                <w:sz w:val="24"/>
                <w:szCs w:val="24"/>
              </w:rPr>
            </w:pPr>
          </w:p>
          <w:p w14:paraId="4D452072" w14:textId="77777777" w:rsidR="00457603" w:rsidRPr="005B47EC" w:rsidRDefault="00457603" w:rsidP="003977B4">
            <w:pPr>
              <w:pStyle w:val="NormalWeb"/>
              <w:spacing w:before="2" w:after="2"/>
              <w:rPr>
                <w:rFonts w:ascii="Calibri" w:eastAsiaTheme="minorHAnsi" w:hAnsi="Calibri" w:cs="Tahoma"/>
                <w:i/>
                <w:sz w:val="24"/>
                <w:szCs w:val="24"/>
              </w:rPr>
            </w:pPr>
          </w:p>
          <w:p w14:paraId="6FFA8210" w14:textId="77777777" w:rsidR="00457603" w:rsidRPr="005B47EC" w:rsidRDefault="00457603" w:rsidP="003977B4">
            <w:pPr>
              <w:pStyle w:val="NormalWeb"/>
              <w:spacing w:before="2" w:after="2"/>
              <w:rPr>
                <w:rFonts w:ascii="Calibri" w:eastAsiaTheme="minorHAnsi" w:hAnsi="Calibri" w:cs="Tahoma"/>
                <w:i/>
                <w:sz w:val="24"/>
                <w:szCs w:val="24"/>
              </w:rPr>
            </w:pPr>
          </w:p>
          <w:p w14:paraId="785C990B" w14:textId="77777777" w:rsidR="00457603" w:rsidRPr="005B47EC" w:rsidRDefault="00457603" w:rsidP="003977B4">
            <w:pPr>
              <w:pStyle w:val="NormalWeb"/>
              <w:spacing w:before="2" w:after="2"/>
              <w:rPr>
                <w:rFonts w:ascii="Calibri" w:eastAsiaTheme="minorHAnsi" w:hAnsi="Calibri" w:cs="Tahoma"/>
                <w:i/>
                <w:sz w:val="24"/>
                <w:szCs w:val="24"/>
              </w:rPr>
            </w:pPr>
          </w:p>
          <w:p w14:paraId="1368374E" w14:textId="77777777" w:rsidR="00457603" w:rsidRPr="005B47EC" w:rsidRDefault="00457603" w:rsidP="003977B4">
            <w:pPr>
              <w:pStyle w:val="NormalWeb"/>
              <w:spacing w:before="2" w:after="2"/>
              <w:rPr>
                <w:rFonts w:ascii="Calibri" w:eastAsiaTheme="minorHAnsi" w:hAnsi="Calibri" w:cs="Tahoma"/>
                <w:i/>
                <w:sz w:val="24"/>
                <w:szCs w:val="24"/>
              </w:rPr>
            </w:pPr>
          </w:p>
          <w:p w14:paraId="201E6C00" w14:textId="77777777" w:rsidR="00457603" w:rsidRPr="005B47EC" w:rsidRDefault="00457603" w:rsidP="003977B4">
            <w:pPr>
              <w:pStyle w:val="NormalWeb"/>
              <w:spacing w:before="2" w:after="2"/>
              <w:rPr>
                <w:rFonts w:ascii="Calibri" w:eastAsiaTheme="minorHAnsi" w:hAnsi="Calibri" w:cs="Tahoma"/>
                <w:i/>
                <w:sz w:val="24"/>
                <w:szCs w:val="24"/>
              </w:rPr>
            </w:pPr>
          </w:p>
          <w:p w14:paraId="4A220C79" w14:textId="77777777" w:rsidR="00457603" w:rsidRPr="005B47EC" w:rsidRDefault="00457603" w:rsidP="003977B4">
            <w:pPr>
              <w:pStyle w:val="NormalWeb"/>
              <w:spacing w:before="2" w:after="2"/>
              <w:rPr>
                <w:rFonts w:ascii="Calibri" w:eastAsiaTheme="minorHAnsi" w:hAnsi="Calibri" w:cs="Tahoma"/>
                <w:i/>
                <w:sz w:val="24"/>
                <w:szCs w:val="24"/>
              </w:rPr>
            </w:pPr>
          </w:p>
          <w:p w14:paraId="17455AF2" w14:textId="77777777" w:rsidR="00457603" w:rsidRPr="005B47EC" w:rsidRDefault="00457603" w:rsidP="003977B4">
            <w:pPr>
              <w:pStyle w:val="NormalWeb"/>
              <w:spacing w:before="2" w:after="2"/>
              <w:rPr>
                <w:rFonts w:ascii="Calibri" w:eastAsiaTheme="minorHAnsi" w:hAnsi="Calibri" w:cs="Tahoma"/>
                <w:i/>
                <w:sz w:val="24"/>
                <w:szCs w:val="24"/>
              </w:rPr>
            </w:pPr>
          </w:p>
        </w:tc>
      </w:tr>
      <w:tr w:rsidR="00457603" w:rsidRPr="005B47EC" w14:paraId="1C2765BF" w14:textId="77777777" w:rsidTr="003977B4">
        <w:trPr>
          <w:trHeight w:val="492"/>
        </w:trPr>
        <w:tc>
          <w:tcPr>
            <w:tcW w:w="6768" w:type="dxa"/>
            <w:gridSpan w:val="2"/>
            <w:tcBorders>
              <w:top w:val="single" w:sz="4" w:space="0" w:color="auto"/>
            </w:tcBorders>
            <w:vAlign w:val="center"/>
          </w:tcPr>
          <w:p w14:paraId="61D97774" w14:textId="77777777" w:rsidR="00457603" w:rsidRPr="005B47EC" w:rsidRDefault="00457603" w:rsidP="003977B4">
            <w:pPr>
              <w:pStyle w:val="NormalWeb"/>
              <w:spacing w:before="2" w:after="2"/>
              <w:ind w:left="142" w:right="34"/>
              <w:rPr>
                <w:rFonts w:ascii="Calibri" w:eastAsiaTheme="minorHAnsi" w:hAnsi="Calibri" w:cs="Tahoma"/>
                <w:i/>
                <w:sz w:val="24"/>
                <w:szCs w:val="24"/>
              </w:rPr>
            </w:pPr>
            <w:r w:rsidRPr="005B47EC">
              <w:rPr>
                <w:rFonts w:ascii="Calibri" w:eastAsiaTheme="minorHAnsi" w:hAnsi="Calibri" w:cs="Tahoma"/>
                <w:i/>
                <w:sz w:val="24"/>
                <w:szCs w:val="24"/>
              </w:rPr>
              <w:t>Marker’s signature:</w:t>
            </w:r>
          </w:p>
        </w:tc>
        <w:tc>
          <w:tcPr>
            <w:tcW w:w="1987" w:type="dxa"/>
            <w:tcBorders>
              <w:top w:val="single" w:sz="4" w:space="0" w:color="auto"/>
            </w:tcBorders>
            <w:vAlign w:val="center"/>
          </w:tcPr>
          <w:p w14:paraId="6EC87B19" w14:textId="77777777" w:rsidR="00457603" w:rsidRPr="005B47EC" w:rsidRDefault="00457603" w:rsidP="003977B4">
            <w:pPr>
              <w:pStyle w:val="NormalWeb"/>
              <w:spacing w:before="2" w:after="2"/>
              <w:ind w:left="142" w:right="34"/>
              <w:rPr>
                <w:rFonts w:ascii="Calibri" w:eastAsiaTheme="minorHAnsi" w:hAnsi="Calibri" w:cs="Tahoma"/>
                <w:i/>
                <w:sz w:val="24"/>
                <w:szCs w:val="24"/>
              </w:rPr>
            </w:pPr>
            <w:r w:rsidRPr="005B47EC">
              <w:rPr>
                <w:rFonts w:ascii="Calibri" w:eastAsiaTheme="minorHAnsi" w:hAnsi="Calibri" w:cs="Tahoma"/>
                <w:i/>
                <w:sz w:val="24"/>
                <w:szCs w:val="24"/>
              </w:rPr>
              <w:t>Date:</w:t>
            </w:r>
          </w:p>
        </w:tc>
      </w:tr>
      <w:tr w:rsidR="00457603" w:rsidRPr="005B47EC" w14:paraId="79911DCC" w14:textId="77777777" w:rsidTr="003977B4">
        <w:tc>
          <w:tcPr>
            <w:tcW w:w="8755" w:type="dxa"/>
            <w:gridSpan w:val="3"/>
            <w:vAlign w:val="center"/>
          </w:tcPr>
          <w:p w14:paraId="2E770703" w14:textId="77777777" w:rsidR="00457603" w:rsidRPr="005B47EC" w:rsidRDefault="00457603" w:rsidP="003977B4">
            <w:pPr>
              <w:pStyle w:val="NormalWeb"/>
              <w:spacing w:before="2" w:after="2"/>
              <w:ind w:left="142" w:right="34"/>
              <w:rPr>
                <w:rFonts w:ascii="Calibri" w:eastAsiaTheme="minorHAnsi" w:hAnsi="Calibri" w:cs="Tahoma"/>
                <w:i/>
                <w:sz w:val="24"/>
                <w:szCs w:val="24"/>
              </w:rPr>
            </w:pPr>
            <w:r w:rsidRPr="005B47EC">
              <w:rPr>
                <w:rFonts w:ascii="Calibri" w:eastAsiaTheme="minorHAnsi" w:hAnsi="Calibri" w:cs="Tahoma"/>
                <w:i/>
                <w:sz w:val="24"/>
                <w:szCs w:val="24"/>
              </w:rPr>
              <w:t>Provisional mark:</w:t>
            </w:r>
          </w:p>
          <w:p w14:paraId="2754C187" w14:textId="77777777" w:rsidR="00457603" w:rsidRPr="005B47EC" w:rsidRDefault="00457603" w:rsidP="003977B4">
            <w:pPr>
              <w:pStyle w:val="NormalWeb"/>
              <w:spacing w:before="2" w:after="2"/>
              <w:ind w:left="142" w:right="34"/>
              <w:rPr>
                <w:rFonts w:ascii="Calibri" w:eastAsiaTheme="minorHAnsi" w:hAnsi="Calibri" w:cs="Tahoma"/>
                <w:i/>
                <w:sz w:val="24"/>
                <w:szCs w:val="24"/>
              </w:rPr>
            </w:pPr>
            <w:r w:rsidRPr="005B47EC">
              <w:rPr>
                <w:rFonts w:ascii="Calibri" w:eastAsiaTheme="minorHAnsi" w:hAnsi="Calibri" w:cs="Tahoma"/>
                <w:b/>
                <w:i/>
                <w:sz w:val="24"/>
                <w:szCs w:val="24"/>
              </w:rPr>
              <w:t>NB.</w:t>
            </w:r>
            <w:r w:rsidRPr="005B47EC">
              <w:rPr>
                <w:rFonts w:ascii="Calibri" w:eastAsiaTheme="minorHAnsi" w:hAnsi="Calibri" w:cs="Tahoma"/>
                <w:i/>
                <w:sz w:val="24"/>
                <w:szCs w:val="24"/>
              </w:rPr>
              <w:t xml:space="preserve">  All marks are provisional until confirmed by the final examination board.</w:t>
            </w:r>
          </w:p>
        </w:tc>
      </w:tr>
    </w:tbl>
    <w:p w14:paraId="4F311F6F" w14:textId="77777777" w:rsidR="00457603" w:rsidRDefault="00457603" w:rsidP="00457603">
      <w:pPr>
        <w:spacing w:line="360" w:lineRule="auto"/>
        <w:jc w:val="center"/>
        <w:rPr>
          <w:b/>
        </w:rPr>
      </w:pPr>
      <w:r>
        <w:rPr>
          <w:b/>
        </w:rPr>
        <w:br/>
      </w:r>
      <w:r>
        <w:rPr>
          <w:b/>
        </w:rPr>
        <w:br/>
      </w:r>
    </w:p>
    <w:p w14:paraId="2A8FB6C6" w14:textId="77777777" w:rsidR="00457603" w:rsidRDefault="00457603" w:rsidP="00457603">
      <w:pPr>
        <w:jc w:val="center"/>
      </w:pPr>
    </w:p>
    <w:p w14:paraId="66638E6A" w14:textId="77777777" w:rsidR="00457603" w:rsidRDefault="00457603" w:rsidP="00457603">
      <w:pPr>
        <w:pStyle w:val="BodyText"/>
        <w:spacing w:after="0" w:line="360" w:lineRule="auto"/>
        <w:jc w:val="left"/>
        <w:rPr>
          <w:u w:val="single"/>
        </w:rPr>
      </w:pPr>
      <w:r w:rsidRPr="007B0F59">
        <w:rPr>
          <w:u w:val="single"/>
        </w:rPr>
        <w:t xml:space="preserve"> </w:t>
      </w:r>
    </w:p>
    <w:p w14:paraId="145B5319" w14:textId="77777777" w:rsidR="00457603" w:rsidRDefault="00457603" w:rsidP="00457603">
      <w:pPr>
        <w:pStyle w:val="BodyText"/>
        <w:spacing w:after="0" w:line="360" w:lineRule="auto"/>
        <w:jc w:val="left"/>
        <w:rPr>
          <w:u w:val="single"/>
        </w:rPr>
      </w:pPr>
    </w:p>
    <w:p w14:paraId="0E8FB0B7" w14:textId="77777777" w:rsidR="00457603" w:rsidRDefault="00457603" w:rsidP="00457603">
      <w:pPr>
        <w:pStyle w:val="BodyText"/>
        <w:spacing w:after="0" w:line="360" w:lineRule="auto"/>
        <w:jc w:val="left"/>
        <w:rPr>
          <w:u w:val="single"/>
        </w:rPr>
      </w:pPr>
    </w:p>
    <w:p w14:paraId="397B0CA9" w14:textId="77777777" w:rsidR="00457603" w:rsidRDefault="00457603" w:rsidP="00457603">
      <w:pPr>
        <w:pStyle w:val="BodyText"/>
        <w:spacing w:after="0" w:line="360" w:lineRule="auto"/>
        <w:jc w:val="left"/>
        <w:rPr>
          <w:u w:val="single"/>
        </w:rPr>
      </w:pPr>
    </w:p>
    <w:p w14:paraId="40A1815E" w14:textId="77777777" w:rsidR="00457603" w:rsidRPr="002E6390" w:rsidRDefault="00457603" w:rsidP="00457603">
      <w:pPr>
        <w:pStyle w:val="BodyText"/>
        <w:spacing w:after="0" w:line="360" w:lineRule="auto"/>
        <w:jc w:val="left"/>
        <w:rPr>
          <w:rFonts w:asciiTheme="minorHAnsi" w:hAnsiTheme="minorHAnsi"/>
          <w:b w:val="0"/>
          <w:szCs w:val="24"/>
          <w:u w:val="single"/>
        </w:rPr>
      </w:pPr>
      <w:r>
        <w:rPr>
          <w:u w:val="single"/>
        </w:rPr>
        <w:lastRenderedPageBreak/>
        <w:t xml:space="preserve">PORTFOLIO ONE, TEXT CHOSEN: </w:t>
      </w:r>
      <w:r>
        <w:rPr>
          <w:u w:val="single"/>
        </w:rPr>
        <w:br/>
      </w:r>
      <w:r w:rsidRPr="007B0F59">
        <w:rPr>
          <w:rFonts w:asciiTheme="minorHAnsi" w:hAnsiTheme="minorHAnsi"/>
          <w:szCs w:val="24"/>
          <w:u w:val="single"/>
        </w:rPr>
        <w:t xml:space="preserve">Geoffrey Malaterra </w:t>
      </w:r>
      <w:r w:rsidRPr="007B0F59">
        <w:rPr>
          <w:rFonts w:asciiTheme="minorHAnsi" w:hAnsiTheme="minorHAnsi"/>
          <w:i/>
          <w:szCs w:val="24"/>
          <w:u w:val="single"/>
        </w:rPr>
        <w:t xml:space="preserve">The Deeds of Count Roger of Calabria and Sicily and of Duke Robert </w:t>
      </w:r>
      <w:r w:rsidRPr="002E6390">
        <w:rPr>
          <w:rFonts w:asciiTheme="minorHAnsi" w:hAnsiTheme="minorHAnsi"/>
          <w:i/>
          <w:szCs w:val="24"/>
          <w:u w:val="single"/>
        </w:rPr>
        <w:t>Guiscard his brother</w:t>
      </w:r>
    </w:p>
    <w:p w14:paraId="0EECC20D" w14:textId="4CAE68FA" w:rsidR="00457603" w:rsidRPr="002E6390" w:rsidRDefault="00457603" w:rsidP="00B64C2F">
      <w:pPr>
        <w:spacing w:line="480" w:lineRule="auto"/>
        <w:rPr>
          <w:rFonts w:ascii="Times New Roman" w:hAnsi="Times New Roman" w:cs="Times New Roman"/>
        </w:rPr>
      </w:pPr>
      <w:r w:rsidRPr="002E6390">
        <w:rPr>
          <w:rFonts w:ascii="Times New Roman" w:hAnsi="Times New Roman" w:cs="Times New Roman"/>
        </w:rPr>
        <w:br/>
        <w:t xml:space="preserve">The </w:t>
      </w:r>
      <w:r w:rsidR="006444DB" w:rsidRPr="002E6390">
        <w:rPr>
          <w:rFonts w:ascii="Times New Roman" w:hAnsi="Times New Roman" w:cs="Times New Roman"/>
        </w:rPr>
        <w:t>two extracts are</w:t>
      </w:r>
      <w:r w:rsidRPr="002E6390">
        <w:rPr>
          <w:rFonts w:ascii="Times New Roman" w:hAnsi="Times New Roman" w:cs="Times New Roman"/>
        </w:rPr>
        <w:t xml:space="preserve"> taken from Geoffrey Malaterra’s </w:t>
      </w:r>
      <w:r w:rsidRPr="002E6390">
        <w:rPr>
          <w:rFonts w:ascii="Times New Roman" w:hAnsi="Times New Roman" w:cs="Times New Roman"/>
          <w:i/>
        </w:rPr>
        <w:t>Deeds of Count Roger of Calabria and Sicily and Duke Robert Guiscard, his brother</w:t>
      </w:r>
      <w:r w:rsidRPr="002E6390">
        <w:rPr>
          <w:rFonts w:ascii="Times New Roman" w:hAnsi="Times New Roman" w:cs="Times New Roman"/>
        </w:rPr>
        <w:t>, written c.1098. Very little is known of Geoffrey and his life. The little we do know is that he pursued a life as a Benedictine monk, which he sought travelling from “beyond the alps”</w:t>
      </w:r>
      <w:r w:rsidRPr="002E6390">
        <w:rPr>
          <w:rStyle w:val="FootnoteReference"/>
          <w:rFonts w:ascii="Times New Roman" w:hAnsi="Times New Roman" w:cs="Times New Roman"/>
        </w:rPr>
        <w:footnoteReference w:id="1"/>
      </w:r>
      <w:r w:rsidRPr="002E6390">
        <w:rPr>
          <w:rFonts w:ascii="Times New Roman" w:hAnsi="Times New Roman" w:cs="Times New Roman"/>
        </w:rPr>
        <w:t xml:space="preserve"> and onto Apulia and then to Catania in Sicily. It was here where he joined the monastery of St Agata, a monastery which was endowed by the Count Roger.</w:t>
      </w:r>
      <w:r w:rsidRPr="002E6390">
        <w:rPr>
          <w:rStyle w:val="FootnoteReference"/>
          <w:rFonts w:ascii="Times New Roman" w:hAnsi="Times New Roman" w:cs="Times New Roman"/>
        </w:rPr>
        <w:footnoteReference w:id="2"/>
      </w:r>
    </w:p>
    <w:p w14:paraId="5EB2E47B" w14:textId="118C6049" w:rsidR="00457603" w:rsidRPr="002E6390" w:rsidRDefault="00457603" w:rsidP="00B64C2F">
      <w:pPr>
        <w:spacing w:line="480" w:lineRule="auto"/>
        <w:rPr>
          <w:rFonts w:ascii="Times New Roman" w:hAnsi="Times New Roman" w:cs="Times New Roman"/>
        </w:rPr>
      </w:pPr>
      <w:r w:rsidRPr="00B26FA3">
        <w:rPr>
          <w:rFonts w:ascii="Times New Roman" w:hAnsi="Times New Roman" w:cs="Times New Roman"/>
        </w:rPr>
        <w:t xml:space="preserve"> </w:t>
      </w:r>
      <w:r w:rsidRPr="00B26FA3">
        <w:rPr>
          <w:rFonts w:ascii="Times New Roman" w:hAnsi="Times New Roman" w:cs="Times New Roman"/>
        </w:rPr>
        <w:tab/>
      </w:r>
      <w:r w:rsidR="006444DB" w:rsidRPr="002E6390">
        <w:rPr>
          <w:rFonts w:ascii="Times New Roman" w:hAnsi="Times New Roman" w:cs="Times New Roman"/>
        </w:rPr>
        <w:t xml:space="preserve">The first extract is </w:t>
      </w:r>
      <w:r w:rsidR="00C6326E" w:rsidRPr="002E6390">
        <w:rPr>
          <w:rFonts w:ascii="Times New Roman" w:hAnsi="Times New Roman" w:cs="Times New Roman"/>
        </w:rPr>
        <w:t xml:space="preserve">undoubtedly </w:t>
      </w:r>
      <w:r w:rsidR="002E6390" w:rsidRPr="002E6390">
        <w:rPr>
          <w:rFonts w:ascii="Times New Roman" w:hAnsi="Times New Roman" w:cs="Times New Roman"/>
        </w:rPr>
        <w:t xml:space="preserve">part of </w:t>
      </w:r>
      <w:r w:rsidR="00C6326E" w:rsidRPr="002E6390">
        <w:rPr>
          <w:rFonts w:ascii="Times New Roman" w:hAnsi="Times New Roman" w:cs="Times New Roman"/>
        </w:rPr>
        <w:t>the</w:t>
      </w:r>
      <w:r w:rsidR="002E6390" w:rsidRPr="002E6390">
        <w:rPr>
          <w:rFonts w:ascii="Times New Roman" w:hAnsi="Times New Roman" w:cs="Times New Roman"/>
        </w:rPr>
        <w:t xml:space="preserve"> introduction</w:t>
      </w:r>
      <w:r w:rsidR="00C6326E" w:rsidRPr="002E6390">
        <w:rPr>
          <w:rFonts w:ascii="Times New Roman" w:hAnsi="Times New Roman" w:cs="Times New Roman"/>
        </w:rPr>
        <w:t xml:space="preserve"> to his </w:t>
      </w:r>
      <w:r w:rsidR="00C6326E" w:rsidRPr="002E6390">
        <w:rPr>
          <w:rFonts w:ascii="Times New Roman" w:hAnsi="Times New Roman" w:cs="Times New Roman"/>
          <w:i/>
        </w:rPr>
        <w:t>Deeds</w:t>
      </w:r>
      <w:r w:rsidR="005B6969">
        <w:rPr>
          <w:rFonts w:ascii="Times New Roman" w:hAnsi="Times New Roman" w:cs="Times New Roman"/>
        </w:rPr>
        <w:t>,</w:t>
      </w:r>
      <w:r w:rsidR="006444DB" w:rsidRPr="002E6390">
        <w:rPr>
          <w:rFonts w:ascii="Times New Roman" w:hAnsi="Times New Roman" w:cs="Times New Roman"/>
        </w:rPr>
        <w:t xml:space="preserve"> </w:t>
      </w:r>
      <w:r w:rsidR="00C6326E" w:rsidRPr="002E6390">
        <w:rPr>
          <w:rFonts w:ascii="Times New Roman" w:hAnsi="Times New Roman" w:cs="Times New Roman"/>
        </w:rPr>
        <w:t>it opens</w:t>
      </w:r>
      <w:r w:rsidRPr="002E6390">
        <w:rPr>
          <w:rFonts w:ascii="Times New Roman" w:hAnsi="Times New Roman" w:cs="Times New Roman"/>
        </w:rPr>
        <w:t xml:space="preserve"> with the writer asserting who he is and how he has come to write the </w:t>
      </w:r>
      <w:r w:rsidRPr="002E6390">
        <w:rPr>
          <w:rFonts w:ascii="Times New Roman" w:hAnsi="Times New Roman" w:cs="Times New Roman"/>
          <w:i/>
        </w:rPr>
        <w:t>Deeds</w:t>
      </w:r>
      <w:r w:rsidRPr="002E6390">
        <w:rPr>
          <w:rFonts w:ascii="Times New Roman" w:hAnsi="Times New Roman" w:cs="Times New Roman"/>
        </w:rPr>
        <w:t>: it is his duty, for the writing “</w:t>
      </w:r>
      <w:r w:rsidRPr="002E6390">
        <w:rPr>
          <w:rFonts w:ascii="Times New Roman" w:hAnsi="Times New Roman" w:cs="Times New Roman"/>
          <w:i/>
        </w:rPr>
        <w:t>the deeds of brave men</w:t>
      </w:r>
      <w:r w:rsidRPr="002E6390">
        <w:rPr>
          <w:rFonts w:ascii="Times New Roman" w:hAnsi="Times New Roman" w:cs="Times New Roman"/>
        </w:rPr>
        <w:t>” is one which has been “</w:t>
      </w:r>
      <w:r w:rsidRPr="002E6390">
        <w:rPr>
          <w:rFonts w:ascii="Times New Roman" w:hAnsi="Times New Roman" w:cs="Times New Roman"/>
          <w:i/>
        </w:rPr>
        <w:t>handed down from the ancient philosophers to the generations who have followed them</w:t>
      </w:r>
      <w:r w:rsidRPr="002E6390">
        <w:rPr>
          <w:rFonts w:ascii="Times New Roman" w:hAnsi="Times New Roman" w:cs="Times New Roman"/>
        </w:rPr>
        <w:t>”, thus instantly the reader knows that the men being written of here are important and historically so, much like those many before them worthy of being written of. Geoffrey ends the paragraph by quoting the timeless and “</w:t>
      </w:r>
      <w:r w:rsidRPr="002E6390">
        <w:rPr>
          <w:rFonts w:ascii="Times New Roman" w:hAnsi="Times New Roman" w:cs="Times New Roman"/>
          <w:i/>
        </w:rPr>
        <w:t>much admired historian</w:t>
      </w:r>
      <w:r w:rsidRPr="002E6390">
        <w:rPr>
          <w:rFonts w:ascii="Times New Roman" w:hAnsi="Times New Roman" w:cs="Times New Roman"/>
        </w:rPr>
        <w:t xml:space="preserve">” Sallust, reinforcing that the </w:t>
      </w:r>
      <w:r w:rsidRPr="002E6390">
        <w:rPr>
          <w:rFonts w:ascii="Times New Roman" w:hAnsi="Times New Roman" w:cs="Times New Roman"/>
          <w:i/>
        </w:rPr>
        <w:t>Deeds</w:t>
      </w:r>
      <w:r w:rsidRPr="002E6390">
        <w:rPr>
          <w:rFonts w:ascii="Times New Roman" w:hAnsi="Times New Roman" w:cs="Times New Roman"/>
        </w:rPr>
        <w:t xml:space="preserve"> </w:t>
      </w:r>
      <w:r w:rsidRPr="002E6390">
        <w:rPr>
          <w:rFonts w:ascii="Times New Roman" w:hAnsi="Times New Roman" w:cs="Times New Roman"/>
          <w:i/>
        </w:rPr>
        <w:t>of Count Roger and Duke Robert</w:t>
      </w:r>
      <w:r w:rsidRPr="002E6390">
        <w:rPr>
          <w:rFonts w:ascii="Times New Roman" w:hAnsi="Times New Roman" w:cs="Times New Roman"/>
        </w:rPr>
        <w:t xml:space="preserve"> are indeed of great importance, harkening back to the great Roman Empire, likely written so as to solidify Roger’s claims to Sicily, namely for his sons, having gained it for Christianity after the Holy War won against the Muslims in 1091.</w:t>
      </w:r>
      <w:r w:rsidRPr="002E6390">
        <w:rPr>
          <w:rStyle w:val="FootnoteReference"/>
          <w:rFonts w:ascii="Times New Roman" w:hAnsi="Times New Roman" w:cs="Times New Roman"/>
        </w:rPr>
        <w:footnoteReference w:id="3"/>
      </w:r>
      <w:r w:rsidRPr="002E6390">
        <w:rPr>
          <w:rFonts w:ascii="Times New Roman" w:hAnsi="Times New Roman" w:cs="Times New Roman"/>
        </w:rPr>
        <w:br/>
        <w:t xml:space="preserve"> </w:t>
      </w:r>
      <w:r w:rsidRPr="002E6390">
        <w:rPr>
          <w:rFonts w:ascii="Times New Roman" w:hAnsi="Times New Roman" w:cs="Times New Roman"/>
        </w:rPr>
        <w:tab/>
        <w:t>Geoffrey is one of three early Italo-Norman historiographers, the other two being William of Apulia and Amatus of Montecassino,</w:t>
      </w:r>
      <w:r w:rsidRPr="002E6390">
        <w:rPr>
          <w:rStyle w:val="FootnoteReference"/>
          <w:rFonts w:ascii="Times New Roman" w:hAnsi="Times New Roman" w:cs="Times New Roman"/>
        </w:rPr>
        <w:footnoteReference w:id="4"/>
      </w:r>
      <w:r w:rsidRPr="002E6390">
        <w:rPr>
          <w:rStyle w:val="FootnoteReference"/>
          <w:rFonts w:ascii="Times New Roman" w:hAnsi="Times New Roman" w:cs="Times New Roman"/>
        </w:rPr>
        <w:t xml:space="preserve"> </w:t>
      </w:r>
      <w:r w:rsidRPr="002E6390">
        <w:rPr>
          <w:rStyle w:val="FootnoteReference"/>
          <w:rFonts w:ascii="Times New Roman" w:hAnsi="Times New Roman" w:cs="Times New Roman"/>
          <w:vertAlign w:val="baseline"/>
        </w:rPr>
        <w:t xml:space="preserve">but is the only one of the three to have Roger </w:t>
      </w:r>
      <w:r w:rsidRPr="002E6390">
        <w:rPr>
          <w:rFonts w:ascii="Times New Roman" w:hAnsi="Times New Roman" w:cs="Times New Roman"/>
        </w:rPr>
        <w:t xml:space="preserve">as the </w:t>
      </w:r>
      <w:r w:rsidRPr="002E6390">
        <w:rPr>
          <w:rStyle w:val="FootnoteReference"/>
          <w:rFonts w:ascii="Times New Roman" w:hAnsi="Times New Roman" w:cs="Times New Roman"/>
          <w:vertAlign w:val="baseline"/>
        </w:rPr>
        <w:t>central</w:t>
      </w:r>
      <w:r w:rsidRPr="002E6390">
        <w:rPr>
          <w:rFonts w:ascii="Times New Roman" w:hAnsi="Times New Roman" w:cs="Times New Roman"/>
        </w:rPr>
        <w:t xml:space="preserve"> focus</w:t>
      </w:r>
      <w:r w:rsidRPr="002E6390">
        <w:rPr>
          <w:rStyle w:val="FootnoteReference"/>
          <w:rFonts w:ascii="Times New Roman" w:hAnsi="Times New Roman" w:cs="Times New Roman"/>
          <w:vertAlign w:val="baseline"/>
        </w:rPr>
        <w:t xml:space="preserve"> of his work</w:t>
      </w:r>
      <w:r w:rsidRPr="002E6390">
        <w:rPr>
          <w:rFonts w:ascii="Times New Roman" w:hAnsi="Times New Roman" w:cs="Times New Roman"/>
        </w:rPr>
        <w:t>, which makes Geoffrey’s work distinct to both William’s and Amatus’s works.</w:t>
      </w:r>
      <w:r w:rsidRPr="002E6390">
        <w:rPr>
          <w:rStyle w:val="FootnoteReference"/>
          <w:rFonts w:ascii="Times New Roman" w:hAnsi="Times New Roman" w:cs="Times New Roman"/>
        </w:rPr>
        <w:footnoteReference w:id="5"/>
      </w:r>
      <w:r w:rsidRPr="002E6390">
        <w:rPr>
          <w:rFonts w:ascii="Times New Roman" w:hAnsi="Times New Roman" w:cs="Times New Roman"/>
        </w:rPr>
        <w:t xml:space="preserve"> </w:t>
      </w:r>
      <w:r w:rsidRPr="002E6390">
        <w:rPr>
          <w:rStyle w:val="FootnoteReference"/>
          <w:rFonts w:ascii="Times New Roman" w:hAnsi="Times New Roman" w:cs="Times New Roman"/>
          <w:vertAlign w:val="baseline"/>
        </w:rPr>
        <w:t>He, like most historiographers of his day, was commissioned to write the</w:t>
      </w:r>
      <w:r w:rsidRPr="002E6390">
        <w:rPr>
          <w:rStyle w:val="FootnoteReference"/>
          <w:rFonts w:ascii="Times New Roman" w:hAnsi="Times New Roman" w:cs="Times New Roman"/>
          <w:i/>
          <w:vertAlign w:val="baseline"/>
        </w:rPr>
        <w:t xml:space="preserve"> Deeds</w:t>
      </w:r>
      <w:r w:rsidRPr="002E6390">
        <w:rPr>
          <w:rFonts w:ascii="Times New Roman" w:hAnsi="Times New Roman" w:cs="Times New Roman"/>
        </w:rPr>
        <w:t xml:space="preserve"> by Roger, a patron regarded as being most generous, thus Malaterra could not refuse.</w:t>
      </w:r>
      <w:r w:rsidRPr="002E6390">
        <w:rPr>
          <w:rStyle w:val="FootnoteReference"/>
          <w:rFonts w:ascii="Times New Roman" w:hAnsi="Times New Roman" w:cs="Times New Roman"/>
        </w:rPr>
        <w:footnoteReference w:id="6"/>
      </w:r>
      <w:r w:rsidRPr="002E6390">
        <w:rPr>
          <w:rFonts w:ascii="Times New Roman" w:hAnsi="Times New Roman" w:cs="Times New Roman"/>
        </w:rPr>
        <w:t xml:space="preserve"> This generosity is not uncharacteristic of a Norman</w:t>
      </w:r>
      <w:r w:rsidRPr="002E6390">
        <w:rPr>
          <w:rStyle w:val="FootnoteReference"/>
          <w:rFonts w:ascii="Times New Roman" w:hAnsi="Times New Roman" w:cs="Times New Roman"/>
        </w:rPr>
        <w:footnoteReference w:id="7"/>
      </w:r>
      <w:r w:rsidRPr="002E6390">
        <w:rPr>
          <w:rFonts w:ascii="Times New Roman" w:hAnsi="Times New Roman" w:cs="Times New Roman"/>
        </w:rPr>
        <w:t xml:space="preserve"> as Geoffrey himself notes in the extract: “</w:t>
      </w:r>
      <w:r w:rsidRPr="002E6390">
        <w:rPr>
          <w:rFonts w:ascii="Times New Roman" w:hAnsi="Times New Roman" w:cs="Times New Roman"/>
          <w:i/>
        </w:rPr>
        <w:t>Their leaders are however very generous since they wish to achieve a great reputation</w:t>
      </w:r>
      <w:r w:rsidRPr="002E6390">
        <w:rPr>
          <w:rFonts w:ascii="Times New Roman" w:hAnsi="Times New Roman" w:cs="Times New Roman"/>
        </w:rPr>
        <w:t xml:space="preserve">”. </w:t>
      </w:r>
      <w:r w:rsidRPr="002E6390">
        <w:rPr>
          <w:rFonts w:ascii="Times New Roman" w:hAnsi="Times New Roman" w:cs="Times New Roman"/>
        </w:rPr>
        <w:br/>
        <w:t xml:space="preserve"> </w:t>
      </w:r>
      <w:r w:rsidRPr="002E6390">
        <w:rPr>
          <w:rFonts w:ascii="Times New Roman" w:hAnsi="Times New Roman" w:cs="Times New Roman"/>
        </w:rPr>
        <w:tab/>
        <w:t xml:space="preserve">The extract has no direct focus on Count Roger and Duke Robert, the latter half of the extract instead focusing on the Normans as a whole, </w:t>
      </w:r>
      <w:r w:rsidR="00C6326E" w:rsidRPr="002E6390">
        <w:rPr>
          <w:rFonts w:ascii="Times New Roman" w:hAnsi="Times New Roman" w:cs="Times New Roman"/>
        </w:rPr>
        <w:t>which again</w:t>
      </w:r>
      <w:r w:rsidR="002E6390" w:rsidRPr="002E6390">
        <w:rPr>
          <w:rFonts w:ascii="Times New Roman" w:hAnsi="Times New Roman" w:cs="Times New Roman"/>
        </w:rPr>
        <w:t xml:space="preserve"> demonstrates it</w:t>
      </w:r>
      <w:r w:rsidR="00C6326E" w:rsidRPr="002E6390">
        <w:rPr>
          <w:rFonts w:ascii="Times New Roman" w:hAnsi="Times New Roman" w:cs="Times New Roman"/>
        </w:rPr>
        <w:t xml:space="preserve"> is an</w:t>
      </w:r>
      <w:r w:rsidRPr="002E6390">
        <w:rPr>
          <w:rFonts w:ascii="Times New Roman" w:hAnsi="Times New Roman" w:cs="Times New Roman"/>
        </w:rPr>
        <w:t xml:space="preserve"> extract </w:t>
      </w:r>
      <w:r w:rsidR="00C6326E" w:rsidRPr="002E6390">
        <w:rPr>
          <w:rFonts w:ascii="Times New Roman" w:hAnsi="Times New Roman" w:cs="Times New Roman"/>
        </w:rPr>
        <w:t xml:space="preserve">taken from the beginning and introductory segment </w:t>
      </w:r>
      <w:r w:rsidRPr="002E6390">
        <w:rPr>
          <w:rFonts w:ascii="Times New Roman" w:hAnsi="Times New Roman" w:cs="Times New Roman"/>
        </w:rPr>
        <w:t xml:space="preserve">of his </w:t>
      </w:r>
      <w:r w:rsidRPr="002E6390">
        <w:rPr>
          <w:rFonts w:ascii="Times New Roman" w:hAnsi="Times New Roman" w:cs="Times New Roman"/>
          <w:i/>
        </w:rPr>
        <w:t>Deeds</w:t>
      </w:r>
      <w:r w:rsidRPr="002E6390">
        <w:rPr>
          <w:rFonts w:ascii="Times New Roman" w:hAnsi="Times New Roman" w:cs="Times New Roman"/>
        </w:rPr>
        <w:t>. In the extract, Geoffrey is outlining the characteristics of the Normans, somewhat setting the scene in which to place Roger and Robert in the context of Norman culture. The Normans, as Geoffrey has described, are fervent and intelligent men who look outwardly onto the world as opposed to inwardly to their own people so as to “</w:t>
      </w:r>
      <w:r w:rsidRPr="002E6390">
        <w:rPr>
          <w:rFonts w:ascii="Times New Roman" w:hAnsi="Times New Roman" w:cs="Times New Roman"/>
          <w:i/>
        </w:rPr>
        <w:t>enrich</w:t>
      </w:r>
      <w:r w:rsidRPr="002E6390">
        <w:rPr>
          <w:rFonts w:ascii="Times New Roman" w:hAnsi="Times New Roman" w:cs="Times New Roman"/>
        </w:rPr>
        <w:t>” themselves, as is seen by the Normans and their great expansion from Normandy, to the British Isles</w:t>
      </w:r>
      <w:r w:rsidR="002E6390">
        <w:rPr>
          <w:rFonts w:ascii="Times New Roman" w:hAnsi="Times New Roman" w:cs="Times New Roman"/>
        </w:rPr>
        <w:t>,</w:t>
      </w:r>
      <w:r w:rsidRPr="002E6390">
        <w:rPr>
          <w:rFonts w:ascii="Times New Roman" w:hAnsi="Times New Roman" w:cs="Times New Roman"/>
        </w:rPr>
        <w:t xml:space="preserve"> and to the Italian Peninsula. They are explorative, therefore, and in search for satisfaction, which Geoffrey goes on to explain that the men are “</w:t>
      </w:r>
      <w:r w:rsidRPr="002E6390">
        <w:rPr>
          <w:rFonts w:ascii="Times New Roman" w:hAnsi="Times New Roman" w:cs="Times New Roman"/>
          <w:i/>
        </w:rPr>
        <w:t>eager</w:t>
      </w:r>
      <w:r w:rsidRPr="002E6390">
        <w:rPr>
          <w:rFonts w:ascii="Times New Roman" w:hAnsi="Times New Roman" w:cs="Times New Roman"/>
        </w:rPr>
        <w:t>” and “</w:t>
      </w:r>
      <w:r w:rsidRPr="002E6390">
        <w:rPr>
          <w:rFonts w:ascii="Times New Roman" w:hAnsi="Times New Roman" w:cs="Times New Roman"/>
          <w:i/>
        </w:rPr>
        <w:t>greedy</w:t>
      </w:r>
      <w:r w:rsidRPr="002E6390">
        <w:rPr>
          <w:rFonts w:ascii="Times New Roman" w:hAnsi="Times New Roman" w:cs="Times New Roman"/>
        </w:rPr>
        <w:t>” for “</w:t>
      </w:r>
      <w:r w:rsidRPr="002E6390">
        <w:rPr>
          <w:rFonts w:ascii="Times New Roman" w:hAnsi="Times New Roman" w:cs="Times New Roman"/>
          <w:i/>
        </w:rPr>
        <w:t>profit and power</w:t>
      </w:r>
      <w:r w:rsidR="00B26FA3" w:rsidRPr="002E6390">
        <w:rPr>
          <w:rFonts w:ascii="Times New Roman" w:hAnsi="Times New Roman" w:cs="Times New Roman"/>
        </w:rPr>
        <w:t>”, thus their</w:t>
      </w:r>
      <w:r w:rsidRPr="002E6390">
        <w:rPr>
          <w:rFonts w:ascii="Times New Roman" w:hAnsi="Times New Roman" w:cs="Times New Roman"/>
        </w:rPr>
        <w:t xml:space="preserve"> seeking for “</w:t>
      </w:r>
      <w:r w:rsidRPr="002E6390">
        <w:rPr>
          <w:rFonts w:ascii="Times New Roman" w:hAnsi="Times New Roman" w:cs="Times New Roman"/>
          <w:i/>
        </w:rPr>
        <w:t>enrichment</w:t>
      </w:r>
      <w:r w:rsidRPr="002E6390">
        <w:rPr>
          <w:rFonts w:ascii="Times New Roman" w:hAnsi="Times New Roman" w:cs="Times New Roman"/>
        </w:rPr>
        <w:t>” is one of gaining power.</w:t>
      </w:r>
      <w:r w:rsidRPr="002E6390">
        <w:rPr>
          <w:rFonts w:ascii="Times New Roman" w:hAnsi="Times New Roman" w:cs="Times New Roman"/>
        </w:rPr>
        <w:br/>
        <w:t xml:space="preserve"> </w:t>
      </w:r>
      <w:r w:rsidRPr="002E6390">
        <w:rPr>
          <w:rFonts w:ascii="Times New Roman" w:hAnsi="Times New Roman" w:cs="Times New Roman"/>
        </w:rPr>
        <w:tab/>
        <w:t>On expressing their culture, Geoffrey notes how they are “</w:t>
      </w:r>
      <w:r w:rsidRPr="002E6390">
        <w:rPr>
          <w:rFonts w:ascii="Times New Roman" w:hAnsi="Times New Roman" w:cs="Times New Roman"/>
          <w:i/>
        </w:rPr>
        <w:t>addicted</w:t>
      </w:r>
      <w:r w:rsidRPr="002E6390">
        <w:rPr>
          <w:rFonts w:ascii="Times New Roman" w:hAnsi="Times New Roman" w:cs="Times New Roman"/>
        </w:rPr>
        <w:t>”, a word which Geoffrey uses twice in this extract, first when describing their eloquence and charm, secondly on their past-time hobby of hunting and hawking, a sport of</w:t>
      </w:r>
      <w:r w:rsidR="002E6390">
        <w:rPr>
          <w:rFonts w:ascii="Times New Roman" w:hAnsi="Times New Roman" w:cs="Times New Roman"/>
        </w:rPr>
        <w:t xml:space="preserve"> the elites of the </w:t>
      </w:r>
      <w:r w:rsidR="002E6390" w:rsidRPr="002E6390">
        <w:rPr>
          <w:rFonts w:ascii="Times New Roman" w:hAnsi="Times New Roman" w:cs="Times New Roman"/>
        </w:rPr>
        <w:t>period</w:t>
      </w:r>
      <w:r w:rsidRPr="002E6390">
        <w:rPr>
          <w:rFonts w:ascii="Times New Roman" w:hAnsi="Times New Roman" w:cs="Times New Roman"/>
        </w:rPr>
        <w:t xml:space="preserve"> thus possible implication to their societal standing. Such is the “</w:t>
      </w:r>
      <w:r w:rsidRPr="002E6390">
        <w:rPr>
          <w:rFonts w:ascii="Times New Roman" w:hAnsi="Times New Roman" w:cs="Times New Roman"/>
          <w:i/>
        </w:rPr>
        <w:t>cultivation of eloquence</w:t>
      </w:r>
      <w:r w:rsidRPr="002E6390">
        <w:rPr>
          <w:rFonts w:ascii="Times New Roman" w:hAnsi="Times New Roman" w:cs="Times New Roman"/>
        </w:rPr>
        <w:t>” of the Normans that it is seemingly deeply rooted in their culture, their ethnicity, for even the young boys speak as though they were “</w:t>
      </w:r>
      <w:r w:rsidRPr="002E6390">
        <w:rPr>
          <w:rFonts w:ascii="Times New Roman" w:hAnsi="Times New Roman" w:cs="Times New Roman"/>
          <w:i/>
        </w:rPr>
        <w:t>trained speakers</w:t>
      </w:r>
      <w:r w:rsidRPr="002E6390">
        <w:rPr>
          <w:rFonts w:ascii="Times New Roman" w:hAnsi="Times New Roman" w:cs="Times New Roman"/>
        </w:rPr>
        <w:t>”, an implicit note that these traits are passed down to the younger generations, it is bred into them.</w:t>
      </w:r>
      <w:r w:rsidRPr="002E6390">
        <w:rPr>
          <w:rFonts w:ascii="PMingLiU" w:eastAsia="PMingLiU" w:hAnsi="PMingLiU" w:cs="PMingLiU"/>
        </w:rPr>
        <w:br/>
      </w:r>
      <w:r w:rsidRPr="002E6390">
        <w:rPr>
          <w:rFonts w:ascii="Times New Roman" w:hAnsi="Times New Roman" w:cs="Times New Roman"/>
        </w:rPr>
        <w:t xml:space="preserve"> </w:t>
      </w:r>
      <w:r w:rsidRPr="002E6390">
        <w:rPr>
          <w:rFonts w:ascii="Times New Roman" w:hAnsi="Times New Roman" w:cs="Times New Roman"/>
        </w:rPr>
        <w:tab/>
        <w:t>As above stated, Malaterra describes them as being “</w:t>
      </w:r>
      <w:r w:rsidRPr="002E6390">
        <w:rPr>
          <w:rFonts w:ascii="Times New Roman" w:hAnsi="Times New Roman" w:cs="Times New Roman"/>
          <w:i/>
        </w:rPr>
        <w:t>eager</w:t>
      </w:r>
      <w:r w:rsidRPr="002E6390">
        <w:rPr>
          <w:rFonts w:ascii="Times New Roman" w:hAnsi="Times New Roman" w:cs="Times New Roman"/>
        </w:rPr>
        <w:t>” and “</w:t>
      </w:r>
      <w:r w:rsidRPr="002E6390">
        <w:rPr>
          <w:rFonts w:ascii="Times New Roman" w:hAnsi="Times New Roman" w:cs="Times New Roman"/>
          <w:i/>
        </w:rPr>
        <w:t>greedy for profit</w:t>
      </w:r>
      <w:r w:rsidRPr="002E6390">
        <w:rPr>
          <w:rFonts w:ascii="Times New Roman" w:hAnsi="Times New Roman" w:cs="Times New Roman"/>
        </w:rPr>
        <w:t>”. Geoffrey was not modest in his description here of the Normans, certainly when one considers that other historiographers employed by the Normans did not direct toward them a term so strong for “</w:t>
      </w:r>
      <w:r w:rsidRPr="002E6390">
        <w:rPr>
          <w:rFonts w:ascii="Times New Roman" w:hAnsi="Times New Roman" w:cs="Times New Roman"/>
          <w:i/>
        </w:rPr>
        <w:t>they wish to achieve a great reputation</w:t>
      </w:r>
      <w:r w:rsidRPr="002E6390">
        <w:rPr>
          <w:rFonts w:ascii="Times New Roman" w:hAnsi="Times New Roman" w:cs="Times New Roman"/>
        </w:rPr>
        <w:t>”.</w:t>
      </w:r>
      <w:r w:rsidRPr="002E6390">
        <w:rPr>
          <w:rStyle w:val="FootnoteReference"/>
          <w:rFonts w:ascii="Times New Roman" w:hAnsi="Times New Roman" w:cs="Times New Roman"/>
        </w:rPr>
        <w:footnoteReference w:id="8"/>
      </w:r>
      <w:r w:rsidRPr="002E6390">
        <w:rPr>
          <w:rFonts w:ascii="Times New Roman" w:hAnsi="Times New Roman" w:cs="Times New Roman"/>
        </w:rPr>
        <w:t xml:space="preserve"> The strong descriptive terminology Geoffrey uses ends not at “</w:t>
      </w:r>
      <w:r w:rsidRPr="002E6390">
        <w:rPr>
          <w:rFonts w:ascii="Times New Roman" w:hAnsi="Times New Roman" w:cs="Times New Roman"/>
          <w:i/>
        </w:rPr>
        <w:t>greedy</w:t>
      </w:r>
      <w:r w:rsidRPr="002E6390">
        <w:rPr>
          <w:rFonts w:ascii="Times New Roman" w:hAnsi="Times New Roman" w:cs="Times New Roman"/>
        </w:rPr>
        <w:t>”, the Normans he further describes also as being “</w:t>
      </w:r>
      <w:r w:rsidRPr="002E6390">
        <w:rPr>
          <w:rFonts w:ascii="Times New Roman" w:hAnsi="Times New Roman" w:cs="Times New Roman"/>
          <w:i/>
        </w:rPr>
        <w:t>hypocritical</w:t>
      </w:r>
      <w:r w:rsidRPr="002E6390">
        <w:rPr>
          <w:rFonts w:ascii="Times New Roman" w:hAnsi="Times New Roman" w:cs="Times New Roman"/>
        </w:rPr>
        <w:t>” and “</w:t>
      </w:r>
      <w:r w:rsidRPr="002E6390">
        <w:rPr>
          <w:rFonts w:ascii="Times New Roman" w:hAnsi="Times New Roman" w:cs="Times New Roman"/>
          <w:i/>
        </w:rPr>
        <w:t>deceitful</w:t>
      </w:r>
      <w:r w:rsidRPr="002E6390">
        <w:rPr>
          <w:rFonts w:ascii="Times New Roman" w:hAnsi="Times New Roman" w:cs="Times New Roman"/>
        </w:rPr>
        <w:t>” however these powerful words employed by Geoffrey are dampened, stating while the Normans do exhibit these extremes of characteristics, of high generosity and high greed, they do not act in extreme manners taking instead the “</w:t>
      </w:r>
      <w:r w:rsidRPr="002E6390">
        <w:rPr>
          <w:rFonts w:ascii="Times New Roman" w:hAnsi="Times New Roman" w:cs="Times New Roman"/>
          <w:i/>
        </w:rPr>
        <w:t>middle course</w:t>
      </w:r>
      <w:r w:rsidRPr="002E6390">
        <w:rPr>
          <w:rFonts w:ascii="Times New Roman" w:hAnsi="Times New Roman" w:cs="Times New Roman"/>
        </w:rPr>
        <w:t>”, thus they are virtuous in controlling themselves.</w:t>
      </w:r>
    </w:p>
    <w:p w14:paraId="0FF426F1" w14:textId="345F97A0" w:rsidR="00457603" w:rsidRPr="002E6390" w:rsidRDefault="00457603" w:rsidP="00B64C2F">
      <w:pPr>
        <w:spacing w:line="480" w:lineRule="auto"/>
        <w:ind w:firstLine="720"/>
        <w:rPr>
          <w:rFonts w:ascii="Times New Roman" w:hAnsi="Times New Roman" w:cs="Times New Roman"/>
        </w:rPr>
      </w:pPr>
      <w:r w:rsidRPr="002E6390">
        <w:rPr>
          <w:rFonts w:ascii="Times New Roman" w:hAnsi="Times New Roman" w:cs="Times New Roman"/>
        </w:rPr>
        <w:t xml:space="preserve">Geoffrey describes how, </w:t>
      </w:r>
      <w:r w:rsidRPr="002E6390">
        <w:rPr>
          <w:rFonts w:ascii="Times New Roman" w:hAnsi="Times New Roman" w:cs="Times New Roman"/>
        </w:rPr>
        <w:t>despite</w:t>
      </w:r>
      <w:r w:rsidRPr="002E6390">
        <w:rPr>
          <w:rFonts w:ascii="Times New Roman" w:hAnsi="Times New Roman" w:cs="Times New Roman"/>
        </w:rPr>
        <w:t xml:space="preserve"> their well cultured being, they are “</w:t>
      </w:r>
      <w:r w:rsidRPr="002E6390">
        <w:rPr>
          <w:rFonts w:ascii="Times New Roman" w:hAnsi="Times New Roman" w:cs="Times New Roman"/>
          <w:i/>
        </w:rPr>
        <w:t>a most unbridled people</w:t>
      </w:r>
      <w:r w:rsidRPr="002E6390">
        <w:rPr>
          <w:rFonts w:ascii="Times New Roman" w:hAnsi="Times New Roman" w:cs="Times New Roman"/>
        </w:rPr>
        <w:t xml:space="preserve">” describing </w:t>
      </w:r>
      <w:r w:rsidRPr="002E6390">
        <w:rPr>
          <w:rFonts w:ascii="Times New Roman" w:hAnsi="Times New Roman" w:cs="Times New Roman"/>
        </w:rPr>
        <w:t xml:space="preserve">also </w:t>
      </w:r>
      <w:r w:rsidRPr="002E6390">
        <w:rPr>
          <w:rFonts w:ascii="Times New Roman" w:hAnsi="Times New Roman" w:cs="Times New Roman"/>
        </w:rPr>
        <w:t>their need to be “</w:t>
      </w:r>
      <w:r w:rsidRPr="002E6390">
        <w:rPr>
          <w:rFonts w:ascii="Times New Roman" w:hAnsi="Times New Roman" w:cs="Times New Roman"/>
          <w:i/>
        </w:rPr>
        <w:t>held in thrall by the yoke of justice</w:t>
      </w:r>
      <w:r w:rsidRPr="002E6390">
        <w:rPr>
          <w:rFonts w:ascii="Times New Roman" w:hAnsi="Times New Roman" w:cs="Times New Roman"/>
        </w:rPr>
        <w:t>”.</w:t>
      </w:r>
      <w:r w:rsidRPr="002E6390">
        <w:rPr>
          <w:rStyle w:val="FootnoteReference"/>
          <w:rFonts w:ascii="Times New Roman" w:hAnsi="Times New Roman" w:cs="Times New Roman"/>
        </w:rPr>
        <w:footnoteReference w:id="9"/>
      </w:r>
      <w:r w:rsidRPr="002E6390">
        <w:rPr>
          <w:rFonts w:ascii="Times New Roman" w:hAnsi="Times New Roman" w:cs="Times New Roman"/>
        </w:rPr>
        <w:t xml:space="preserve"> </w:t>
      </w:r>
      <w:r w:rsidRPr="002E6390">
        <w:rPr>
          <w:rFonts w:ascii="Times New Roman" w:hAnsi="Times New Roman" w:cs="Times New Roman"/>
        </w:rPr>
        <w:t>This “</w:t>
      </w:r>
      <w:r w:rsidRPr="002E6390">
        <w:rPr>
          <w:rFonts w:ascii="Times New Roman" w:hAnsi="Times New Roman" w:cs="Times New Roman"/>
          <w:i/>
        </w:rPr>
        <w:t>unbrdidled</w:t>
      </w:r>
      <w:r w:rsidRPr="002E6390">
        <w:rPr>
          <w:rFonts w:ascii="Times New Roman" w:hAnsi="Times New Roman" w:cs="Times New Roman"/>
        </w:rPr>
        <w:t>” nature of the Normans, however, does leave one to wonder about their</w:t>
      </w:r>
      <w:r w:rsidRPr="002E6390">
        <w:rPr>
          <w:rFonts w:ascii="Times New Roman" w:hAnsi="Times New Roman" w:cs="Times New Roman"/>
        </w:rPr>
        <w:t xml:space="preserve"> tamed</w:t>
      </w:r>
      <w:r w:rsidRPr="002E6390">
        <w:rPr>
          <w:rFonts w:ascii="Times New Roman" w:hAnsi="Times New Roman" w:cs="Times New Roman"/>
        </w:rPr>
        <w:t xml:space="preserve"> and cultured ways</w:t>
      </w:r>
      <w:r w:rsidR="001E5204" w:rsidRPr="002E6390">
        <w:rPr>
          <w:rFonts w:ascii="Times New Roman" w:hAnsi="Times New Roman" w:cs="Times New Roman"/>
        </w:rPr>
        <w:t xml:space="preserve"> and </w:t>
      </w:r>
      <w:r w:rsidRPr="002E6390">
        <w:rPr>
          <w:rFonts w:ascii="Times New Roman" w:hAnsi="Times New Roman" w:cs="Times New Roman"/>
        </w:rPr>
        <w:t>how they perhaps are not as</w:t>
      </w:r>
      <w:r w:rsidR="001E5204" w:rsidRPr="002E6390">
        <w:rPr>
          <w:rFonts w:ascii="Times New Roman" w:hAnsi="Times New Roman" w:cs="Times New Roman"/>
        </w:rPr>
        <w:t xml:space="preserve"> natural as one would think on</w:t>
      </w:r>
      <w:r w:rsidRPr="002E6390">
        <w:rPr>
          <w:rFonts w:ascii="Times New Roman" w:hAnsi="Times New Roman" w:cs="Times New Roman"/>
        </w:rPr>
        <w:t xml:space="preserve"> reading Geoffrey’s description of “</w:t>
      </w:r>
      <w:r w:rsidRPr="002E6390">
        <w:rPr>
          <w:rFonts w:ascii="Times New Roman" w:hAnsi="Times New Roman" w:cs="Times New Roman"/>
          <w:i/>
        </w:rPr>
        <w:t>their young boys [talking] as though they were trained speakers</w:t>
      </w:r>
      <w:r w:rsidRPr="002E6390">
        <w:rPr>
          <w:rFonts w:ascii="Times New Roman" w:hAnsi="Times New Roman" w:cs="Times New Roman"/>
        </w:rPr>
        <w:t>”, which may be why they look to others to “</w:t>
      </w:r>
      <w:r w:rsidRPr="002E6390">
        <w:rPr>
          <w:rFonts w:ascii="Times New Roman" w:hAnsi="Times New Roman" w:cs="Times New Roman"/>
          <w:i/>
        </w:rPr>
        <w:t>enrich</w:t>
      </w:r>
      <w:r w:rsidRPr="002E6390">
        <w:rPr>
          <w:rFonts w:ascii="Times New Roman" w:hAnsi="Times New Roman" w:cs="Times New Roman"/>
        </w:rPr>
        <w:t>” them, to tame them, hence</w:t>
      </w:r>
      <w:r w:rsidRPr="002E6390">
        <w:rPr>
          <w:rFonts w:ascii="Times New Roman" w:hAnsi="Times New Roman" w:cs="Times New Roman"/>
          <w:i/>
        </w:rPr>
        <w:t xml:space="preserve"> </w:t>
      </w:r>
      <w:r w:rsidRPr="002E6390">
        <w:rPr>
          <w:rFonts w:ascii="Times New Roman" w:hAnsi="Times New Roman" w:cs="Times New Roman"/>
        </w:rPr>
        <w:t>why these peoples wish to “</w:t>
      </w:r>
      <w:r w:rsidRPr="002E6390">
        <w:rPr>
          <w:rFonts w:ascii="Times New Roman" w:hAnsi="Times New Roman" w:cs="Times New Roman"/>
          <w:i/>
        </w:rPr>
        <w:t>achieve a great reputation</w:t>
      </w:r>
      <w:r w:rsidRPr="002E6390">
        <w:rPr>
          <w:rFonts w:ascii="Times New Roman" w:hAnsi="Times New Roman" w:cs="Times New Roman"/>
        </w:rPr>
        <w:t xml:space="preserve">”. </w:t>
      </w:r>
    </w:p>
    <w:p w14:paraId="2486A061" w14:textId="3DF3DA6F" w:rsidR="00457603" w:rsidRPr="00092CA7" w:rsidRDefault="00457603" w:rsidP="00B64C2F">
      <w:pPr>
        <w:spacing w:line="480" w:lineRule="auto"/>
        <w:rPr>
          <w:rFonts w:ascii="Times New Roman" w:hAnsi="Times New Roman" w:cs="Times New Roman"/>
        </w:rPr>
      </w:pPr>
      <w:r w:rsidRPr="002E6390">
        <w:rPr>
          <w:rFonts w:ascii="Times New Roman" w:hAnsi="Times New Roman" w:cs="Times New Roman"/>
        </w:rPr>
        <w:tab/>
      </w:r>
      <w:r w:rsidRPr="00092CA7">
        <w:rPr>
          <w:rFonts w:ascii="Times New Roman" w:hAnsi="Times New Roman" w:cs="Times New Roman"/>
        </w:rPr>
        <w:t>The extract ends with Geoffrey describing the Normans and their origins, which he interestingly describes from a third person perspective: “</w:t>
      </w:r>
      <w:r w:rsidRPr="00092CA7">
        <w:rPr>
          <w:rFonts w:ascii="Times New Roman" w:hAnsi="Times New Roman" w:cs="Times New Roman"/>
          <w:i/>
        </w:rPr>
        <w:t>They derive the name of their land</w:t>
      </w:r>
      <w:r w:rsidRPr="00092CA7">
        <w:rPr>
          <w:rFonts w:ascii="Times New Roman" w:hAnsi="Times New Roman" w:cs="Times New Roman"/>
        </w:rPr>
        <w:t>”, which could be a possible indication that</w:t>
      </w:r>
      <w:r w:rsidR="00F51C07" w:rsidRPr="00092CA7">
        <w:rPr>
          <w:rFonts w:ascii="Times New Roman" w:hAnsi="Times New Roman" w:cs="Times New Roman"/>
        </w:rPr>
        <w:t xml:space="preserve"> </w:t>
      </w:r>
      <w:r w:rsidR="00092CA7" w:rsidRPr="00092CA7">
        <w:rPr>
          <w:rFonts w:ascii="Times New Roman" w:hAnsi="Times New Roman" w:cs="Times New Roman"/>
        </w:rPr>
        <w:t>Geoffre</w:t>
      </w:r>
      <w:r w:rsidRPr="00092CA7">
        <w:rPr>
          <w:rFonts w:ascii="Times New Roman" w:hAnsi="Times New Roman" w:cs="Times New Roman"/>
        </w:rPr>
        <w:t xml:space="preserve">y is not himself a Norman, which could be the case, knowing only that he came from “beyond the Alps”, or that the intent of the </w:t>
      </w:r>
      <w:r w:rsidRPr="00092CA7">
        <w:rPr>
          <w:rFonts w:ascii="Times New Roman" w:hAnsi="Times New Roman" w:cs="Times New Roman"/>
          <w:i/>
        </w:rPr>
        <w:t>Deeds</w:t>
      </w:r>
      <w:r w:rsidRPr="00092CA7">
        <w:rPr>
          <w:rFonts w:ascii="Times New Roman" w:hAnsi="Times New Roman" w:cs="Times New Roman"/>
        </w:rPr>
        <w:t xml:space="preserve"> was for it to be read by others who are not Norman, a possibility should it have been written to solidify Norman claim to Sicily and express the greatness of their peoples.</w:t>
      </w:r>
    </w:p>
    <w:p w14:paraId="5BC35EE3" w14:textId="4F0FB3EF" w:rsidR="00457603" w:rsidRPr="00092CA7" w:rsidRDefault="00457603" w:rsidP="00B64C2F">
      <w:pPr>
        <w:spacing w:line="480" w:lineRule="auto"/>
        <w:rPr>
          <w:rFonts w:ascii="Times New Roman" w:hAnsi="Times New Roman" w:cs="Times New Roman"/>
        </w:rPr>
      </w:pPr>
      <w:r w:rsidRPr="00092CA7">
        <w:rPr>
          <w:rFonts w:ascii="Times New Roman" w:hAnsi="Times New Roman" w:cs="Times New Roman"/>
        </w:rPr>
        <w:t xml:space="preserve"> </w:t>
      </w:r>
      <w:r w:rsidRPr="00092CA7">
        <w:rPr>
          <w:rFonts w:ascii="Times New Roman" w:hAnsi="Times New Roman" w:cs="Times New Roman"/>
        </w:rPr>
        <w:tab/>
        <w:t xml:space="preserve">It is captivating just how much information can be gained from </w:t>
      </w:r>
      <w:r w:rsidR="00092CA7">
        <w:rPr>
          <w:rFonts w:ascii="Times New Roman" w:hAnsi="Times New Roman" w:cs="Times New Roman"/>
        </w:rPr>
        <w:t xml:space="preserve">both of </w:t>
      </w:r>
      <w:r w:rsidR="00F51C07" w:rsidRPr="00092CA7">
        <w:rPr>
          <w:rFonts w:ascii="Times New Roman" w:hAnsi="Times New Roman" w:cs="Times New Roman"/>
        </w:rPr>
        <w:t xml:space="preserve">the </w:t>
      </w:r>
      <w:r w:rsidRPr="00092CA7">
        <w:rPr>
          <w:rFonts w:ascii="Times New Roman" w:hAnsi="Times New Roman" w:cs="Times New Roman"/>
        </w:rPr>
        <w:t>rather short extract from a four-piece work, written by an historiographer of whom all we know is that he came from “beyond the Alps”.</w:t>
      </w:r>
    </w:p>
    <w:p w14:paraId="711C0666" w14:textId="77777777" w:rsidR="00457603" w:rsidRPr="002E6390" w:rsidRDefault="00457603" w:rsidP="00B64C2F">
      <w:pPr>
        <w:spacing w:line="480" w:lineRule="auto"/>
        <w:rPr>
          <w:rFonts w:ascii="Times New Roman" w:hAnsi="Times New Roman" w:cs="Times New Roman"/>
          <w:b/>
          <w:sz w:val="28"/>
          <w:u w:val="single"/>
        </w:rPr>
      </w:pPr>
    </w:p>
    <w:p w14:paraId="5B2E7263" w14:textId="77777777" w:rsidR="00457603" w:rsidRPr="002E6390" w:rsidRDefault="00457603" w:rsidP="00457603">
      <w:pPr>
        <w:rPr>
          <w:rFonts w:ascii="Times New Roman" w:hAnsi="Times New Roman" w:cs="Times New Roman"/>
          <w:b/>
          <w:sz w:val="28"/>
          <w:u w:val="single"/>
        </w:rPr>
      </w:pPr>
    </w:p>
    <w:p w14:paraId="1FE71935" w14:textId="77777777" w:rsidR="00457603" w:rsidRPr="002E6390" w:rsidRDefault="00457603" w:rsidP="00457603">
      <w:pPr>
        <w:rPr>
          <w:rFonts w:ascii="Times New Roman" w:hAnsi="Times New Roman" w:cs="Times New Roman"/>
          <w:b/>
          <w:sz w:val="28"/>
          <w:u w:val="single"/>
        </w:rPr>
      </w:pPr>
    </w:p>
    <w:p w14:paraId="7FBEC68A" w14:textId="77777777" w:rsidR="00457603" w:rsidRPr="002E6390" w:rsidRDefault="00457603" w:rsidP="00457603">
      <w:pPr>
        <w:rPr>
          <w:rFonts w:ascii="Times New Roman" w:hAnsi="Times New Roman" w:cs="Times New Roman"/>
          <w:b/>
          <w:sz w:val="28"/>
          <w:u w:val="single"/>
        </w:rPr>
      </w:pPr>
    </w:p>
    <w:p w14:paraId="54D3967D" w14:textId="77777777" w:rsidR="00457603" w:rsidRPr="002E6390" w:rsidRDefault="00457603" w:rsidP="00457603">
      <w:pPr>
        <w:rPr>
          <w:rFonts w:ascii="Times New Roman" w:hAnsi="Times New Roman" w:cs="Times New Roman"/>
          <w:b/>
          <w:sz w:val="28"/>
          <w:u w:val="single"/>
        </w:rPr>
      </w:pPr>
    </w:p>
    <w:p w14:paraId="54412B13" w14:textId="77777777" w:rsidR="00457603" w:rsidRPr="002E6390" w:rsidRDefault="00457603" w:rsidP="00457603">
      <w:pPr>
        <w:rPr>
          <w:rFonts w:ascii="Times New Roman" w:hAnsi="Times New Roman" w:cs="Times New Roman"/>
          <w:b/>
          <w:sz w:val="28"/>
          <w:u w:val="single"/>
        </w:rPr>
      </w:pPr>
    </w:p>
    <w:p w14:paraId="631E66CB" w14:textId="77777777" w:rsidR="00457603" w:rsidRDefault="00457603" w:rsidP="00457603">
      <w:pPr>
        <w:rPr>
          <w:rFonts w:ascii="Times New Roman" w:hAnsi="Times New Roman" w:cs="Times New Roman"/>
          <w:b/>
          <w:sz w:val="28"/>
          <w:u w:val="single"/>
        </w:rPr>
      </w:pPr>
    </w:p>
    <w:p w14:paraId="38EF6B39" w14:textId="77777777" w:rsidR="00B64C2F" w:rsidRDefault="00B64C2F" w:rsidP="00457603">
      <w:pPr>
        <w:rPr>
          <w:rFonts w:ascii="Times New Roman" w:hAnsi="Times New Roman" w:cs="Times New Roman"/>
          <w:b/>
          <w:sz w:val="28"/>
          <w:u w:val="single"/>
        </w:rPr>
      </w:pPr>
    </w:p>
    <w:p w14:paraId="53F134C9" w14:textId="77777777" w:rsidR="00B64C2F" w:rsidRDefault="00B64C2F" w:rsidP="00457603">
      <w:pPr>
        <w:rPr>
          <w:rFonts w:ascii="Times New Roman" w:hAnsi="Times New Roman" w:cs="Times New Roman"/>
          <w:b/>
          <w:sz w:val="28"/>
          <w:u w:val="single"/>
        </w:rPr>
      </w:pPr>
    </w:p>
    <w:p w14:paraId="6782DD02" w14:textId="77777777" w:rsidR="00B64C2F" w:rsidRDefault="00B64C2F" w:rsidP="00457603">
      <w:pPr>
        <w:rPr>
          <w:rFonts w:ascii="Times New Roman" w:hAnsi="Times New Roman" w:cs="Times New Roman"/>
          <w:b/>
          <w:sz w:val="28"/>
          <w:u w:val="single"/>
        </w:rPr>
      </w:pPr>
    </w:p>
    <w:p w14:paraId="22657556" w14:textId="77777777" w:rsidR="00B64C2F" w:rsidRDefault="00B64C2F" w:rsidP="00457603">
      <w:pPr>
        <w:rPr>
          <w:rFonts w:ascii="Times New Roman" w:hAnsi="Times New Roman" w:cs="Times New Roman"/>
          <w:b/>
          <w:sz w:val="28"/>
          <w:u w:val="single"/>
        </w:rPr>
      </w:pPr>
    </w:p>
    <w:p w14:paraId="29533564" w14:textId="77777777" w:rsidR="00B64C2F" w:rsidRDefault="00B64C2F" w:rsidP="00457603">
      <w:pPr>
        <w:rPr>
          <w:rFonts w:ascii="Times New Roman" w:hAnsi="Times New Roman" w:cs="Times New Roman"/>
          <w:b/>
          <w:sz w:val="28"/>
          <w:u w:val="single"/>
        </w:rPr>
      </w:pPr>
    </w:p>
    <w:p w14:paraId="78340C4D" w14:textId="77777777" w:rsidR="00B64C2F" w:rsidRDefault="00B64C2F" w:rsidP="00457603">
      <w:pPr>
        <w:rPr>
          <w:rFonts w:ascii="Times New Roman" w:hAnsi="Times New Roman" w:cs="Times New Roman"/>
          <w:b/>
          <w:sz w:val="28"/>
          <w:u w:val="single"/>
        </w:rPr>
      </w:pPr>
    </w:p>
    <w:p w14:paraId="7FC8D10B" w14:textId="77777777" w:rsidR="00B64C2F" w:rsidRDefault="00B64C2F" w:rsidP="00457603">
      <w:pPr>
        <w:rPr>
          <w:rFonts w:ascii="Times New Roman" w:hAnsi="Times New Roman" w:cs="Times New Roman"/>
          <w:b/>
          <w:sz w:val="28"/>
          <w:u w:val="single"/>
        </w:rPr>
      </w:pPr>
    </w:p>
    <w:p w14:paraId="56088290" w14:textId="77777777" w:rsidR="00B64C2F" w:rsidRDefault="00B64C2F" w:rsidP="00457603">
      <w:pPr>
        <w:rPr>
          <w:rFonts w:ascii="Times New Roman" w:hAnsi="Times New Roman" w:cs="Times New Roman"/>
          <w:b/>
          <w:sz w:val="28"/>
          <w:u w:val="single"/>
        </w:rPr>
      </w:pPr>
    </w:p>
    <w:p w14:paraId="1F85B9FD" w14:textId="77777777" w:rsidR="00B64C2F" w:rsidRDefault="00B64C2F" w:rsidP="00457603">
      <w:pPr>
        <w:rPr>
          <w:rFonts w:ascii="Times New Roman" w:hAnsi="Times New Roman" w:cs="Times New Roman"/>
          <w:b/>
          <w:sz w:val="28"/>
          <w:u w:val="single"/>
        </w:rPr>
      </w:pPr>
    </w:p>
    <w:p w14:paraId="683CD30F" w14:textId="77777777" w:rsidR="00B64C2F" w:rsidRDefault="00B64C2F" w:rsidP="00457603">
      <w:pPr>
        <w:rPr>
          <w:rFonts w:ascii="Times New Roman" w:hAnsi="Times New Roman" w:cs="Times New Roman"/>
          <w:b/>
          <w:sz w:val="28"/>
          <w:u w:val="single"/>
        </w:rPr>
      </w:pPr>
    </w:p>
    <w:p w14:paraId="0079D07A" w14:textId="77777777" w:rsidR="00B64C2F" w:rsidRDefault="00B64C2F" w:rsidP="00457603">
      <w:pPr>
        <w:rPr>
          <w:rFonts w:ascii="Times New Roman" w:hAnsi="Times New Roman" w:cs="Times New Roman"/>
          <w:b/>
          <w:sz w:val="28"/>
          <w:u w:val="single"/>
        </w:rPr>
      </w:pPr>
    </w:p>
    <w:p w14:paraId="5C3F8C9E" w14:textId="77777777" w:rsidR="00B64C2F" w:rsidRDefault="00B64C2F" w:rsidP="00457603">
      <w:pPr>
        <w:rPr>
          <w:rFonts w:ascii="Times New Roman" w:hAnsi="Times New Roman" w:cs="Times New Roman"/>
          <w:b/>
          <w:sz w:val="28"/>
          <w:u w:val="single"/>
        </w:rPr>
      </w:pPr>
    </w:p>
    <w:p w14:paraId="0D02815D" w14:textId="77777777" w:rsidR="00B64C2F" w:rsidRPr="002E6390" w:rsidRDefault="00B64C2F" w:rsidP="00457603">
      <w:pPr>
        <w:rPr>
          <w:rFonts w:ascii="Times New Roman" w:hAnsi="Times New Roman" w:cs="Times New Roman"/>
          <w:b/>
          <w:sz w:val="28"/>
          <w:u w:val="single"/>
        </w:rPr>
      </w:pPr>
    </w:p>
    <w:p w14:paraId="205A735B" w14:textId="77777777" w:rsidR="00457603" w:rsidRPr="00F51C07" w:rsidRDefault="00457603" w:rsidP="00457603">
      <w:pPr>
        <w:rPr>
          <w:rFonts w:ascii="Times New Roman" w:hAnsi="Times New Roman" w:cs="Times New Roman"/>
          <w:b/>
          <w:sz w:val="28"/>
          <w:u w:val="single"/>
        </w:rPr>
      </w:pPr>
    </w:p>
    <w:p w14:paraId="18565937" w14:textId="77777777" w:rsidR="001E5204" w:rsidRPr="00F51C07" w:rsidRDefault="001E5204" w:rsidP="00457603">
      <w:pPr>
        <w:rPr>
          <w:rFonts w:ascii="Times New Roman" w:hAnsi="Times New Roman" w:cs="Times New Roman"/>
          <w:b/>
          <w:sz w:val="28"/>
          <w:u w:val="single"/>
        </w:rPr>
      </w:pPr>
    </w:p>
    <w:p w14:paraId="7EE946A4" w14:textId="77777777" w:rsidR="008E0791" w:rsidRPr="00F51C07" w:rsidRDefault="008E0791" w:rsidP="00457603">
      <w:pPr>
        <w:rPr>
          <w:rFonts w:ascii="Times New Roman" w:hAnsi="Times New Roman" w:cs="Times New Roman"/>
          <w:b/>
          <w:sz w:val="28"/>
          <w:u w:val="single"/>
        </w:rPr>
      </w:pPr>
    </w:p>
    <w:p w14:paraId="49083C54" w14:textId="77777777" w:rsidR="00457603" w:rsidRDefault="00457603" w:rsidP="00457603">
      <w:pPr>
        <w:rPr>
          <w:rFonts w:ascii="Times New Roman" w:hAnsi="Times New Roman" w:cs="Times New Roman"/>
          <w:b/>
          <w:u w:val="single"/>
        </w:rPr>
      </w:pPr>
      <w:r w:rsidRPr="009D4275">
        <w:rPr>
          <w:rFonts w:ascii="Times New Roman" w:hAnsi="Times New Roman" w:cs="Times New Roman"/>
          <w:b/>
          <w:sz w:val="28"/>
          <w:u w:val="single"/>
        </w:rPr>
        <w:t>Bibliography:</w:t>
      </w:r>
    </w:p>
    <w:p w14:paraId="5BFF4D49" w14:textId="77777777" w:rsidR="00457603" w:rsidRDefault="00457603" w:rsidP="00457603">
      <w:pPr>
        <w:rPr>
          <w:rFonts w:ascii="Times New Roman" w:hAnsi="Times New Roman" w:cs="Times New Roman"/>
          <w:b/>
        </w:rPr>
      </w:pPr>
    </w:p>
    <w:p w14:paraId="6C44E380" w14:textId="77777777" w:rsidR="00457603" w:rsidRDefault="00457603" w:rsidP="00457603">
      <w:pPr>
        <w:rPr>
          <w:rFonts w:ascii="Times New Roman" w:hAnsi="Times New Roman" w:cs="Times New Roman"/>
          <w:b/>
        </w:rPr>
      </w:pPr>
    </w:p>
    <w:p w14:paraId="29D89A9D" w14:textId="77777777" w:rsidR="00457603" w:rsidRDefault="00457603" w:rsidP="00457603">
      <w:pPr>
        <w:spacing w:after="120"/>
        <w:rPr>
          <w:rFonts w:ascii="Times New Roman" w:hAnsi="Times New Roman" w:cs="Times New Roman"/>
          <w:b/>
          <w:u w:val="single"/>
        </w:rPr>
      </w:pPr>
      <w:r w:rsidRPr="009D4275">
        <w:rPr>
          <w:rFonts w:ascii="Times New Roman" w:hAnsi="Times New Roman" w:cs="Times New Roman"/>
          <w:b/>
          <w:u w:val="single"/>
        </w:rPr>
        <w:t>Primary sources:</w:t>
      </w:r>
    </w:p>
    <w:p w14:paraId="75B04F46" w14:textId="77777777" w:rsidR="00457603" w:rsidRDefault="00457603" w:rsidP="00457603">
      <w:pPr>
        <w:spacing w:before="10" w:after="10"/>
        <w:rPr>
          <w:rFonts w:ascii="Times New Roman" w:hAnsi="Times New Roman" w:cs="Times New Roman"/>
          <w:i/>
          <w:sz w:val="21"/>
          <w:szCs w:val="21"/>
        </w:rPr>
      </w:pPr>
    </w:p>
    <w:p w14:paraId="07DE3342" w14:textId="77777777" w:rsidR="00457603" w:rsidRPr="00284FC6" w:rsidRDefault="00457603" w:rsidP="00457603">
      <w:pPr>
        <w:pStyle w:val="FootnoteText"/>
        <w:spacing w:after="100" w:afterAutospacing="1"/>
        <w:rPr>
          <w:sz w:val="21"/>
          <w:szCs w:val="21"/>
        </w:rPr>
      </w:pPr>
      <w:r w:rsidRPr="00DD16C1">
        <w:rPr>
          <w:rFonts w:ascii="Times New Roman" w:hAnsi="Times New Roman" w:cs="Times New Roman"/>
          <w:i/>
          <w:sz w:val="21"/>
          <w:szCs w:val="21"/>
        </w:rPr>
        <w:t>The Anglo-Saxon Chronicle</w:t>
      </w:r>
      <w:r w:rsidRPr="00DD16C1">
        <w:rPr>
          <w:rFonts w:ascii="Times New Roman" w:hAnsi="Times New Roman" w:cs="Times New Roman"/>
          <w:sz w:val="21"/>
          <w:szCs w:val="21"/>
        </w:rPr>
        <w:t>, ed. and tr</w:t>
      </w:r>
      <w:r>
        <w:rPr>
          <w:rFonts w:ascii="Times New Roman" w:hAnsi="Times New Roman" w:cs="Times New Roman"/>
          <w:sz w:val="21"/>
          <w:szCs w:val="21"/>
        </w:rPr>
        <w:t>ans</w:t>
      </w:r>
      <w:r w:rsidRPr="00DD16C1">
        <w:rPr>
          <w:rFonts w:ascii="Times New Roman" w:hAnsi="Times New Roman" w:cs="Times New Roman"/>
          <w:sz w:val="21"/>
          <w:szCs w:val="21"/>
        </w:rPr>
        <w:t>.</w:t>
      </w:r>
      <w:r>
        <w:rPr>
          <w:rFonts w:ascii="Times New Roman" w:hAnsi="Times New Roman" w:cs="Times New Roman"/>
          <w:sz w:val="21"/>
          <w:szCs w:val="21"/>
        </w:rPr>
        <w:t>,</w:t>
      </w:r>
      <w:r w:rsidRPr="00DD16C1">
        <w:rPr>
          <w:rFonts w:ascii="Times New Roman" w:hAnsi="Times New Roman" w:cs="Times New Roman"/>
          <w:sz w:val="21"/>
          <w:szCs w:val="21"/>
        </w:rPr>
        <w:t xml:space="preserve"> G. N. Garmonsway (London: J. M. Dent, 1992</w:t>
      </w:r>
      <w:r>
        <w:rPr>
          <w:rFonts w:ascii="Times New Roman" w:hAnsi="Times New Roman" w:cs="Times New Roman"/>
          <w:sz w:val="21"/>
          <w:szCs w:val="21"/>
        </w:rPr>
        <w:t>)</w:t>
      </w:r>
      <w:r w:rsidRPr="00DD16C1">
        <w:rPr>
          <w:rFonts w:ascii="Times New Roman" w:hAnsi="Times New Roman" w:cs="Times New Roman"/>
          <w:sz w:val="21"/>
          <w:szCs w:val="21"/>
        </w:rPr>
        <w:t>.</w:t>
      </w:r>
    </w:p>
    <w:p w14:paraId="72612425" w14:textId="67F2BD0E" w:rsidR="00457603" w:rsidRDefault="00457603" w:rsidP="00457603">
      <w:pPr>
        <w:spacing w:after="100" w:afterAutospacing="1"/>
        <w:rPr>
          <w:rFonts w:ascii="Times New Roman" w:hAnsi="Times New Roman" w:cs="Times New Roman"/>
          <w:sz w:val="21"/>
        </w:rPr>
      </w:pPr>
      <w:r>
        <w:rPr>
          <w:rFonts w:ascii="Times New Roman" w:hAnsi="Times New Roman" w:cs="Times New Roman"/>
          <w:sz w:val="21"/>
        </w:rPr>
        <w:t xml:space="preserve">Geoffrey Malaterra, </w:t>
      </w:r>
      <w:r>
        <w:rPr>
          <w:rFonts w:ascii="Times New Roman" w:hAnsi="Times New Roman" w:cs="Times New Roman"/>
          <w:i/>
          <w:sz w:val="21"/>
        </w:rPr>
        <w:t>The Deeds of Count Roger of Calabria and Sicily and of Duke Robert Guiscard his Brother</w:t>
      </w:r>
      <w:r>
        <w:rPr>
          <w:rFonts w:ascii="Times New Roman" w:hAnsi="Times New Roman" w:cs="Times New Roman"/>
          <w:sz w:val="21"/>
        </w:rPr>
        <w:t xml:space="preserve">, trans. </w:t>
      </w:r>
      <w:r w:rsidR="008567C5">
        <w:rPr>
          <w:rFonts w:ascii="Times New Roman" w:hAnsi="Times New Roman" w:cs="Times New Roman"/>
          <w:sz w:val="21"/>
        </w:rPr>
        <w:t xml:space="preserve">Loud, G. A., </w:t>
      </w:r>
      <w:r w:rsidR="004530A2">
        <w:rPr>
          <w:rFonts w:ascii="Times New Roman" w:hAnsi="Times New Roman" w:cs="Times New Roman"/>
          <w:sz w:val="21"/>
        </w:rPr>
        <w:t>(</w:t>
      </w:r>
      <w:r w:rsidR="004530A2" w:rsidRPr="00DD16C1">
        <w:rPr>
          <w:rFonts w:ascii="Times New Roman" w:hAnsi="Times New Roman" w:cs="Times New Roman"/>
          <w:sz w:val="21"/>
          <w:szCs w:val="21"/>
        </w:rPr>
        <w:t>Leeds Medieval History Texts in Translation We</w:t>
      </w:r>
      <w:r w:rsidR="004530A2">
        <w:rPr>
          <w:rFonts w:ascii="Times New Roman" w:hAnsi="Times New Roman" w:cs="Times New Roman"/>
          <w:sz w:val="21"/>
          <w:szCs w:val="21"/>
        </w:rPr>
        <w:t>bsite, University of Leeds, 2004).</w:t>
      </w:r>
    </w:p>
    <w:p w14:paraId="13B48FFD" w14:textId="77777777" w:rsidR="00457603" w:rsidRDefault="00457603" w:rsidP="00457603">
      <w:pPr>
        <w:pStyle w:val="FootnoteText"/>
        <w:spacing w:before="100" w:beforeAutospacing="1" w:after="100" w:afterAutospacing="1"/>
        <w:rPr>
          <w:rFonts w:ascii="Times New Roman" w:hAnsi="Times New Roman" w:cs="Times New Roman"/>
          <w:sz w:val="21"/>
        </w:rPr>
      </w:pPr>
      <w:r w:rsidRPr="00F10F28">
        <w:rPr>
          <w:rFonts w:ascii="Times New Roman" w:hAnsi="Times New Roman" w:cs="Times New Roman"/>
          <w:sz w:val="21"/>
        </w:rPr>
        <w:t>Orderic Vitalis</w:t>
      </w:r>
      <w:r>
        <w:rPr>
          <w:rFonts w:ascii="Times New Roman" w:hAnsi="Times New Roman" w:cs="Times New Roman"/>
          <w:sz w:val="21"/>
        </w:rPr>
        <w:t xml:space="preserve">, </w:t>
      </w:r>
      <w:r w:rsidRPr="00F10F28">
        <w:rPr>
          <w:rFonts w:ascii="Times New Roman" w:hAnsi="Times New Roman" w:cs="Times New Roman"/>
          <w:i/>
          <w:sz w:val="21"/>
        </w:rPr>
        <w:t>The Ecclesiastical Histor</w:t>
      </w:r>
      <w:r>
        <w:rPr>
          <w:rFonts w:ascii="Times New Roman" w:hAnsi="Times New Roman" w:cs="Times New Roman"/>
          <w:i/>
          <w:sz w:val="21"/>
        </w:rPr>
        <w:t>y,</w:t>
      </w:r>
      <w:r w:rsidRPr="00F10F28">
        <w:rPr>
          <w:rFonts w:ascii="Times New Roman" w:hAnsi="Times New Roman" w:cs="Times New Roman"/>
          <w:sz w:val="21"/>
        </w:rPr>
        <w:t xml:space="preserve"> </w:t>
      </w:r>
      <w:r>
        <w:rPr>
          <w:rFonts w:ascii="Times New Roman" w:hAnsi="Times New Roman" w:cs="Times New Roman"/>
          <w:sz w:val="21"/>
        </w:rPr>
        <w:t>(</w:t>
      </w:r>
      <w:r w:rsidRPr="00F10F28">
        <w:rPr>
          <w:rFonts w:ascii="Times New Roman" w:hAnsi="Times New Roman" w:cs="Times New Roman"/>
          <w:i/>
          <w:sz w:val="21"/>
        </w:rPr>
        <w:t>vol. 2, bks. 3 and 4</w:t>
      </w:r>
      <w:r>
        <w:rPr>
          <w:rFonts w:ascii="Times New Roman" w:hAnsi="Times New Roman" w:cs="Times New Roman"/>
          <w:sz w:val="21"/>
        </w:rPr>
        <w:t xml:space="preserve">) </w:t>
      </w:r>
      <w:r w:rsidRPr="00F10F28">
        <w:rPr>
          <w:rFonts w:ascii="Times New Roman" w:hAnsi="Times New Roman" w:cs="Times New Roman"/>
          <w:sz w:val="21"/>
        </w:rPr>
        <w:t>ed. and trans.</w:t>
      </w:r>
      <w:r>
        <w:rPr>
          <w:rFonts w:ascii="Times New Roman" w:hAnsi="Times New Roman" w:cs="Times New Roman"/>
          <w:sz w:val="21"/>
        </w:rPr>
        <w:t xml:space="preserve">, </w:t>
      </w:r>
      <w:r w:rsidRPr="00F10F28">
        <w:rPr>
          <w:rFonts w:ascii="Times New Roman" w:hAnsi="Times New Roman" w:cs="Times New Roman"/>
          <w:sz w:val="21"/>
        </w:rPr>
        <w:t>Chibnall,</w:t>
      </w:r>
      <w:r>
        <w:rPr>
          <w:rFonts w:ascii="Times New Roman" w:hAnsi="Times New Roman" w:cs="Times New Roman"/>
          <w:sz w:val="21"/>
        </w:rPr>
        <w:t xml:space="preserve"> M.</w:t>
      </w:r>
      <w:r w:rsidRPr="00F10F28">
        <w:rPr>
          <w:rFonts w:ascii="Times New Roman" w:hAnsi="Times New Roman" w:cs="Times New Roman"/>
          <w:i/>
          <w:sz w:val="21"/>
        </w:rPr>
        <w:t xml:space="preserve">, </w:t>
      </w:r>
      <w:r>
        <w:rPr>
          <w:rFonts w:ascii="Times New Roman" w:hAnsi="Times New Roman" w:cs="Times New Roman"/>
          <w:sz w:val="21"/>
        </w:rPr>
        <w:t>(</w:t>
      </w:r>
      <w:r w:rsidRPr="00F10F28">
        <w:rPr>
          <w:rFonts w:ascii="Times New Roman" w:hAnsi="Times New Roman" w:cs="Times New Roman"/>
          <w:sz w:val="21"/>
        </w:rPr>
        <w:t>Oxford: Oxford University Press, 1999).</w:t>
      </w:r>
    </w:p>
    <w:p w14:paraId="110489CC" w14:textId="77777777" w:rsidR="00457603" w:rsidRDefault="00457603" w:rsidP="00457603">
      <w:pPr>
        <w:pStyle w:val="FootnoteText"/>
        <w:spacing w:before="100" w:beforeAutospacing="1" w:after="100" w:afterAutospacing="1"/>
        <w:rPr>
          <w:rFonts w:ascii="Times New Roman" w:hAnsi="Times New Roman" w:cs="Times New Roman"/>
          <w:sz w:val="21"/>
        </w:rPr>
      </w:pPr>
      <w:r>
        <w:rPr>
          <w:rFonts w:ascii="Times New Roman" w:hAnsi="Times New Roman" w:cs="Times New Roman"/>
          <w:sz w:val="21"/>
        </w:rPr>
        <w:t>Orderic Vitalis</w:t>
      </w:r>
      <w:r>
        <w:rPr>
          <w:rFonts w:ascii="Times New Roman" w:hAnsi="Times New Roman" w:cs="Times New Roman"/>
          <w:i/>
          <w:sz w:val="21"/>
        </w:rPr>
        <w:t>, Ecclesiasitical History (on the character of the Normans)</w:t>
      </w:r>
      <w:r>
        <w:rPr>
          <w:rFonts w:ascii="Times New Roman" w:hAnsi="Times New Roman" w:cs="Times New Roman"/>
          <w:sz w:val="21"/>
        </w:rPr>
        <w:t>, extract 20 in ed. and trans., van Houts, E, (Manchester: Manchester University Press, 2000/08).</w:t>
      </w:r>
    </w:p>
    <w:p w14:paraId="76270304" w14:textId="77777777" w:rsidR="00457603" w:rsidRPr="002D1D67" w:rsidRDefault="00457603" w:rsidP="00457603">
      <w:pPr>
        <w:spacing w:before="100" w:beforeAutospacing="1" w:after="100" w:afterAutospacing="1"/>
        <w:rPr>
          <w:rFonts w:ascii="Times New Roman" w:hAnsi="Times New Roman" w:cs="Times New Roman"/>
          <w:sz w:val="21"/>
          <w:szCs w:val="21"/>
        </w:rPr>
      </w:pPr>
      <w:r>
        <w:rPr>
          <w:rFonts w:ascii="Times New Roman" w:hAnsi="Times New Roman" w:cs="Times New Roman"/>
          <w:sz w:val="21"/>
          <w:szCs w:val="21"/>
        </w:rPr>
        <w:t xml:space="preserve">William of Apulia, </w:t>
      </w:r>
      <w:r w:rsidRPr="00DD16C1">
        <w:rPr>
          <w:rFonts w:ascii="Times New Roman" w:hAnsi="Times New Roman" w:cs="Times New Roman"/>
          <w:i/>
          <w:sz w:val="21"/>
          <w:szCs w:val="21"/>
        </w:rPr>
        <w:t>The Deeds of Robert Guiscard</w:t>
      </w:r>
      <w:r>
        <w:rPr>
          <w:rFonts w:ascii="Times New Roman" w:hAnsi="Times New Roman" w:cs="Times New Roman"/>
          <w:sz w:val="21"/>
          <w:szCs w:val="21"/>
        </w:rPr>
        <w:t>, trans.</w:t>
      </w:r>
      <w:r w:rsidRPr="00DD16C1">
        <w:rPr>
          <w:rFonts w:ascii="Times New Roman" w:hAnsi="Times New Roman" w:cs="Times New Roman"/>
          <w:sz w:val="21"/>
          <w:szCs w:val="21"/>
        </w:rPr>
        <w:t xml:space="preserve"> Loud,</w:t>
      </w:r>
      <w:r>
        <w:rPr>
          <w:rFonts w:ascii="Times New Roman" w:hAnsi="Times New Roman" w:cs="Times New Roman"/>
          <w:sz w:val="21"/>
          <w:szCs w:val="21"/>
        </w:rPr>
        <w:t xml:space="preserve"> G. A.,</w:t>
      </w:r>
      <w:r w:rsidRPr="00DD16C1">
        <w:rPr>
          <w:rFonts w:ascii="Times New Roman" w:hAnsi="Times New Roman" w:cs="Times New Roman"/>
          <w:sz w:val="21"/>
          <w:szCs w:val="21"/>
        </w:rPr>
        <w:t xml:space="preserve"> (Leeds Medieval History Texts in Translation Website, University of Leeds, 2002)</w:t>
      </w:r>
      <w:r>
        <w:rPr>
          <w:rFonts w:ascii="Times New Roman" w:hAnsi="Times New Roman" w:cs="Times New Roman"/>
          <w:sz w:val="21"/>
          <w:szCs w:val="21"/>
        </w:rPr>
        <w:t>.</w:t>
      </w:r>
      <w:r>
        <w:rPr>
          <w:rFonts w:ascii="Times New Roman" w:hAnsi="Times New Roman" w:cs="Times New Roman"/>
          <w:sz w:val="21"/>
          <w:szCs w:val="21"/>
        </w:rPr>
        <w:br/>
      </w:r>
    </w:p>
    <w:p w14:paraId="51AB9B3A" w14:textId="77777777" w:rsidR="00457603" w:rsidRDefault="00457603" w:rsidP="00457603">
      <w:pPr>
        <w:spacing w:before="100" w:beforeAutospacing="1" w:after="120"/>
        <w:rPr>
          <w:rFonts w:ascii="Times New Roman" w:hAnsi="Times New Roman" w:cs="Times New Roman"/>
          <w:b/>
          <w:u w:val="single"/>
        </w:rPr>
      </w:pPr>
      <w:r w:rsidRPr="009D4275">
        <w:rPr>
          <w:rFonts w:ascii="Times New Roman" w:hAnsi="Times New Roman" w:cs="Times New Roman"/>
          <w:b/>
          <w:u w:val="single"/>
        </w:rPr>
        <w:t>Secondary sources:</w:t>
      </w:r>
    </w:p>
    <w:p w14:paraId="3F6ED3C4" w14:textId="77777777" w:rsidR="00457603" w:rsidRPr="002D1D67" w:rsidRDefault="00457603" w:rsidP="00457603">
      <w:pPr>
        <w:spacing w:before="100" w:beforeAutospacing="1" w:after="100" w:afterAutospacing="1"/>
        <w:rPr>
          <w:rFonts w:ascii="Times New Roman" w:hAnsi="Times New Roman" w:cs="Times New Roman"/>
          <w:b/>
          <w:u w:val="single"/>
        </w:rPr>
      </w:pPr>
      <w:r w:rsidRPr="00C054B3">
        <w:rPr>
          <w:rFonts w:ascii="Times New Roman" w:hAnsi="Times New Roman" w:cs="Times New Roman"/>
          <w:sz w:val="21"/>
        </w:rPr>
        <w:t xml:space="preserve">Albu, </w:t>
      </w:r>
      <w:r>
        <w:rPr>
          <w:rFonts w:ascii="Times New Roman" w:hAnsi="Times New Roman" w:cs="Times New Roman"/>
          <w:sz w:val="21"/>
        </w:rPr>
        <w:t xml:space="preserve">E., </w:t>
      </w:r>
      <w:r w:rsidRPr="00C054B3">
        <w:rPr>
          <w:rFonts w:ascii="Times New Roman" w:hAnsi="Times New Roman" w:cs="Times New Roman"/>
          <w:i/>
          <w:sz w:val="21"/>
        </w:rPr>
        <w:t>The Normans in Their Histories: Propaganda, Myth and Subversion</w:t>
      </w:r>
      <w:r w:rsidRPr="00C054B3">
        <w:rPr>
          <w:rFonts w:ascii="Times New Roman" w:hAnsi="Times New Roman" w:cs="Times New Roman"/>
          <w:sz w:val="21"/>
        </w:rPr>
        <w:t>, (Suf</w:t>
      </w:r>
      <w:r>
        <w:rPr>
          <w:rFonts w:ascii="Times New Roman" w:hAnsi="Times New Roman" w:cs="Times New Roman"/>
          <w:sz w:val="21"/>
        </w:rPr>
        <w:t>folk: Boydell and Brewer, 2001).</w:t>
      </w:r>
    </w:p>
    <w:p w14:paraId="19BEDBEC" w14:textId="77777777" w:rsidR="00457603" w:rsidRDefault="00457603" w:rsidP="00457603">
      <w:pPr>
        <w:spacing w:before="100" w:beforeAutospacing="1" w:after="100" w:afterAutospacing="1"/>
        <w:rPr>
          <w:rFonts w:ascii="Times New Roman" w:hAnsi="Times New Roman" w:cs="Times New Roman"/>
          <w:sz w:val="21"/>
        </w:rPr>
      </w:pPr>
      <w:r>
        <w:rPr>
          <w:rFonts w:ascii="Times New Roman" w:hAnsi="Times New Roman" w:cs="Times New Roman"/>
          <w:sz w:val="21"/>
        </w:rPr>
        <w:t xml:space="preserve">Johnson, E., “Normandy and Norman Identity in Southern Italian Chronicles”, </w:t>
      </w:r>
      <w:r>
        <w:rPr>
          <w:rFonts w:ascii="Times New Roman" w:hAnsi="Times New Roman" w:cs="Times New Roman"/>
          <w:i/>
          <w:sz w:val="21"/>
        </w:rPr>
        <w:t>Anglo-Norman Studies XXVII: Proceedings of the Battle Conference</w:t>
      </w:r>
      <w:r>
        <w:rPr>
          <w:rFonts w:ascii="Times New Roman" w:hAnsi="Times New Roman" w:cs="Times New Roman"/>
          <w:sz w:val="21"/>
        </w:rPr>
        <w:t>,</w:t>
      </w:r>
      <w:r>
        <w:rPr>
          <w:rFonts w:ascii="Times New Roman" w:hAnsi="Times New Roman" w:cs="Times New Roman"/>
          <w:i/>
          <w:sz w:val="21"/>
        </w:rPr>
        <w:t xml:space="preserve"> </w:t>
      </w:r>
      <w:r>
        <w:rPr>
          <w:rFonts w:ascii="Times New Roman" w:hAnsi="Times New Roman" w:cs="Times New Roman"/>
          <w:sz w:val="21"/>
        </w:rPr>
        <w:t>(ed., J. Gillingham, Suffolk: Boydell and Brewer, 2004 pp.85-101).</w:t>
      </w:r>
    </w:p>
    <w:p w14:paraId="4A07BEC8" w14:textId="77777777" w:rsidR="00457603" w:rsidRPr="00284FC6" w:rsidRDefault="00457603" w:rsidP="00457603">
      <w:pPr>
        <w:spacing w:before="100" w:beforeAutospacing="1" w:after="100" w:afterAutospacing="1"/>
        <w:rPr>
          <w:rFonts w:ascii="Times New Roman" w:hAnsi="Times New Roman" w:cs="Times New Roman"/>
        </w:rPr>
      </w:pPr>
      <w:r>
        <w:rPr>
          <w:rFonts w:ascii="Times New Roman" w:hAnsi="Times New Roman" w:cs="Times New Roman"/>
          <w:sz w:val="21"/>
        </w:rPr>
        <w:t xml:space="preserve">Roscoe, R., </w:t>
      </w:r>
      <w:r>
        <w:rPr>
          <w:rFonts w:ascii="Times New Roman" w:hAnsi="Times New Roman" w:cs="Times New Roman"/>
          <w:i/>
          <w:sz w:val="21"/>
        </w:rPr>
        <w:t>The Life of William the Conqueror:  Now First Published from Official Records and Other Authentic Documents</w:t>
      </w:r>
      <w:r>
        <w:rPr>
          <w:rFonts w:ascii="Times New Roman" w:hAnsi="Times New Roman" w:cs="Times New Roman"/>
          <w:sz w:val="21"/>
        </w:rPr>
        <w:t>, (London: R. York Clarke &amp; Co., Publishers, 1846).</w:t>
      </w:r>
    </w:p>
    <w:p w14:paraId="262ED487" w14:textId="77777777" w:rsidR="00457603" w:rsidRDefault="00457603" w:rsidP="00457603">
      <w:pPr>
        <w:spacing w:before="100" w:beforeAutospacing="1" w:after="100" w:afterAutospacing="1"/>
        <w:rPr>
          <w:rFonts w:ascii="Times New Roman" w:hAnsi="Times New Roman" w:cs="Times New Roman"/>
          <w:sz w:val="21"/>
        </w:rPr>
      </w:pPr>
      <w:r w:rsidRPr="00C054B3">
        <w:rPr>
          <w:rFonts w:ascii="Times New Roman" w:hAnsi="Times New Roman" w:cs="Times New Roman"/>
          <w:sz w:val="21"/>
        </w:rPr>
        <w:t xml:space="preserve">Theotokis, </w:t>
      </w:r>
      <w:r>
        <w:rPr>
          <w:rFonts w:ascii="Times New Roman" w:hAnsi="Times New Roman" w:cs="Times New Roman"/>
          <w:sz w:val="21"/>
        </w:rPr>
        <w:t xml:space="preserve">G., </w:t>
      </w:r>
      <w:r w:rsidRPr="00C054B3">
        <w:rPr>
          <w:rFonts w:ascii="Times New Roman" w:hAnsi="Times New Roman" w:cs="Times New Roman"/>
          <w:sz w:val="21"/>
        </w:rPr>
        <w:t xml:space="preserve">“The Norman Invasion of Sicily, 1061-1072: Numbers and Military Tactics”, </w:t>
      </w:r>
      <w:r>
        <w:rPr>
          <w:rFonts w:ascii="Times New Roman" w:hAnsi="Times New Roman" w:cs="Times New Roman"/>
          <w:sz w:val="21"/>
        </w:rPr>
        <w:t>(</w:t>
      </w:r>
      <w:r w:rsidRPr="00C054B3">
        <w:rPr>
          <w:rFonts w:ascii="Times New Roman" w:hAnsi="Times New Roman" w:cs="Times New Roman"/>
          <w:i/>
          <w:sz w:val="21"/>
        </w:rPr>
        <w:t>War in History</w:t>
      </w:r>
      <w:r w:rsidRPr="00C054B3">
        <w:rPr>
          <w:rFonts w:ascii="Times New Roman" w:hAnsi="Times New Roman" w:cs="Times New Roman"/>
          <w:sz w:val="21"/>
        </w:rPr>
        <w:t>, vol. 17, no. 4, 2010, pp.381-402</w:t>
      </w:r>
      <w:r>
        <w:rPr>
          <w:rFonts w:ascii="Times New Roman" w:hAnsi="Times New Roman" w:cs="Times New Roman"/>
          <w:sz w:val="21"/>
        </w:rPr>
        <w:t>).</w:t>
      </w:r>
    </w:p>
    <w:p w14:paraId="6D9BF8A9" w14:textId="77777777" w:rsidR="00457603" w:rsidRDefault="00457603" w:rsidP="00457603">
      <w:pPr>
        <w:spacing w:before="100" w:beforeAutospacing="1" w:after="100" w:afterAutospacing="1"/>
        <w:rPr>
          <w:rFonts w:ascii="Times New Roman" w:hAnsi="Times New Roman" w:cs="Times New Roman"/>
          <w:sz w:val="21"/>
        </w:rPr>
      </w:pPr>
      <w:r w:rsidRPr="00C054B3">
        <w:rPr>
          <w:rFonts w:ascii="Times New Roman" w:hAnsi="Times New Roman" w:cs="Times New Roman"/>
          <w:sz w:val="21"/>
        </w:rPr>
        <w:t xml:space="preserve">Theotokis, </w:t>
      </w:r>
      <w:r>
        <w:rPr>
          <w:rFonts w:ascii="Times New Roman" w:hAnsi="Times New Roman" w:cs="Times New Roman"/>
          <w:sz w:val="21"/>
        </w:rPr>
        <w:t xml:space="preserve">G., </w:t>
      </w:r>
      <w:r w:rsidRPr="00C054B3">
        <w:rPr>
          <w:rFonts w:ascii="Times New Roman" w:hAnsi="Times New Roman" w:cs="Times New Roman"/>
          <w:i/>
          <w:sz w:val="21"/>
        </w:rPr>
        <w:t>The Norman Campaigns in the Balkans, 1081-1108</w:t>
      </w:r>
      <w:r w:rsidRPr="00C054B3">
        <w:rPr>
          <w:rFonts w:ascii="Times New Roman" w:hAnsi="Times New Roman" w:cs="Times New Roman"/>
          <w:sz w:val="21"/>
        </w:rPr>
        <w:t>, (Suffolk: Boydell and Brewer, 2014)</w:t>
      </w:r>
      <w:r>
        <w:rPr>
          <w:rFonts w:ascii="Times New Roman" w:hAnsi="Times New Roman" w:cs="Times New Roman"/>
          <w:sz w:val="21"/>
        </w:rPr>
        <w:t>.</w:t>
      </w:r>
    </w:p>
    <w:p w14:paraId="139F5F63" w14:textId="77777777" w:rsidR="00457603" w:rsidRDefault="00457603" w:rsidP="00457603">
      <w:pPr>
        <w:rPr>
          <w:rFonts w:ascii="Times New Roman" w:hAnsi="Times New Roman" w:cs="Times New Roman"/>
        </w:rPr>
      </w:pPr>
    </w:p>
    <w:p w14:paraId="641B1355" w14:textId="77777777" w:rsidR="00457603" w:rsidRPr="00836B61" w:rsidRDefault="00457603" w:rsidP="00457603">
      <w:pPr>
        <w:spacing w:before="100" w:beforeAutospacing="1" w:after="100" w:afterAutospacing="1"/>
        <w:rPr>
          <w:rFonts w:ascii="Times New Roman" w:hAnsi="Times New Roman" w:cs="Times New Roman"/>
        </w:rPr>
      </w:pPr>
    </w:p>
    <w:p w14:paraId="7DC190D2" w14:textId="77777777" w:rsidR="00B22477" w:rsidRDefault="00B22477"/>
    <w:sectPr w:rsidR="00B22477" w:rsidSect="00196C5D">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2A2D53B" w14:textId="77777777" w:rsidR="003D5060" w:rsidRDefault="003D5060" w:rsidP="00457603">
      <w:r>
        <w:separator/>
      </w:r>
    </w:p>
  </w:endnote>
  <w:endnote w:type="continuationSeparator" w:id="0">
    <w:p w14:paraId="1B8479B2" w14:textId="77777777" w:rsidR="003D5060" w:rsidRDefault="003D5060" w:rsidP="004576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PMingLiU">
    <w:panose1 w:val="02020500000000000000"/>
    <w:charset w:val="88"/>
    <w:family w:val="auto"/>
    <w:pitch w:val="variable"/>
    <w:sig w:usb0="A00002FF" w:usb1="28CFFCFA" w:usb2="00000016" w:usb3="00000000" w:csb0="00100001"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0E5740" w14:textId="77777777" w:rsidR="003D5060" w:rsidRDefault="003D5060" w:rsidP="00457603">
      <w:r>
        <w:separator/>
      </w:r>
    </w:p>
  </w:footnote>
  <w:footnote w:type="continuationSeparator" w:id="0">
    <w:p w14:paraId="5855EFBF" w14:textId="77777777" w:rsidR="003D5060" w:rsidRDefault="003D5060" w:rsidP="00457603">
      <w:r>
        <w:continuationSeparator/>
      </w:r>
    </w:p>
  </w:footnote>
  <w:footnote w:id="1">
    <w:p w14:paraId="176A4A69" w14:textId="49817EEE" w:rsidR="00457603" w:rsidRPr="00C054B3" w:rsidRDefault="00457603" w:rsidP="00457603">
      <w:pPr>
        <w:pStyle w:val="FootnoteText"/>
        <w:rPr>
          <w:rFonts w:ascii="Times New Roman" w:hAnsi="Times New Roman" w:cs="Times New Roman"/>
          <w:sz w:val="21"/>
        </w:rPr>
      </w:pPr>
      <w:r w:rsidRPr="00C054B3">
        <w:rPr>
          <w:rStyle w:val="FootnoteReference"/>
          <w:rFonts w:ascii="Times New Roman" w:hAnsi="Times New Roman" w:cs="Times New Roman"/>
          <w:sz w:val="21"/>
        </w:rPr>
        <w:footnoteRef/>
      </w:r>
      <w:r w:rsidRPr="00C054B3">
        <w:rPr>
          <w:rFonts w:ascii="Times New Roman" w:hAnsi="Times New Roman" w:cs="Times New Roman"/>
          <w:sz w:val="21"/>
        </w:rPr>
        <w:t xml:space="preserve"> G. Theotokis, “The Norman Invasion of Sicily, 1061-1072: Numbers and Military Tactics”, </w:t>
      </w:r>
      <w:r>
        <w:rPr>
          <w:rFonts w:ascii="Times New Roman" w:hAnsi="Times New Roman" w:cs="Times New Roman"/>
          <w:sz w:val="21"/>
        </w:rPr>
        <w:t>(</w:t>
      </w:r>
      <w:r w:rsidRPr="00C054B3">
        <w:rPr>
          <w:rFonts w:ascii="Times New Roman" w:hAnsi="Times New Roman" w:cs="Times New Roman"/>
          <w:i/>
          <w:sz w:val="21"/>
        </w:rPr>
        <w:t>War in History</w:t>
      </w:r>
      <w:r w:rsidRPr="00C054B3">
        <w:rPr>
          <w:rFonts w:ascii="Times New Roman" w:hAnsi="Times New Roman" w:cs="Times New Roman"/>
          <w:sz w:val="21"/>
        </w:rPr>
        <w:t>, vol. 17, no. 4, 2010, pp.381-402</w:t>
      </w:r>
      <w:r>
        <w:rPr>
          <w:rFonts w:ascii="Times New Roman" w:hAnsi="Times New Roman" w:cs="Times New Roman"/>
          <w:sz w:val="21"/>
        </w:rPr>
        <w:t>)</w:t>
      </w:r>
      <w:r w:rsidRPr="00C054B3">
        <w:rPr>
          <w:rFonts w:ascii="Times New Roman" w:hAnsi="Times New Roman" w:cs="Times New Roman"/>
          <w:sz w:val="21"/>
        </w:rPr>
        <w:t>, p.381.</w:t>
      </w:r>
      <w:r w:rsidR="004468C2">
        <w:rPr>
          <w:rFonts w:ascii="Times New Roman" w:hAnsi="Times New Roman" w:cs="Times New Roman"/>
          <w:sz w:val="21"/>
        </w:rPr>
        <w:t xml:space="preserve"> It is u</w:t>
      </w:r>
      <w:r>
        <w:rPr>
          <w:rFonts w:ascii="Times New Roman" w:hAnsi="Times New Roman" w:cs="Times New Roman"/>
          <w:sz w:val="21"/>
        </w:rPr>
        <w:t xml:space="preserve">nprovable as to whether or not that “beyond the Alps” means that he is from Normandy, however, he was familiar with the work of Dudo de St Quentin. E. Johnson “Normandy and Norman Identity in Southern Italian Chronicles”, </w:t>
      </w:r>
      <w:r>
        <w:rPr>
          <w:rFonts w:ascii="Times New Roman" w:hAnsi="Times New Roman" w:cs="Times New Roman"/>
          <w:i/>
          <w:sz w:val="21"/>
        </w:rPr>
        <w:t xml:space="preserve">Anglo-Norman Studies XXVII: Proceedings of the Battle Conference </w:t>
      </w:r>
      <w:r>
        <w:rPr>
          <w:rFonts w:ascii="Times New Roman" w:hAnsi="Times New Roman" w:cs="Times New Roman"/>
          <w:sz w:val="21"/>
        </w:rPr>
        <w:t>(ed., J. Gillingham, Suffolk: Boydell and Brewer, 2004, pp.85-101), p.95.</w:t>
      </w:r>
    </w:p>
  </w:footnote>
  <w:footnote w:id="2">
    <w:p w14:paraId="63B56972" w14:textId="77777777" w:rsidR="00457603" w:rsidRPr="00C054B3" w:rsidRDefault="00457603" w:rsidP="00457603">
      <w:pPr>
        <w:pStyle w:val="FootnoteText"/>
        <w:rPr>
          <w:rFonts w:ascii="Times New Roman" w:hAnsi="Times New Roman" w:cs="Times New Roman"/>
          <w:sz w:val="21"/>
        </w:rPr>
      </w:pPr>
      <w:r w:rsidRPr="00C054B3">
        <w:rPr>
          <w:rStyle w:val="FootnoteReference"/>
          <w:rFonts w:ascii="Times New Roman" w:hAnsi="Times New Roman" w:cs="Times New Roman"/>
          <w:sz w:val="21"/>
        </w:rPr>
        <w:footnoteRef/>
      </w:r>
      <w:r w:rsidRPr="00C054B3">
        <w:rPr>
          <w:rFonts w:ascii="Times New Roman" w:hAnsi="Times New Roman" w:cs="Times New Roman"/>
          <w:sz w:val="21"/>
        </w:rPr>
        <w:t xml:space="preserve"> E. Albu, </w:t>
      </w:r>
      <w:r w:rsidRPr="00C054B3">
        <w:rPr>
          <w:rFonts w:ascii="Times New Roman" w:hAnsi="Times New Roman" w:cs="Times New Roman"/>
          <w:i/>
          <w:sz w:val="21"/>
        </w:rPr>
        <w:t>The Normans in Their Histories: Propaganda, Myth and Subversion</w:t>
      </w:r>
      <w:r w:rsidRPr="00C054B3">
        <w:rPr>
          <w:rFonts w:ascii="Times New Roman" w:hAnsi="Times New Roman" w:cs="Times New Roman"/>
          <w:sz w:val="21"/>
        </w:rPr>
        <w:t>, (Suffolk: Boydell and Brewer, 2001), p.111.</w:t>
      </w:r>
    </w:p>
  </w:footnote>
  <w:footnote w:id="3">
    <w:p w14:paraId="75B19ED0" w14:textId="77777777" w:rsidR="00457603" w:rsidRPr="00C054B3" w:rsidRDefault="00457603" w:rsidP="00457603">
      <w:pPr>
        <w:pStyle w:val="FootnoteText"/>
        <w:rPr>
          <w:rFonts w:ascii="Times New Roman" w:hAnsi="Times New Roman" w:cs="Times New Roman"/>
          <w:sz w:val="21"/>
        </w:rPr>
      </w:pPr>
      <w:r w:rsidRPr="00C054B3">
        <w:rPr>
          <w:rStyle w:val="FootnoteReference"/>
          <w:rFonts w:ascii="Times New Roman" w:hAnsi="Times New Roman" w:cs="Times New Roman"/>
          <w:sz w:val="21"/>
        </w:rPr>
        <w:footnoteRef/>
      </w:r>
      <w:r w:rsidRPr="00C054B3">
        <w:rPr>
          <w:rFonts w:ascii="Times New Roman" w:hAnsi="Times New Roman" w:cs="Times New Roman"/>
          <w:sz w:val="21"/>
        </w:rPr>
        <w:t xml:space="preserve"> G. Theotokis, </w:t>
      </w:r>
      <w:r w:rsidRPr="00C054B3">
        <w:rPr>
          <w:rFonts w:ascii="Times New Roman" w:hAnsi="Times New Roman" w:cs="Times New Roman"/>
          <w:i/>
          <w:sz w:val="21"/>
        </w:rPr>
        <w:t>The Norman Campaigns in the Balkans, 1081-1108</w:t>
      </w:r>
      <w:r w:rsidRPr="00C054B3">
        <w:rPr>
          <w:rFonts w:ascii="Times New Roman" w:hAnsi="Times New Roman" w:cs="Times New Roman"/>
          <w:sz w:val="21"/>
        </w:rPr>
        <w:t>, (Suffolk: Boydell and Brewer, 2014) p.10.</w:t>
      </w:r>
    </w:p>
  </w:footnote>
  <w:footnote w:id="4">
    <w:p w14:paraId="3A268E3E" w14:textId="77777777" w:rsidR="00457603" w:rsidRPr="00C054B3" w:rsidRDefault="00457603" w:rsidP="00457603">
      <w:pPr>
        <w:pStyle w:val="FootnoteText"/>
        <w:rPr>
          <w:rFonts w:ascii="Times New Roman" w:hAnsi="Times New Roman" w:cs="Times New Roman"/>
          <w:sz w:val="21"/>
        </w:rPr>
      </w:pPr>
      <w:r w:rsidRPr="00C054B3">
        <w:rPr>
          <w:rStyle w:val="FootnoteReference"/>
          <w:rFonts w:ascii="Times New Roman" w:hAnsi="Times New Roman" w:cs="Times New Roman"/>
          <w:sz w:val="21"/>
        </w:rPr>
        <w:footnoteRef/>
      </w:r>
      <w:r w:rsidRPr="00C054B3">
        <w:rPr>
          <w:rFonts w:ascii="Times New Roman" w:hAnsi="Times New Roman" w:cs="Times New Roman"/>
          <w:sz w:val="21"/>
        </w:rPr>
        <w:t xml:space="preserve"> E. Albu, </w:t>
      </w:r>
      <w:r w:rsidRPr="00C054B3">
        <w:rPr>
          <w:rFonts w:ascii="Times New Roman" w:hAnsi="Times New Roman" w:cs="Times New Roman"/>
          <w:i/>
          <w:sz w:val="21"/>
        </w:rPr>
        <w:t>The Normans in Their Histories: Propaganda, Myth and Subversion</w:t>
      </w:r>
      <w:r w:rsidRPr="00C054B3">
        <w:rPr>
          <w:rFonts w:ascii="Times New Roman" w:hAnsi="Times New Roman" w:cs="Times New Roman"/>
          <w:sz w:val="21"/>
        </w:rPr>
        <w:t>, (Suffolk: Boydell and Brewer, 2001), p.111-112.</w:t>
      </w:r>
    </w:p>
  </w:footnote>
  <w:footnote w:id="5">
    <w:p w14:paraId="742BC3F3" w14:textId="35BD17C1" w:rsidR="00457603" w:rsidRPr="00C45470" w:rsidRDefault="00457603" w:rsidP="00457603">
      <w:pPr>
        <w:pStyle w:val="FootnoteText"/>
      </w:pPr>
      <w:r>
        <w:rPr>
          <w:rStyle w:val="FootnoteReference"/>
        </w:rPr>
        <w:footnoteRef/>
      </w:r>
      <w:r>
        <w:t xml:space="preserve"> </w:t>
      </w:r>
      <w:r w:rsidRPr="00C45470">
        <w:rPr>
          <w:rFonts w:ascii="Times New Roman" w:hAnsi="Times New Roman" w:cs="Times New Roman"/>
          <w:sz w:val="21"/>
        </w:rPr>
        <w:t xml:space="preserve">This we see also by the name of the </w:t>
      </w:r>
      <w:r w:rsidRPr="00C45470">
        <w:rPr>
          <w:rFonts w:ascii="Times New Roman" w:hAnsi="Times New Roman" w:cs="Times New Roman"/>
          <w:i/>
          <w:sz w:val="21"/>
        </w:rPr>
        <w:t>Deeds</w:t>
      </w:r>
      <w:r w:rsidR="003414FC">
        <w:rPr>
          <w:rFonts w:ascii="Times New Roman" w:hAnsi="Times New Roman" w:cs="Times New Roman"/>
          <w:sz w:val="21"/>
        </w:rPr>
        <w:t xml:space="preserve"> as Roger is listed first, which is </w:t>
      </w:r>
      <w:r w:rsidRPr="00C45470">
        <w:rPr>
          <w:rFonts w:ascii="Times New Roman" w:hAnsi="Times New Roman" w:cs="Times New Roman"/>
          <w:sz w:val="21"/>
        </w:rPr>
        <w:t>unusual seeing as he is the younger brother of the two.</w:t>
      </w:r>
    </w:p>
  </w:footnote>
  <w:footnote w:id="6">
    <w:p w14:paraId="4E0942E7" w14:textId="77777777" w:rsidR="00457603" w:rsidRPr="00C054B3" w:rsidRDefault="00457603" w:rsidP="00457603">
      <w:pPr>
        <w:pStyle w:val="FootnoteText"/>
        <w:rPr>
          <w:rFonts w:ascii="Times New Roman" w:hAnsi="Times New Roman" w:cs="Times New Roman"/>
          <w:sz w:val="21"/>
        </w:rPr>
      </w:pPr>
      <w:r w:rsidRPr="00C054B3">
        <w:rPr>
          <w:rStyle w:val="FootnoteReference"/>
          <w:rFonts w:ascii="Times New Roman" w:hAnsi="Times New Roman" w:cs="Times New Roman"/>
          <w:sz w:val="21"/>
        </w:rPr>
        <w:footnoteRef/>
      </w:r>
      <w:r w:rsidRPr="00C054B3">
        <w:rPr>
          <w:rFonts w:ascii="Times New Roman" w:hAnsi="Times New Roman" w:cs="Times New Roman"/>
          <w:sz w:val="21"/>
        </w:rPr>
        <w:t xml:space="preserve"> G. Theotokis, “The Norman Invasion of Sicily, 1061-1072: Numbers and Military Tactics”, </w:t>
      </w:r>
      <w:r>
        <w:rPr>
          <w:rFonts w:ascii="Times New Roman" w:hAnsi="Times New Roman" w:cs="Times New Roman"/>
          <w:sz w:val="21"/>
        </w:rPr>
        <w:t>(</w:t>
      </w:r>
      <w:r w:rsidRPr="00C054B3">
        <w:rPr>
          <w:rFonts w:ascii="Times New Roman" w:hAnsi="Times New Roman" w:cs="Times New Roman"/>
          <w:i/>
          <w:sz w:val="21"/>
        </w:rPr>
        <w:t>War in History</w:t>
      </w:r>
      <w:r w:rsidRPr="00C054B3">
        <w:rPr>
          <w:rFonts w:ascii="Times New Roman" w:hAnsi="Times New Roman" w:cs="Times New Roman"/>
          <w:sz w:val="21"/>
        </w:rPr>
        <w:t>, vol. 17, no. 4, 2010, pp.381-402</w:t>
      </w:r>
      <w:r>
        <w:rPr>
          <w:rFonts w:ascii="Times New Roman" w:hAnsi="Times New Roman" w:cs="Times New Roman"/>
          <w:sz w:val="21"/>
        </w:rPr>
        <w:t>)</w:t>
      </w:r>
      <w:r w:rsidRPr="00C054B3">
        <w:rPr>
          <w:rFonts w:ascii="Times New Roman" w:hAnsi="Times New Roman" w:cs="Times New Roman"/>
          <w:sz w:val="21"/>
        </w:rPr>
        <w:t>, p.382.</w:t>
      </w:r>
    </w:p>
  </w:footnote>
  <w:footnote w:id="7">
    <w:p w14:paraId="54587B0C" w14:textId="77777777" w:rsidR="00457603" w:rsidRPr="00FE62E4" w:rsidRDefault="00457603" w:rsidP="00457603">
      <w:pPr>
        <w:pStyle w:val="FootnoteText"/>
        <w:rPr>
          <w:rFonts w:ascii="Times New Roman" w:hAnsi="Times New Roman" w:cs="Times New Roman"/>
        </w:rPr>
      </w:pPr>
      <w:r w:rsidRPr="00FE62E4">
        <w:rPr>
          <w:rStyle w:val="FootnoteReference"/>
          <w:rFonts w:ascii="Times New Roman" w:hAnsi="Times New Roman" w:cs="Times New Roman"/>
          <w:sz w:val="21"/>
        </w:rPr>
        <w:footnoteRef/>
      </w:r>
      <w:r w:rsidRPr="00FE62E4">
        <w:rPr>
          <w:rFonts w:ascii="Times New Roman" w:hAnsi="Times New Roman" w:cs="Times New Roman"/>
          <w:sz w:val="21"/>
        </w:rPr>
        <w:t xml:space="preserve"> </w:t>
      </w:r>
      <w:r>
        <w:rPr>
          <w:rFonts w:ascii="Times New Roman" w:hAnsi="Times New Roman" w:cs="Times New Roman"/>
          <w:sz w:val="21"/>
        </w:rPr>
        <w:t xml:space="preserve">T. Roscoe, </w:t>
      </w:r>
      <w:r>
        <w:rPr>
          <w:rFonts w:ascii="Times New Roman" w:hAnsi="Times New Roman" w:cs="Times New Roman"/>
          <w:i/>
          <w:sz w:val="21"/>
        </w:rPr>
        <w:t>The Life of William the Conqueror</w:t>
      </w:r>
      <w:r>
        <w:rPr>
          <w:rFonts w:ascii="Times New Roman" w:hAnsi="Times New Roman" w:cs="Times New Roman"/>
          <w:sz w:val="21"/>
        </w:rPr>
        <w:t>, (London: R. York Clarke &amp; Co., Publishers, 1846),</w:t>
      </w:r>
      <w:r>
        <w:rPr>
          <w:rFonts w:ascii="Times New Roman" w:hAnsi="Times New Roman" w:cs="Times New Roman"/>
          <w:i/>
          <w:sz w:val="21"/>
        </w:rPr>
        <w:t xml:space="preserve"> </w:t>
      </w:r>
      <w:r w:rsidRPr="00FE62E4">
        <w:rPr>
          <w:rFonts w:ascii="Times New Roman" w:hAnsi="Times New Roman" w:cs="Times New Roman"/>
          <w:sz w:val="21"/>
        </w:rPr>
        <w:t>p.</w:t>
      </w:r>
      <w:r>
        <w:rPr>
          <w:rFonts w:ascii="Times New Roman" w:hAnsi="Times New Roman" w:cs="Times New Roman"/>
          <w:sz w:val="21"/>
        </w:rPr>
        <w:t>364.</w:t>
      </w:r>
    </w:p>
  </w:footnote>
  <w:footnote w:id="8">
    <w:p w14:paraId="6175611C" w14:textId="77777777" w:rsidR="00457603" w:rsidRPr="00DD16C1" w:rsidRDefault="00457603" w:rsidP="00457603">
      <w:pPr>
        <w:pStyle w:val="FootnoteText"/>
        <w:rPr>
          <w:sz w:val="21"/>
          <w:szCs w:val="21"/>
        </w:rPr>
      </w:pPr>
      <w:r w:rsidRPr="00DD16C1">
        <w:rPr>
          <w:rStyle w:val="FootnoteReference"/>
          <w:sz w:val="21"/>
          <w:szCs w:val="21"/>
        </w:rPr>
        <w:footnoteRef/>
      </w:r>
      <w:r w:rsidRPr="00DD16C1">
        <w:rPr>
          <w:sz w:val="21"/>
          <w:szCs w:val="21"/>
        </w:rPr>
        <w:t xml:space="preserve"> </w:t>
      </w:r>
      <w:r w:rsidRPr="002349B0">
        <w:rPr>
          <w:rFonts w:ascii="Times New Roman" w:hAnsi="Times New Roman" w:cs="Times New Roman"/>
          <w:sz w:val="21"/>
          <w:szCs w:val="21"/>
        </w:rPr>
        <w:t>Compar</w:t>
      </w:r>
      <w:r>
        <w:rPr>
          <w:rFonts w:ascii="Times New Roman" w:hAnsi="Times New Roman" w:cs="Times New Roman"/>
          <w:sz w:val="21"/>
          <w:szCs w:val="21"/>
        </w:rPr>
        <w:t xml:space="preserve">e to William of Apulia’s </w:t>
      </w:r>
      <w:r>
        <w:rPr>
          <w:rFonts w:ascii="Times New Roman" w:hAnsi="Times New Roman" w:cs="Times New Roman"/>
          <w:i/>
          <w:sz w:val="21"/>
          <w:szCs w:val="21"/>
        </w:rPr>
        <w:t>The Deeds of Robert Guiscard</w:t>
      </w:r>
      <w:r>
        <w:rPr>
          <w:rFonts w:ascii="Times New Roman" w:hAnsi="Times New Roman" w:cs="Times New Roman"/>
          <w:sz w:val="21"/>
          <w:szCs w:val="21"/>
        </w:rPr>
        <w:t xml:space="preserve"> noting his use of the word “human” as opposed to “Norman”, applying the notion of “greed” to all, not exclusively to Normans, knowing it to be a vice: </w:t>
      </w:r>
      <w:r w:rsidRPr="00DD16C1">
        <w:rPr>
          <w:rFonts w:ascii="Times New Roman" w:hAnsi="Times New Roman" w:cs="Times New Roman"/>
          <w:sz w:val="21"/>
          <w:szCs w:val="21"/>
        </w:rPr>
        <w:t>“But since human thoughts are inclined to greed and money always triumphs in the end, from time to time they abandoned him</w:t>
      </w:r>
      <w:r>
        <w:rPr>
          <w:rFonts w:ascii="Times New Roman" w:hAnsi="Times New Roman" w:cs="Times New Roman"/>
          <w:sz w:val="21"/>
          <w:szCs w:val="21"/>
        </w:rPr>
        <w:t xml:space="preserve"> [</w:t>
      </w:r>
      <w:r w:rsidRPr="00165882">
        <w:rPr>
          <w:rFonts w:ascii="Times New Roman" w:hAnsi="Times New Roman" w:cs="Times New Roman"/>
          <w:sz w:val="21"/>
          <w:szCs w:val="21"/>
        </w:rPr>
        <w:t xml:space="preserve">the </w:t>
      </w:r>
      <w:r w:rsidRPr="00165882">
        <w:rPr>
          <w:rFonts w:ascii="Times New Roman" w:hAnsi="Times New Roman"/>
          <w:sz w:val="21"/>
          <w:szCs w:val="21"/>
        </w:rPr>
        <w:t>Prince of Capua]</w:t>
      </w:r>
      <w:r w:rsidRPr="00165882">
        <w:rPr>
          <w:rFonts w:ascii="Times New Roman" w:hAnsi="Times New Roman" w:cs="Times New Roman"/>
          <w:sz w:val="21"/>
          <w:szCs w:val="21"/>
        </w:rPr>
        <w:t>,</w:t>
      </w:r>
      <w:r w:rsidRPr="00DD16C1">
        <w:rPr>
          <w:rFonts w:ascii="Times New Roman" w:hAnsi="Times New Roman" w:cs="Times New Roman"/>
          <w:sz w:val="21"/>
          <w:szCs w:val="21"/>
        </w:rPr>
        <w:t xml:space="preserve"> always supporting the one who paid better, serving most willingly him from whom they gained the greatest advantage.” </w:t>
      </w:r>
      <w:r>
        <w:rPr>
          <w:rFonts w:ascii="Times New Roman" w:hAnsi="Times New Roman" w:cs="Times New Roman"/>
          <w:sz w:val="21"/>
          <w:szCs w:val="21"/>
        </w:rPr>
        <w:t xml:space="preserve">William of Apulia, </w:t>
      </w:r>
      <w:r w:rsidRPr="00DD16C1">
        <w:rPr>
          <w:rFonts w:ascii="Times New Roman" w:hAnsi="Times New Roman" w:cs="Times New Roman"/>
          <w:i/>
          <w:sz w:val="21"/>
          <w:szCs w:val="21"/>
        </w:rPr>
        <w:t>The Deeds of Robert Guiscard</w:t>
      </w:r>
      <w:r w:rsidRPr="00DD16C1">
        <w:rPr>
          <w:rFonts w:ascii="Times New Roman" w:hAnsi="Times New Roman" w:cs="Times New Roman"/>
          <w:sz w:val="21"/>
          <w:szCs w:val="21"/>
        </w:rPr>
        <w:t>, trans.</w:t>
      </w:r>
      <w:r>
        <w:rPr>
          <w:rFonts w:ascii="Times New Roman" w:hAnsi="Times New Roman" w:cs="Times New Roman"/>
          <w:sz w:val="21"/>
          <w:szCs w:val="21"/>
        </w:rPr>
        <w:t>,</w:t>
      </w:r>
      <w:r w:rsidRPr="00DD16C1">
        <w:rPr>
          <w:rFonts w:ascii="Times New Roman" w:hAnsi="Times New Roman" w:cs="Times New Roman"/>
          <w:sz w:val="21"/>
          <w:szCs w:val="21"/>
        </w:rPr>
        <w:t xml:space="preserve"> G. A. Loud, (Leeds Medieval History Texts in Translation Website, University of Leeds, 2002</w:t>
      </w:r>
      <w:r>
        <w:rPr>
          <w:rFonts w:ascii="Times New Roman" w:hAnsi="Times New Roman" w:cs="Times New Roman"/>
          <w:sz w:val="21"/>
          <w:szCs w:val="21"/>
        </w:rPr>
        <w:t>.</w:t>
      </w:r>
      <w:r w:rsidRPr="00DD16C1">
        <w:rPr>
          <w:rFonts w:ascii="Times New Roman" w:hAnsi="Times New Roman" w:cs="Times New Roman"/>
          <w:sz w:val="21"/>
          <w:szCs w:val="21"/>
        </w:rPr>
        <w:t>),</w:t>
      </w:r>
      <w:r w:rsidRPr="00DD16C1">
        <w:rPr>
          <w:rFonts w:ascii="Times New Roman" w:hAnsi="Times New Roman" w:cs="Times New Roman"/>
          <w:i/>
          <w:sz w:val="21"/>
          <w:szCs w:val="21"/>
        </w:rPr>
        <w:t xml:space="preserve"> </w:t>
      </w:r>
      <w:r w:rsidRPr="00DD16C1">
        <w:rPr>
          <w:rFonts w:ascii="Times New Roman" w:hAnsi="Times New Roman" w:cs="Times New Roman"/>
          <w:sz w:val="21"/>
          <w:szCs w:val="21"/>
        </w:rPr>
        <w:t xml:space="preserve">p.6. </w:t>
      </w:r>
      <w:r>
        <w:rPr>
          <w:rFonts w:ascii="Times New Roman" w:hAnsi="Times New Roman" w:cs="Times New Roman"/>
          <w:sz w:val="21"/>
          <w:szCs w:val="21"/>
        </w:rPr>
        <w:t xml:space="preserve">Compare both the Norman accounts to the opposing </w:t>
      </w:r>
      <w:r w:rsidRPr="00DD16C1">
        <w:rPr>
          <w:rFonts w:ascii="Times New Roman" w:hAnsi="Times New Roman" w:cs="Times New Roman"/>
          <w:sz w:val="21"/>
          <w:szCs w:val="21"/>
        </w:rPr>
        <w:t xml:space="preserve">Anglo-Saxon Chronicle’s description of William the Conqueror as being “sunk in greed and utterly given up to avarice”. </w:t>
      </w:r>
      <w:r w:rsidRPr="00DD16C1">
        <w:rPr>
          <w:rFonts w:ascii="Times New Roman" w:hAnsi="Times New Roman" w:cs="Times New Roman"/>
          <w:i/>
          <w:sz w:val="21"/>
          <w:szCs w:val="21"/>
        </w:rPr>
        <w:t>The Anglo-Saxon Chronicle</w:t>
      </w:r>
      <w:r w:rsidRPr="00DD16C1">
        <w:rPr>
          <w:rFonts w:ascii="Times New Roman" w:hAnsi="Times New Roman" w:cs="Times New Roman"/>
          <w:sz w:val="21"/>
          <w:szCs w:val="21"/>
        </w:rPr>
        <w:t>, ed. and tr</w:t>
      </w:r>
      <w:r>
        <w:rPr>
          <w:rFonts w:ascii="Times New Roman" w:hAnsi="Times New Roman" w:cs="Times New Roman"/>
          <w:sz w:val="21"/>
          <w:szCs w:val="21"/>
        </w:rPr>
        <w:t>ans</w:t>
      </w:r>
      <w:r w:rsidRPr="00DD16C1">
        <w:rPr>
          <w:rFonts w:ascii="Times New Roman" w:hAnsi="Times New Roman" w:cs="Times New Roman"/>
          <w:sz w:val="21"/>
          <w:szCs w:val="21"/>
        </w:rPr>
        <w:t>.</w:t>
      </w:r>
      <w:r>
        <w:rPr>
          <w:rFonts w:ascii="Times New Roman" w:hAnsi="Times New Roman" w:cs="Times New Roman"/>
          <w:sz w:val="21"/>
          <w:szCs w:val="21"/>
        </w:rPr>
        <w:t>,</w:t>
      </w:r>
      <w:r w:rsidRPr="00DD16C1">
        <w:rPr>
          <w:rFonts w:ascii="Times New Roman" w:hAnsi="Times New Roman" w:cs="Times New Roman"/>
          <w:sz w:val="21"/>
          <w:szCs w:val="21"/>
        </w:rPr>
        <w:t xml:space="preserve"> G. N. Garmonsway (London: J. M. Dent, 1992), p.216.</w:t>
      </w:r>
    </w:p>
  </w:footnote>
  <w:footnote w:id="9">
    <w:p w14:paraId="6F1B62A2" w14:textId="77777777" w:rsidR="00457603" w:rsidRPr="00AD5E74" w:rsidRDefault="00457603" w:rsidP="00457603">
      <w:pPr>
        <w:pStyle w:val="FootnoteText"/>
        <w:rPr>
          <w:rFonts w:ascii="Times New Roman" w:hAnsi="Times New Roman" w:cs="Times New Roman"/>
        </w:rPr>
      </w:pPr>
      <w:r w:rsidRPr="00AD5E74">
        <w:rPr>
          <w:rStyle w:val="FootnoteReference"/>
          <w:rFonts w:ascii="Times New Roman" w:hAnsi="Times New Roman" w:cs="Times New Roman"/>
          <w:sz w:val="21"/>
        </w:rPr>
        <w:footnoteRef/>
      </w:r>
      <w:r>
        <w:rPr>
          <w:rFonts w:ascii="Times New Roman" w:hAnsi="Times New Roman" w:cs="Times New Roman"/>
          <w:sz w:val="21"/>
        </w:rPr>
        <w:t xml:space="preserve"> Compare</w:t>
      </w:r>
      <w:r w:rsidRPr="00AD5E74">
        <w:rPr>
          <w:rFonts w:ascii="Times New Roman" w:hAnsi="Times New Roman" w:cs="Times New Roman"/>
          <w:sz w:val="21"/>
        </w:rPr>
        <w:t xml:space="preserve"> </w:t>
      </w:r>
      <w:r>
        <w:rPr>
          <w:rFonts w:ascii="Times New Roman" w:hAnsi="Times New Roman" w:cs="Times New Roman"/>
          <w:sz w:val="21"/>
        </w:rPr>
        <w:t>Orderic Vitalis</w:t>
      </w:r>
      <w:r>
        <w:rPr>
          <w:rFonts w:ascii="Times New Roman" w:hAnsi="Times New Roman" w:cs="Times New Roman"/>
          <w:sz w:val="21"/>
        </w:rPr>
        <w:t>’s description of the Normans as an “untamed race” who</w:t>
      </w:r>
      <w:bookmarkStart w:id="0" w:name="_GoBack"/>
      <w:bookmarkEnd w:id="0"/>
      <w:r>
        <w:rPr>
          <w:rFonts w:ascii="Times New Roman" w:hAnsi="Times New Roman" w:cs="Times New Roman"/>
          <w:sz w:val="21"/>
        </w:rPr>
        <w:t xml:space="preserve"> need to be kept in check as without “they are all too ready to do wrong.” </w:t>
      </w:r>
      <w:r>
        <w:rPr>
          <w:rFonts w:ascii="Times New Roman" w:hAnsi="Times New Roman" w:cs="Times New Roman"/>
          <w:sz w:val="21"/>
        </w:rPr>
        <w:t>Orderic Vitalis</w:t>
      </w:r>
      <w:r>
        <w:rPr>
          <w:rFonts w:ascii="Times New Roman" w:hAnsi="Times New Roman" w:cs="Times New Roman"/>
          <w:i/>
          <w:sz w:val="21"/>
        </w:rPr>
        <w:t>, Ecclesiasitical History (on the character of the Normans)</w:t>
      </w:r>
      <w:r>
        <w:rPr>
          <w:rFonts w:ascii="Times New Roman" w:hAnsi="Times New Roman" w:cs="Times New Roman"/>
          <w:sz w:val="21"/>
        </w:rPr>
        <w:t>, extract 20 in ed. and trans., E. van Houts, (Manchester: Manchester University Press, 2000/08) p.77.</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977E50" w14:textId="2C4D598D" w:rsidR="00632C3C" w:rsidRDefault="003D5060">
    <w:pPr>
      <w:pStyle w:val="Header"/>
    </w:pPr>
    <w:r>
      <w:rPr>
        <w:rFonts w:ascii="Calibri" w:hAnsi="Calibri"/>
      </w:rPr>
      <w:t>T</w:t>
    </w:r>
    <w:r>
      <w:rPr>
        <w:rFonts w:ascii="Calibri" w:hAnsi="Calibri"/>
      </w:rPr>
      <w:t>anith McGarry</w:t>
    </w:r>
    <w:r>
      <w:rPr>
        <w:rFonts w:ascii="Calibri" w:hAnsi="Calibri"/>
      </w:rPr>
      <w:tab/>
      <w:t>1500769</w:t>
    </w:r>
    <w:r>
      <w:rPr>
        <w:rFonts w:ascii="Calibri" w:hAnsi="Calibri"/>
      </w:rPr>
      <w:tab/>
    </w:r>
    <w:r>
      <w:rPr>
        <w:rFonts w:ascii="Calibri" w:hAnsi="Calibri"/>
      </w:rPr>
      <w:t>word</w:t>
    </w:r>
    <w:r>
      <w:rPr>
        <w:rFonts w:ascii="Calibri" w:hAnsi="Calibri"/>
      </w:rPr>
      <w:t xml:space="preserve"> </w:t>
    </w:r>
    <w:r>
      <w:rPr>
        <w:rFonts w:ascii="Calibri" w:hAnsi="Calibri"/>
      </w:rPr>
      <w:t xml:space="preserve">count: </w:t>
    </w:r>
    <w:r w:rsidR="001E5204">
      <w:rPr>
        <w:rFonts w:ascii="Calibri" w:hAnsi="Calibri"/>
      </w:rPr>
      <w:t>9</w:t>
    </w:r>
    <w:r w:rsidR="00574BD0">
      <w:rPr>
        <w:rFonts w:ascii="Calibri" w:hAnsi="Calibri"/>
      </w:rPr>
      <w:t>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7603"/>
    <w:rsid w:val="00054E2F"/>
    <w:rsid w:val="00063D5B"/>
    <w:rsid w:val="00092CA7"/>
    <w:rsid w:val="00196C5D"/>
    <w:rsid w:val="001E4FA9"/>
    <w:rsid w:val="001E5204"/>
    <w:rsid w:val="002B582C"/>
    <w:rsid w:val="002E6390"/>
    <w:rsid w:val="003414FC"/>
    <w:rsid w:val="003B5F62"/>
    <w:rsid w:val="003D5060"/>
    <w:rsid w:val="004468C2"/>
    <w:rsid w:val="004530A2"/>
    <w:rsid w:val="00457603"/>
    <w:rsid w:val="00477874"/>
    <w:rsid w:val="00574BD0"/>
    <w:rsid w:val="005B6969"/>
    <w:rsid w:val="006444DB"/>
    <w:rsid w:val="008567C5"/>
    <w:rsid w:val="008B14B4"/>
    <w:rsid w:val="008E0791"/>
    <w:rsid w:val="008E24F5"/>
    <w:rsid w:val="00955567"/>
    <w:rsid w:val="00B22477"/>
    <w:rsid w:val="00B26FA3"/>
    <w:rsid w:val="00B64C2F"/>
    <w:rsid w:val="00C6326E"/>
    <w:rsid w:val="00C77160"/>
    <w:rsid w:val="00E86BBF"/>
    <w:rsid w:val="00F51C07"/>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F731D4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57603"/>
    <w:rPr>
      <w:lang w:val="en-GB"/>
    </w:rPr>
  </w:style>
  <w:style w:type="paragraph" w:styleId="Heading1">
    <w:name w:val="heading 1"/>
    <w:basedOn w:val="Normal"/>
    <w:link w:val="Heading1Char"/>
    <w:uiPriority w:val="9"/>
    <w:rsid w:val="00457603"/>
    <w:pPr>
      <w:spacing w:beforeLines="1" w:afterLines="1" w:after="200"/>
      <w:outlineLvl w:val="0"/>
    </w:pPr>
    <w:rPr>
      <w:rFonts w:ascii="Times" w:eastAsia="Cambria" w:hAnsi="Times" w:cs="Times New Roman"/>
      <w:b/>
      <w:kern w:val="36"/>
      <w:sz w:val="48"/>
      <w:szCs w:val="20"/>
    </w:rPr>
  </w:style>
  <w:style w:type="paragraph" w:styleId="Heading3">
    <w:name w:val="heading 3"/>
    <w:basedOn w:val="Normal"/>
    <w:next w:val="Normal"/>
    <w:link w:val="Heading3Char"/>
    <w:uiPriority w:val="9"/>
    <w:semiHidden/>
    <w:unhideWhenUsed/>
    <w:qFormat/>
    <w:rsid w:val="00457603"/>
    <w:pPr>
      <w:keepNext/>
      <w:keepLines/>
      <w:spacing w:before="200" w:line="480" w:lineRule="auto"/>
      <w:outlineLvl w:val="2"/>
    </w:pPr>
    <w:rPr>
      <w:rFonts w:ascii="Calibri" w:eastAsia="Times New Roman" w:hAnsi="Calibri" w:cs="Times New Roman"/>
      <w:b/>
      <w:bCs/>
      <w:color w:val="4F81BD"/>
      <w:sz w:val="28"/>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603"/>
    <w:rPr>
      <w:rFonts w:ascii="Times" w:eastAsia="Cambria" w:hAnsi="Times" w:cs="Times New Roman"/>
      <w:b/>
      <w:kern w:val="36"/>
      <w:sz w:val="48"/>
      <w:szCs w:val="20"/>
      <w:lang w:val="en-GB"/>
    </w:rPr>
  </w:style>
  <w:style w:type="character" w:customStyle="1" w:styleId="Heading3Char">
    <w:name w:val="Heading 3 Char"/>
    <w:basedOn w:val="DefaultParagraphFont"/>
    <w:link w:val="Heading3"/>
    <w:uiPriority w:val="9"/>
    <w:semiHidden/>
    <w:rsid w:val="00457603"/>
    <w:rPr>
      <w:rFonts w:ascii="Calibri" w:eastAsia="Times New Roman" w:hAnsi="Calibri" w:cs="Times New Roman"/>
      <w:b/>
      <w:bCs/>
      <w:color w:val="4F81BD"/>
      <w:sz w:val="28"/>
      <w:szCs w:val="22"/>
      <w:lang w:val="en-GB"/>
    </w:rPr>
  </w:style>
  <w:style w:type="paragraph" w:styleId="Header">
    <w:name w:val="header"/>
    <w:basedOn w:val="Normal"/>
    <w:link w:val="HeaderChar"/>
    <w:uiPriority w:val="99"/>
    <w:unhideWhenUsed/>
    <w:rsid w:val="00457603"/>
    <w:pPr>
      <w:tabs>
        <w:tab w:val="center" w:pos="4513"/>
        <w:tab w:val="right" w:pos="9026"/>
      </w:tabs>
    </w:pPr>
  </w:style>
  <w:style w:type="character" w:customStyle="1" w:styleId="HeaderChar">
    <w:name w:val="Header Char"/>
    <w:basedOn w:val="DefaultParagraphFont"/>
    <w:link w:val="Header"/>
    <w:uiPriority w:val="99"/>
    <w:rsid w:val="00457603"/>
    <w:rPr>
      <w:lang w:val="en-GB"/>
    </w:rPr>
  </w:style>
  <w:style w:type="paragraph" w:styleId="FootnoteText">
    <w:name w:val="footnote text"/>
    <w:basedOn w:val="Normal"/>
    <w:link w:val="FootnoteTextChar"/>
    <w:uiPriority w:val="99"/>
    <w:unhideWhenUsed/>
    <w:rsid w:val="00457603"/>
  </w:style>
  <w:style w:type="character" w:customStyle="1" w:styleId="FootnoteTextChar">
    <w:name w:val="Footnote Text Char"/>
    <w:basedOn w:val="DefaultParagraphFont"/>
    <w:link w:val="FootnoteText"/>
    <w:uiPriority w:val="99"/>
    <w:rsid w:val="00457603"/>
    <w:rPr>
      <w:lang w:val="en-GB"/>
    </w:rPr>
  </w:style>
  <w:style w:type="character" w:styleId="FootnoteReference">
    <w:name w:val="footnote reference"/>
    <w:basedOn w:val="DefaultParagraphFont"/>
    <w:uiPriority w:val="99"/>
    <w:unhideWhenUsed/>
    <w:rsid w:val="00457603"/>
    <w:rPr>
      <w:vertAlign w:val="superscript"/>
    </w:rPr>
  </w:style>
  <w:style w:type="paragraph" w:styleId="BodyText">
    <w:name w:val="Body Text"/>
    <w:basedOn w:val="Normal"/>
    <w:link w:val="BodyTextChar"/>
    <w:rsid w:val="00457603"/>
    <w:pPr>
      <w:spacing w:after="240" w:line="480" w:lineRule="auto"/>
      <w:jc w:val="center"/>
    </w:pPr>
    <w:rPr>
      <w:rFonts w:ascii="Times New Roman" w:eastAsia="Times New Roman" w:hAnsi="Times New Roman" w:cs="Times New Roman"/>
      <w:b/>
      <w:szCs w:val="20"/>
      <w:lang w:eastAsia="en-GB"/>
    </w:rPr>
  </w:style>
  <w:style w:type="character" w:customStyle="1" w:styleId="BodyTextChar">
    <w:name w:val="Body Text Char"/>
    <w:basedOn w:val="DefaultParagraphFont"/>
    <w:link w:val="BodyText"/>
    <w:rsid w:val="00457603"/>
    <w:rPr>
      <w:rFonts w:ascii="Times New Roman" w:eastAsia="Times New Roman" w:hAnsi="Times New Roman" w:cs="Times New Roman"/>
      <w:b/>
      <w:szCs w:val="20"/>
      <w:lang w:val="en-GB" w:eastAsia="en-GB"/>
    </w:rPr>
  </w:style>
  <w:style w:type="paragraph" w:styleId="NormalWeb">
    <w:name w:val="Normal (Web)"/>
    <w:basedOn w:val="Normal"/>
    <w:rsid w:val="00457603"/>
    <w:pPr>
      <w:spacing w:beforeLines="1" w:afterLines="1" w:after="200"/>
    </w:pPr>
    <w:rPr>
      <w:rFonts w:ascii="Times" w:eastAsia="Cambria" w:hAnsi="Times" w:cs="Times New Roman"/>
      <w:sz w:val="20"/>
      <w:szCs w:val="20"/>
    </w:rPr>
  </w:style>
  <w:style w:type="paragraph" w:styleId="Footer">
    <w:name w:val="footer"/>
    <w:basedOn w:val="Normal"/>
    <w:link w:val="FooterChar"/>
    <w:uiPriority w:val="99"/>
    <w:unhideWhenUsed/>
    <w:rsid w:val="001E5204"/>
    <w:pPr>
      <w:tabs>
        <w:tab w:val="center" w:pos="4513"/>
        <w:tab w:val="right" w:pos="9026"/>
      </w:tabs>
    </w:pPr>
  </w:style>
  <w:style w:type="character" w:customStyle="1" w:styleId="FooterChar">
    <w:name w:val="Footer Char"/>
    <w:basedOn w:val="DefaultParagraphFont"/>
    <w:link w:val="Footer"/>
    <w:uiPriority w:val="99"/>
    <w:rsid w:val="001E520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6</Pages>
  <Words>1334</Words>
  <Characters>6380</Characters>
  <Application>Microsoft Macintosh Word</Application>
  <DocSecurity>0</DocSecurity>
  <Lines>98</Lines>
  <Paragraphs>19</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Undergraduate assignment feedback form</vt:lpstr>
      <vt:lpstr>        </vt:lpstr>
    </vt:vector>
  </TitlesOfParts>
  <LinksUpToDate>false</LinksUpToDate>
  <CharactersWithSpaces>7695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Tanith 'Ulfrún' Hare</dc:creator>
  <cp:keywords/>
  <dc:description/>
  <cp:lastModifiedBy>Tanith 'Ulfrún' Hare</cp:lastModifiedBy>
  <cp:revision>11</cp:revision>
  <dcterms:created xsi:type="dcterms:W3CDTF">2017-10-28T19:01:00Z</dcterms:created>
  <dcterms:modified xsi:type="dcterms:W3CDTF">2017-10-30T16:07:00Z</dcterms:modified>
</cp:coreProperties>
</file>