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7583F0" w14:textId="23184878" w:rsidR="00B64EBD" w:rsidRPr="00557F64" w:rsidRDefault="00397549" w:rsidP="00B64EBD">
      <w:pPr>
        <w:pStyle w:val="Title"/>
        <w:ind w:right="-23"/>
        <w:rPr>
          <w:rFonts w:ascii="PT Sans" w:hAnsi="PT Sans"/>
          <w:color w:val="002060"/>
          <w:sz w:val="52"/>
        </w:rPr>
      </w:pPr>
      <w:r>
        <w:rPr>
          <w:noProof/>
        </w:rPr>
        <mc:AlternateContent>
          <mc:Choice Requires="wps">
            <w:drawing>
              <wp:anchor distT="0" distB="0" distL="114300" distR="114300" simplePos="0" relativeHeight="251661312" behindDoc="0" locked="0" layoutInCell="1" allowOverlap="1" wp14:anchorId="712FB845" wp14:editId="6BB6070C">
                <wp:simplePos x="0" y="0"/>
                <wp:positionH relativeFrom="column">
                  <wp:posOffset>574089</wp:posOffset>
                </wp:positionH>
                <wp:positionV relativeFrom="paragraph">
                  <wp:posOffset>2695672</wp:posOffset>
                </wp:positionV>
                <wp:extent cx="6412230" cy="1817077"/>
                <wp:effectExtent l="0" t="0" r="0" b="0"/>
                <wp:wrapNone/>
                <wp:docPr id="1" name="Text Box 1"/>
                <wp:cNvGraphicFramePr/>
                <a:graphic xmlns:a="http://schemas.openxmlformats.org/drawingml/2006/main">
                  <a:graphicData uri="http://schemas.microsoft.com/office/word/2010/wordprocessingShape">
                    <wps:wsp>
                      <wps:cNvSpPr txBox="1"/>
                      <wps:spPr>
                        <a:xfrm>
                          <a:off x="0" y="0"/>
                          <a:ext cx="6412230" cy="1817077"/>
                        </a:xfrm>
                        <a:prstGeom prst="rect">
                          <a:avLst/>
                        </a:prstGeom>
                        <a:noFill/>
                        <a:ln w="6350">
                          <a:noFill/>
                        </a:ln>
                      </wps:spPr>
                      <wps:txbx>
                        <w:txbxContent>
                          <w:p w14:paraId="34CAD4DA" w14:textId="77777777" w:rsidR="00B64EBD" w:rsidRPr="00557F64" w:rsidRDefault="00B64EBD" w:rsidP="00B64EBD">
                            <w:pPr>
                              <w:pStyle w:val="Subtitle"/>
                              <w:rPr>
                                <w:rFonts w:ascii="PT Sans" w:hAnsi="PT Sans"/>
                                <w:color w:val="165788" w:themeColor="text2"/>
                                <w:sz w:val="44"/>
                              </w:rPr>
                            </w:pPr>
                            <w:r w:rsidRPr="00557F64">
                              <w:rPr>
                                <w:rFonts w:ascii="PT Sans" w:hAnsi="PT Sans"/>
                                <w:color w:val="165788" w:themeColor="text2"/>
                                <w:sz w:val="32"/>
                              </w:rPr>
                              <w:t>The navigation through rough waters as One Crew, during times of turbulence</w:t>
                            </w:r>
                          </w:p>
                          <w:p w14:paraId="645488F5" w14:textId="77777777" w:rsidR="00B64EBD" w:rsidRPr="00557F64" w:rsidRDefault="00B64EBD" w:rsidP="00B64EBD">
                            <w:pPr>
                              <w:pStyle w:val="Nornal"/>
                              <w:rPr>
                                <w:sz w:val="21"/>
                              </w:rPr>
                            </w:pPr>
                            <w:r w:rsidRPr="00557F64">
                              <w:rPr>
                                <w:rFonts w:ascii="PT Sans" w:hAnsi="PT Sans"/>
                                <w:b/>
                                <w:sz w:val="22"/>
                              </w:rPr>
                              <w:t>This information sheet will bring the RNLI’s vision to “save everyone”, as well as the almost subconscious values that are so deeply woven in the fabric of this charity, to the forefront of our minds; all whilst providing the Water Safety Team with an overview of the crucial external factors affecting the business environment, to allow for better informed decision-making and a sound knowledge of the challenges we are facing, as we navigate our way towards 2023.</w:t>
                            </w:r>
                          </w:p>
                          <w:p w14:paraId="7DCA44B5" w14:textId="77777777" w:rsidR="00B64EBD" w:rsidRDefault="00B64E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12FB845" id="_x0000_t202" coordsize="21600,21600" o:spt="202" path="m,l,21600r21600,l21600,xe">
                <v:stroke joinstyle="miter"/>
                <v:path gradientshapeok="t" o:connecttype="rect"/>
              </v:shapetype>
              <v:shape id="Text Box 1" o:spid="_x0000_s1026" type="#_x0000_t202" style="position:absolute;margin-left:45.2pt;margin-top:212.25pt;width:504.9pt;height:143.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" filled="f" stroked="f" strokeweight=".5pt">
                <v:textbox>
                  <w:txbxContent>
                    <w:p w14:paraId="34CAD4DA" w14:textId="77777777" w:rsidR="00B64EBD" w:rsidRPr="00557F64" w:rsidRDefault="00B64EBD" w:rsidP="00B64EBD">
                      <w:pPr>
                        <w:pStyle w:val="Subtitle"/>
                        <w:rPr>
                          <w:rFonts w:ascii="PT Sans" w:hAnsi="PT Sans"/>
                          <w:color w:val="165788" w:themeColor="text2"/>
                          <w:sz w:val="44"/>
                        </w:rPr>
                      </w:pPr>
                      <w:r w:rsidRPr="00557F64">
                        <w:rPr>
                          <w:rFonts w:ascii="PT Sans" w:hAnsi="PT Sans"/>
                          <w:color w:val="165788" w:themeColor="text2"/>
                          <w:sz w:val="32"/>
                        </w:rPr>
                        <w:t>The navigation through rough waters as One Crew, during times of turbulence</w:t>
                      </w:r>
                    </w:p>
                    <w:p w14:paraId="645488F5" w14:textId="77777777" w:rsidR="00B64EBD" w:rsidRPr="00557F64" w:rsidRDefault="00B64EBD" w:rsidP="00B64EBD">
                      <w:pPr>
                        <w:pStyle w:val="Nornal"/>
                        <w:rPr>
                          <w:sz w:val="21"/>
                        </w:rPr>
                      </w:pPr>
                      <w:r w:rsidRPr="00557F64">
                        <w:rPr>
                          <w:rFonts w:ascii="PT Sans" w:hAnsi="PT Sans"/>
                          <w:b/>
                          <w:sz w:val="22"/>
                        </w:rPr>
                        <w:t>This information sheet will bring the RNLI’s vision to “save everyone”, as well as the almost subconscious values that are so deeply woven in the fabric of this charity, to the forefront of our minds; all whilst providing the Water Safety Team with an overview of the crucial external factors affecting the business environment, to allow for better informed decision-making and a sound knowledge of the challenges we are facing, as we navigate our way towards 2023.</w:t>
                      </w:r>
                    </w:p>
                    <w:p w14:paraId="7DCA44B5" w14:textId="77777777" w:rsidR="00B64EBD" w:rsidRDefault="00B64EBD"/>
                  </w:txbxContent>
                </v:textbox>
              </v:shape>
            </w:pict>
          </mc:Fallback>
        </mc:AlternateContent>
      </w:r>
      <w:r w:rsidR="00511EE7">
        <w:rPr>
          <w:noProof/>
        </w:rPr>
        <mc:AlternateContent>
          <mc:Choice Requires="wps">
            <w:drawing>
              <wp:anchor distT="0" distB="0" distL="114300" distR="114300" simplePos="0" relativeHeight="251662336" behindDoc="0" locked="0" layoutInCell="1" allowOverlap="1" wp14:anchorId="7318835D" wp14:editId="6D50FF3F">
                <wp:simplePos x="0" y="0"/>
                <wp:positionH relativeFrom="column">
                  <wp:posOffset>583320</wp:posOffset>
                </wp:positionH>
                <wp:positionV relativeFrom="paragraph">
                  <wp:posOffset>2272860</wp:posOffset>
                </wp:positionV>
                <wp:extent cx="6131170" cy="949178"/>
                <wp:effectExtent l="0" t="0" r="0" b="0"/>
                <wp:wrapNone/>
                <wp:docPr id="3" name="Text Box 3"/>
                <wp:cNvGraphicFramePr/>
                <a:graphic xmlns:a="http://schemas.openxmlformats.org/drawingml/2006/main">
                  <a:graphicData uri="http://schemas.microsoft.com/office/word/2010/wordprocessingShape">
                    <wps:wsp>
                      <wps:cNvSpPr txBox="1"/>
                      <wps:spPr>
                        <a:xfrm>
                          <a:off x="0" y="0"/>
                          <a:ext cx="6131170" cy="949178"/>
                        </a:xfrm>
                        <a:prstGeom prst="rect">
                          <a:avLst/>
                        </a:prstGeom>
                        <a:noFill/>
                        <a:ln w="6350">
                          <a:noFill/>
                        </a:ln>
                      </wps:spPr>
                      <wps:txbx>
                        <w:txbxContent>
                          <w:p w14:paraId="53961438" w14:textId="3BE8333D" w:rsidR="00B64EBD" w:rsidRPr="00B64EBD" w:rsidRDefault="00B64EBD" w:rsidP="00B64EBD">
                            <w:pPr>
                              <w:rPr>
                                <w:b/>
                                <w:color w:val="002060"/>
                                <w:sz w:val="21"/>
                              </w:rPr>
                            </w:pPr>
                            <w:r w:rsidRPr="00B64EBD">
                              <w:rPr>
                                <w:rFonts w:ascii="PT Sans" w:hAnsi="PT Sans"/>
                                <w:b/>
                                <w:color w:val="002060"/>
                                <w:sz w:val="48"/>
                              </w:rPr>
                              <w:t xml:space="preserve">It’s </w:t>
                            </w:r>
                            <w:r w:rsidRPr="00B64EBD">
                              <w:rPr>
                                <w:rFonts w:ascii="PT Sans" w:hAnsi="PT Sans"/>
                                <w:b/>
                                <w:color w:val="002060"/>
                                <w:sz w:val="48"/>
                              </w:rPr>
                              <w:t>not all smooth-sailing for the RNLI: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8835D" id="Text Box 3" o:spid="_x0000_s1027" type="#_x0000_t202" style="position:absolute;margin-left:45.95pt;margin-top:178.95pt;width:482.75pt;height:7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" filled="f" stroked="f" strokeweight=".5pt">
                <v:textbox>
                  <w:txbxContent>
                    <w:p w14:paraId="53961438" w14:textId="3BE8333D" w:rsidR="00B64EBD" w:rsidRPr="00B64EBD" w:rsidRDefault="00B64EBD" w:rsidP="00B64EBD">
                      <w:pPr>
                        <w:rPr>
                          <w:b/>
                          <w:color w:val="002060"/>
                          <w:sz w:val="21"/>
                        </w:rPr>
                      </w:pPr>
                      <w:r w:rsidRPr="00B64EBD">
                        <w:rPr>
                          <w:rFonts w:ascii="PT Sans" w:hAnsi="PT Sans"/>
                          <w:b/>
                          <w:color w:val="002060"/>
                          <w:sz w:val="48"/>
                        </w:rPr>
                        <w:t xml:space="preserve">It’s </w:t>
                      </w:r>
                      <w:r w:rsidRPr="00B64EBD">
                        <w:rPr>
                          <w:rFonts w:ascii="PT Sans" w:hAnsi="PT Sans"/>
                          <w:b/>
                          <w:color w:val="002060"/>
                          <w:sz w:val="48"/>
                        </w:rPr>
                        <w:t>not all smooth-sailing for the RNLI:</w:t>
                      </w:r>
                    </w:p>
                  </w:txbxContent>
                </v:textbox>
              </v:shape>
            </w:pict>
          </mc:Fallback>
        </mc:AlternateContent>
      </w:r>
      <w:r w:rsidR="00B64EBD">
        <w:rPr>
          <w:noProof/>
        </w:rPr>
        <mc:AlternateContent>
          <mc:Choice Requires="wps">
            <w:drawing>
              <wp:anchor distT="0" distB="0" distL="114300" distR="114300" simplePos="0" relativeHeight="251664384" behindDoc="0" locked="0" layoutInCell="1" allowOverlap="1" wp14:anchorId="0C54D248" wp14:editId="26109424">
                <wp:simplePos x="0" y="0"/>
                <wp:positionH relativeFrom="column">
                  <wp:posOffset>6506308</wp:posOffset>
                </wp:positionH>
                <wp:positionV relativeFrom="paragraph">
                  <wp:posOffset>1828800</wp:posOffset>
                </wp:positionV>
                <wp:extent cx="1099225" cy="350195"/>
                <wp:effectExtent l="0" t="0" r="0" b="0"/>
                <wp:wrapNone/>
                <wp:docPr id="6" name="Text Box 6"/>
                <wp:cNvGraphicFramePr/>
                <a:graphic xmlns:a="http://schemas.openxmlformats.org/drawingml/2006/main">
                  <a:graphicData uri="http://schemas.microsoft.com/office/word/2010/wordprocessingShape">
                    <wps:wsp>
                      <wps:cNvSpPr txBox="1"/>
                      <wps:spPr>
                        <a:xfrm>
                          <a:off x="0" y="0"/>
                          <a:ext cx="1099225" cy="350195"/>
                        </a:xfrm>
                        <a:prstGeom prst="rect">
                          <a:avLst/>
                        </a:prstGeom>
                        <a:noFill/>
                        <a:ln w="6350">
                          <a:noFill/>
                        </a:ln>
                      </wps:spPr>
                      <wps:txbx>
                        <w:txbxContent>
                          <w:p w14:paraId="34111D72" w14:textId="77777777" w:rsidR="00B64EBD" w:rsidRPr="00C83F31" w:rsidRDefault="00B64EBD" w:rsidP="00B64EBD">
                            <w:pPr>
                              <w:rPr>
                                <w:rFonts w:ascii="PT Sans" w:hAnsi="PT Sans"/>
                                <w:color w:val="FFFFFF" w:themeColor="background2"/>
                              </w:rPr>
                            </w:pPr>
                            <w:r w:rsidRPr="00C83F31">
                              <w:rPr>
                                <w:rFonts w:ascii="PT Sans" w:hAnsi="PT Sans"/>
                                <w:color w:val="FFFFFF" w:themeColor="background2"/>
                              </w:rPr>
                              <w:t>(Davey,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54D248" id="Text Box 6" o:spid="_x0000_s1028" type="#_x0000_t202" style="position:absolute;margin-left:512.3pt;margin-top:2in;width:86.55pt;height:27.5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" filled="f" stroked="f" strokeweight=".5pt">
                <v:textbox>
                  <w:txbxContent>
                    <w:p w14:paraId="34111D72" w14:textId="77777777" w:rsidR="00B64EBD" w:rsidRPr="00C83F31" w:rsidRDefault="00B64EBD" w:rsidP="00B64EBD">
                      <w:pPr>
                        <w:rPr>
                          <w:rFonts w:ascii="PT Sans" w:hAnsi="PT Sans"/>
                          <w:color w:val="FFFFFF" w:themeColor="background2"/>
                        </w:rPr>
                      </w:pPr>
                      <w:r w:rsidRPr="00C83F31">
                        <w:rPr>
                          <w:rFonts w:ascii="PT Sans" w:hAnsi="PT Sans"/>
                          <w:color w:val="FFFFFF" w:themeColor="background2"/>
                        </w:rPr>
                        <w:t>(Davey, 2022)</w:t>
                      </w:r>
                    </w:p>
                  </w:txbxContent>
                </v:textbox>
              </v:shape>
            </w:pict>
          </mc:Fallback>
        </mc:AlternateContent>
      </w:r>
      <w:r w:rsidR="00B64EBD">
        <w:rPr>
          <w:noProof/>
        </w:rPr>
        <w:drawing>
          <wp:anchor distT="0" distB="0" distL="114300" distR="114300" simplePos="0" relativeHeight="251658240" behindDoc="1" locked="0" layoutInCell="1" allowOverlap="1" wp14:anchorId="1E9BD35F" wp14:editId="6768EE06">
            <wp:simplePos x="0" y="0"/>
            <wp:positionH relativeFrom="column">
              <wp:posOffset>0</wp:posOffset>
            </wp:positionH>
            <wp:positionV relativeFrom="paragraph">
              <wp:posOffset>-342</wp:posOffset>
            </wp:positionV>
            <wp:extent cx="8733155" cy="2193290"/>
            <wp:effectExtent l="0" t="0" r="0" b="3810"/>
            <wp:wrapTight wrapText="bothSides">
              <wp:wrapPolygon edited="0">
                <wp:start x="0" y="0"/>
                <wp:lineTo x="0" y="21512"/>
                <wp:lineTo x="19004" y="21512"/>
                <wp:lineTo x="190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XL_20221022_075800722.jpg"/>
                    <pic:cNvPicPr/>
                  </pic:nvPicPr>
                  <pic:blipFill rotWithShape="1">
                    <a:blip r:embed="rId11" cstate="print">
                      <a:extLst>
                        <a:ext uri="{28A0092B-C50C-407E-A947-70E740481C1C}">
                          <a14:useLocalDpi xmlns:a14="http://schemas.microsoft.com/office/drawing/2010/main" val="0"/>
                        </a:ext>
                      </a:extLst>
                    </a:blip>
                    <a:srcRect t="25856" r="-13906" b="35990"/>
                    <a:stretch/>
                  </pic:blipFill>
                  <pic:spPr bwMode="auto">
                    <a:xfrm>
                      <a:off x="0" y="0"/>
                      <a:ext cx="8733155" cy="2193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3BCACC" w14:textId="2495891B" w:rsidR="002746F7" w:rsidRPr="00557F64" w:rsidRDefault="00B64EBD" w:rsidP="00B64EBD">
      <w:pPr>
        <w:pStyle w:val="BodyText"/>
        <w:rPr>
          <w:rFonts w:asciiTheme="minorHAnsi" w:hAnsiTheme="minorHAnsi"/>
        </w:rPr>
        <w:sectPr w:rsidR="002746F7" w:rsidRPr="00557F64" w:rsidSect="00721A90">
          <w:headerReference w:type="default" r:id="rId12"/>
          <w:footerReference w:type="default" r:id="rId13"/>
          <w:footerReference w:type="first" r:id="rId14"/>
          <w:type w:val="continuous"/>
          <w:pgSz w:w="11906" w:h="16838"/>
          <w:pgMar w:top="0" w:right="1440" w:bottom="1440" w:left="0" w:header="680" w:footer="567" w:gutter="0"/>
          <w:cols w:space="708"/>
          <w:titlePg/>
          <w:docGrid w:linePitch="360"/>
        </w:sectPr>
      </w:pPr>
      <w:r>
        <w:rPr>
          <w:noProof/>
        </w:rPr>
        <w:t xml:space="preserve"> </w:t>
      </w:r>
    </w:p>
    <w:p w14:paraId="2998BAB5" w14:textId="4D8C9F6F" w:rsidR="00D27C2D" w:rsidRPr="00557F64" w:rsidRDefault="00D27C2D" w:rsidP="00557F64">
      <w:pPr>
        <w:pStyle w:val="Title"/>
        <w:ind w:right="-23"/>
        <w:rPr>
          <w:rFonts w:ascii="PT Sans" w:hAnsi="PT Sans"/>
          <w:color w:val="002060"/>
          <w:sz w:val="52"/>
        </w:rPr>
      </w:pPr>
    </w:p>
    <w:tbl>
      <w:tblPr>
        <w:tblStyle w:val="TableGrid"/>
        <w:tblpPr w:leftFromText="180" w:rightFromText="180" w:vertAnchor="text" w:horzAnchor="margin" w:tblpY="1036"/>
        <w:tblW w:w="0" w:type="auto"/>
        <w:tblBorders>
          <w:insideH w:val="none" w:sz="0" w:space="0" w:color="auto"/>
          <w:insideV w:val="none" w:sz="0" w:space="0" w:color="auto"/>
        </w:tblBorders>
        <w:shd w:val="clear" w:color="auto" w:fill="C2DFF5" w:themeFill="accent1" w:themeFillTint="33"/>
        <w:tblLook w:val="04A0" w:firstRow="1" w:lastRow="0" w:firstColumn="1" w:lastColumn="0" w:noHBand="0" w:noVBand="1"/>
        <w:tblDescription w:val="Under Australian law you have certain rights even before you enrol with an education institution. "/>
      </w:tblPr>
      <w:tblGrid>
        <w:gridCol w:w="10385"/>
      </w:tblGrid>
      <w:tr w:rsidR="00397549" w:rsidRPr="007B5A84" w14:paraId="6253F336" w14:textId="77777777" w:rsidTr="00721A90">
        <w:trPr>
          <w:trHeight w:val="290"/>
          <w:tblHeader/>
        </w:trPr>
        <w:tc>
          <w:tcPr>
            <w:tcW w:w="10385" w:type="dxa"/>
            <w:tcBorders>
              <w:top w:val="single" w:sz="4" w:space="0" w:color="auto"/>
              <w:bottom w:val="nil"/>
            </w:tcBorders>
            <w:shd w:val="clear" w:color="auto" w:fill="C2DFF5" w:themeFill="accent1" w:themeFillTint="33"/>
          </w:tcPr>
          <w:p w14:paraId="6993B357" w14:textId="77777777" w:rsidR="00397549" w:rsidRPr="00C83F31" w:rsidRDefault="00397549" w:rsidP="00397549">
            <w:pPr>
              <w:pStyle w:val="Heading2"/>
              <w:jc w:val="center"/>
              <w:outlineLvl w:val="1"/>
              <w:rPr>
                <w:rFonts w:ascii="PT Sans" w:hAnsi="PT Sans"/>
              </w:rPr>
            </w:pPr>
            <w:r w:rsidRPr="00B64EBD">
              <w:rPr>
                <w:rFonts w:ascii="PT Sans" w:hAnsi="PT Sans"/>
                <w:color w:val="165788" w:themeColor="accent1"/>
                <w:sz w:val="32"/>
              </w:rPr>
              <w:t>Water Safety Team looking outwards (AC 1.1)</w:t>
            </w:r>
          </w:p>
        </w:tc>
      </w:tr>
      <w:tr w:rsidR="00397549" w:rsidRPr="007B5A84" w14:paraId="68ED01F0" w14:textId="77777777" w:rsidTr="00721A90">
        <w:trPr>
          <w:trHeight w:val="4790"/>
        </w:trPr>
        <w:tc>
          <w:tcPr>
            <w:tcW w:w="10385" w:type="dxa"/>
            <w:tcBorders>
              <w:top w:val="nil"/>
              <w:bottom w:val="nil"/>
            </w:tcBorders>
            <w:shd w:val="clear" w:color="auto" w:fill="C2DFF5" w:themeFill="accent1" w:themeFillTint="33"/>
          </w:tcPr>
          <w:p w14:paraId="090A2F98" w14:textId="77777777" w:rsidR="00397549" w:rsidRPr="00511EE7" w:rsidRDefault="00397549" w:rsidP="00397549">
            <w:pPr>
              <w:rPr>
                <w:rFonts w:ascii="PT Sans" w:hAnsi="PT Sans"/>
                <w:sz w:val="22"/>
              </w:rPr>
            </w:pPr>
          </w:p>
          <w:p w14:paraId="66D0878C" w14:textId="7B32ACD5" w:rsidR="00397549" w:rsidRPr="00317042" w:rsidRDefault="00397549" w:rsidP="00317042">
            <w:pPr>
              <w:spacing w:line="276" w:lineRule="auto"/>
              <w:rPr>
                <w:rFonts w:ascii="PT Sans" w:hAnsi="PT Sans" w:cs="Arial"/>
                <w:sz w:val="22"/>
              </w:rPr>
            </w:pPr>
            <w:r w:rsidRPr="00511EE7">
              <w:rPr>
                <w:rFonts w:ascii="PT Sans" w:hAnsi="PT Sans"/>
                <w:sz w:val="22"/>
              </w:rPr>
              <w:t xml:space="preserve">Looking </w:t>
            </w:r>
            <w:r w:rsidRPr="003B4B9D">
              <w:rPr>
                <w:rFonts w:ascii="PT Sans" w:hAnsi="PT Sans"/>
                <w:sz w:val="22"/>
                <w:szCs w:val="22"/>
              </w:rPr>
              <w:t>outwards at the ‘macro’ environment, the PESTLE analysis tool (CIPD, 2021d)</w:t>
            </w:r>
            <w:r w:rsidR="00250253" w:rsidRPr="003B4B9D">
              <w:rPr>
                <w:rFonts w:ascii="PT Sans" w:hAnsi="PT Sans"/>
                <w:sz w:val="22"/>
                <w:szCs w:val="22"/>
              </w:rPr>
              <w:t xml:space="preserve"> or STEEPLE (Delve, 2022)</w:t>
            </w:r>
            <w:r w:rsidRPr="003B4B9D">
              <w:rPr>
                <w:rFonts w:ascii="PT Sans" w:hAnsi="PT Sans"/>
                <w:sz w:val="22"/>
                <w:szCs w:val="22"/>
              </w:rPr>
              <w:t xml:space="preserve"> can be used to determine the potential external influences. SWOT analysis (</w:t>
            </w:r>
            <w:r w:rsidR="006A45D1" w:rsidRPr="003B4B9D">
              <w:rPr>
                <w:rFonts w:ascii="PT Sans" w:hAnsi="PT Sans"/>
                <w:sz w:val="22"/>
                <w:szCs w:val="22"/>
              </w:rPr>
              <w:t xml:space="preserve">BDC, 2022; </w:t>
            </w:r>
            <w:r w:rsidRPr="003B4B9D">
              <w:rPr>
                <w:rFonts w:ascii="PT Sans" w:hAnsi="PT Sans"/>
                <w:sz w:val="22"/>
                <w:szCs w:val="22"/>
              </w:rPr>
              <w:t>CIPD, 2021</w:t>
            </w:r>
            <w:r w:rsidR="006A45D1" w:rsidRPr="003B4B9D">
              <w:rPr>
                <w:rFonts w:ascii="PT Sans" w:hAnsi="PT Sans"/>
                <w:sz w:val="22"/>
                <w:szCs w:val="22"/>
              </w:rPr>
              <w:t>c</w:t>
            </w:r>
            <w:r w:rsidRPr="003B4B9D">
              <w:rPr>
                <w:rFonts w:ascii="PT Sans" w:hAnsi="PT Sans"/>
                <w:sz w:val="22"/>
                <w:szCs w:val="22"/>
              </w:rPr>
              <w:t>) allows us to look inwards at our strengths and weaknesses as well as at the opportunities and threats in our ‘micro’ environment (Waite et al</w:t>
            </w:r>
            <w:r w:rsidR="003B1CFA">
              <w:rPr>
                <w:rFonts w:ascii="PT Sans" w:hAnsi="PT Sans"/>
                <w:sz w:val="22"/>
                <w:szCs w:val="22"/>
              </w:rPr>
              <w:t>.</w:t>
            </w:r>
            <w:r w:rsidRPr="003B4B9D">
              <w:rPr>
                <w:rFonts w:ascii="PT Sans" w:hAnsi="PT Sans"/>
                <w:sz w:val="22"/>
                <w:szCs w:val="22"/>
              </w:rPr>
              <w:t>, 2021). This information sheet has been put together with the wider view in mind, but will look specifically at what this means for the RNLI. For instance, the cost of living crisis that is affecting the whole of the UK, will have a huge impact on our charity-wide strategy over the next few years and we must be prepared to make changes within our team to help the RNLI mitigate this. CEO Mark Dowie’s (2022) recent call to action for us all, is to have a narrowed</w:t>
            </w:r>
            <w:r w:rsidRPr="00511EE7">
              <w:rPr>
                <w:rFonts w:ascii="PT Sans" w:hAnsi="PT Sans"/>
                <w:sz w:val="22"/>
              </w:rPr>
              <w:t xml:space="preserve"> focus; although our vision, purpose &amp; outcomes will not be adjusted, we are forced to prioritise the protection of our funds in order to guarantee our future. It will affect all teams within the RNLI, most notably perhaps the fundraising and legacy teams who are competing with many other charities for public donations (Chapman et al., 2022), but also for all teams that rely on volunteers, including water safety. Urquhart (2022) states that due to the cost of living crisis, 30% of people will change their plans post-retirement, potentially getting another job. If this prediction materialises, our volunteers</w:t>
            </w:r>
            <w:r w:rsidR="00233D53">
              <w:rPr>
                <w:rFonts w:ascii="PT Sans" w:hAnsi="PT Sans"/>
              </w:rPr>
              <w:t>’</w:t>
            </w:r>
            <w:r w:rsidRPr="00511EE7">
              <w:rPr>
                <w:rFonts w:ascii="PT Sans" w:hAnsi="PT Sans"/>
                <w:sz w:val="22"/>
              </w:rPr>
              <w:t xml:space="preserve"> capacity may reduce</w:t>
            </w:r>
            <w:r w:rsidR="00233D53">
              <w:rPr>
                <w:rFonts w:ascii="PT Sans" w:hAnsi="PT Sans"/>
              </w:rPr>
              <w:t>.</w:t>
            </w:r>
            <w:r w:rsidR="0004008E">
              <w:rPr>
                <w:rFonts w:ascii="PT Sans" w:hAnsi="PT Sans"/>
              </w:rPr>
              <w:t xml:space="preserve"> </w:t>
            </w:r>
            <w:r w:rsidR="0004008E" w:rsidRPr="00F44B04">
              <w:rPr>
                <w:rFonts w:ascii="PT Sans" w:hAnsi="PT Sans"/>
                <w:sz w:val="22"/>
                <w:szCs w:val="22"/>
              </w:rPr>
              <w:t>Other key external influences include but are not limited to: technology advancements/hybrid working post-pandemic</w:t>
            </w:r>
            <w:r w:rsidR="00317042" w:rsidRPr="00F44B04">
              <w:rPr>
                <w:rFonts w:ascii="PT Sans" w:hAnsi="PT Sans"/>
                <w:sz w:val="22"/>
                <w:szCs w:val="22"/>
              </w:rPr>
              <w:t xml:space="preserve"> (</w:t>
            </w:r>
            <w:r w:rsidR="00317042" w:rsidRPr="00F44B04">
              <w:rPr>
                <w:rFonts w:ascii="PT Sans" w:hAnsi="PT Sans" w:cs="Arial"/>
                <w:color w:val="000000" w:themeColor="text1"/>
                <w:sz w:val="22"/>
                <w:szCs w:val="22"/>
              </w:rPr>
              <w:t>Downs, Donnelly</w:t>
            </w:r>
            <w:r w:rsidR="00317042" w:rsidRPr="00F44B04">
              <w:rPr>
                <w:rFonts w:ascii="PT Sans" w:hAnsi="PT Sans" w:cs="Arial"/>
                <w:color w:val="000000" w:themeColor="text1"/>
                <w:sz w:val="22"/>
                <w:szCs w:val="22"/>
              </w:rPr>
              <w:t xml:space="preserve"> &amp; </w:t>
            </w:r>
            <w:r w:rsidR="00317042" w:rsidRPr="00F44B04">
              <w:rPr>
                <w:rFonts w:ascii="PT Sans" w:hAnsi="PT Sans" w:cs="Arial"/>
                <w:color w:val="000000" w:themeColor="text1"/>
                <w:sz w:val="22"/>
                <w:szCs w:val="22"/>
              </w:rPr>
              <w:t xml:space="preserve">Daellenbach, </w:t>
            </w:r>
            <w:r w:rsidR="00317042" w:rsidRPr="00F44B04">
              <w:rPr>
                <w:rFonts w:ascii="PT Sans" w:hAnsi="PT Sans" w:cs="Arial"/>
                <w:color w:val="000000" w:themeColor="text1"/>
                <w:sz w:val="22"/>
                <w:szCs w:val="22"/>
              </w:rPr>
              <w:t xml:space="preserve">2022a/b; </w:t>
            </w:r>
            <w:r w:rsidR="00317042" w:rsidRPr="00F44B04">
              <w:rPr>
                <w:rFonts w:ascii="PT Sans" w:hAnsi="PT Sans" w:cs="Arial"/>
                <w:sz w:val="22"/>
                <w:szCs w:val="22"/>
              </w:rPr>
              <w:t>Semerádová</w:t>
            </w:r>
            <w:r w:rsidR="00317042" w:rsidRPr="00F44B04">
              <w:rPr>
                <w:rFonts w:ascii="PT Sans" w:hAnsi="PT Sans" w:cs="Arial"/>
                <w:sz w:val="22"/>
                <w:szCs w:val="22"/>
              </w:rPr>
              <w:t xml:space="preserve"> &amp;</w:t>
            </w:r>
            <w:r w:rsidR="00317042" w:rsidRPr="00F44B04">
              <w:rPr>
                <w:rFonts w:ascii="PT Sans" w:hAnsi="PT Sans" w:cs="Arial"/>
                <w:sz w:val="22"/>
                <w:szCs w:val="22"/>
              </w:rPr>
              <w:t xml:space="preserve"> Weinlich</w:t>
            </w:r>
            <w:r w:rsidR="00317042" w:rsidRPr="00F44B04">
              <w:rPr>
                <w:rFonts w:ascii="PT Sans" w:hAnsi="PT Sans" w:cs="Arial"/>
                <w:sz w:val="22"/>
                <w:szCs w:val="22"/>
              </w:rPr>
              <w:t>, 2022)</w:t>
            </w:r>
            <w:r w:rsidR="0004008E" w:rsidRPr="00F44B04">
              <w:rPr>
                <w:rFonts w:ascii="PT Sans" w:hAnsi="PT Sans"/>
                <w:sz w:val="22"/>
                <w:szCs w:val="22"/>
              </w:rPr>
              <w:t>; diversity and inclusion</w:t>
            </w:r>
            <w:r w:rsidR="00317042" w:rsidRPr="00F44B04">
              <w:rPr>
                <w:rFonts w:ascii="PT Sans" w:hAnsi="PT Sans"/>
                <w:sz w:val="22"/>
                <w:szCs w:val="22"/>
              </w:rPr>
              <w:t xml:space="preserve"> (</w:t>
            </w:r>
            <w:r w:rsidR="00287541" w:rsidRPr="00F44B04">
              <w:rPr>
                <w:rFonts w:ascii="PT Sans" w:hAnsi="PT Sans"/>
                <w:sz w:val="22"/>
                <w:szCs w:val="22"/>
              </w:rPr>
              <w:t xml:space="preserve">Cassidy et al., 2022; </w:t>
            </w:r>
            <w:r w:rsidR="00317042" w:rsidRPr="00F44B04">
              <w:rPr>
                <w:rFonts w:ascii="PT Sans" w:hAnsi="PT Sans"/>
                <w:sz w:val="22"/>
                <w:szCs w:val="22"/>
              </w:rPr>
              <w:t>CIPD, 2022a; Dawson, 2022; Lord, 2022; Taylor &amp; Woodhams, 2016; RNLI, 2021</w:t>
            </w:r>
            <w:r w:rsidR="007360AF">
              <w:rPr>
                <w:rFonts w:ascii="PT Sans" w:hAnsi="PT Sans"/>
                <w:sz w:val="22"/>
                <w:szCs w:val="22"/>
              </w:rPr>
              <w:t>; Black Swimming Association, 2022</w:t>
            </w:r>
            <w:r w:rsidR="00317042" w:rsidRPr="00F44B04">
              <w:rPr>
                <w:rFonts w:ascii="PT Sans" w:hAnsi="PT Sans"/>
                <w:sz w:val="22"/>
                <w:szCs w:val="22"/>
              </w:rPr>
              <w:t xml:space="preserve">); </w:t>
            </w:r>
            <w:r w:rsidR="0004008E" w:rsidRPr="00F44B04">
              <w:rPr>
                <w:rFonts w:ascii="PT Sans" w:hAnsi="PT Sans"/>
                <w:sz w:val="22"/>
                <w:szCs w:val="22"/>
              </w:rPr>
              <w:t>an aging population</w:t>
            </w:r>
            <w:r w:rsidR="00317042" w:rsidRPr="00F44B04">
              <w:rPr>
                <w:rFonts w:ascii="PT Sans" w:hAnsi="PT Sans"/>
                <w:sz w:val="22"/>
                <w:szCs w:val="22"/>
              </w:rPr>
              <w:t xml:space="preserve"> (Konrad, Mulders &amp; Henkens, 2020)</w:t>
            </w:r>
            <w:r w:rsidR="00BB7D8F" w:rsidRPr="00F44B04">
              <w:rPr>
                <w:rFonts w:ascii="PT Sans" w:hAnsi="PT Sans"/>
                <w:sz w:val="22"/>
                <w:szCs w:val="22"/>
              </w:rPr>
              <w:t xml:space="preserve">; the migrant crisis (Lindrea, 2022; </w:t>
            </w:r>
            <w:r w:rsidR="00317042" w:rsidRPr="00F44B04">
              <w:rPr>
                <w:rFonts w:ascii="PT Sans" w:hAnsi="PT Sans" w:cs="Arial"/>
                <w:sz w:val="22"/>
                <w:szCs w:val="22"/>
              </w:rPr>
              <w:t>Mukherjee</w:t>
            </w:r>
            <w:r w:rsidR="00317042" w:rsidRPr="00F44B04">
              <w:rPr>
                <w:rFonts w:ascii="PT Sans" w:hAnsi="PT Sans" w:cs="Arial"/>
                <w:sz w:val="22"/>
                <w:szCs w:val="22"/>
              </w:rPr>
              <w:t>,</w:t>
            </w:r>
            <w:r w:rsidR="00317042" w:rsidRPr="00F44B04">
              <w:rPr>
                <w:rFonts w:ascii="PT Sans" w:hAnsi="PT Sans" w:cs="Arial"/>
                <w:sz w:val="22"/>
                <w:szCs w:val="22"/>
              </w:rPr>
              <w:t xml:space="preserve"> Hauthal</w:t>
            </w:r>
            <w:r w:rsidR="00317042" w:rsidRPr="00F44B04">
              <w:rPr>
                <w:rFonts w:ascii="PT Sans" w:hAnsi="PT Sans" w:cs="Arial"/>
                <w:sz w:val="22"/>
                <w:szCs w:val="22"/>
              </w:rPr>
              <w:t xml:space="preserve"> &amp;</w:t>
            </w:r>
            <w:r w:rsidR="00317042" w:rsidRPr="00F44B04">
              <w:rPr>
                <w:rFonts w:ascii="PT Sans" w:hAnsi="PT Sans" w:cs="Arial"/>
                <w:sz w:val="22"/>
                <w:szCs w:val="22"/>
              </w:rPr>
              <w:t xml:space="preserve"> Burghardt,</w:t>
            </w:r>
            <w:r w:rsidR="00317042" w:rsidRPr="00F44B04">
              <w:rPr>
                <w:rFonts w:ascii="PT Sans" w:hAnsi="PT Sans" w:cs="Arial"/>
                <w:sz w:val="22"/>
                <w:szCs w:val="22"/>
              </w:rPr>
              <w:t xml:space="preserve"> 2022; </w:t>
            </w:r>
            <w:r w:rsidR="00BB7D8F" w:rsidRPr="00F44B04">
              <w:rPr>
                <w:rFonts w:ascii="PT Sans" w:hAnsi="PT Sans"/>
                <w:sz w:val="22"/>
                <w:szCs w:val="22"/>
              </w:rPr>
              <w:t>Rose, 2021; Rose, 2022</w:t>
            </w:r>
            <w:r w:rsidR="00317042" w:rsidRPr="00F44B04">
              <w:rPr>
                <w:rFonts w:ascii="PT Sans" w:hAnsi="PT Sans"/>
                <w:sz w:val="22"/>
                <w:szCs w:val="22"/>
              </w:rPr>
              <w:t xml:space="preserve">). </w:t>
            </w:r>
          </w:p>
        </w:tc>
      </w:tr>
      <w:tr w:rsidR="00397549" w:rsidRPr="007B5A84" w14:paraId="5A375F73" w14:textId="77777777" w:rsidTr="00721A90">
        <w:trPr>
          <w:trHeight w:val="48"/>
        </w:trPr>
        <w:tc>
          <w:tcPr>
            <w:tcW w:w="10385" w:type="dxa"/>
            <w:tcBorders>
              <w:top w:val="nil"/>
              <w:bottom w:val="single" w:sz="4" w:space="0" w:color="auto"/>
            </w:tcBorders>
            <w:shd w:val="clear" w:color="auto" w:fill="C2DFF5" w:themeFill="accent1" w:themeFillTint="33"/>
          </w:tcPr>
          <w:p w14:paraId="67704C98" w14:textId="77777777" w:rsidR="00397549" w:rsidRPr="007B5A84" w:rsidRDefault="00397549" w:rsidP="00397549">
            <w:pPr>
              <w:contextualSpacing/>
              <w:rPr>
                <w:rFonts w:ascii="PT Sans" w:hAnsi="PT Sans"/>
              </w:rPr>
            </w:pPr>
          </w:p>
        </w:tc>
      </w:tr>
    </w:tbl>
    <w:p w14:paraId="02AF305A" w14:textId="31518B36" w:rsidR="00984F58" w:rsidRDefault="00984F58" w:rsidP="00556079">
      <w:pPr>
        <w:pStyle w:val="Nornal"/>
        <w:rPr>
          <w:rFonts w:asciiTheme="minorHAnsi" w:eastAsia="Times New Roman" w:hAnsiTheme="minorHAnsi" w:cstheme="minorHAnsi"/>
          <w:b/>
          <w:lang w:eastAsia="en-GB"/>
        </w:rPr>
      </w:pPr>
    </w:p>
    <w:p w14:paraId="4EA4B3E9" w14:textId="77777777" w:rsidR="00984F58" w:rsidRDefault="00984F58" w:rsidP="00556079">
      <w:pPr>
        <w:pStyle w:val="Nornal"/>
        <w:rPr>
          <w:rFonts w:asciiTheme="minorHAnsi" w:eastAsia="Times New Roman" w:hAnsiTheme="minorHAnsi" w:cstheme="minorHAnsi"/>
          <w:lang w:eastAsia="en-GB"/>
        </w:rPr>
      </w:pPr>
    </w:p>
    <w:p w14:paraId="6461CF64" w14:textId="7E19DBEA" w:rsidR="00557F64" w:rsidRDefault="00557F64"/>
    <w:tbl>
      <w:tblPr>
        <w:tblStyle w:val="TableGrid"/>
        <w:tblpPr w:leftFromText="180" w:rightFromText="180" w:vertAnchor="text" w:horzAnchor="margin" w:tblpY="-467"/>
        <w:tblW w:w="10401" w:type="dxa"/>
        <w:shd w:val="clear" w:color="auto" w:fill="C2DFF5" w:themeFill="accent1" w:themeFillTint="33"/>
        <w:tblLook w:val="04A0" w:firstRow="1" w:lastRow="0" w:firstColumn="1" w:lastColumn="0" w:noHBand="0" w:noVBand="1"/>
        <w:tblDescription w:val="Under Australian law you have certain rights even before you enrol with an education institution. "/>
      </w:tblPr>
      <w:tblGrid>
        <w:gridCol w:w="10401"/>
      </w:tblGrid>
      <w:tr w:rsidR="00984F58" w:rsidRPr="007B5A84" w14:paraId="302B31E8" w14:textId="77777777" w:rsidTr="00984F58">
        <w:trPr>
          <w:trHeight w:val="188"/>
        </w:trPr>
        <w:tc>
          <w:tcPr>
            <w:tcW w:w="10401" w:type="dxa"/>
            <w:tcBorders>
              <w:top w:val="single" w:sz="4" w:space="0" w:color="auto"/>
              <w:bottom w:val="nil"/>
            </w:tcBorders>
            <w:shd w:val="clear" w:color="auto" w:fill="C2DFF5" w:themeFill="accent1" w:themeFillTint="33"/>
          </w:tcPr>
          <w:p w14:paraId="1EF75EFB" w14:textId="77777777" w:rsidR="00984F58" w:rsidRPr="00984F58" w:rsidRDefault="00984F58" w:rsidP="00984F58">
            <w:pPr>
              <w:jc w:val="center"/>
              <w:rPr>
                <w:rFonts w:ascii="PT Sans" w:hAnsi="PT Sans"/>
                <w:b/>
                <w:color w:val="165788" w:themeColor="accent1"/>
                <w:sz w:val="22"/>
              </w:rPr>
            </w:pPr>
          </w:p>
          <w:p w14:paraId="130379F6" w14:textId="523E5900" w:rsidR="00984F58" w:rsidRDefault="00984F58" w:rsidP="00984F58">
            <w:pPr>
              <w:jc w:val="center"/>
              <w:rPr>
                <w:rFonts w:ascii="PT Sans" w:hAnsi="PT Sans"/>
                <w:b/>
                <w:color w:val="165788" w:themeColor="accent1"/>
                <w:sz w:val="32"/>
              </w:rPr>
            </w:pPr>
            <w:r w:rsidRPr="00984F58">
              <w:rPr>
                <w:rFonts w:ascii="PT Sans" w:hAnsi="PT Sans"/>
                <w:b/>
                <w:color w:val="165788" w:themeColor="accent1"/>
                <w:sz w:val="32"/>
              </w:rPr>
              <w:t>Our Watch (AC 1.2)</w:t>
            </w:r>
          </w:p>
          <w:p w14:paraId="3CE93702" w14:textId="77777777" w:rsidR="00180CE5" w:rsidRPr="00984F58" w:rsidRDefault="00180CE5" w:rsidP="00984F58">
            <w:pPr>
              <w:jc w:val="center"/>
              <w:rPr>
                <w:rFonts w:ascii="PT Sans" w:hAnsi="PT Sans"/>
                <w:b/>
              </w:rPr>
            </w:pPr>
          </w:p>
          <w:p w14:paraId="076A7D61" w14:textId="21CF1D14" w:rsidR="00984F58" w:rsidRPr="00B956E6" w:rsidRDefault="00984F58" w:rsidP="00984F58">
            <w:pPr>
              <w:rPr>
                <w:rFonts w:ascii="PT Sans" w:hAnsi="PT Sans"/>
                <w:sz w:val="22"/>
              </w:rPr>
            </w:pPr>
            <w:r w:rsidRPr="00B956E6">
              <w:rPr>
                <w:rFonts w:ascii="PT Sans" w:hAnsi="PT Sans"/>
                <w:sz w:val="22"/>
              </w:rPr>
              <w:t>As we approach our 200</w:t>
            </w:r>
            <w:r w:rsidRPr="00B956E6">
              <w:rPr>
                <w:rFonts w:ascii="PT Sans" w:hAnsi="PT Sans"/>
                <w:sz w:val="22"/>
                <w:vertAlign w:val="superscript"/>
              </w:rPr>
              <w:t>th</w:t>
            </w:r>
            <w:r w:rsidRPr="00B956E6">
              <w:rPr>
                <w:rFonts w:ascii="PT Sans" w:hAnsi="PT Sans"/>
                <w:sz w:val="22"/>
              </w:rPr>
              <w:t xml:space="preserve"> anniversary, it is still clear that our over-arching lifesaving goal has not waivered. During these turbulent times, it has never been more important to remember our purpose; we are the charity that saves lives at sea. Our Watch (RNLI, 2020a), sets </w:t>
            </w:r>
            <w:r w:rsidR="0004008E">
              <w:rPr>
                <w:rFonts w:ascii="PT Sans" w:hAnsi="PT Sans"/>
              </w:rPr>
              <w:t xml:space="preserve">out a </w:t>
            </w:r>
            <w:r w:rsidRPr="00B956E6">
              <w:rPr>
                <w:rFonts w:ascii="PT Sans" w:hAnsi="PT Sans"/>
                <w:sz w:val="22"/>
              </w:rPr>
              <w:t xml:space="preserve">medium-term, holistic plan to guide us on our journey </w:t>
            </w:r>
            <w:r w:rsidR="0004008E">
              <w:rPr>
                <w:rFonts w:ascii="PT Sans" w:hAnsi="PT Sans"/>
              </w:rPr>
              <w:t xml:space="preserve">over </w:t>
            </w:r>
            <w:r w:rsidRPr="00B956E6">
              <w:rPr>
                <w:rFonts w:ascii="PT Sans" w:hAnsi="PT Sans"/>
                <w:sz w:val="22"/>
              </w:rPr>
              <w:t>the next few years (2020-2024), and crucially recognises the uncertainty of the challenges modern society presents, but sets strong focus on our intent as an organisation. The six well-defined strategic outcomes, are clearly underpinned by what’s at the heart of the RNLI: our purpose; our vision; our values. As the Water Safety Team, we would usually be concerned primarily with outcome three, “working with partners, we influence improved safety on and beside the water” (RNLI, 2020, p.2), as this underlines our specific drive in the reduction of drowning, which is effectively our KPI (Waite et al</w:t>
            </w:r>
            <w:r w:rsidR="003B1CFA">
              <w:rPr>
                <w:rFonts w:ascii="PT Sans" w:hAnsi="PT Sans"/>
                <w:sz w:val="22"/>
              </w:rPr>
              <w:t>.</w:t>
            </w:r>
            <w:r w:rsidRPr="00B956E6">
              <w:rPr>
                <w:rFonts w:ascii="PT Sans" w:hAnsi="PT Sans"/>
                <w:sz w:val="22"/>
              </w:rPr>
              <w:t>, 2021).</w:t>
            </w:r>
          </w:p>
          <w:p w14:paraId="1B58AFC2" w14:textId="77777777" w:rsidR="00984F58" w:rsidRPr="00B956E6" w:rsidRDefault="00984F58" w:rsidP="00984F58">
            <w:pPr>
              <w:rPr>
                <w:rFonts w:ascii="PT Sans" w:hAnsi="PT Sans"/>
                <w:sz w:val="22"/>
              </w:rPr>
            </w:pPr>
          </w:p>
          <w:p w14:paraId="345B5DD3" w14:textId="6065DF1C" w:rsidR="00984F58" w:rsidRPr="007B5A84" w:rsidRDefault="00984F58" w:rsidP="00984F58">
            <w:pPr>
              <w:rPr>
                <w:rFonts w:ascii="PT Sans" w:hAnsi="PT Sans"/>
              </w:rPr>
            </w:pPr>
            <w:r w:rsidRPr="00B956E6">
              <w:rPr>
                <w:rFonts w:ascii="PT Sans" w:hAnsi="PT Sans"/>
                <w:sz w:val="22"/>
              </w:rPr>
              <w:t>However, it is becoming apparent that a wider understanding of the remaining five outcomes is essential, to ensure we are doing all we can to future-proof the RNLI through the continued close work with our operational counterparts that contribute to the Lifesaving Effect, but also more widely with other internal teams such as fundraising, engagement and marketing teams. What makes our goal unique, and potentially flawed, is that it is arguably not entirely SMART (Waite et al</w:t>
            </w:r>
            <w:r w:rsidR="003B1CFA">
              <w:rPr>
                <w:rFonts w:ascii="PT Sans" w:hAnsi="PT Sans"/>
                <w:sz w:val="22"/>
              </w:rPr>
              <w:t>.</w:t>
            </w:r>
            <w:r w:rsidRPr="00B956E6">
              <w:rPr>
                <w:rFonts w:ascii="PT Sans" w:hAnsi="PT Sans"/>
                <w:sz w:val="22"/>
              </w:rPr>
              <w:t>, 2021). Although we can measure success through multiple sources of data, and in turn analyse our shortcomings, our goal is long-standing and incessant therefore is not time-bound in the sense that it can be achieved – our vision to save everyone, is also perhaps unrealistic. Without reducing our optimistic RNLI attitude, we must continue to focus on smaller short-term goals that focus our efforts and save the most lives (Waite et al</w:t>
            </w:r>
            <w:r w:rsidR="003B1CFA">
              <w:rPr>
                <w:rFonts w:ascii="PT Sans" w:hAnsi="PT Sans"/>
                <w:sz w:val="22"/>
              </w:rPr>
              <w:t>.</w:t>
            </w:r>
            <w:r w:rsidRPr="00B956E6">
              <w:rPr>
                <w:rFonts w:ascii="PT Sans" w:hAnsi="PT Sans"/>
                <w:sz w:val="22"/>
              </w:rPr>
              <w:t>, 2021).</w:t>
            </w:r>
          </w:p>
        </w:tc>
      </w:tr>
      <w:tr w:rsidR="00984F58" w:rsidRPr="007B5A84" w14:paraId="50F0F58B" w14:textId="77777777" w:rsidTr="00984F58">
        <w:trPr>
          <w:trHeight w:val="97"/>
        </w:trPr>
        <w:tc>
          <w:tcPr>
            <w:tcW w:w="10401" w:type="dxa"/>
            <w:tcBorders>
              <w:top w:val="nil"/>
            </w:tcBorders>
            <w:shd w:val="clear" w:color="auto" w:fill="C2DFF5" w:themeFill="accent1" w:themeFillTint="33"/>
          </w:tcPr>
          <w:p w14:paraId="04266B59" w14:textId="77777777" w:rsidR="00984F58" w:rsidRPr="007B5A84" w:rsidRDefault="00984F58" w:rsidP="00984F58">
            <w:pPr>
              <w:contextualSpacing/>
              <w:rPr>
                <w:rFonts w:ascii="PT Sans" w:hAnsi="PT Sans"/>
              </w:rPr>
            </w:pPr>
          </w:p>
        </w:tc>
      </w:tr>
    </w:tbl>
    <w:p w14:paraId="65089E56" w14:textId="77777777" w:rsidR="00984F58" w:rsidRDefault="00984F58"/>
    <w:tbl>
      <w:tblPr>
        <w:tblStyle w:val="TableGrid"/>
        <w:tblpPr w:leftFromText="180" w:rightFromText="180" w:vertAnchor="text" w:horzAnchor="margin" w:tblpY="672"/>
        <w:tblW w:w="10397" w:type="dxa"/>
        <w:shd w:val="clear" w:color="auto" w:fill="C2DFF5" w:themeFill="accent1" w:themeFillTint="33"/>
        <w:tblLook w:val="04A0" w:firstRow="1" w:lastRow="0" w:firstColumn="1" w:lastColumn="0" w:noHBand="0" w:noVBand="1"/>
        <w:tblDescription w:val="Under Australian law you have certain rights even before you enrol with an education institution. "/>
      </w:tblPr>
      <w:tblGrid>
        <w:gridCol w:w="10397"/>
      </w:tblGrid>
      <w:tr w:rsidR="00984F58" w:rsidRPr="007B5A84" w14:paraId="126E3E86" w14:textId="77777777" w:rsidTr="00721A90">
        <w:trPr>
          <w:trHeight w:val="382"/>
          <w:tblHeader/>
        </w:trPr>
        <w:tc>
          <w:tcPr>
            <w:tcW w:w="10397" w:type="dxa"/>
            <w:tcBorders>
              <w:bottom w:val="nil"/>
            </w:tcBorders>
            <w:shd w:val="clear" w:color="auto" w:fill="C2DFF5" w:themeFill="accent1" w:themeFillTint="33"/>
          </w:tcPr>
          <w:p w14:paraId="69E324C3" w14:textId="77777777" w:rsidR="00984F58" w:rsidRDefault="00984F58" w:rsidP="00721A90">
            <w:pPr>
              <w:pStyle w:val="Heading2"/>
              <w:jc w:val="center"/>
              <w:outlineLvl w:val="1"/>
              <w:rPr>
                <w:rFonts w:ascii="PT Sans" w:hAnsi="PT Sans"/>
                <w:color w:val="165788" w:themeColor="accent1"/>
                <w:sz w:val="32"/>
              </w:rPr>
            </w:pPr>
            <w:r w:rsidRPr="0019451E">
              <w:rPr>
                <w:rFonts w:ascii="PT Sans" w:hAnsi="PT Sans"/>
                <w:color w:val="165788" w:themeColor="accent1"/>
                <w:sz w:val="32"/>
              </w:rPr>
              <w:t>Our assets, donors, &amp; the Lifesaving Effect (AC 1.3)</w:t>
            </w:r>
          </w:p>
          <w:p w14:paraId="730142D8" w14:textId="59F011AE" w:rsidR="00180CE5" w:rsidRPr="00180CE5" w:rsidRDefault="00180CE5" w:rsidP="00721A90"/>
        </w:tc>
      </w:tr>
      <w:tr w:rsidR="00984F58" w:rsidRPr="007B5A84" w14:paraId="1AEAEBD3" w14:textId="77777777" w:rsidTr="00721A90">
        <w:trPr>
          <w:trHeight w:val="1014"/>
        </w:trPr>
        <w:tc>
          <w:tcPr>
            <w:tcW w:w="10397" w:type="dxa"/>
            <w:tcBorders>
              <w:top w:val="nil"/>
              <w:bottom w:val="nil"/>
            </w:tcBorders>
            <w:shd w:val="clear" w:color="auto" w:fill="C2DFF5" w:themeFill="accent1" w:themeFillTint="33"/>
          </w:tcPr>
          <w:p w14:paraId="2A615D71" w14:textId="3F520C78" w:rsidR="00984F58" w:rsidRPr="00B956E6" w:rsidRDefault="00984F58" w:rsidP="00721A90">
            <w:pPr>
              <w:jc w:val="both"/>
              <w:rPr>
                <w:rFonts w:ascii="PT Sans" w:hAnsi="PT Sans"/>
                <w:color w:val="000000" w:themeColor="text1"/>
                <w:sz w:val="22"/>
                <w:szCs w:val="22"/>
              </w:rPr>
            </w:pPr>
            <w:r w:rsidRPr="00B956E6">
              <w:rPr>
                <w:rFonts w:ascii="PT Sans" w:hAnsi="PT Sans"/>
                <w:color w:val="000000" w:themeColor="text1"/>
                <w:sz w:val="22"/>
                <w:szCs w:val="22"/>
              </w:rPr>
              <w:t>Our priority will always be ensuring we are ready to make that life-saving move, whether it be through water safety prevention work, or direct rescues. It is important for us to consider and appreciate each cog that turns within our organisation and to recognise each must be constantly cultivated to achieve the Lifesaving Effect. In this context, this desired Lifesaving Effect is the result of the RNLI’s products and services (our life-saving assets, our crew, our lifeguards, our staff and our volunteers), for the benefit of our main customers (of whom are the general public and our donors) and all ‘cogs’ must be considered for us to have the greatest impact (</w:t>
            </w:r>
            <w:r w:rsidRPr="0004008E">
              <w:rPr>
                <w:rFonts w:ascii="PT Sans" w:hAnsi="PT Sans"/>
                <w:color w:val="000000" w:themeColor="text1"/>
                <w:sz w:val="22"/>
                <w:szCs w:val="22"/>
              </w:rPr>
              <w:t>RNLI, 2020</w:t>
            </w:r>
            <w:r w:rsidR="0004008E" w:rsidRPr="0004008E">
              <w:rPr>
                <w:rFonts w:ascii="PT Sans" w:hAnsi="PT Sans"/>
                <w:color w:val="000000" w:themeColor="text1"/>
              </w:rPr>
              <w:t>b).</w:t>
            </w:r>
          </w:p>
          <w:p w14:paraId="744A8BD1" w14:textId="77777777" w:rsidR="00984F58" w:rsidRPr="00B956E6" w:rsidRDefault="00984F58" w:rsidP="00721A90">
            <w:pPr>
              <w:jc w:val="both"/>
              <w:rPr>
                <w:rFonts w:ascii="PT Sans" w:hAnsi="PT Sans"/>
                <w:color w:val="000000" w:themeColor="text1"/>
                <w:sz w:val="22"/>
                <w:szCs w:val="22"/>
              </w:rPr>
            </w:pPr>
          </w:p>
          <w:p w14:paraId="6AE2D3F9" w14:textId="6676A0F8" w:rsidR="00984F58" w:rsidRPr="00987FB4" w:rsidRDefault="00984F58" w:rsidP="00721A90">
            <w:pPr>
              <w:jc w:val="both"/>
              <w:rPr>
                <w:rFonts w:asciiTheme="minorHAnsi" w:hAnsiTheme="minorHAnsi"/>
              </w:rPr>
            </w:pPr>
            <w:r w:rsidRPr="00B956E6">
              <w:rPr>
                <w:rFonts w:ascii="PT Sans" w:hAnsi="PT Sans"/>
                <w:color w:val="000000" w:themeColor="text1"/>
                <w:sz w:val="22"/>
                <w:szCs w:val="22"/>
              </w:rPr>
              <w:t xml:space="preserve">We are all aware of the cost-of-living crisis we are all facing currently. In almost all advanced </w:t>
            </w:r>
            <w:r w:rsidRPr="0004008E">
              <w:rPr>
                <w:rFonts w:ascii="PT Sans" w:hAnsi="PT Sans"/>
                <w:color w:val="000000" w:themeColor="text1"/>
                <w:sz w:val="22"/>
                <w:szCs w:val="22"/>
              </w:rPr>
              <w:t>economies, consumer prices have soared</w:t>
            </w:r>
            <w:r w:rsidR="0004008E" w:rsidRPr="0004008E">
              <w:rPr>
                <w:rFonts w:ascii="PT Sans" w:hAnsi="PT Sans"/>
                <w:color w:val="000000" w:themeColor="text1"/>
              </w:rPr>
              <w:t xml:space="preserve"> </w:t>
            </w:r>
            <w:r w:rsidR="0004008E" w:rsidRPr="003B4B9D">
              <w:rPr>
                <w:rFonts w:ascii="PT Sans" w:hAnsi="PT Sans"/>
                <w:color w:val="000000" w:themeColor="text1"/>
                <w:sz w:val="22"/>
              </w:rPr>
              <w:t>since pre-pandemic times</w:t>
            </w:r>
            <w:r w:rsidRPr="003B4B9D">
              <w:rPr>
                <w:rFonts w:ascii="PT Sans" w:hAnsi="PT Sans"/>
                <w:color w:val="000000" w:themeColor="text1"/>
                <w:sz w:val="21"/>
                <w:szCs w:val="22"/>
              </w:rPr>
              <w:t xml:space="preserve"> </w:t>
            </w:r>
            <w:r w:rsidRPr="00B956E6">
              <w:rPr>
                <w:rFonts w:ascii="PT Sans" w:hAnsi="PT Sans"/>
                <w:color w:val="000000" w:themeColor="text1"/>
                <w:sz w:val="22"/>
                <w:szCs w:val="22"/>
              </w:rPr>
              <w:t>(DeSilver, 2022) and thus we are now existing in a testing climate, when it comes to charity funds – as we find ourselves in an increasingly competitive third-sector market</w:t>
            </w:r>
            <w:r w:rsidR="00CA3141">
              <w:rPr>
                <w:rFonts w:ascii="PT Sans" w:hAnsi="PT Sans"/>
                <w:color w:val="000000" w:themeColor="text1"/>
              </w:rPr>
              <w:t xml:space="preserve">. </w:t>
            </w:r>
            <w:r w:rsidRPr="00B956E6">
              <w:rPr>
                <w:rFonts w:ascii="PT Sans" w:hAnsi="PT Sans"/>
                <w:sz w:val="22"/>
                <w:szCs w:val="22"/>
              </w:rPr>
              <w:t>Waite et al</w:t>
            </w:r>
            <w:r w:rsidR="003B1CFA">
              <w:rPr>
                <w:rFonts w:ascii="PT Sans" w:hAnsi="PT Sans"/>
                <w:sz w:val="22"/>
                <w:szCs w:val="22"/>
              </w:rPr>
              <w:t xml:space="preserve">. </w:t>
            </w:r>
            <w:r w:rsidRPr="00B956E6">
              <w:rPr>
                <w:rFonts w:ascii="PT Sans" w:hAnsi="PT Sans"/>
                <w:sz w:val="22"/>
                <w:szCs w:val="22"/>
              </w:rPr>
              <w:t xml:space="preserve">(2021) talk about the customer lifecycle as being a five-step process of awareness, acquisition, </w:t>
            </w:r>
            <w:r w:rsidRPr="00B956E6">
              <w:rPr>
                <w:rFonts w:ascii="PT Sans" w:hAnsi="PT Sans"/>
                <w:color w:val="000000" w:themeColor="text1"/>
                <w:sz w:val="22"/>
                <w:szCs w:val="22"/>
              </w:rPr>
              <w:t xml:space="preserve">conversion, retention and loyalty. Our promise to spend our donors’ </w:t>
            </w:r>
            <w:r w:rsidRPr="0085669A">
              <w:rPr>
                <w:rFonts w:ascii="PT Sans" w:hAnsi="PT Sans"/>
                <w:color w:val="000000" w:themeColor="text1"/>
                <w:sz w:val="22"/>
                <w:szCs w:val="22"/>
              </w:rPr>
              <w:t>money wisely (RNLI, 2020</w:t>
            </w:r>
            <w:r w:rsidRPr="0085669A">
              <w:rPr>
                <w:rFonts w:ascii="PT Sans" w:hAnsi="PT Sans"/>
                <w:color w:val="000000" w:themeColor="text1"/>
                <w:sz w:val="22"/>
              </w:rPr>
              <w:t>a</w:t>
            </w:r>
            <w:r w:rsidRPr="0085669A">
              <w:rPr>
                <w:rFonts w:ascii="PT Sans" w:hAnsi="PT Sans"/>
                <w:color w:val="000000" w:themeColor="text1"/>
                <w:sz w:val="22"/>
                <w:szCs w:val="22"/>
              </w:rPr>
              <w:t xml:space="preserve">) must be considered at every stage and we should ensure that our campaigns continue to appeal to the </w:t>
            </w:r>
            <w:r w:rsidRPr="00B956E6">
              <w:rPr>
                <w:rFonts w:ascii="PT Sans" w:hAnsi="PT Sans"/>
                <w:color w:val="000000" w:themeColor="text1"/>
                <w:sz w:val="22"/>
                <w:szCs w:val="22"/>
              </w:rPr>
              <w:t xml:space="preserve">‘Emergency Responders’ and ‘Feel-good do-gooders’, who will be likely to support our cause, through highly emotive material and highlighting local risk data alongside stories of both tragedy and triumph (Chapman et al., 2022). For instance, </w:t>
            </w:r>
            <w:r w:rsidR="00721A90">
              <w:rPr>
                <w:rFonts w:ascii="PT Sans" w:hAnsi="PT Sans"/>
                <w:color w:val="000000" w:themeColor="text1"/>
                <w:sz w:val="22"/>
                <w:szCs w:val="22"/>
              </w:rPr>
              <w:t xml:space="preserve">drawing attention to recent governmental debate (Senedd Cymru, 2022) on the topic of Mark Allen’s Law, a campaign to improve safety measures, driven by a family who tragically lost their 18-year-old relative. Or conversely, </w:t>
            </w:r>
            <w:r w:rsidRPr="00B956E6">
              <w:rPr>
                <w:rFonts w:ascii="PT Sans" w:hAnsi="PT Sans"/>
                <w:color w:val="000000" w:themeColor="text1"/>
                <w:sz w:val="22"/>
                <w:szCs w:val="22"/>
              </w:rPr>
              <w:t xml:space="preserve">celebrating the lifesaving potential of water safety messaging, such as with the Float to Live success in </w:t>
            </w:r>
            <w:r w:rsidRPr="00B956E6">
              <w:rPr>
                <w:rFonts w:ascii="PT Sans" w:hAnsi="PT Sans"/>
                <w:color w:val="000000" w:themeColor="text1"/>
                <w:sz w:val="22"/>
              </w:rPr>
              <w:t>Gwynedd</w:t>
            </w:r>
            <w:r w:rsidRPr="00B956E6">
              <w:rPr>
                <w:rFonts w:ascii="PT Sans" w:hAnsi="PT Sans"/>
                <w:color w:val="000000" w:themeColor="text1"/>
                <w:sz w:val="22"/>
                <w:szCs w:val="22"/>
              </w:rPr>
              <w:t xml:space="preserve"> this summer (BBC, 2022), to raise awareness and provide context to our preventative work.</w:t>
            </w:r>
            <w:r w:rsidRPr="00B956E6">
              <w:rPr>
                <w:rFonts w:ascii="PT Sans" w:hAnsi="PT Sans"/>
                <w:sz w:val="20"/>
                <w:szCs w:val="20"/>
              </w:rPr>
              <w:t xml:space="preserve"> </w:t>
            </w:r>
          </w:p>
        </w:tc>
      </w:tr>
      <w:tr w:rsidR="00984F58" w:rsidRPr="007B5A84" w14:paraId="75CD4AB5" w14:textId="77777777" w:rsidTr="00721A90">
        <w:trPr>
          <w:trHeight w:val="190"/>
        </w:trPr>
        <w:tc>
          <w:tcPr>
            <w:tcW w:w="10397" w:type="dxa"/>
            <w:tcBorders>
              <w:top w:val="nil"/>
              <w:bottom w:val="single" w:sz="12" w:space="0" w:color="165788" w:themeColor="text2"/>
            </w:tcBorders>
            <w:shd w:val="clear" w:color="auto" w:fill="C2DFF5" w:themeFill="accent1" w:themeFillTint="33"/>
          </w:tcPr>
          <w:p w14:paraId="4165B493" w14:textId="77777777" w:rsidR="00984F58" w:rsidRPr="007B5A84" w:rsidRDefault="00984F58" w:rsidP="00721A90">
            <w:pPr>
              <w:contextualSpacing/>
              <w:rPr>
                <w:rFonts w:ascii="PT Sans" w:hAnsi="PT Sans"/>
              </w:rPr>
            </w:pPr>
          </w:p>
        </w:tc>
      </w:tr>
    </w:tbl>
    <w:p w14:paraId="3E2F3E1D" w14:textId="77777777" w:rsidR="00C83F31" w:rsidRPr="00C83F31" w:rsidRDefault="00C83F31" w:rsidP="00C83F31">
      <w:pPr>
        <w:rPr>
          <w:rFonts w:ascii="PT Sans" w:hAnsi="PT Sans"/>
        </w:rPr>
      </w:pPr>
    </w:p>
    <w:p w14:paraId="692D8693" w14:textId="77777777" w:rsidR="00984F58" w:rsidRDefault="00984F58" w:rsidP="007B5A84">
      <w:pPr>
        <w:rPr>
          <w:rFonts w:ascii="PT Sans" w:hAnsi="PT Sans"/>
          <w:b/>
        </w:rPr>
      </w:pPr>
    </w:p>
    <w:tbl>
      <w:tblPr>
        <w:tblStyle w:val="TableGrid"/>
        <w:tblpPr w:leftFromText="180" w:rightFromText="180" w:vertAnchor="page" w:horzAnchor="margin" w:tblpY="1090"/>
        <w:tblW w:w="10412" w:type="dxa"/>
        <w:shd w:val="clear" w:color="auto" w:fill="C2DFF5" w:themeFill="accent1" w:themeFillTint="33"/>
        <w:tblLook w:val="04A0" w:firstRow="1" w:lastRow="0" w:firstColumn="1" w:lastColumn="0" w:noHBand="0" w:noVBand="1"/>
        <w:tblDescription w:val="Under Australian law you have certain rights even before you enrol with an education institution. "/>
      </w:tblPr>
      <w:tblGrid>
        <w:gridCol w:w="10412"/>
      </w:tblGrid>
      <w:tr w:rsidR="0085669A" w:rsidRPr="007B5A84" w14:paraId="12116092" w14:textId="77777777" w:rsidTr="0085669A">
        <w:trPr>
          <w:trHeight w:val="482"/>
          <w:tblHeader/>
        </w:trPr>
        <w:tc>
          <w:tcPr>
            <w:tcW w:w="10412" w:type="dxa"/>
            <w:tcBorders>
              <w:bottom w:val="nil"/>
            </w:tcBorders>
            <w:shd w:val="clear" w:color="auto" w:fill="C2DFF5" w:themeFill="accent1" w:themeFillTint="33"/>
          </w:tcPr>
          <w:p w14:paraId="3DEE734F" w14:textId="77777777" w:rsidR="0085669A" w:rsidRDefault="0085669A" w:rsidP="0085669A">
            <w:pPr>
              <w:pStyle w:val="Heading2"/>
              <w:jc w:val="center"/>
              <w:outlineLvl w:val="1"/>
              <w:rPr>
                <w:rFonts w:ascii="PT Sans" w:hAnsi="PT Sans"/>
                <w:color w:val="165788" w:themeColor="accent1"/>
                <w:sz w:val="32"/>
              </w:rPr>
            </w:pPr>
            <w:r w:rsidRPr="00180CE5">
              <w:rPr>
                <w:rFonts w:ascii="PT Sans" w:hAnsi="PT Sans"/>
                <w:color w:val="165788" w:themeColor="accent1"/>
                <w:sz w:val="32"/>
              </w:rPr>
              <w:t>Technology and Regionalised Operations (AC 1.4)</w:t>
            </w:r>
          </w:p>
          <w:p w14:paraId="7FCA61A8" w14:textId="77777777" w:rsidR="0085669A" w:rsidRPr="00180CE5" w:rsidRDefault="0085669A" w:rsidP="0085669A"/>
        </w:tc>
      </w:tr>
      <w:tr w:rsidR="0085669A" w:rsidRPr="007B5A84" w14:paraId="1269C58F" w14:textId="77777777" w:rsidTr="0085669A">
        <w:trPr>
          <w:trHeight w:val="2655"/>
        </w:trPr>
        <w:tc>
          <w:tcPr>
            <w:tcW w:w="10412" w:type="dxa"/>
            <w:tcBorders>
              <w:top w:val="nil"/>
            </w:tcBorders>
            <w:shd w:val="clear" w:color="auto" w:fill="C2DFF5" w:themeFill="accent1" w:themeFillTint="33"/>
          </w:tcPr>
          <w:p w14:paraId="3FB2824D" w14:textId="77777777" w:rsidR="0085669A" w:rsidRPr="007836BB" w:rsidRDefault="0085669A" w:rsidP="0085669A">
            <w:pPr>
              <w:rPr>
                <w:rFonts w:ascii="PT Sans" w:hAnsi="PT Sans"/>
                <w:color w:val="000000" w:themeColor="text1"/>
                <w:sz w:val="22"/>
                <w:szCs w:val="27"/>
              </w:rPr>
            </w:pPr>
            <w:r w:rsidRPr="00360845">
              <w:rPr>
                <w:rFonts w:ascii="PT Sans" w:hAnsi="PT Sans"/>
                <w:color w:val="2E2E2E"/>
                <w:sz w:val="22"/>
                <w:szCs w:val="27"/>
              </w:rPr>
              <w:t xml:space="preserve">Attitude monitoring, as principal indicator, may be particularly valuable </w:t>
            </w:r>
            <w:r>
              <w:rPr>
                <w:rFonts w:ascii="PT Sans" w:hAnsi="PT Sans"/>
                <w:color w:val="2E2E2E"/>
                <w:sz w:val="22"/>
                <w:szCs w:val="27"/>
              </w:rPr>
              <w:t xml:space="preserve">for those managing a distributed team. </w:t>
            </w:r>
            <w:r w:rsidRPr="00360845">
              <w:rPr>
                <w:rFonts w:ascii="PT Sans" w:hAnsi="PT Sans"/>
                <w:sz w:val="22"/>
              </w:rPr>
              <w:t>Dweck (2014) talks about the ‘</w:t>
            </w:r>
            <w:r w:rsidRPr="00360845">
              <w:rPr>
                <w:rFonts w:ascii="PT Sans" w:hAnsi="PT Sans"/>
                <w:i/>
                <w:sz w:val="22"/>
              </w:rPr>
              <w:t>power of yet’</w:t>
            </w:r>
            <w:r w:rsidRPr="00360845">
              <w:rPr>
                <w:rFonts w:ascii="PT Sans" w:hAnsi="PT Sans"/>
                <w:sz w:val="22"/>
              </w:rPr>
              <w:t xml:space="preserve"> and a growth mindset, where the mentor (or in our case, manager or delivery support) praises the process of hard work and perseverance to allow for </w:t>
            </w:r>
            <w:r w:rsidRPr="007836BB">
              <w:rPr>
                <w:rFonts w:ascii="PT Sans" w:hAnsi="PT Sans"/>
                <w:color w:val="000000" w:themeColor="text1"/>
                <w:sz w:val="22"/>
              </w:rPr>
              <w:t xml:space="preserve">a natural acquirement of resilience. Smith (2020), suggests that the benefits of fostering this mindset and rewarding a team member’s efforts and process, could be reduced burnout and reduced mental health problems such as depression and anxiety. </w:t>
            </w:r>
            <w:r w:rsidRPr="007836BB">
              <w:rPr>
                <w:rFonts w:ascii="PT Sans" w:hAnsi="PT Sans"/>
                <w:color w:val="000000" w:themeColor="text1"/>
                <w:sz w:val="22"/>
                <w:szCs w:val="27"/>
              </w:rPr>
              <w:t>Relationship break-down and reduced team cohesion, amongst other potential negative outcomes, can also affect efficiency (Downs, Donnelly &amp; Daellenbach, 2022b).</w:t>
            </w:r>
          </w:p>
          <w:p w14:paraId="3E3DA5D4" w14:textId="77777777" w:rsidR="0085669A" w:rsidRPr="007836BB" w:rsidRDefault="0085669A" w:rsidP="0085669A"/>
          <w:p w14:paraId="5E0F9865" w14:textId="51F443C5" w:rsidR="0085669A" w:rsidRDefault="0085669A" w:rsidP="0085669A">
            <w:pPr>
              <w:rPr>
                <w:rFonts w:ascii="PT Sans" w:hAnsi="PT Sans"/>
                <w:sz w:val="22"/>
              </w:rPr>
            </w:pPr>
            <w:r>
              <w:rPr>
                <w:rFonts w:ascii="PT Sans" w:hAnsi="PT Sans"/>
                <w:sz w:val="22"/>
              </w:rPr>
              <w:t>We should be looking at how we can foster a culture within our Water Safety Team, that genuinely commends a commitment to learning and development, not only to improve our collective knowledge and expertise, but as a great opportunity for building human capital, whilst promoting collaboration (Waite et al., 2021). The ‘Myers-Briggs Type Indicator’ online test (16 Personalities, 2022), is free to take and will determine a person’s personality type, which can be used as a tool for self-reflection and allows us to recognise the ways our “preferences” can influence our responses to situations. It may also provide a deeper empathy for other team members, as it provides an impartial summary of each personality type; it provides an independent rationalisation of behaviours and may help an individual to understand and relate to another (Waite et al</w:t>
            </w:r>
            <w:r w:rsidR="003B1CFA">
              <w:rPr>
                <w:rFonts w:ascii="PT Sans" w:hAnsi="PT Sans"/>
                <w:sz w:val="22"/>
              </w:rPr>
              <w:t>.</w:t>
            </w:r>
            <w:r>
              <w:rPr>
                <w:rFonts w:ascii="PT Sans" w:hAnsi="PT Sans"/>
                <w:sz w:val="22"/>
              </w:rPr>
              <w:t xml:space="preserve">, 2021). Emphasis on social connections, in a regionalised team where geographical distance can hinder them, has never been more fundamental (Downs, Donnelly &amp; Daellenbach, 2022a). With limited chances to observe working relationships in-person, positively establishing them in the first place is imperative: especially </w:t>
            </w:r>
            <w:r w:rsidRPr="00360845">
              <w:rPr>
                <w:rFonts w:ascii="PT Sans" w:hAnsi="PT Sans"/>
                <w:sz w:val="22"/>
              </w:rPr>
              <w:t xml:space="preserve">when loneliness can lead to greater stress-related absenteeism (Bowers, 2022). </w:t>
            </w:r>
          </w:p>
          <w:p w14:paraId="1756477D" w14:textId="77777777" w:rsidR="0085669A" w:rsidRDefault="0085669A" w:rsidP="0085669A"/>
          <w:p w14:paraId="6401565B" w14:textId="77777777" w:rsidR="0085669A" w:rsidRPr="007836BB" w:rsidRDefault="0085669A" w:rsidP="0085669A">
            <w:pPr>
              <w:rPr>
                <w:rFonts w:ascii="PT Sans" w:hAnsi="PT Sans"/>
                <w:sz w:val="22"/>
              </w:rPr>
            </w:pPr>
            <w:r w:rsidRPr="007836BB">
              <w:rPr>
                <w:rFonts w:ascii="PT Sans" w:hAnsi="PT Sans"/>
                <w:sz w:val="22"/>
              </w:rPr>
              <w:t>Although we are already widely using Microsoft Teams</w:t>
            </w:r>
            <w:r>
              <w:rPr>
                <w:rFonts w:ascii="PT Sans" w:hAnsi="PT Sans"/>
                <w:sz w:val="22"/>
              </w:rPr>
              <w:t xml:space="preserve"> </w:t>
            </w:r>
            <w:r w:rsidRPr="007836BB">
              <w:rPr>
                <w:rFonts w:ascii="PT Sans" w:hAnsi="PT Sans"/>
                <w:sz w:val="22"/>
              </w:rPr>
              <w:t xml:space="preserve">across the RNLI, it would be valuable to upskill </w:t>
            </w:r>
            <w:r>
              <w:rPr>
                <w:rFonts w:ascii="PT Sans" w:hAnsi="PT Sans"/>
                <w:sz w:val="22"/>
              </w:rPr>
              <w:t xml:space="preserve">its </w:t>
            </w:r>
            <w:r w:rsidRPr="007836BB">
              <w:rPr>
                <w:rFonts w:ascii="PT Sans" w:hAnsi="PT Sans"/>
                <w:sz w:val="22"/>
              </w:rPr>
              <w:t>effective use</w:t>
            </w:r>
            <w:r>
              <w:rPr>
                <w:rFonts w:ascii="PT Sans" w:hAnsi="PT Sans"/>
                <w:sz w:val="22"/>
              </w:rPr>
              <w:t xml:space="preserve"> </w:t>
            </w:r>
            <w:r w:rsidRPr="007836BB">
              <w:rPr>
                <w:rFonts w:ascii="PT Sans" w:hAnsi="PT Sans"/>
                <w:sz w:val="22"/>
              </w:rPr>
              <w:t xml:space="preserve">to ensure we are utilising what it has to offer as a </w:t>
            </w:r>
            <w:r>
              <w:rPr>
                <w:rFonts w:ascii="PT Sans" w:hAnsi="PT Sans"/>
                <w:sz w:val="22"/>
              </w:rPr>
              <w:t xml:space="preserve">means of </w:t>
            </w:r>
            <w:r w:rsidRPr="007836BB">
              <w:rPr>
                <w:rFonts w:ascii="PT Sans" w:hAnsi="PT Sans"/>
                <w:sz w:val="22"/>
              </w:rPr>
              <w:t xml:space="preserve">communication. </w:t>
            </w:r>
            <w:r>
              <w:rPr>
                <w:rFonts w:ascii="PT Sans" w:hAnsi="PT Sans"/>
                <w:sz w:val="22"/>
              </w:rPr>
              <w:t xml:space="preserve">For instance, on Teams channels, we could look to develop the use of the collaborative tool Visio – a way of gaining input and agreement from all participants, to improve quality and maximise efficiency all whilst promoting teamwork (Beadle, 2021). </w:t>
            </w:r>
          </w:p>
          <w:p w14:paraId="225AD9FF" w14:textId="77777777" w:rsidR="0085669A" w:rsidRPr="008720C2" w:rsidRDefault="0085669A" w:rsidP="0085669A">
            <w:pPr>
              <w:spacing w:line="276" w:lineRule="auto"/>
              <w:rPr>
                <w:rFonts w:ascii="PT Sans" w:hAnsi="PT Sans" w:cs="Arial"/>
                <w:bCs/>
                <w:color w:val="000000" w:themeColor="text1"/>
              </w:rPr>
            </w:pPr>
          </w:p>
        </w:tc>
      </w:tr>
    </w:tbl>
    <w:p w14:paraId="4FFC21E0" w14:textId="77777777" w:rsidR="00984F58" w:rsidRDefault="00984F58" w:rsidP="007B5A84">
      <w:pPr>
        <w:rPr>
          <w:rFonts w:ascii="PT Sans" w:hAnsi="PT Sans"/>
          <w:b/>
        </w:rPr>
      </w:pPr>
    </w:p>
    <w:p w14:paraId="7DBD8E20" w14:textId="7B2BC729" w:rsidR="00984F58" w:rsidRDefault="00984F58" w:rsidP="007B5A84">
      <w:pPr>
        <w:rPr>
          <w:rFonts w:ascii="PT Sans" w:hAnsi="PT Sans"/>
          <w:b/>
        </w:rPr>
      </w:pPr>
    </w:p>
    <w:tbl>
      <w:tblPr>
        <w:tblStyle w:val="TableGrid"/>
        <w:tblpPr w:leftFromText="180" w:rightFromText="180" w:vertAnchor="text" w:horzAnchor="margin" w:tblpY="-258"/>
        <w:tblW w:w="10456" w:type="dxa"/>
        <w:shd w:val="clear" w:color="auto" w:fill="C2DFF5" w:themeFill="accent1" w:themeFillTint="33"/>
        <w:tblLook w:val="04A0" w:firstRow="1" w:lastRow="0" w:firstColumn="1" w:lastColumn="0" w:noHBand="0" w:noVBand="1"/>
        <w:tblDescription w:val="Under Australian law you have certain rights even before you enrol with an education institution. "/>
      </w:tblPr>
      <w:tblGrid>
        <w:gridCol w:w="10456"/>
      </w:tblGrid>
      <w:tr w:rsidR="0056726F" w:rsidRPr="007B5A84" w14:paraId="263925E1" w14:textId="77777777" w:rsidTr="0056726F">
        <w:trPr>
          <w:trHeight w:val="381"/>
          <w:tblHeader/>
        </w:trPr>
        <w:tc>
          <w:tcPr>
            <w:tcW w:w="10456" w:type="dxa"/>
            <w:tcBorders>
              <w:bottom w:val="nil"/>
            </w:tcBorders>
            <w:shd w:val="clear" w:color="auto" w:fill="C2DFF5" w:themeFill="accent1" w:themeFillTint="33"/>
          </w:tcPr>
          <w:p w14:paraId="37971636" w14:textId="51EE7AB1" w:rsidR="0056726F" w:rsidRDefault="0056726F" w:rsidP="0056726F">
            <w:pPr>
              <w:pStyle w:val="Heading2"/>
              <w:jc w:val="center"/>
              <w:outlineLvl w:val="1"/>
              <w:rPr>
                <w:rFonts w:ascii="PT Sans" w:hAnsi="PT Sans"/>
                <w:color w:val="165788" w:themeColor="accent1"/>
                <w:sz w:val="32"/>
              </w:rPr>
            </w:pPr>
            <w:r w:rsidRPr="003C0329">
              <w:rPr>
                <w:rFonts w:ascii="PT Sans" w:hAnsi="PT Sans"/>
                <w:color w:val="165788" w:themeColor="accent1"/>
                <w:sz w:val="32"/>
              </w:rPr>
              <w:t>Our Philosophy shapes our culture (AC 2.1)</w:t>
            </w:r>
          </w:p>
          <w:p w14:paraId="3A3BE125" w14:textId="77777777" w:rsidR="0056726F" w:rsidRPr="00180CE5" w:rsidRDefault="0056726F" w:rsidP="0056726F"/>
        </w:tc>
      </w:tr>
      <w:tr w:rsidR="0056726F" w:rsidRPr="007B5A84" w14:paraId="391BC4C9" w14:textId="77777777" w:rsidTr="0056726F">
        <w:trPr>
          <w:trHeight w:val="4879"/>
        </w:trPr>
        <w:tc>
          <w:tcPr>
            <w:tcW w:w="10456" w:type="dxa"/>
            <w:tcBorders>
              <w:top w:val="nil"/>
            </w:tcBorders>
            <w:shd w:val="clear" w:color="auto" w:fill="C2DFF5" w:themeFill="accent1" w:themeFillTint="33"/>
          </w:tcPr>
          <w:p w14:paraId="00BDB909" w14:textId="27143852" w:rsidR="0056726F" w:rsidRDefault="0056726F" w:rsidP="0056726F">
            <w:r w:rsidRPr="00F44B04">
              <w:rPr>
                <w:rFonts w:ascii="PT Sans" w:hAnsi="PT Sans"/>
                <w:sz w:val="22"/>
                <w:szCs w:val="22"/>
              </w:rPr>
              <w:t>Our culture is the context in which our volunteers and staff operate (Waite et al</w:t>
            </w:r>
            <w:r w:rsidR="003B1CFA">
              <w:rPr>
                <w:rFonts w:ascii="PT Sans" w:hAnsi="PT Sans"/>
                <w:sz w:val="22"/>
                <w:szCs w:val="22"/>
              </w:rPr>
              <w:t>.</w:t>
            </w:r>
            <w:r w:rsidRPr="00F44B04">
              <w:rPr>
                <w:rFonts w:ascii="PT Sans" w:hAnsi="PT Sans"/>
                <w:sz w:val="22"/>
                <w:szCs w:val="22"/>
              </w:rPr>
              <w:t>, 2021), and it is clear that a sense of pride and passion has not diminished, despite the RNLI’s evolution; not only are our values brought to life through our people, but also reflected in how we do thing as a business (RNLI, 2022</w:t>
            </w:r>
            <w:r w:rsidR="004D69D2">
              <w:rPr>
                <w:rFonts w:ascii="PT Sans" w:hAnsi="PT Sans"/>
                <w:sz w:val="22"/>
                <w:szCs w:val="22"/>
              </w:rPr>
              <w:t>b</w:t>
            </w:r>
            <w:r w:rsidRPr="00F44B04">
              <w:rPr>
                <w:rFonts w:ascii="PT Sans" w:hAnsi="PT Sans"/>
                <w:sz w:val="22"/>
                <w:szCs w:val="22"/>
              </w:rPr>
              <w:t>. The RNLI has successfully fostered what Gordon and DiTomaso (1992, cited in Waite et al</w:t>
            </w:r>
            <w:r w:rsidR="003B1CFA">
              <w:rPr>
                <w:rFonts w:ascii="PT Sans" w:hAnsi="PT Sans"/>
                <w:sz w:val="22"/>
                <w:szCs w:val="22"/>
              </w:rPr>
              <w:t>.</w:t>
            </w:r>
            <w:r w:rsidRPr="00F44B04">
              <w:rPr>
                <w:rFonts w:ascii="PT Sans" w:hAnsi="PT Sans"/>
                <w:sz w:val="22"/>
                <w:szCs w:val="22"/>
              </w:rPr>
              <w:t xml:space="preserve"> 2021, p.28) would describe as a strong organisational culture, because our “values are widely shared and intensely held”. </w:t>
            </w:r>
            <w:r w:rsidRPr="00F44B04">
              <w:rPr>
                <w:rFonts w:ascii="PT Sans" w:hAnsi="PT Sans"/>
                <w:sz w:val="22"/>
                <w:szCs w:val="22"/>
                <w:shd w:val="clear" w:color="auto" w:fill="C2DFF5" w:themeFill="accent1" w:themeFillTint="33"/>
              </w:rPr>
              <w:t>According</w:t>
            </w:r>
            <w:r w:rsidRPr="00F44B04">
              <w:rPr>
                <w:rFonts w:ascii="PT Sans" w:hAnsi="PT Sans"/>
                <w:sz w:val="22"/>
                <w:szCs w:val="22"/>
              </w:rPr>
              <w:t xml:space="preserve"> to a Senior Culture Consultant from Kin&amp;Co (Gould 2018), ¾ of workers in the UK said they would stay in a role longer if they felt emotionally connected to an organisation.</w:t>
            </w:r>
            <w:r>
              <w:rPr>
                <w:rFonts w:ascii="PT Sans" w:hAnsi="PT Sans"/>
                <w:sz w:val="22"/>
                <w:szCs w:val="22"/>
              </w:rPr>
              <w:t xml:space="preserve"> </w:t>
            </w:r>
          </w:p>
          <w:p w14:paraId="2FEB7A29" w14:textId="77777777" w:rsidR="0056726F" w:rsidRPr="00F44B04" w:rsidRDefault="0056726F" w:rsidP="0056726F">
            <w:pPr>
              <w:rPr>
                <w:rFonts w:ascii="PT Sans" w:hAnsi="PT Sans"/>
                <w:sz w:val="22"/>
                <w:szCs w:val="22"/>
              </w:rPr>
            </w:pPr>
          </w:p>
          <w:p w14:paraId="28CDDEB9" w14:textId="77777777" w:rsidR="00130204" w:rsidRDefault="0056726F" w:rsidP="001A07D7">
            <w:r w:rsidRPr="00F44B04">
              <w:rPr>
                <w:rFonts w:ascii="PT Sans" w:hAnsi="PT Sans"/>
                <w:sz w:val="22"/>
                <w:szCs w:val="22"/>
              </w:rPr>
              <w:t xml:space="preserve">If this is to continue to be the case for the Water Safety Team, it is important that a positive workplace culture is not taken for granted. Regional management must continue to develop new ways of nurturing this solid starting point through their own working habits, behaviours and relationships with colleagues, which will likely permeate to those in the team. </w:t>
            </w:r>
            <w:r w:rsidR="001A07D7" w:rsidRPr="00130204">
              <w:rPr>
                <w:rFonts w:ascii="PT Sans" w:hAnsi="PT Sans"/>
                <w:sz w:val="22"/>
              </w:rPr>
              <w:t>Thoughtful role-modelling, teaching and mentoring along with “how</w:t>
            </w:r>
            <w:r w:rsidR="001A07D7" w:rsidRPr="00130204">
              <w:rPr>
                <w:rFonts w:ascii="PT Sans" w:hAnsi="PT Sans"/>
                <w:sz w:val="22"/>
              </w:rPr>
              <w:t xml:space="preserve"> leaders react to critical incidents and organi</w:t>
            </w:r>
            <w:r w:rsidR="001A07D7" w:rsidRPr="00130204">
              <w:rPr>
                <w:rFonts w:ascii="PT Sans" w:hAnsi="PT Sans"/>
                <w:sz w:val="22"/>
              </w:rPr>
              <w:t>s</w:t>
            </w:r>
            <w:r w:rsidR="001A07D7" w:rsidRPr="00130204">
              <w:rPr>
                <w:rFonts w:ascii="PT Sans" w:hAnsi="PT Sans"/>
                <w:sz w:val="22"/>
              </w:rPr>
              <w:t>ational crises</w:t>
            </w:r>
            <w:r w:rsidR="001A07D7" w:rsidRPr="00130204">
              <w:rPr>
                <w:rFonts w:ascii="PT Sans" w:hAnsi="PT Sans"/>
                <w:sz w:val="22"/>
              </w:rPr>
              <w:t>” are some of the “</w:t>
            </w:r>
            <w:r w:rsidR="001A07D7" w:rsidRPr="00130204">
              <w:rPr>
                <w:rFonts w:ascii="PT Sans" w:hAnsi="PT Sans"/>
                <w:sz w:val="22"/>
              </w:rPr>
              <w:t>Primary Embedding Mechanisms</w:t>
            </w:r>
            <w:r w:rsidR="001A07D7" w:rsidRPr="00130204">
              <w:rPr>
                <w:rFonts w:ascii="PT Sans" w:hAnsi="PT Sans"/>
                <w:sz w:val="22"/>
              </w:rPr>
              <w:t>” (Schein, 2004, p.246) for extending shared values/beliefs amongst colleagues.</w:t>
            </w:r>
            <w:r w:rsidR="001A07D7" w:rsidRPr="00130204">
              <w:rPr>
                <w:sz w:val="22"/>
              </w:rPr>
              <w:t xml:space="preserve"> </w:t>
            </w:r>
          </w:p>
          <w:p w14:paraId="23981C08" w14:textId="77777777" w:rsidR="00130204" w:rsidRDefault="00130204" w:rsidP="001A07D7">
            <w:pPr>
              <w:rPr>
                <w:rFonts w:ascii="PT Sans" w:hAnsi="PT Sans"/>
                <w:sz w:val="22"/>
                <w:szCs w:val="22"/>
              </w:rPr>
            </w:pPr>
          </w:p>
          <w:p w14:paraId="0376D66F" w14:textId="7CE6214A" w:rsidR="001A07D7" w:rsidRDefault="0056726F" w:rsidP="001A07D7">
            <w:r w:rsidRPr="00F44B04">
              <w:rPr>
                <w:rFonts w:ascii="PT Sans" w:hAnsi="PT Sans"/>
                <w:sz w:val="22"/>
                <w:szCs w:val="22"/>
              </w:rPr>
              <w:t xml:space="preserve">Razzetti (2022) thinks that leadership actions matter more than words: </w:t>
            </w:r>
            <w:r w:rsidRPr="00F44B04">
              <w:rPr>
                <w:rFonts w:ascii="Arial" w:hAnsi="Arial" w:cs="Arial"/>
                <w:color w:val="2C2D30"/>
                <w:sz w:val="22"/>
                <w:szCs w:val="22"/>
              </w:rPr>
              <w:t>“</w:t>
            </w:r>
            <w:r w:rsidRPr="00F44B04">
              <w:rPr>
                <w:rFonts w:ascii="PT Sans" w:hAnsi="PT Sans"/>
                <w:sz w:val="22"/>
                <w:szCs w:val="22"/>
              </w:rPr>
              <w:t>Workplace culture is more than “the way we do things around here.” It’s the gap between what we say and what we do. It’s the behaviour that is tolerated, not your words, that determines the real culture”.  Leaders having a genuine empathy for colleagues will help promote a sense of collective compassion, to help us ride out these difficult times (Kendrick, 2022).</w:t>
            </w:r>
            <w:r w:rsidR="001A07D7">
              <w:t xml:space="preserve"> </w:t>
            </w:r>
          </w:p>
          <w:p w14:paraId="77BA30D0" w14:textId="77777777" w:rsidR="0056726F" w:rsidRPr="00F44B04" w:rsidRDefault="0056726F" w:rsidP="0056726F">
            <w:pPr>
              <w:rPr>
                <w:rFonts w:ascii="PT Sans" w:hAnsi="PT Sans"/>
                <w:sz w:val="22"/>
                <w:szCs w:val="22"/>
              </w:rPr>
            </w:pPr>
          </w:p>
          <w:p w14:paraId="3D0D0F96" w14:textId="77777777" w:rsidR="0056726F" w:rsidRPr="0004008E" w:rsidRDefault="0056726F" w:rsidP="0056726F">
            <w:pPr>
              <w:rPr>
                <w:rFonts w:ascii="PT Sans" w:hAnsi="PT Sans" w:cstheme="minorBidi"/>
                <w:sz w:val="22"/>
                <w:szCs w:val="22"/>
                <w:lang w:val="en-AU"/>
              </w:rPr>
            </w:pPr>
          </w:p>
        </w:tc>
      </w:tr>
    </w:tbl>
    <w:p w14:paraId="29A4915A" w14:textId="4617340A" w:rsidR="00C83F31" w:rsidRDefault="00C83F31" w:rsidP="007B5A84">
      <w:pPr>
        <w:rPr>
          <w:rFonts w:ascii="PT Sans" w:hAnsi="PT Sans"/>
          <w:b/>
        </w:rPr>
      </w:pPr>
    </w:p>
    <w:p w14:paraId="03343648" w14:textId="5A7654E4" w:rsidR="00557F64" w:rsidRDefault="00557F64" w:rsidP="007B5A84">
      <w:pPr>
        <w:rPr>
          <w:rFonts w:ascii="PT Sans" w:hAnsi="PT Sans"/>
          <w:b/>
        </w:rPr>
      </w:pPr>
    </w:p>
    <w:tbl>
      <w:tblPr>
        <w:tblStyle w:val="TableGrid"/>
        <w:tblpPr w:leftFromText="180" w:rightFromText="180" w:vertAnchor="text" w:horzAnchor="margin" w:tblpY="-69"/>
        <w:tblW w:w="10353" w:type="dxa"/>
        <w:tblBorders>
          <w:insideH w:val="none" w:sz="0" w:space="0" w:color="auto"/>
          <w:insideV w:val="none" w:sz="0" w:space="0" w:color="auto"/>
        </w:tblBorders>
        <w:shd w:val="clear" w:color="auto" w:fill="C2DFF5" w:themeFill="accent1" w:themeFillTint="33"/>
        <w:tblLook w:val="04A0" w:firstRow="1" w:lastRow="0" w:firstColumn="1" w:lastColumn="0" w:noHBand="0" w:noVBand="1"/>
        <w:tblDescription w:val="Under Australian law you have certain rights even before you enrol with an education institution. "/>
      </w:tblPr>
      <w:tblGrid>
        <w:gridCol w:w="10353"/>
      </w:tblGrid>
      <w:tr w:rsidR="0056726F" w:rsidRPr="007B5A84" w14:paraId="1FE3A16D" w14:textId="77777777" w:rsidTr="00EC441C">
        <w:trPr>
          <w:trHeight w:val="231"/>
          <w:tblHeader/>
        </w:trPr>
        <w:tc>
          <w:tcPr>
            <w:tcW w:w="10353" w:type="dxa"/>
            <w:shd w:val="clear" w:color="auto" w:fill="C2DFF5" w:themeFill="accent1" w:themeFillTint="33"/>
          </w:tcPr>
          <w:p w14:paraId="54C8D6A8" w14:textId="77777777" w:rsidR="0056726F" w:rsidRDefault="0056726F" w:rsidP="00EC441C">
            <w:pPr>
              <w:pStyle w:val="Heading2"/>
              <w:jc w:val="center"/>
              <w:outlineLvl w:val="1"/>
              <w:rPr>
                <w:rFonts w:ascii="PT Sans" w:hAnsi="PT Sans"/>
                <w:color w:val="165788" w:themeColor="accent1"/>
                <w:sz w:val="32"/>
              </w:rPr>
            </w:pPr>
            <w:r w:rsidRPr="003C0329">
              <w:rPr>
                <w:rFonts w:ascii="PT Sans" w:hAnsi="PT Sans"/>
                <w:color w:val="165788" w:themeColor="accent1"/>
                <w:sz w:val="32"/>
              </w:rPr>
              <w:t>One Crew: working to save every one (AC 2.2)</w:t>
            </w:r>
          </w:p>
          <w:p w14:paraId="37DFCDB6" w14:textId="77777777" w:rsidR="0056726F" w:rsidRPr="00180CE5" w:rsidRDefault="0056726F" w:rsidP="00EC441C"/>
        </w:tc>
      </w:tr>
      <w:tr w:rsidR="0056726F" w:rsidRPr="007B5A84" w14:paraId="47BD0773" w14:textId="77777777" w:rsidTr="00EC441C">
        <w:trPr>
          <w:trHeight w:val="1451"/>
        </w:trPr>
        <w:tc>
          <w:tcPr>
            <w:tcW w:w="10353" w:type="dxa"/>
            <w:shd w:val="clear" w:color="auto" w:fill="C2DFF5" w:themeFill="accent1" w:themeFillTint="33"/>
          </w:tcPr>
          <w:p w14:paraId="7FB6665A" w14:textId="34EA992F" w:rsidR="001F4764" w:rsidRDefault="0056726F" w:rsidP="00EC441C">
            <w:pPr>
              <w:rPr>
                <w:rFonts w:ascii="PT Sans" w:hAnsi="PT Sans"/>
                <w:sz w:val="22"/>
              </w:rPr>
            </w:pPr>
            <w:r w:rsidRPr="00F44B04">
              <w:rPr>
                <w:rFonts w:ascii="PT Sans" w:hAnsi="PT Sans"/>
                <w:sz w:val="22"/>
              </w:rPr>
              <w:t xml:space="preserve">People managers within the RNLI must also, if they are not already, start thinking more holistically about staff and volunteers alike. Our people are at the heart of the RNLI, and as a “value-driven organisation” (Waite et al, 2021, p34), we are all working towards and interconnected by the shared goal of saving lives. The way we work aligns strongly with </w:t>
            </w:r>
            <w:r w:rsidRPr="00D12792">
              <w:rPr>
                <w:rFonts w:ascii="PT Sans" w:hAnsi="PT Sans"/>
                <w:sz w:val="22"/>
              </w:rPr>
              <w:t>McKinsey’s 7-S</w:t>
            </w:r>
            <w:r w:rsidRPr="00F44B04">
              <w:rPr>
                <w:rFonts w:ascii="PT Sans" w:hAnsi="PT Sans"/>
                <w:sz w:val="22"/>
              </w:rPr>
              <w:t xml:space="preserve"> framework</w:t>
            </w:r>
            <w:r w:rsidR="00D12792">
              <w:rPr>
                <w:rFonts w:ascii="PT Sans" w:hAnsi="PT Sans"/>
                <w:sz w:val="22"/>
              </w:rPr>
              <w:t xml:space="preserve"> (Mind Tools, 2022)</w:t>
            </w:r>
            <w:r w:rsidRPr="00F44B04">
              <w:rPr>
                <w:rFonts w:ascii="PT Sans" w:hAnsi="PT Sans"/>
                <w:sz w:val="22"/>
              </w:rPr>
              <w:t xml:space="preserve">, which details the interrelated elements within an organisation and highlights the importance of shared values and ambition. </w:t>
            </w:r>
            <w:r w:rsidR="001F4764">
              <w:rPr>
                <w:rFonts w:ascii="PT Sans" w:hAnsi="PT Sans"/>
                <w:sz w:val="22"/>
              </w:rPr>
              <w:t>We have developed the ‘hard’ (</w:t>
            </w:r>
            <w:r w:rsidR="001F4764" w:rsidRPr="001F4764">
              <w:rPr>
                <w:rFonts w:ascii="PT Sans" w:hAnsi="PT Sans"/>
                <w:i/>
                <w:sz w:val="22"/>
              </w:rPr>
              <w:t>strategy, structure, systems</w:t>
            </w:r>
            <w:r w:rsidR="001F4764">
              <w:rPr>
                <w:rFonts w:ascii="PT Sans" w:hAnsi="PT Sans"/>
                <w:sz w:val="22"/>
              </w:rPr>
              <w:t>) and ‘soft’ (</w:t>
            </w:r>
            <w:r w:rsidR="001F4764" w:rsidRPr="001F4764">
              <w:rPr>
                <w:rFonts w:ascii="PT Sans" w:hAnsi="PT Sans"/>
                <w:i/>
                <w:sz w:val="22"/>
              </w:rPr>
              <w:t>shared values, skills, style, staff</w:t>
            </w:r>
            <w:r w:rsidR="001F4764">
              <w:rPr>
                <w:rFonts w:ascii="PT Sans" w:hAnsi="PT Sans"/>
                <w:sz w:val="22"/>
              </w:rPr>
              <w:t xml:space="preserve">) </w:t>
            </w:r>
            <w:r w:rsidR="001F4764">
              <w:rPr>
                <w:rFonts w:ascii="PT Sans" w:hAnsi="PT Sans"/>
                <w:sz w:val="22"/>
              </w:rPr>
              <w:t>components</w:t>
            </w:r>
            <w:r w:rsidR="001F4764">
              <w:rPr>
                <w:rFonts w:ascii="PT Sans" w:hAnsi="PT Sans"/>
                <w:sz w:val="22"/>
              </w:rPr>
              <w:t xml:space="preserve"> (RNLI, 2020a), but we must be open to improve in all areas.</w:t>
            </w:r>
          </w:p>
          <w:p w14:paraId="6BF108EB" w14:textId="77777777" w:rsidR="001F4764" w:rsidRDefault="001F4764" w:rsidP="00EC441C">
            <w:pPr>
              <w:rPr>
                <w:rFonts w:ascii="PT Sans" w:hAnsi="PT Sans"/>
                <w:sz w:val="22"/>
              </w:rPr>
            </w:pPr>
          </w:p>
          <w:p w14:paraId="7AB4920F" w14:textId="13818C53" w:rsidR="0056726F" w:rsidRDefault="0056726F" w:rsidP="00EC441C">
            <w:pPr>
              <w:rPr>
                <w:rFonts w:ascii="PT Sans" w:hAnsi="PT Sans"/>
                <w:sz w:val="22"/>
              </w:rPr>
            </w:pPr>
            <w:r w:rsidRPr="00F44B04">
              <w:rPr>
                <w:rFonts w:ascii="PT Sans" w:hAnsi="PT Sans"/>
                <w:sz w:val="22"/>
              </w:rPr>
              <w:t>The Water Safety team is one part of the whole network, collaborating with other regional teams such as: Face to Face Fundraising; Marketing; Community Engagement; Legacy Engagement etc. Working in this regionalised way has pros and cons, and we must put recognise the impact of central teams in Poole (at RNLI HQ) like the Water Safety Support Team or HR People Services, and how they contribute across the regions. Our ‘One Crew’ ethos helps us to draw on each other’s’ knowledge and expertise. However, the interrelated nature of our organisational structure, means we need to take a look at the bigger picture and consider how to work most efficiently, both independently and in conjunction with others. People Admin (HR) in particular, play an enormous part in the embedding of our values and ensuring they are lived out and realised (Gould, 2018).</w:t>
            </w:r>
          </w:p>
          <w:p w14:paraId="7C5443E1" w14:textId="77777777" w:rsidR="0056726F" w:rsidRPr="007B5A84" w:rsidRDefault="0056726F" w:rsidP="00EC441C">
            <w:pPr>
              <w:rPr>
                <w:rFonts w:ascii="PT Sans" w:hAnsi="PT Sans"/>
              </w:rPr>
            </w:pPr>
          </w:p>
        </w:tc>
      </w:tr>
    </w:tbl>
    <w:p w14:paraId="08A3A60B" w14:textId="1BC2DB71" w:rsidR="00557F64" w:rsidRDefault="00557F64" w:rsidP="007B5A84">
      <w:pPr>
        <w:rPr>
          <w:rFonts w:ascii="PT Sans" w:hAnsi="PT Sans"/>
          <w:b/>
        </w:rPr>
      </w:pPr>
    </w:p>
    <w:p w14:paraId="1D694CCE" w14:textId="6EB3B51E" w:rsidR="003221E3" w:rsidRDefault="003221E3" w:rsidP="007B5A84">
      <w:pPr>
        <w:rPr>
          <w:rFonts w:ascii="PT Sans" w:hAnsi="PT Sans"/>
          <w:b/>
        </w:rPr>
      </w:pPr>
    </w:p>
    <w:tbl>
      <w:tblPr>
        <w:tblStyle w:val="TableGrid"/>
        <w:tblpPr w:leftFromText="180" w:rightFromText="180" w:vertAnchor="text" w:horzAnchor="margin" w:tblpY="-246"/>
        <w:tblOverlap w:val="never"/>
        <w:tblW w:w="0" w:type="auto"/>
        <w:shd w:val="clear" w:color="auto" w:fill="C2DFF5" w:themeFill="accent1" w:themeFillTint="33"/>
        <w:tblLook w:val="04A0" w:firstRow="1" w:lastRow="0" w:firstColumn="1" w:lastColumn="0" w:noHBand="0" w:noVBand="1"/>
        <w:tblDescription w:val="Under Australian law you have certain rights even before you enrol with an education institution. "/>
      </w:tblPr>
      <w:tblGrid>
        <w:gridCol w:w="10369"/>
      </w:tblGrid>
      <w:tr w:rsidR="009273C7" w:rsidRPr="007B5A84" w14:paraId="21372851" w14:textId="77777777" w:rsidTr="009273C7">
        <w:trPr>
          <w:trHeight w:val="6227"/>
          <w:tblHeader/>
        </w:trPr>
        <w:tc>
          <w:tcPr>
            <w:tcW w:w="10369" w:type="dxa"/>
            <w:tcBorders>
              <w:bottom w:val="nil"/>
            </w:tcBorders>
            <w:shd w:val="clear" w:color="auto" w:fill="C2DFF5" w:themeFill="accent1" w:themeFillTint="33"/>
          </w:tcPr>
          <w:p w14:paraId="40781A10" w14:textId="77777777" w:rsidR="009273C7" w:rsidRDefault="009273C7" w:rsidP="009273C7">
            <w:pPr>
              <w:pStyle w:val="Heading2"/>
              <w:jc w:val="center"/>
              <w:outlineLvl w:val="1"/>
              <w:rPr>
                <w:rFonts w:ascii="PT Sans" w:hAnsi="PT Sans"/>
                <w:color w:val="165788" w:themeColor="accent1"/>
                <w:sz w:val="32"/>
              </w:rPr>
            </w:pPr>
            <w:r w:rsidRPr="000452BE">
              <w:rPr>
                <w:rFonts w:ascii="PT Sans" w:hAnsi="PT Sans"/>
                <w:color w:val="165788" w:themeColor="accent1"/>
                <w:sz w:val="32"/>
              </w:rPr>
              <w:t>Navigating our way to a better future (AC 3.1)</w:t>
            </w:r>
          </w:p>
          <w:p w14:paraId="5A8CC0F0" w14:textId="77777777" w:rsidR="009273C7" w:rsidRPr="00180CE5" w:rsidRDefault="009273C7" w:rsidP="009273C7">
            <w:pPr>
              <w:rPr>
                <w:lang w:eastAsia="en-GB"/>
              </w:rPr>
            </w:pPr>
          </w:p>
          <w:p w14:paraId="64D28AF5" w14:textId="6347999C" w:rsidR="009273C7" w:rsidRDefault="009273C7" w:rsidP="009273C7">
            <w:pPr>
              <w:rPr>
                <w:rFonts w:ascii="PT Sans" w:hAnsi="PT Sans"/>
              </w:rPr>
            </w:pPr>
            <w:r w:rsidRPr="00511EE7">
              <w:rPr>
                <w:rFonts w:ascii="PT Sans" w:hAnsi="PT Sans"/>
                <w:sz w:val="22"/>
              </w:rPr>
              <w:t xml:space="preserve">As </w:t>
            </w:r>
            <w:r w:rsidRPr="007836BB">
              <w:rPr>
                <w:rFonts w:ascii="PT Sans" w:hAnsi="PT Sans"/>
                <w:sz w:val="22"/>
              </w:rPr>
              <w:t>an organisation, we are instinctively reactive. At our core, we respond to those in difficulty, with the intention to save a life. As the external business environment inevitably changes, we must be prepared and ready to respond to challenges, in the same way we would out at sea. We as a Water Safety Team, are used to being more forward looking as we concern ourselves with the prevention of drowning (RNLI, 2020a). We know the importance of national, regional and local data/risks/knowledge when it comes to building a preventative strategy, with different levels of Water Safety Lifesaving Plans (RNLI, 202</w:t>
            </w:r>
            <w:r w:rsidR="0059424C">
              <w:rPr>
                <w:rFonts w:ascii="PT Sans" w:hAnsi="PT Sans"/>
                <w:sz w:val="22"/>
              </w:rPr>
              <w:t>0</w:t>
            </w:r>
            <w:r w:rsidRPr="007836BB">
              <w:rPr>
                <w:rFonts w:ascii="PT Sans" w:hAnsi="PT Sans"/>
                <w:sz w:val="22"/>
              </w:rPr>
              <w:t>a; RNLI 2020b) in place. This amalgamation process can be mirrored more widely in a business context, so that we take on board all the information we need to plan for the next few years - the RNLI must consider peripheral pressures at all levels of the business</w:t>
            </w:r>
            <w:r w:rsidRPr="007836BB">
              <w:rPr>
                <w:rFonts w:ascii="PT Sans" w:hAnsi="PT Sans"/>
              </w:rPr>
              <w:t xml:space="preserve"> </w:t>
            </w:r>
            <w:r w:rsidRPr="007836BB">
              <w:rPr>
                <w:rFonts w:ascii="PT Sans" w:hAnsi="PT Sans"/>
                <w:sz w:val="22"/>
              </w:rPr>
              <w:t>when planning and preparing people for any changes.</w:t>
            </w:r>
            <w:r w:rsidRPr="00E55DBE">
              <w:rPr>
                <w:rFonts w:ascii="PT Sans" w:hAnsi="PT Sans"/>
                <w:sz w:val="22"/>
              </w:rPr>
              <w:t xml:space="preserve"> </w:t>
            </w:r>
          </w:p>
          <w:p w14:paraId="7C29B5B0" w14:textId="77777777" w:rsidR="009273C7" w:rsidRDefault="009273C7" w:rsidP="009273C7">
            <w:pPr>
              <w:rPr>
                <w:rFonts w:ascii="PT Sans" w:hAnsi="PT Sans"/>
              </w:rPr>
            </w:pPr>
          </w:p>
          <w:p w14:paraId="672C1539" w14:textId="77777777" w:rsidR="009273C7" w:rsidRPr="00E2321D" w:rsidRDefault="009273C7" w:rsidP="009273C7">
            <w:pPr>
              <w:rPr>
                <w:rFonts w:ascii="PT Sans" w:hAnsi="PT Sans"/>
              </w:rPr>
            </w:pPr>
            <w:r w:rsidRPr="00E55DBE">
              <w:rPr>
                <w:rFonts w:ascii="PT Sans" w:hAnsi="PT Sans"/>
                <w:sz w:val="22"/>
              </w:rPr>
              <w:t>Change can be incremental, like the slow introduction of new organisational polices to reflect a new strategy, or transformational like the recent merge of youth education and community safety teams to create a combined, universal approach to water safety (Waite et al., 2021; CIPD, 2021a). This significant shift in how we work to prevent drowning, despite being carefully planned and implemented, has been met with mixed reactions amongst staff and volunteers (RNLI 2020b). Planning for any type of change in the workplace is vital, so that we can predict likely responses and prepare for potential resistance from those affected. Delivering change can be complex and failure rates are extremely high (CIPD, 2021</w:t>
            </w:r>
            <w:r>
              <w:rPr>
                <w:rFonts w:ascii="PT Sans" w:hAnsi="PT Sans"/>
                <w:sz w:val="22"/>
              </w:rPr>
              <w:t>a</w:t>
            </w:r>
            <w:r w:rsidRPr="00E55DBE">
              <w:rPr>
                <w:rFonts w:ascii="PT Sans" w:hAnsi="PT Sans"/>
                <w:sz w:val="22"/>
              </w:rPr>
              <w:t xml:space="preserve">), therefore we must carefully manage any changes, whether they be organisation-wide or specific to our team. A commitment to a rolling plan from 2023-2026 (Dowie, 2022), will set the scene for a tumultuous few years and hopefully provide some predictability amid a time in which the word ‘unprecedented’ has become almost cliché. </w:t>
            </w:r>
          </w:p>
        </w:tc>
      </w:tr>
      <w:tr w:rsidR="009273C7" w:rsidRPr="007B5A84" w14:paraId="48343110" w14:textId="77777777" w:rsidTr="009273C7">
        <w:trPr>
          <w:trHeight w:val="496"/>
        </w:trPr>
        <w:tc>
          <w:tcPr>
            <w:tcW w:w="10369" w:type="dxa"/>
            <w:tcBorders>
              <w:top w:val="nil"/>
            </w:tcBorders>
            <w:shd w:val="clear" w:color="auto" w:fill="C2DFF5" w:themeFill="accent1" w:themeFillTint="33"/>
          </w:tcPr>
          <w:p w14:paraId="5C126186" w14:textId="77777777" w:rsidR="009273C7" w:rsidRPr="007B5A84" w:rsidRDefault="009273C7" w:rsidP="009273C7">
            <w:pPr>
              <w:pStyle w:val="ListBullet"/>
              <w:numPr>
                <w:ilvl w:val="0"/>
                <w:numId w:val="0"/>
              </w:numPr>
              <w:spacing w:after="200" w:line="276" w:lineRule="auto"/>
              <w:rPr>
                <w:rFonts w:ascii="PT Sans" w:hAnsi="PT Sans"/>
              </w:rPr>
            </w:pPr>
          </w:p>
        </w:tc>
      </w:tr>
    </w:tbl>
    <w:p w14:paraId="459060B1" w14:textId="6F509DE8" w:rsidR="003221E3" w:rsidRDefault="003221E3" w:rsidP="007B5A84">
      <w:pPr>
        <w:rPr>
          <w:rFonts w:ascii="PT Sans" w:hAnsi="PT Sans"/>
          <w:b/>
        </w:rPr>
      </w:pPr>
    </w:p>
    <w:tbl>
      <w:tblPr>
        <w:tblStyle w:val="TableGrid"/>
        <w:tblpPr w:leftFromText="180" w:rightFromText="180" w:vertAnchor="text" w:horzAnchor="margin" w:tblpY="599"/>
        <w:tblW w:w="0" w:type="auto"/>
        <w:shd w:val="clear" w:color="auto" w:fill="C2DFF5" w:themeFill="accent1" w:themeFillTint="33"/>
        <w:tblLook w:val="04A0" w:firstRow="1" w:lastRow="0" w:firstColumn="1" w:lastColumn="0" w:noHBand="0" w:noVBand="1"/>
        <w:tblDescription w:val="Under Australian law you have certain rights even before you enrol with an education institution. "/>
      </w:tblPr>
      <w:tblGrid>
        <w:gridCol w:w="10355"/>
      </w:tblGrid>
      <w:tr w:rsidR="009273C7" w:rsidRPr="007B5A84" w14:paraId="2F85C7B3" w14:textId="77777777" w:rsidTr="009273C7">
        <w:trPr>
          <w:trHeight w:val="1266"/>
          <w:tblHeader/>
        </w:trPr>
        <w:tc>
          <w:tcPr>
            <w:tcW w:w="10355" w:type="dxa"/>
            <w:tcBorders>
              <w:bottom w:val="nil"/>
            </w:tcBorders>
            <w:shd w:val="clear" w:color="auto" w:fill="C2DFF5" w:themeFill="accent1" w:themeFillTint="33"/>
          </w:tcPr>
          <w:p w14:paraId="79CB4354" w14:textId="77777777" w:rsidR="009273C7" w:rsidRDefault="009273C7" w:rsidP="009273C7">
            <w:pPr>
              <w:pStyle w:val="Heading2"/>
              <w:jc w:val="center"/>
              <w:outlineLvl w:val="1"/>
              <w:rPr>
                <w:rFonts w:ascii="PT Sans" w:hAnsi="PT Sans"/>
                <w:color w:val="165788" w:themeColor="accent1"/>
                <w:sz w:val="32"/>
              </w:rPr>
            </w:pPr>
            <w:r w:rsidRPr="00055C43">
              <w:rPr>
                <w:rFonts w:ascii="PT Sans" w:hAnsi="PT Sans"/>
                <w:color w:val="165788" w:themeColor="accent1"/>
                <w:sz w:val="32"/>
              </w:rPr>
              <w:t>Role of Our People in Change (AC 3.2)</w:t>
            </w:r>
          </w:p>
          <w:p w14:paraId="05E2E568" w14:textId="77777777" w:rsidR="009273C7" w:rsidRPr="00180CE5" w:rsidRDefault="009273C7" w:rsidP="009273C7">
            <w:pPr>
              <w:rPr>
                <w:lang w:eastAsia="en-GB"/>
              </w:rPr>
            </w:pPr>
          </w:p>
          <w:p w14:paraId="6C876BDE" w14:textId="0C8F8D04" w:rsidR="009273C7" w:rsidRDefault="009273C7" w:rsidP="009273C7">
            <w:r w:rsidRPr="00E55DBE">
              <w:rPr>
                <w:rFonts w:ascii="PT Sans" w:hAnsi="PT Sans"/>
                <w:sz w:val="22"/>
              </w:rPr>
              <w:t xml:space="preserve">We </w:t>
            </w:r>
            <w:r>
              <w:rPr>
                <w:rFonts w:ascii="PT Sans" w:hAnsi="PT Sans"/>
                <w:sz w:val="22"/>
              </w:rPr>
              <w:t xml:space="preserve">do however, </w:t>
            </w:r>
            <w:r w:rsidRPr="00E55DBE">
              <w:rPr>
                <w:rFonts w:ascii="PT Sans" w:hAnsi="PT Sans"/>
                <w:sz w:val="22"/>
              </w:rPr>
              <w:t>need to be cautious when introducing any kind of change, due to the fact that the majority of those it will affect are volunteers. Although cultural control and resistance can be present irrespective of whether people are paid or not, the fact that the power dynamics are unusual</w:t>
            </w:r>
            <w:r>
              <w:rPr>
                <w:rFonts w:ascii="PT Sans" w:hAnsi="PT Sans"/>
                <w:sz w:val="22"/>
              </w:rPr>
              <w:t xml:space="preserve"> within the RNLI, </w:t>
            </w:r>
            <w:r w:rsidRPr="00E55DBE">
              <w:rPr>
                <w:rFonts w:ascii="PT Sans" w:hAnsi="PT Sans"/>
                <w:sz w:val="22"/>
              </w:rPr>
              <w:t>cannot be ignored; volunteers are able to withdraw their services at any point</w:t>
            </w:r>
            <w:r>
              <w:rPr>
                <w:rFonts w:ascii="PT Sans" w:hAnsi="PT Sans"/>
                <w:sz w:val="22"/>
              </w:rPr>
              <w:t xml:space="preserve"> with no monetary loss</w:t>
            </w:r>
            <w:r w:rsidRPr="00E55DBE">
              <w:rPr>
                <w:rFonts w:ascii="PT Sans" w:hAnsi="PT Sans"/>
                <w:sz w:val="22"/>
              </w:rPr>
              <w:t xml:space="preserve"> (Toole &amp; Grey, 2016b) and so the role of our people professionals, including the ‘Volunteering’ specialist team, is paramount. </w:t>
            </w:r>
            <w:r>
              <w:rPr>
                <w:rFonts w:ascii="PT Sans" w:hAnsi="PT Sans"/>
                <w:sz w:val="22"/>
              </w:rPr>
              <w:t xml:space="preserve">Existing in </w:t>
            </w:r>
            <w:r>
              <w:rPr>
                <w:rFonts w:ascii="PT Sans" w:hAnsi="PT Sans"/>
                <w:sz w:val="22"/>
                <w:szCs w:val="22"/>
              </w:rPr>
              <w:t>a contemporary environment in which change is unavoidable and being an organisation that relies on voluntary work (RNLI, 2022</w:t>
            </w:r>
            <w:r w:rsidR="004D69D2">
              <w:rPr>
                <w:rFonts w:ascii="PT Sans" w:hAnsi="PT Sans"/>
                <w:sz w:val="22"/>
                <w:szCs w:val="22"/>
              </w:rPr>
              <w:t>b</w:t>
            </w:r>
            <w:r>
              <w:rPr>
                <w:rFonts w:ascii="PT Sans" w:hAnsi="PT Sans"/>
                <w:sz w:val="22"/>
                <w:szCs w:val="22"/>
              </w:rPr>
              <w:t>), we need to be prepared that in a change context, long-standing volunteers may be resistant and more likely to leave us (</w:t>
            </w:r>
            <w:r w:rsidRPr="0056726F">
              <w:rPr>
                <w:rFonts w:ascii="PT Sans" w:hAnsi="PT Sans"/>
                <w:sz w:val="22"/>
                <w:szCs w:val="22"/>
              </w:rPr>
              <w:t>Warburton, Moore</w:t>
            </w:r>
            <w:r>
              <w:rPr>
                <w:rFonts w:ascii="PT Sans" w:hAnsi="PT Sans"/>
                <w:sz w:val="22"/>
                <w:szCs w:val="22"/>
              </w:rPr>
              <w:t xml:space="preserve"> &amp; </w:t>
            </w:r>
            <w:r w:rsidRPr="0056726F">
              <w:rPr>
                <w:rFonts w:ascii="PT Sans" w:hAnsi="PT Sans"/>
                <w:sz w:val="22"/>
                <w:szCs w:val="22"/>
              </w:rPr>
              <w:t>Oppenheimer</w:t>
            </w:r>
            <w:r>
              <w:rPr>
                <w:rFonts w:ascii="PT Sans" w:hAnsi="PT Sans"/>
                <w:sz w:val="22"/>
                <w:szCs w:val="22"/>
              </w:rPr>
              <w:t xml:space="preserve">, 2017). </w:t>
            </w:r>
          </w:p>
          <w:p w14:paraId="2242207B" w14:textId="77777777" w:rsidR="009273C7" w:rsidRDefault="009273C7" w:rsidP="009273C7">
            <w:pPr>
              <w:rPr>
                <w:rFonts w:ascii="PT Sans" w:hAnsi="PT Sans"/>
                <w:sz w:val="22"/>
              </w:rPr>
            </w:pPr>
          </w:p>
          <w:p w14:paraId="5DE4D9D6" w14:textId="77777777" w:rsidR="009273C7" w:rsidRPr="005326DD" w:rsidRDefault="009273C7" w:rsidP="009273C7">
            <w:pPr>
              <w:rPr>
                <w:rFonts w:ascii="PT Sans" w:hAnsi="PT Sans"/>
                <w:sz w:val="22"/>
              </w:rPr>
            </w:pPr>
            <w:r>
              <w:rPr>
                <w:rFonts w:ascii="PT Sans" w:hAnsi="PT Sans"/>
                <w:sz w:val="22"/>
              </w:rPr>
              <w:t xml:space="preserve">In the Water Safety Team, we are fortunate that, in comparison to what Toole and Grey (2016a) consider to be ‘thick volunteering’ happening in operational lifeboat station crew teams, the capacity in which our Water Safety Officers &amp; Advisers volunteer, is less intense. Therefore, the line between staff and volunteers is clearer cut and change can be managed and facilitated, with efforts from different associated groups, accordingly. Our ‘One Crew’ ethos and values are on the whole, accepted and lived out by all, and contest amongst volunteers are mostly specific and locally managed within stations (Toole &amp; Grey 2016b). </w:t>
            </w:r>
          </w:p>
        </w:tc>
      </w:tr>
      <w:tr w:rsidR="009273C7" w:rsidRPr="007B5A84" w14:paraId="69530E79" w14:textId="77777777" w:rsidTr="009273C7">
        <w:trPr>
          <w:trHeight w:val="231"/>
        </w:trPr>
        <w:tc>
          <w:tcPr>
            <w:tcW w:w="10355" w:type="dxa"/>
            <w:tcBorders>
              <w:top w:val="nil"/>
              <w:bottom w:val="single" w:sz="4" w:space="0" w:color="auto"/>
            </w:tcBorders>
            <w:shd w:val="clear" w:color="auto" w:fill="C2DFF5" w:themeFill="accent1" w:themeFillTint="33"/>
          </w:tcPr>
          <w:p w14:paraId="3A4AF984" w14:textId="77777777" w:rsidR="009273C7" w:rsidRPr="007B5A84" w:rsidRDefault="009273C7" w:rsidP="009273C7">
            <w:pPr>
              <w:pStyle w:val="ListBullet"/>
              <w:numPr>
                <w:ilvl w:val="0"/>
                <w:numId w:val="0"/>
              </w:numPr>
              <w:spacing w:after="200" w:line="276" w:lineRule="auto"/>
              <w:rPr>
                <w:rFonts w:ascii="PT Sans" w:hAnsi="PT Sans"/>
              </w:rPr>
            </w:pPr>
          </w:p>
        </w:tc>
      </w:tr>
    </w:tbl>
    <w:p w14:paraId="55697637" w14:textId="49E8ED47" w:rsidR="00721A90" w:rsidRDefault="00721A90" w:rsidP="007B5A84">
      <w:pPr>
        <w:rPr>
          <w:rFonts w:ascii="PT Sans" w:hAnsi="PT Sans"/>
          <w:b/>
        </w:rPr>
      </w:pPr>
    </w:p>
    <w:p w14:paraId="43E06196" w14:textId="0EE9BE9D" w:rsidR="00721A90" w:rsidRDefault="00721A90" w:rsidP="007B5A84">
      <w:pPr>
        <w:rPr>
          <w:rFonts w:ascii="PT Sans" w:hAnsi="PT Sans"/>
          <w:b/>
        </w:rPr>
      </w:pPr>
    </w:p>
    <w:tbl>
      <w:tblPr>
        <w:tblStyle w:val="TableGrid"/>
        <w:tblpPr w:leftFromText="180" w:rightFromText="180" w:vertAnchor="text" w:horzAnchor="margin" w:tblpY="-146"/>
        <w:tblOverlap w:val="never"/>
        <w:tblW w:w="10382" w:type="dxa"/>
        <w:shd w:val="clear" w:color="auto" w:fill="C2DFF5" w:themeFill="accent1" w:themeFillTint="33"/>
        <w:tblLook w:val="04A0" w:firstRow="1" w:lastRow="0" w:firstColumn="1" w:lastColumn="0" w:noHBand="0" w:noVBand="1"/>
        <w:tblDescription w:val="Under Australian law you have certain rights even before you enrol with an education institution. "/>
      </w:tblPr>
      <w:tblGrid>
        <w:gridCol w:w="10382"/>
      </w:tblGrid>
      <w:tr w:rsidR="009273C7" w:rsidRPr="007B5A84" w14:paraId="0ED0A9C1" w14:textId="77777777" w:rsidTr="009273C7">
        <w:trPr>
          <w:trHeight w:val="8304"/>
          <w:tblHeader/>
        </w:trPr>
        <w:tc>
          <w:tcPr>
            <w:tcW w:w="10382" w:type="dxa"/>
            <w:tcBorders>
              <w:bottom w:val="nil"/>
            </w:tcBorders>
            <w:shd w:val="clear" w:color="auto" w:fill="C2DFF5" w:themeFill="accent1" w:themeFillTint="33"/>
          </w:tcPr>
          <w:p w14:paraId="26B99DDC" w14:textId="77777777" w:rsidR="009273C7" w:rsidRDefault="009273C7" w:rsidP="009273C7">
            <w:pPr>
              <w:pStyle w:val="Heading2"/>
              <w:jc w:val="center"/>
              <w:outlineLvl w:val="1"/>
              <w:rPr>
                <w:rFonts w:ascii="PT Sans" w:hAnsi="PT Sans"/>
                <w:color w:val="165788" w:themeColor="accent1"/>
                <w:sz w:val="32"/>
              </w:rPr>
            </w:pPr>
            <w:r>
              <w:rPr>
                <w:rFonts w:ascii="PT Sans" w:hAnsi="PT Sans"/>
                <w:color w:val="165788" w:themeColor="accent1"/>
                <w:sz w:val="32"/>
              </w:rPr>
              <w:t>Impact of Change</w:t>
            </w:r>
            <w:r w:rsidRPr="00055C43">
              <w:rPr>
                <w:rFonts w:ascii="PT Sans" w:hAnsi="PT Sans"/>
                <w:color w:val="165788" w:themeColor="accent1"/>
                <w:sz w:val="32"/>
              </w:rPr>
              <w:t xml:space="preserve"> (AC 3.3)</w:t>
            </w:r>
          </w:p>
          <w:p w14:paraId="39E9B872" w14:textId="77777777" w:rsidR="009273C7" w:rsidRPr="0085669A" w:rsidRDefault="009273C7" w:rsidP="009273C7"/>
          <w:p w14:paraId="5655B7BE" w14:textId="77777777" w:rsidR="009273C7" w:rsidRPr="00055C43" w:rsidRDefault="009273C7" w:rsidP="009273C7">
            <w:pPr>
              <w:rPr>
                <w:rFonts w:ascii="PT Sans" w:hAnsi="PT Sans"/>
                <w:sz w:val="22"/>
                <w:szCs w:val="22"/>
              </w:rPr>
            </w:pPr>
            <w:r w:rsidRPr="00055C43">
              <w:rPr>
                <w:rFonts w:ascii="PT Sans" w:hAnsi="PT Sans"/>
                <w:sz w:val="22"/>
                <w:szCs w:val="22"/>
              </w:rPr>
              <w:t xml:space="preserve">One of the changes that is notably affecting our regionalised workforce, both staff and volunteers, is the COVID-19 driven transformation of how we work; with the once-to-be-thought temporary, shift to hybridity and remote functioning here to stay (Ancona, Bresman &amp; Mortensen, 2021). The complexity of this change, makes it challenging to acknowledge and accept. Lewin’s change model should be applied in this situation (Endrejat &amp; Burnes, 2022), due to the constant state of flux we have been from 2020, until now. The key elements for effective change - unfreezing, moving and freezing – can be useful in conceptualising this particular change, because it allows for the change to be framed and re-framed, as we consider a balance between how it will be received and the PESTLE factors forcing us (CIPD, 2021b to make cost-saving and productivity rooted decisions (Dowie, 2022). </w:t>
            </w:r>
            <w:r>
              <w:rPr>
                <w:rFonts w:ascii="PT Sans" w:hAnsi="PT Sans"/>
                <w:sz w:val="22"/>
                <w:szCs w:val="22"/>
              </w:rPr>
              <w:t xml:space="preserve">We know that individuals respond to change in many different ways (CIPD, 2021a), and as discussed earlier, collective mindset as well as personality can affect behaviours of those involved. </w:t>
            </w:r>
          </w:p>
          <w:p w14:paraId="3176D50F" w14:textId="77777777" w:rsidR="009273C7" w:rsidRPr="00055C43" w:rsidRDefault="009273C7" w:rsidP="009273C7">
            <w:pPr>
              <w:rPr>
                <w:rFonts w:ascii="PT Sans" w:hAnsi="PT Sans"/>
                <w:sz w:val="22"/>
                <w:szCs w:val="22"/>
              </w:rPr>
            </w:pPr>
          </w:p>
          <w:p w14:paraId="36D85C8B" w14:textId="77777777" w:rsidR="009273C7" w:rsidRPr="00055C43" w:rsidRDefault="009273C7" w:rsidP="009273C7">
            <w:pPr>
              <w:rPr>
                <w:rFonts w:ascii="PT Sans" w:hAnsi="PT Sans"/>
                <w:sz w:val="22"/>
                <w:szCs w:val="22"/>
              </w:rPr>
            </w:pPr>
            <w:r w:rsidRPr="00055C43">
              <w:rPr>
                <w:rFonts w:ascii="PT Sans" w:hAnsi="PT Sans"/>
                <w:sz w:val="22"/>
                <w:szCs w:val="22"/>
              </w:rPr>
              <w:t>Our transparency as an organisation, sharing our thought process and explaining the ‘why’ behind business decisions like reducing travel and increasing online training for volunteers, or reducing the frequency of costly ‘in-person’ events for regional team meetings, is important. We must understand that change can be met with wide-ranging reception, and thus we must work together to actively support those affected by helping them to understand and identify their own insights and actions, as a change is implemented</w:t>
            </w:r>
            <w:r w:rsidRPr="00055C43">
              <w:rPr>
                <w:rFonts w:ascii="PT Sans" w:hAnsi="PT Sans"/>
                <w:sz w:val="22"/>
                <w:szCs w:val="22"/>
                <w:shd w:val="clear" w:color="auto" w:fill="C2DFF5" w:themeFill="accent1" w:themeFillTint="33"/>
              </w:rPr>
              <w:t xml:space="preserve">. </w:t>
            </w:r>
            <w:r w:rsidRPr="0085669A">
              <w:rPr>
                <w:rFonts w:ascii="PT Sans" w:hAnsi="PT Sans"/>
                <w:color w:val="000000" w:themeColor="text1"/>
                <w:sz w:val="22"/>
                <w:szCs w:val="22"/>
                <w:shd w:val="clear" w:color="auto" w:fill="C2DFF5" w:themeFill="accent1" w:themeFillTint="33"/>
              </w:rPr>
              <w:t xml:space="preserve">Endrejat and Burnes (2022) suggest that </w:t>
            </w:r>
            <w:r w:rsidRPr="00055C43">
              <w:rPr>
                <w:rFonts w:ascii="PT Sans" w:hAnsi="PT Sans"/>
                <w:sz w:val="22"/>
                <w:szCs w:val="22"/>
              </w:rPr>
              <w:t xml:space="preserve">solutions emerge during this consultation process and for us to fairly introduce any changes, their 3 simple rules should apply: </w:t>
            </w:r>
          </w:p>
          <w:p w14:paraId="25630DE6" w14:textId="77777777" w:rsidR="009273C7" w:rsidRPr="00055C43" w:rsidRDefault="009273C7" w:rsidP="009273C7">
            <w:pPr>
              <w:rPr>
                <w:rFonts w:ascii="Arial" w:hAnsi="Arial" w:cs="Arial"/>
                <w:color w:val="333333"/>
                <w:sz w:val="22"/>
                <w:szCs w:val="22"/>
                <w:shd w:val="clear" w:color="auto" w:fill="FFFFFF"/>
              </w:rPr>
            </w:pPr>
          </w:p>
          <w:p w14:paraId="6418FC61" w14:textId="77777777" w:rsidR="009273C7" w:rsidRPr="00055C43" w:rsidRDefault="009273C7" w:rsidP="009273C7">
            <w:pPr>
              <w:pStyle w:val="ListParagraph"/>
              <w:numPr>
                <w:ilvl w:val="0"/>
                <w:numId w:val="7"/>
              </w:numPr>
              <w:rPr>
                <w:rFonts w:ascii="PT Sans" w:hAnsi="PT Sans"/>
                <w:b/>
                <w:sz w:val="22"/>
                <w:szCs w:val="22"/>
              </w:rPr>
            </w:pPr>
            <w:r w:rsidRPr="00055C43">
              <w:rPr>
                <w:rFonts w:ascii="PT Sans" w:hAnsi="PT Sans"/>
                <w:b/>
                <w:sz w:val="22"/>
                <w:szCs w:val="22"/>
              </w:rPr>
              <w:t>Use plain language to explain concepts</w:t>
            </w:r>
          </w:p>
          <w:p w14:paraId="2D970E8C" w14:textId="77777777" w:rsidR="009273C7" w:rsidRPr="00055C43" w:rsidRDefault="009273C7" w:rsidP="009273C7">
            <w:pPr>
              <w:pStyle w:val="ListParagraph"/>
              <w:rPr>
                <w:rFonts w:ascii="PT Sans" w:hAnsi="PT Sans"/>
                <w:sz w:val="22"/>
                <w:szCs w:val="22"/>
              </w:rPr>
            </w:pPr>
            <w:r w:rsidRPr="00055C43">
              <w:rPr>
                <w:rFonts w:ascii="PT Sans" w:hAnsi="PT Sans"/>
                <w:sz w:val="22"/>
                <w:szCs w:val="22"/>
              </w:rPr>
              <w:t>We know that our many acronyms can cause confusion, so we need to be hyper-aware of this when explaining a change (RNLI, 2020b)</w:t>
            </w:r>
          </w:p>
          <w:p w14:paraId="1715EDA0" w14:textId="77777777" w:rsidR="009273C7" w:rsidRPr="00055C43" w:rsidRDefault="009273C7" w:rsidP="009273C7">
            <w:pPr>
              <w:pStyle w:val="ListParagraph"/>
              <w:numPr>
                <w:ilvl w:val="0"/>
                <w:numId w:val="7"/>
              </w:numPr>
              <w:rPr>
                <w:rFonts w:ascii="PT Sans" w:hAnsi="PT Sans"/>
                <w:b/>
                <w:sz w:val="22"/>
                <w:szCs w:val="22"/>
              </w:rPr>
            </w:pPr>
            <w:r w:rsidRPr="00055C43">
              <w:rPr>
                <w:rFonts w:ascii="PT Sans" w:hAnsi="PT Sans"/>
                <w:b/>
                <w:sz w:val="22"/>
                <w:szCs w:val="22"/>
              </w:rPr>
              <w:t>Use drawings to illustrate &amp; explain</w:t>
            </w:r>
          </w:p>
          <w:p w14:paraId="3F49C1A8" w14:textId="77777777" w:rsidR="009273C7" w:rsidRPr="00055C43" w:rsidRDefault="009273C7" w:rsidP="009273C7">
            <w:pPr>
              <w:pStyle w:val="ListParagraph"/>
              <w:rPr>
                <w:rFonts w:ascii="PT Sans" w:hAnsi="PT Sans"/>
                <w:sz w:val="22"/>
                <w:szCs w:val="22"/>
              </w:rPr>
            </w:pPr>
            <w:r w:rsidRPr="00055C43">
              <w:rPr>
                <w:rFonts w:ascii="PT Sans" w:hAnsi="PT Sans"/>
                <w:sz w:val="22"/>
                <w:szCs w:val="22"/>
              </w:rPr>
              <w:t>We can use visual representations to highlight the ‘why’, when it comes to the new focus on ‘Outcome 6’ (RNLI, 2020a)</w:t>
            </w:r>
          </w:p>
          <w:p w14:paraId="0B971C28" w14:textId="77777777" w:rsidR="009273C7" w:rsidRPr="00055C43" w:rsidRDefault="009273C7" w:rsidP="009273C7">
            <w:pPr>
              <w:pStyle w:val="ListParagraph"/>
              <w:numPr>
                <w:ilvl w:val="0"/>
                <w:numId w:val="7"/>
              </w:numPr>
              <w:rPr>
                <w:rFonts w:ascii="PT Sans" w:hAnsi="PT Sans"/>
                <w:b/>
                <w:sz w:val="22"/>
                <w:szCs w:val="22"/>
              </w:rPr>
            </w:pPr>
            <w:r w:rsidRPr="00055C43">
              <w:rPr>
                <w:rFonts w:ascii="PT Sans" w:hAnsi="PT Sans"/>
                <w:b/>
                <w:sz w:val="22"/>
                <w:szCs w:val="22"/>
              </w:rPr>
              <w:t>Focus on the exceptions &amp; not the rules</w:t>
            </w:r>
          </w:p>
          <w:p w14:paraId="3F1FE101" w14:textId="77777777" w:rsidR="009273C7" w:rsidRPr="00215D7B" w:rsidRDefault="009273C7" w:rsidP="009273C7">
            <w:pPr>
              <w:pStyle w:val="ListParagraph"/>
              <w:rPr>
                <w:rFonts w:ascii="PT Sans" w:hAnsi="PT Sans"/>
                <w:sz w:val="22"/>
                <w:szCs w:val="22"/>
              </w:rPr>
            </w:pPr>
            <w:r w:rsidRPr="00055C43">
              <w:rPr>
                <w:rFonts w:ascii="PT Sans" w:hAnsi="PT Sans"/>
                <w:sz w:val="22"/>
                <w:szCs w:val="22"/>
              </w:rPr>
              <w:t>There may be an overwhelming positive reaction to a change, therefore we must focus on re-framing the change for those who are resistant (CIPD, 2022b)</w:t>
            </w:r>
            <w:r>
              <w:rPr>
                <w:rFonts w:ascii="PT Sans" w:hAnsi="PT Sans"/>
                <w:sz w:val="22"/>
                <w:szCs w:val="22"/>
              </w:rPr>
              <w:t>. e.g.</w:t>
            </w:r>
            <w:r w:rsidRPr="00215D7B">
              <w:rPr>
                <w:rFonts w:ascii="PT Sans" w:hAnsi="PT Sans"/>
                <w:sz w:val="21"/>
                <w:szCs w:val="22"/>
              </w:rPr>
              <w:t xml:space="preserve"> </w:t>
            </w:r>
            <w:r w:rsidRPr="00215D7B">
              <w:rPr>
                <w:rFonts w:ascii="PT Sans" w:hAnsi="PT Sans"/>
                <w:sz w:val="22"/>
              </w:rPr>
              <w:t>Reconceptualising volunteering as a mutually beneficial process</w:t>
            </w:r>
            <w:r>
              <w:rPr>
                <w:rFonts w:ascii="PT Sans" w:hAnsi="PT Sans"/>
                <w:sz w:val="22"/>
              </w:rPr>
              <w:t xml:space="preserve"> (Kneale</w:t>
            </w:r>
            <w:bookmarkStart w:id="0" w:name="_GoBack"/>
            <w:bookmarkEnd w:id="0"/>
            <w:r>
              <w:rPr>
                <w:rFonts w:ascii="PT Sans" w:hAnsi="PT Sans"/>
                <w:sz w:val="22"/>
              </w:rPr>
              <w:t xml:space="preserve"> et al., 2022). </w:t>
            </w:r>
          </w:p>
          <w:p w14:paraId="4507BF3A" w14:textId="77777777" w:rsidR="009273C7" w:rsidRDefault="009273C7" w:rsidP="009273C7"/>
          <w:p w14:paraId="553FE212" w14:textId="77777777" w:rsidR="009273C7" w:rsidRPr="00215D7B" w:rsidRDefault="009273C7" w:rsidP="009273C7">
            <w:pPr>
              <w:rPr>
                <w:rFonts w:ascii="PT Sans" w:hAnsi="PT Sans"/>
                <w:sz w:val="22"/>
              </w:rPr>
            </w:pPr>
          </w:p>
        </w:tc>
      </w:tr>
      <w:tr w:rsidR="009273C7" w:rsidRPr="007B5A84" w14:paraId="6C3C691D" w14:textId="77777777" w:rsidTr="009273C7">
        <w:trPr>
          <w:trHeight w:val="425"/>
        </w:trPr>
        <w:tc>
          <w:tcPr>
            <w:tcW w:w="10382" w:type="dxa"/>
            <w:tcBorders>
              <w:top w:val="nil"/>
            </w:tcBorders>
            <w:shd w:val="clear" w:color="auto" w:fill="C2DFF5" w:themeFill="accent1" w:themeFillTint="33"/>
          </w:tcPr>
          <w:p w14:paraId="760D0316" w14:textId="77777777" w:rsidR="009273C7" w:rsidRPr="007B5A84" w:rsidRDefault="009273C7" w:rsidP="009273C7">
            <w:pPr>
              <w:pStyle w:val="ListBullet"/>
              <w:numPr>
                <w:ilvl w:val="0"/>
                <w:numId w:val="0"/>
              </w:numPr>
              <w:rPr>
                <w:rFonts w:ascii="PT Sans" w:hAnsi="PT Sans"/>
              </w:rPr>
            </w:pPr>
          </w:p>
        </w:tc>
      </w:tr>
    </w:tbl>
    <w:p w14:paraId="3842368C" w14:textId="4B322B31" w:rsidR="0056726F" w:rsidRDefault="0056726F" w:rsidP="007B5A84">
      <w:pPr>
        <w:rPr>
          <w:rFonts w:ascii="PT Sans" w:hAnsi="PT Sans"/>
          <w:b/>
        </w:rPr>
      </w:pPr>
    </w:p>
    <w:p w14:paraId="5EAFCA92" w14:textId="18FB1FBA" w:rsidR="0056726F" w:rsidRDefault="0056726F" w:rsidP="007B5A84">
      <w:pPr>
        <w:rPr>
          <w:rFonts w:ascii="PT Sans" w:hAnsi="PT Sans"/>
          <w:b/>
        </w:rPr>
      </w:pPr>
    </w:p>
    <w:p w14:paraId="74FCF07E" w14:textId="26A30E62" w:rsidR="0056726F" w:rsidRDefault="0056726F" w:rsidP="007B5A84">
      <w:pPr>
        <w:rPr>
          <w:rFonts w:ascii="PT Sans" w:hAnsi="PT Sans"/>
          <w:b/>
        </w:rPr>
      </w:pPr>
    </w:p>
    <w:p w14:paraId="586B7BC6" w14:textId="2E784148" w:rsidR="0056726F" w:rsidRDefault="0056726F" w:rsidP="007B5A84">
      <w:pPr>
        <w:rPr>
          <w:rFonts w:ascii="PT Sans" w:hAnsi="PT Sans"/>
          <w:b/>
        </w:rPr>
      </w:pPr>
    </w:p>
    <w:p w14:paraId="08E77D50" w14:textId="63305B7A" w:rsidR="0056726F" w:rsidRDefault="0056726F" w:rsidP="007B5A84">
      <w:pPr>
        <w:rPr>
          <w:rFonts w:ascii="PT Sans" w:hAnsi="PT Sans"/>
          <w:b/>
        </w:rPr>
      </w:pPr>
    </w:p>
    <w:p w14:paraId="51323F8B" w14:textId="77777777" w:rsidR="003035ED" w:rsidRDefault="003035ED" w:rsidP="007B5A84">
      <w:pPr>
        <w:rPr>
          <w:rFonts w:ascii="PT Sans" w:hAnsi="PT Sans"/>
          <w:b/>
        </w:rPr>
      </w:pPr>
    </w:p>
    <w:p w14:paraId="6C42F954" w14:textId="77777777" w:rsidR="00180CE5" w:rsidRDefault="00180CE5" w:rsidP="007B5A84">
      <w:pPr>
        <w:rPr>
          <w:rFonts w:ascii="PT Sans" w:hAnsi="PT Sans"/>
          <w:b/>
        </w:rPr>
      </w:pPr>
    </w:p>
    <w:p w14:paraId="7BCDF59F" w14:textId="2754C469" w:rsidR="003221E3" w:rsidRDefault="003221E3" w:rsidP="007B5A84">
      <w:pPr>
        <w:rPr>
          <w:rFonts w:ascii="PT Sans" w:hAnsi="PT Sans"/>
          <w:b/>
        </w:rPr>
      </w:pPr>
    </w:p>
    <w:p w14:paraId="79FFAD0F" w14:textId="609F0C23" w:rsidR="003221E3" w:rsidRDefault="003221E3" w:rsidP="007B5A84">
      <w:pPr>
        <w:rPr>
          <w:rFonts w:ascii="PT Sans" w:hAnsi="PT Sans"/>
          <w:b/>
        </w:rPr>
      </w:pPr>
    </w:p>
    <w:p w14:paraId="0AEB1C54" w14:textId="78AA6E1F" w:rsidR="00984F58" w:rsidRDefault="00984F58" w:rsidP="009E7FDB">
      <w:pPr>
        <w:rPr>
          <w:rFonts w:ascii="PT Sans" w:hAnsi="PT Sans"/>
        </w:rPr>
      </w:pPr>
    </w:p>
    <w:p w14:paraId="3D4F9086" w14:textId="306848DC" w:rsidR="00984F58" w:rsidRDefault="00984F58" w:rsidP="009E7FDB">
      <w:pPr>
        <w:rPr>
          <w:rFonts w:ascii="PT Sans" w:hAnsi="PT Sans"/>
        </w:rPr>
      </w:pPr>
    </w:p>
    <w:p w14:paraId="53511B34" w14:textId="698D6E55" w:rsidR="00984F58" w:rsidRDefault="00984F58" w:rsidP="009E7FDB">
      <w:pPr>
        <w:rPr>
          <w:rFonts w:ascii="PT Sans" w:hAnsi="PT Sans"/>
        </w:rPr>
      </w:pPr>
    </w:p>
    <w:p w14:paraId="71CEA7EA" w14:textId="200CB193" w:rsidR="00984F58" w:rsidRDefault="00984F58" w:rsidP="009E7FDB">
      <w:pPr>
        <w:rPr>
          <w:rFonts w:ascii="PT Sans" w:hAnsi="PT Sans"/>
        </w:rPr>
      </w:pPr>
    </w:p>
    <w:p w14:paraId="776B3684" w14:textId="77777777" w:rsidR="008720C2" w:rsidRDefault="008720C2" w:rsidP="008720C2">
      <w:pPr>
        <w:pStyle w:val="ListBullet"/>
        <w:framePr w:hSpace="180" w:wrap="around" w:vAnchor="text" w:hAnchor="margin" w:y="-591"/>
        <w:numPr>
          <w:ilvl w:val="0"/>
          <w:numId w:val="0"/>
        </w:numPr>
        <w:spacing w:after="200" w:line="276" w:lineRule="auto"/>
        <w:rPr>
          <w:rFonts w:ascii="PT Sans" w:hAnsi="PT Sans"/>
        </w:rPr>
      </w:pPr>
    </w:p>
    <w:p w14:paraId="7B1527E5" w14:textId="77777777" w:rsidR="00656454" w:rsidRPr="009E7FDB" w:rsidRDefault="00656454" w:rsidP="00656454">
      <w:pPr>
        <w:spacing w:line="360" w:lineRule="auto"/>
        <w:rPr>
          <w:rFonts w:ascii="PT Sans" w:hAnsi="PT Sans" w:cs="Arial"/>
          <w:b/>
          <w:bCs/>
          <w:color w:val="000000" w:themeColor="text1"/>
          <w:u w:val="single"/>
        </w:rPr>
      </w:pPr>
      <w:r w:rsidRPr="009E7FDB">
        <w:rPr>
          <w:rFonts w:ascii="PT Sans" w:hAnsi="PT Sans" w:cs="Arial"/>
          <w:b/>
          <w:bCs/>
          <w:color w:val="000000" w:themeColor="text1"/>
          <w:u w:val="single"/>
        </w:rPr>
        <w:t>References</w:t>
      </w:r>
    </w:p>
    <w:p w14:paraId="75A87A4B" w14:textId="77777777" w:rsidR="00656454" w:rsidRDefault="00656454" w:rsidP="00656454">
      <w:pPr>
        <w:spacing w:line="276" w:lineRule="auto"/>
        <w:rPr>
          <w:rFonts w:ascii="PT Sans" w:hAnsi="PT Sans" w:cs="Arial"/>
          <w:bCs/>
          <w:color w:val="000000" w:themeColor="text1"/>
        </w:rPr>
      </w:pPr>
      <w:r w:rsidRPr="009E7FDB">
        <w:rPr>
          <w:rFonts w:ascii="PT Sans" w:hAnsi="PT Sans" w:cs="Arial"/>
          <w:bCs/>
          <w:color w:val="000000" w:themeColor="text1"/>
          <w:sz w:val="22"/>
          <w:szCs w:val="22"/>
        </w:rPr>
        <w:t>16 Personalities</w:t>
      </w:r>
      <w:r w:rsidRPr="009E7FDB">
        <w:rPr>
          <w:rFonts w:ascii="PT Sans" w:hAnsi="PT Sans" w:cs="Arial"/>
          <w:bCs/>
          <w:i/>
          <w:color w:val="000000" w:themeColor="text1"/>
          <w:sz w:val="22"/>
          <w:szCs w:val="22"/>
        </w:rPr>
        <w:t xml:space="preserve"> </w:t>
      </w:r>
      <w:r w:rsidRPr="009E7FDB">
        <w:rPr>
          <w:rFonts w:ascii="PT Sans" w:hAnsi="PT Sans" w:cs="Arial"/>
          <w:bCs/>
          <w:color w:val="000000" w:themeColor="text1"/>
          <w:sz w:val="22"/>
          <w:szCs w:val="22"/>
        </w:rPr>
        <w:t>(2022)</w:t>
      </w:r>
      <w:r w:rsidRPr="009E7FDB">
        <w:rPr>
          <w:rFonts w:ascii="PT Sans" w:hAnsi="PT Sans" w:cs="Arial"/>
          <w:bCs/>
          <w:i/>
          <w:color w:val="000000" w:themeColor="text1"/>
          <w:sz w:val="22"/>
          <w:szCs w:val="22"/>
        </w:rPr>
        <w:t xml:space="preserve"> Understand your team better with Team Assessments</w:t>
      </w:r>
      <w:r w:rsidRPr="009E7FDB">
        <w:rPr>
          <w:rFonts w:ascii="PT Sans" w:hAnsi="PT Sans" w:cs="Arial"/>
          <w:bCs/>
          <w:color w:val="000000" w:themeColor="text1"/>
          <w:sz w:val="22"/>
          <w:szCs w:val="22"/>
        </w:rPr>
        <w:t xml:space="preserve">. Available at: https://www.16personalities.com/tools/teams (Accessed: 20 November 2022). </w:t>
      </w:r>
    </w:p>
    <w:p w14:paraId="5B68840F" w14:textId="77777777" w:rsidR="00656454" w:rsidRPr="009E7FDB" w:rsidRDefault="00656454" w:rsidP="00656454">
      <w:pPr>
        <w:spacing w:line="276" w:lineRule="auto"/>
        <w:rPr>
          <w:rFonts w:ascii="PT Sans" w:hAnsi="PT Sans" w:cs="Arial"/>
          <w:bCs/>
          <w:color w:val="000000" w:themeColor="text1"/>
          <w:sz w:val="22"/>
          <w:szCs w:val="22"/>
        </w:rPr>
      </w:pPr>
    </w:p>
    <w:p w14:paraId="539F142E" w14:textId="77777777" w:rsidR="00656454" w:rsidRPr="009E7FDB" w:rsidRDefault="00656454" w:rsidP="00656454">
      <w:pPr>
        <w:spacing w:line="276" w:lineRule="auto"/>
        <w:rPr>
          <w:rFonts w:ascii="PT Sans" w:hAnsi="PT Sans"/>
          <w:color w:val="000000" w:themeColor="text1"/>
          <w:sz w:val="22"/>
          <w:szCs w:val="22"/>
          <w:shd w:val="clear" w:color="auto" w:fill="FFFFFF"/>
        </w:rPr>
      </w:pPr>
      <w:r w:rsidRPr="009E7FDB">
        <w:rPr>
          <w:rFonts w:ascii="PT Sans" w:hAnsi="PT Sans"/>
          <w:color w:val="000000" w:themeColor="text1"/>
          <w:sz w:val="22"/>
          <w:szCs w:val="22"/>
          <w:shd w:val="clear" w:color="auto" w:fill="FFFFFF"/>
        </w:rPr>
        <w:t>Ancona, D., Bresman, H. and Mortensen, M. (2021). Shifting Team Research after COVID</w:t>
      </w:r>
      <w:r w:rsidRPr="009E7FDB">
        <w:rPr>
          <w:rFonts w:ascii="Cambria Math" w:hAnsi="Cambria Math" w:cs="Cambria Math"/>
          <w:color w:val="000000" w:themeColor="text1"/>
          <w:sz w:val="22"/>
          <w:szCs w:val="22"/>
          <w:shd w:val="clear" w:color="auto" w:fill="FFFFFF"/>
        </w:rPr>
        <w:t>‐</w:t>
      </w:r>
      <w:r w:rsidRPr="009E7FDB">
        <w:rPr>
          <w:rFonts w:ascii="PT Sans" w:hAnsi="PT Sans"/>
          <w:color w:val="000000" w:themeColor="text1"/>
          <w:sz w:val="22"/>
          <w:szCs w:val="22"/>
          <w:shd w:val="clear" w:color="auto" w:fill="FFFFFF"/>
        </w:rPr>
        <w:t>19: Evolutionary and Revolutionary Change. </w:t>
      </w:r>
      <w:r w:rsidRPr="009E7FDB">
        <w:rPr>
          <w:rFonts w:ascii="PT Sans" w:hAnsi="PT Sans"/>
          <w:i/>
          <w:iCs/>
          <w:color w:val="000000" w:themeColor="text1"/>
          <w:sz w:val="22"/>
          <w:szCs w:val="22"/>
          <w:shd w:val="clear" w:color="auto" w:fill="FFFFFF"/>
        </w:rPr>
        <w:t>Journal of Management Studies</w:t>
      </w:r>
      <w:r w:rsidRPr="009E7FDB">
        <w:rPr>
          <w:rFonts w:ascii="PT Sans" w:hAnsi="PT Sans"/>
          <w:color w:val="000000" w:themeColor="text1"/>
          <w:sz w:val="22"/>
          <w:szCs w:val="22"/>
          <w:shd w:val="clear" w:color="auto" w:fill="FFFFFF"/>
        </w:rPr>
        <w:t>, </w:t>
      </w:r>
      <w:r w:rsidRPr="009E7FDB">
        <w:rPr>
          <w:rFonts w:ascii="PT Sans" w:hAnsi="PT Sans"/>
          <w:i/>
          <w:iCs/>
          <w:color w:val="000000" w:themeColor="text1"/>
          <w:sz w:val="22"/>
          <w:szCs w:val="22"/>
          <w:shd w:val="clear" w:color="auto" w:fill="FFFFFF"/>
        </w:rPr>
        <w:t>58</w:t>
      </w:r>
      <w:r w:rsidRPr="009E7FDB">
        <w:rPr>
          <w:rFonts w:ascii="PT Sans" w:hAnsi="PT Sans"/>
          <w:color w:val="000000" w:themeColor="text1"/>
          <w:sz w:val="22"/>
          <w:szCs w:val="22"/>
          <w:shd w:val="clear" w:color="auto" w:fill="FFFFFF"/>
        </w:rPr>
        <w:t>(1), pp. 287–291. Available at: https://doi.org/10.1111/joms.12651</w:t>
      </w:r>
    </w:p>
    <w:p w14:paraId="18D615A9" w14:textId="77777777" w:rsidR="00656454" w:rsidRDefault="00656454" w:rsidP="00656454">
      <w:pPr>
        <w:spacing w:line="276" w:lineRule="auto"/>
        <w:rPr>
          <w:rFonts w:ascii="PT Sans" w:hAnsi="PT Sans" w:cs="Arial"/>
          <w:bCs/>
          <w:color w:val="000000" w:themeColor="text1"/>
          <w:sz w:val="22"/>
          <w:szCs w:val="22"/>
        </w:rPr>
      </w:pPr>
    </w:p>
    <w:p w14:paraId="6809ABEA" w14:textId="77777777" w:rsidR="00656454" w:rsidRDefault="00656454" w:rsidP="00656454">
      <w:pPr>
        <w:spacing w:line="276" w:lineRule="auto"/>
        <w:rPr>
          <w:rFonts w:ascii="PT Sans" w:hAnsi="PT Sans" w:cs="Arial"/>
          <w:bCs/>
          <w:color w:val="000000" w:themeColor="text1"/>
          <w:sz w:val="22"/>
          <w:szCs w:val="22"/>
        </w:rPr>
      </w:pPr>
      <w:r>
        <w:rPr>
          <w:rFonts w:ascii="PT Sans" w:hAnsi="PT Sans" w:cs="Arial"/>
          <w:bCs/>
          <w:color w:val="000000" w:themeColor="text1"/>
          <w:sz w:val="22"/>
          <w:szCs w:val="22"/>
        </w:rPr>
        <w:t xml:space="preserve">BBC (2022) </w:t>
      </w:r>
      <w:r w:rsidRPr="00EC0816">
        <w:rPr>
          <w:rFonts w:ascii="PT Sans" w:hAnsi="PT Sans" w:cs="Arial"/>
          <w:bCs/>
          <w:i/>
          <w:color w:val="000000" w:themeColor="text1"/>
          <w:sz w:val="22"/>
          <w:szCs w:val="22"/>
        </w:rPr>
        <w:t>Gwynedd: Family thank rescuers of girl swept out to sea</w:t>
      </w:r>
      <w:r>
        <w:rPr>
          <w:rFonts w:ascii="PT Sans" w:hAnsi="PT Sans" w:cs="Arial"/>
          <w:bCs/>
          <w:color w:val="000000" w:themeColor="text1"/>
          <w:sz w:val="22"/>
          <w:szCs w:val="22"/>
        </w:rPr>
        <w:t xml:space="preserve">. Available at: </w:t>
      </w:r>
      <w:r w:rsidRPr="00EC0816">
        <w:rPr>
          <w:rFonts w:ascii="PT Sans" w:hAnsi="PT Sans" w:cs="Arial"/>
          <w:bCs/>
          <w:color w:val="000000" w:themeColor="text1"/>
          <w:sz w:val="22"/>
          <w:szCs w:val="22"/>
        </w:rPr>
        <w:t>https://www.bbc.co.uk/news/uk-wales-62659841</w:t>
      </w:r>
      <w:r>
        <w:rPr>
          <w:rFonts w:ascii="PT Sans" w:hAnsi="PT Sans" w:cs="Arial"/>
          <w:bCs/>
          <w:color w:val="000000" w:themeColor="text1"/>
          <w:sz w:val="22"/>
          <w:szCs w:val="22"/>
        </w:rPr>
        <w:t xml:space="preserve"> (Accessed 3 December 2022). </w:t>
      </w:r>
    </w:p>
    <w:p w14:paraId="561520B3" w14:textId="77777777" w:rsidR="00656454" w:rsidRDefault="00656454" w:rsidP="00656454">
      <w:pPr>
        <w:spacing w:line="276" w:lineRule="auto"/>
        <w:rPr>
          <w:rFonts w:ascii="PT Sans" w:hAnsi="PT Sans" w:cs="Arial"/>
          <w:bCs/>
          <w:color w:val="000000" w:themeColor="text1"/>
          <w:sz w:val="22"/>
          <w:szCs w:val="22"/>
        </w:rPr>
      </w:pPr>
    </w:p>
    <w:p w14:paraId="03945410" w14:textId="78FCD771" w:rsidR="00656454" w:rsidRDefault="00656454" w:rsidP="00656454">
      <w:pPr>
        <w:spacing w:line="276" w:lineRule="auto"/>
        <w:rPr>
          <w:rFonts w:ascii="PT Sans" w:hAnsi="PT Sans" w:cs="Arial"/>
          <w:bCs/>
          <w:color w:val="000000" w:themeColor="text1"/>
          <w:sz w:val="22"/>
          <w:szCs w:val="22"/>
        </w:rPr>
      </w:pPr>
      <w:r>
        <w:rPr>
          <w:rFonts w:ascii="PT Sans" w:hAnsi="PT Sans" w:cs="Arial"/>
          <w:bCs/>
          <w:color w:val="000000" w:themeColor="text1"/>
          <w:sz w:val="22"/>
          <w:szCs w:val="22"/>
        </w:rPr>
        <w:t xml:space="preserve">BDC (2022) </w:t>
      </w:r>
      <w:r w:rsidRPr="00B5315D">
        <w:rPr>
          <w:rFonts w:ascii="PT Sans" w:hAnsi="PT Sans" w:cs="Arial"/>
          <w:bCs/>
          <w:i/>
          <w:color w:val="000000" w:themeColor="text1"/>
          <w:sz w:val="22"/>
          <w:szCs w:val="22"/>
        </w:rPr>
        <w:t>SWOT analysis: Do you know your business’s strengths and weaknesses?</w:t>
      </w:r>
      <w:r>
        <w:rPr>
          <w:rFonts w:ascii="PT Sans" w:hAnsi="PT Sans" w:cs="Arial"/>
          <w:bCs/>
          <w:color w:val="000000" w:themeColor="text1"/>
          <w:sz w:val="22"/>
          <w:szCs w:val="22"/>
        </w:rPr>
        <w:t xml:space="preserve"> Available at: </w:t>
      </w:r>
      <w:r w:rsidRPr="00B5315D">
        <w:rPr>
          <w:rFonts w:ascii="PT Sans" w:hAnsi="PT Sans" w:cs="Arial"/>
          <w:color w:val="000000" w:themeColor="text1"/>
          <w:sz w:val="22"/>
          <w:szCs w:val="22"/>
        </w:rPr>
        <w:t>https://www.bdc.ca/en/articles-tools/business-strategy-planning/define-strategy/swot-analysis-easy-tool-strategic-plan</w:t>
      </w:r>
      <w:r w:rsidRPr="00B5315D">
        <w:rPr>
          <w:rFonts w:ascii="PT Sans" w:hAnsi="PT Sans" w:cs="Arial"/>
          <w:color w:val="000000" w:themeColor="text1"/>
          <w:sz w:val="22"/>
          <w:szCs w:val="22"/>
        </w:rPr>
        <w:t>n</w:t>
      </w:r>
      <w:r w:rsidRPr="00B5315D">
        <w:rPr>
          <w:rFonts w:ascii="PT Sans" w:hAnsi="PT Sans" w:cs="Arial"/>
          <w:color w:val="000000" w:themeColor="text1"/>
          <w:sz w:val="22"/>
          <w:szCs w:val="22"/>
        </w:rPr>
        <w:t>ing</w:t>
      </w:r>
      <w:r>
        <w:rPr>
          <w:rFonts w:ascii="Arial" w:hAnsi="Arial" w:cs="Arial"/>
          <w:color w:val="000000" w:themeColor="text1"/>
          <w:sz w:val="22"/>
          <w:szCs w:val="22"/>
        </w:rPr>
        <w:t xml:space="preserve"> (</w:t>
      </w:r>
      <w:r>
        <w:rPr>
          <w:rFonts w:ascii="PT Sans" w:hAnsi="PT Sans" w:cs="Arial"/>
          <w:bCs/>
          <w:color w:val="000000" w:themeColor="text1"/>
          <w:sz w:val="22"/>
          <w:szCs w:val="22"/>
        </w:rPr>
        <w:t>Accessed: 2 December 2022).</w:t>
      </w:r>
    </w:p>
    <w:p w14:paraId="16E1FF3E" w14:textId="77777777" w:rsidR="008F029D" w:rsidRPr="008F029D" w:rsidRDefault="008F029D" w:rsidP="00656454">
      <w:pPr>
        <w:spacing w:line="276" w:lineRule="auto"/>
        <w:rPr>
          <w:rFonts w:ascii="PT Sans" w:hAnsi="PT Sans" w:cs="Arial"/>
          <w:bCs/>
          <w:color w:val="000000" w:themeColor="text1"/>
          <w:sz w:val="22"/>
          <w:szCs w:val="22"/>
        </w:rPr>
      </w:pPr>
    </w:p>
    <w:p w14:paraId="6C69A5E7" w14:textId="77777777" w:rsidR="00656454" w:rsidRPr="008F029D" w:rsidRDefault="00656454" w:rsidP="00656454">
      <w:pPr>
        <w:pStyle w:val="Heading1"/>
        <w:shd w:val="clear" w:color="auto" w:fill="FFFFFF"/>
        <w:spacing w:line="276" w:lineRule="auto"/>
        <w:rPr>
          <w:rFonts w:ascii="PT Sans" w:hAnsi="PT Sans" w:cs="Arial"/>
          <w:b w:val="0"/>
          <w:bCs w:val="0"/>
          <w:color w:val="000000" w:themeColor="text1"/>
          <w:sz w:val="22"/>
          <w:szCs w:val="22"/>
        </w:rPr>
      </w:pPr>
      <w:r w:rsidRPr="008F029D">
        <w:rPr>
          <w:rFonts w:ascii="PT Sans" w:hAnsi="PT Sans" w:cs="Arial"/>
          <w:b w:val="0"/>
          <w:bCs w:val="0"/>
          <w:color w:val="000000" w:themeColor="text1"/>
          <w:sz w:val="22"/>
          <w:szCs w:val="22"/>
        </w:rPr>
        <w:t>Beadle, F. (2021)</w:t>
      </w:r>
      <w:r w:rsidRPr="008F029D">
        <w:rPr>
          <w:rFonts w:ascii="PT Sans" w:hAnsi="PT Sans"/>
          <w:b w:val="0"/>
        </w:rPr>
        <w:t xml:space="preserve"> </w:t>
      </w:r>
      <w:r w:rsidRPr="008F029D">
        <w:rPr>
          <w:rFonts w:ascii="PT Sans" w:hAnsi="PT Sans" w:cs="Arial"/>
          <w:b w:val="0"/>
          <w:bCs w:val="0"/>
          <w:i/>
          <w:color w:val="000000" w:themeColor="text1"/>
          <w:sz w:val="22"/>
          <w:szCs w:val="22"/>
        </w:rPr>
        <w:t>37</w:t>
      </w:r>
      <w:r w:rsidRPr="008F029D">
        <w:rPr>
          <w:rFonts w:ascii="PT Sans" w:hAnsi="PT Sans" w:cs="Arial"/>
          <w:b w:val="0"/>
          <w:i/>
          <w:color w:val="000000" w:themeColor="text1"/>
          <w:sz w:val="22"/>
          <w:szCs w:val="22"/>
        </w:rPr>
        <w:t xml:space="preserve"> Microsoft Teams Tricks and Tips for 2022</w:t>
      </w:r>
      <w:r w:rsidRPr="008F029D">
        <w:rPr>
          <w:rFonts w:ascii="PT Sans" w:hAnsi="PT Sans" w:cs="Arial"/>
          <w:b w:val="0"/>
          <w:bCs w:val="0"/>
          <w:i/>
          <w:color w:val="000000" w:themeColor="text1"/>
          <w:sz w:val="22"/>
          <w:szCs w:val="22"/>
        </w:rPr>
        <w:t>.</w:t>
      </w:r>
      <w:r w:rsidRPr="008F029D">
        <w:rPr>
          <w:rFonts w:ascii="PT Sans" w:hAnsi="PT Sans" w:cs="Arial"/>
          <w:b w:val="0"/>
          <w:bCs w:val="0"/>
          <w:i/>
          <w:color w:val="000000" w:themeColor="text1"/>
          <w:sz w:val="22"/>
          <w:szCs w:val="22"/>
        </w:rPr>
        <w:t xml:space="preserve"> </w:t>
      </w:r>
      <w:r w:rsidRPr="008F029D">
        <w:rPr>
          <w:rFonts w:ascii="PT Sans" w:hAnsi="PT Sans" w:cs="Arial"/>
          <w:b w:val="0"/>
          <w:bCs w:val="0"/>
          <w:color w:val="000000" w:themeColor="text1"/>
          <w:sz w:val="22"/>
          <w:szCs w:val="22"/>
        </w:rPr>
        <w:t xml:space="preserve">Available at: </w:t>
      </w:r>
      <w:r w:rsidRPr="008F029D">
        <w:rPr>
          <w:rFonts w:ascii="PT Sans" w:hAnsi="PT Sans" w:cs="Arial"/>
          <w:b w:val="0"/>
          <w:color w:val="000000" w:themeColor="text1"/>
          <w:sz w:val="22"/>
          <w:szCs w:val="22"/>
        </w:rPr>
        <w:t>https://collab365.com/microsoft-teams-hacks/</w:t>
      </w:r>
      <w:r w:rsidRPr="008F029D">
        <w:rPr>
          <w:rFonts w:ascii="PT Sans" w:hAnsi="PT Sans" w:cs="Arial"/>
          <w:b w:val="0"/>
          <w:bCs w:val="0"/>
          <w:color w:val="000000" w:themeColor="text1"/>
          <w:sz w:val="22"/>
          <w:szCs w:val="22"/>
        </w:rPr>
        <w:t xml:space="preserve"> (Accessed 30 November 2022).</w:t>
      </w:r>
    </w:p>
    <w:p w14:paraId="2C0E82AF" w14:textId="77777777" w:rsidR="00656454" w:rsidRDefault="00656454" w:rsidP="00656454"/>
    <w:p w14:paraId="43B83F7A" w14:textId="77777777" w:rsidR="00656454" w:rsidRPr="006F12D4" w:rsidRDefault="00656454" w:rsidP="00656454">
      <w:pPr>
        <w:spacing w:line="276" w:lineRule="auto"/>
        <w:rPr>
          <w:rFonts w:ascii="PT Sans" w:hAnsi="PT Sans" w:cs="Arial"/>
          <w:bCs/>
          <w:color w:val="000000" w:themeColor="text1"/>
          <w:sz w:val="22"/>
          <w:szCs w:val="22"/>
        </w:rPr>
      </w:pPr>
      <w:r>
        <w:rPr>
          <w:rFonts w:ascii="PT Sans" w:hAnsi="PT Sans" w:cs="Arial"/>
          <w:bCs/>
          <w:color w:val="000000" w:themeColor="text1"/>
          <w:sz w:val="22"/>
          <w:szCs w:val="22"/>
        </w:rPr>
        <w:t xml:space="preserve">Black Swimming Association (2022) </w:t>
      </w:r>
      <w:r w:rsidRPr="00F90AAD">
        <w:rPr>
          <w:rFonts w:ascii="PT Sans" w:hAnsi="PT Sans" w:cs="Arial"/>
          <w:bCs/>
          <w:i/>
          <w:color w:val="000000" w:themeColor="text1"/>
          <w:sz w:val="22"/>
          <w:szCs w:val="22"/>
        </w:rPr>
        <w:t>Challenging the myth that ‘blacks can’t swim’</w:t>
      </w:r>
      <w:r>
        <w:rPr>
          <w:rFonts w:ascii="PT Sans" w:hAnsi="PT Sans" w:cs="Arial"/>
          <w:bCs/>
          <w:color w:val="000000" w:themeColor="text1"/>
          <w:sz w:val="22"/>
          <w:szCs w:val="22"/>
        </w:rPr>
        <w:t xml:space="preserve">. Available at: </w:t>
      </w:r>
      <w:r w:rsidRPr="00F90AAD">
        <w:rPr>
          <w:rFonts w:ascii="PT Sans" w:hAnsi="PT Sans" w:cs="Arial"/>
          <w:bCs/>
          <w:color w:val="000000" w:themeColor="text1"/>
          <w:sz w:val="22"/>
          <w:szCs w:val="22"/>
        </w:rPr>
        <w:t>https://thebsa.co.uk/c</w:t>
      </w:r>
      <w:r w:rsidRPr="00F90AAD">
        <w:rPr>
          <w:rFonts w:ascii="PT Sans" w:hAnsi="PT Sans" w:cs="Arial"/>
          <w:bCs/>
          <w:color w:val="000000" w:themeColor="text1"/>
          <w:sz w:val="22"/>
          <w:szCs w:val="22"/>
        </w:rPr>
        <w:t>h</w:t>
      </w:r>
      <w:r w:rsidRPr="00F90AAD">
        <w:rPr>
          <w:rFonts w:ascii="PT Sans" w:hAnsi="PT Sans" w:cs="Arial"/>
          <w:bCs/>
          <w:color w:val="000000" w:themeColor="text1"/>
          <w:sz w:val="22"/>
          <w:szCs w:val="22"/>
        </w:rPr>
        <w:t>allenging-the-myth-that-blacks-cant-swim/</w:t>
      </w:r>
      <w:r>
        <w:rPr>
          <w:rFonts w:ascii="PT Sans" w:hAnsi="PT Sans" w:cs="Arial"/>
          <w:bCs/>
          <w:color w:val="000000" w:themeColor="text1"/>
          <w:sz w:val="22"/>
          <w:szCs w:val="22"/>
        </w:rPr>
        <w:t xml:space="preserve"> (Accessed: 8 December 2022).</w:t>
      </w:r>
    </w:p>
    <w:p w14:paraId="0E68053D" w14:textId="77777777" w:rsidR="00656454" w:rsidRPr="009E7FDB" w:rsidRDefault="00656454" w:rsidP="00656454">
      <w:pPr>
        <w:spacing w:line="276" w:lineRule="auto"/>
        <w:rPr>
          <w:rFonts w:ascii="PT Sans" w:hAnsi="PT Sans" w:cs="Arial"/>
          <w:bCs/>
          <w:color w:val="000000" w:themeColor="text1"/>
          <w:sz w:val="22"/>
          <w:szCs w:val="22"/>
        </w:rPr>
      </w:pPr>
    </w:p>
    <w:p w14:paraId="479DA770" w14:textId="77777777" w:rsidR="00656454" w:rsidRPr="009E7FDB" w:rsidRDefault="00656454" w:rsidP="00656454">
      <w:pPr>
        <w:spacing w:line="276" w:lineRule="auto"/>
        <w:rPr>
          <w:rFonts w:ascii="PT Sans" w:hAnsi="PT Sans" w:cs="Arial"/>
          <w:bCs/>
          <w:color w:val="000000" w:themeColor="text1"/>
          <w:sz w:val="22"/>
          <w:szCs w:val="22"/>
        </w:rPr>
      </w:pPr>
      <w:r w:rsidRPr="009E7FDB">
        <w:rPr>
          <w:rFonts w:ascii="PT Sans" w:hAnsi="PT Sans" w:cs="Arial"/>
          <w:bCs/>
          <w:color w:val="000000" w:themeColor="text1"/>
          <w:sz w:val="22"/>
          <w:szCs w:val="22"/>
        </w:rPr>
        <w:t xml:space="preserve">Bowers, A. </w:t>
      </w:r>
      <w:r w:rsidRPr="009E7FDB">
        <w:rPr>
          <w:rFonts w:ascii="PT Sans" w:hAnsi="PT Sans" w:cs="Arial"/>
          <w:bCs/>
          <w:i/>
          <w:color w:val="000000" w:themeColor="text1"/>
          <w:sz w:val="22"/>
          <w:szCs w:val="22"/>
        </w:rPr>
        <w:t>et al</w:t>
      </w:r>
      <w:r w:rsidRPr="009E7FDB">
        <w:rPr>
          <w:rFonts w:ascii="PT Sans" w:hAnsi="PT Sans" w:cs="Arial"/>
          <w:bCs/>
          <w:color w:val="000000" w:themeColor="text1"/>
          <w:sz w:val="22"/>
          <w:szCs w:val="22"/>
        </w:rPr>
        <w:t xml:space="preserve"> (2022) ‘Loneliness influences avoidable absenteeism and turnover intention reported by adult workers in the United States’. </w:t>
      </w:r>
      <w:r w:rsidRPr="009E7FDB">
        <w:rPr>
          <w:rFonts w:ascii="PT Sans" w:hAnsi="PT Sans" w:cs="Arial"/>
          <w:bCs/>
          <w:i/>
          <w:iCs/>
          <w:color w:val="000000" w:themeColor="text1"/>
          <w:sz w:val="22"/>
          <w:szCs w:val="22"/>
        </w:rPr>
        <w:t>Journal of Organizational Effectiveness: People and Performance</w:t>
      </w:r>
      <w:r w:rsidRPr="009E7FDB">
        <w:rPr>
          <w:rFonts w:ascii="PT Sans" w:hAnsi="PT Sans" w:cs="Arial"/>
          <w:bCs/>
          <w:color w:val="000000" w:themeColor="text1"/>
          <w:sz w:val="22"/>
          <w:szCs w:val="22"/>
        </w:rPr>
        <w:t>, 9(2), pp. 312-335. Available at: https://doi.org/10.1108/JOEPP-03-2021-0076</w:t>
      </w:r>
    </w:p>
    <w:p w14:paraId="062D48F6" w14:textId="77777777" w:rsidR="00656454" w:rsidRPr="009E7FDB" w:rsidRDefault="00656454" w:rsidP="00656454">
      <w:pPr>
        <w:spacing w:line="276" w:lineRule="auto"/>
        <w:rPr>
          <w:rFonts w:ascii="PT Sans" w:hAnsi="PT Sans" w:cs="Arial"/>
          <w:b/>
          <w:bCs/>
          <w:sz w:val="22"/>
          <w:szCs w:val="22"/>
        </w:rPr>
      </w:pPr>
    </w:p>
    <w:p w14:paraId="1254AD9B" w14:textId="77777777" w:rsidR="00656454" w:rsidRDefault="00656454" w:rsidP="00656454">
      <w:pPr>
        <w:spacing w:line="276" w:lineRule="auto"/>
        <w:rPr>
          <w:rFonts w:ascii="PT Sans" w:hAnsi="PT Sans" w:cs="Arial"/>
          <w:sz w:val="22"/>
          <w:szCs w:val="22"/>
        </w:rPr>
      </w:pPr>
      <w:r w:rsidRPr="009E7FDB">
        <w:rPr>
          <w:rFonts w:ascii="PT Sans" w:hAnsi="PT Sans" w:cs="Arial"/>
          <w:sz w:val="22"/>
          <w:szCs w:val="22"/>
        </w:rPr>
        <w:t xml:space="preserve">Cassidy, N. </w:t>
      </w:r>
      <w:r w:rsidRPr="009E7FDB">
        <w:rPr>
          <w:rFonts w:ascii="PT Sans" w:hAnsi="PT Sans" w:cs="Arial"/>
          <w:i/>
          <w:sz w:val="22"/>
          <w:szCs w:val="22"/>
        </w:rPr>
        <w:t>et al</w:t>
      </w:r>
      <w:r w:rsidRPr="009E7FDB">
        <w:rPr>
          <w:rFonts w:ascii="PT Sans" w:hAnsi="PT Sans" w:cs="Arial"/>
          <w:sz w:val="22"/>
          <w:szCs w:val="22"/>
        </w:rPr>
        <w:t xml:space="preserve"> (2022) </w:t>
      </w:r>
      <w:r w:rsidRPr="009E7FDB">
        <w:rPr>
          <w:rFonts w:ascii="PT Sans" w:hAnsi="PT Sans" w:cs="Arial"/>
          <w:bCs/>
          <w:i/>
          <w:iCs/>
          <w:sz w:val="22"/>
          <w:szCs w:val="22"/>
        </w:rPr>
        <w:t>Building inclusion… with computers</w:t>
      </w:r>
      <w:r w:rsidRPr="009E7FDB">
        <w:rPr>
          <w:rFonts w:ascii="PT Sans" w:hAnsi="PT Sans" w:cs="Arial"/>
          <w:i/>
          <w:iCs/>
          <w:sz w:val="22"/>
          <w:szCs w:val="22"/>
        </w:rPr>
        <w:t xml:space="preserve"> </w:t>
      </w:r>
      <w:r w:rsidRPr="009E7FDB">
        <w:rPr>
          <w:rFonts w:ascii="PT Sans" w:hAnsi="PT Sans" w:cs="Arial"/>
          <w:sz w:val="22"/>
          <w:szCs w:val="22"/>
        </w:rPr>
        <w:t>[CIPD Podcast]. 7 June. Available at: https://www.cipd.co.uk/podcasts/building-inclusion-with-computers (Accessed: 20 November 2022).</w:t>
      </w:r>
    </w:p>
    <w:p w14:paraId="5594DB8A" w14:textId="77777777" w:rsidR="00656454" w:rsidRDefault="00656454" w:rsidP="00656454">
      <w:pPr>
        <w:spacing w:line="276" w:lineRule="auto"/>
        <w:rPr>
          <w:rFonts w:ascii="PT Sans" w:hAnsi="PT Sans" w:cs="Arial"/>
          <w:sz w:val="22"/>
          <w:szCs w:val="22"/>
        </w:rPr>
      </w:pPr>
    </w:p>
    <w:p w14:paraId="4AB71ADE" w14:textId="77777777" w:rsidR="00656454" w:rsidRDefault="00656454" w:rsidP="00656454">
      <w:pPr>
        <w:spacing w:line="276" w:lineRule="auto"/>
        <w:rPr>
          <w:rFonts w:ascii="PT Sans" w:hAnsi="PT Sans" w:cs="Arial"/>
          <w:iCs/>
          <w:sz w:val="22"/>
          <w:szCs w:val="22"/>
        </w:rPr>
      </w:pPr>
      <w:r>
        <w:rPr>
          <w:rFonts w:ascii="PT Sans" w:hAnsi="PT Sans" w:cs="Arial"/>
          <w:sz w:val="22"/>
          <w:szCs w:val="22"/>
        </w:rPr>
        <w:t xml:space="preserve">Chapman, C. </w:t>
      </w:r>
      <w:r w:rsidRPr="00A7090C">
        <w:rPr>
          <w:rFonts w:ascii="PT Sans" w:hAnsi="PT Sans" w:cs="Arial"/>
          <w:i/>
          <w:sz w:val="22"/>
          <w:szCs w:val="22"/>
        </w:rPr>
        <w:t>et al</w:t>
      </w:r>
      <w:r w:rsidRPr="00A7090C">
        <w:rPr>
          <w:rFonts w:ascii="PT Sans" w:hAnsi="PT Sans" w:cs="Arial"/>
          <w:sz w:val="22"/>
          <w:szCs w:val="22"/>
        </w:rPr>
        <w:t xml:space="preserve"> </w:t>
      </w:r>
      <w:r>
        <w:rPr>
          <w:rFonts w:ascii="PT Sans" w:hAnsi="PT Sans" w:cs="Arial"/>
          <w:sz w:val="22"/>
          <w:szCs w:val="22"/>
        </w:rPr>
        <w:t xml:space="preserve">(2022) </w:t>
      </w:r>
      <w:r w:rsidRPr="00A7090C">
        <w:rPr>
          <w:rFonts w:ascii="PT Sans" w:hAnsi="PT Sans" w:cs="Arial"/>
          <w:i/>
          <w:sz w:val="22"/>
          <w:szCs w:val="22"/>
        </w:rPr>
        <w:t>Fundraising Design in a Competitive Market.</w:t>
      </w:r>
      <w:r w:rsidRPr="00A7090C">
        <w:rPr>
          <w:rFonts w:ascii="PT Sans" w:hAnsi="PT Sans" w:cs="Arial"/>
          <w:sz w:val="22"/>
          <w:szCs w:val="22"/>
        </w:rPr>
        <w:t> </w:t>
      </w:r>
      <w:r w:rsidRPr="00A7090C">
        <w:rPr>
          <w:rFonts w:ascii="PT Sans" w:hAnsi="PT Sans" w:cs="Arial"/>
          <w:iCs/>
          <w:sz w:val="22"/>
          <w:szCs w:val="22"/>
        </w:rPr>
        <w:t>Available at: https://www.researchgate.net/profile/Peter-Popkowski-Leszczyc/publication/360720371_Fundraising_Design_in_a_Competitive_Market/links/6286a91dcd5c1b0b34e59efe/Fundraising-Design-in-a-Competitive-Market.pdf</w:t>
      </w:r>
      <w:r>
        <w:rPr>
          <w:rFonts w:ascii="PT Sans" w:hAnsi="PT Sans" w:cs="Arial"/>
          <w:iCs/>
          <w:sz w:val="22"/>
          <w:szCs w:val="22"/>
        </w:rPr>
        <w:t xml:space="preserve"> (Accessed 3 December 2022).</w:t>
      </w:r>
    </w:p>
    <w:p w14:paraId="6D8E9967" w14:textId="77777777" w:rsidR="00656454" w:rsidRPr="009E7FDB" w:rsidRDefault="00656454" w:rsidP="00656454">
      <w:pPr>
        <w:spacing w:line="276" w:lineRule="auto"/>
        <w:rPr>
          <w:rFonts w:ascii="PT Sans" w:hAnsi="PT Sans" w:cs="Arial"/>
          <w:b/>
          <w:bCs/>
          <w:i/>
          <w:iCs/>
          <w:sz w:val="22"/>
          <w:szCs w:val="22"/>
        </w:rPr>
      </w:pPr>
    </w:p>
    <w:p w14:paraId="129FEDB2" w14:textId="77777777" w:rsidR="00656454" w:rsidRDefault="00656454" w:rsidP="00656454">
      <w:pPr>
        <w:spacing w:line="276" w:lineRule="auto"/>
        <w:rPr>
          <w:rFonts w:ascii="PT Sans" w:hAnsi="PT Sans" w:cs="Arial"/>
          <w:sz w:val="22"/>
          <w:szCs w:val="22"/>
        </w:rPr>
      </w:pPr>
      <w:r w:rsidRPr="008C792A">
        <w:rPr>
          <w:rFonts w:ascii="PT Sans" w:hAnsi="PT Sans" w:cs="Arial"/>
          <w:sz w:val="22"/>
          <w:szCs w:val="22"/>
        </w:rPr>
        <w:t xml:space="preserve">CIPD (2021a) </w:t>
      </w:r>
      <w:r w:rsidRPr="008C792A">
        <w:rPr>
          <w:rFonts w:ascii="PT Sans" w:hAnsi="PT Sans" w:cs="Arial"/>
          <w:i/>
          <w:sz w:val="22"/>
          <w:szCs w:val="22"/>
        </w:rPr>
        <w:t>Change Management</w:t>
      </w:r>
      <w:r w:rsidRPr="008C792A">
        <w:rPr>
          <w:rFonts w:ascii="PT Sans" w:hAnsi="PT Sans" w:cs="Arial"/>
          <w:sz w:val="22"/>
          <w:szCs w:val="22"/>
        </w:rPr>
        <w:t>. Available at: https://www.cipd.co.uk/knowledge/strategy/change/management-factsheet (Accessed: 30 November 2022).</w:t>
      </w:r>
      <w:r>
        <w:rPr>
          <w:rFonts w:ascii="PT Sans" w:hAnsi="PT Sans" w:cs="Arial"/>
          <w:sz w:val="22"/>
          <w:szCs w:val="22"/>
        </w:rPr>
        <w:t xml:space="preserve"> </w:t>
      </w:r>
    </w:p>
    <w:p w14:paraId="1C6E8116" w14:textId="77777777" w:rsidR="00656454" w:rsidRDefault="00656454" w:rsidP="00656454">
      <w:pPr>
        <w:spacing w:line="276" w:lineRule="auto"/>
        <w:rPr>
          <w:rFonts w:ascii="PT Sans" w:hAnsi="PT Sans" w:cs="Arial"/>
          <w:sz w:val="22"/>
          <w:szCs w:val="22"/>
        </w:rPr>
      </w:pPr>
    </w:p>
    <w:p w14:paraId="565ADE0A" w14:textId="77777777" w:rsidR="00656454" w:rsidRPr="008C792A" w:rsidRDefault="00656454" w:rsidP="00656454">
      <w:pPr>
        <w:spacing w:line="276" w:lineRule="auto"/>
        <w:rPr>
          <w:rFonts w:ascii="PT Sans" w:hAnsi="PT Sans" w:cs="Arial"/>
          <w:sz w:val="22"/>
          <w:szCs w:val="22"/>
        </w:rPr>
      </w:pPr>
      <w:r w:rsidRPr="008C792A">
        <w:rPr>
          <w:rFonts w:ascii="PT Sans" w:hAnsi="PT Sans" w:cs="Arial"/>
          <w:sz w:val="22"/>
          <w:szCs w:val="22"/>
        </w:rPr>
        <w:t xml:space="preserve">CIPD (2021b) </w:t>
      </w:r>
      <w:r w:rsidRPr="008C792A">
        <w:rPr>
          <w:rFonts w:ascii="PT Sans" w:hAnsi="PT Sans" w:cs="Arial"/>
          <w:i/>
          <w:sz w:val="22"/>
          <w:szCs w:val="22"/>
        </w:rPr>
        <w:t>PESTLE Analysis</w:t>
      </w:r>
      <w:r w:rsidRPr="008C792A">
        <w:rPr>
          <w:rFonts w:ascii="PT Sans" w:hAnsi="PT Sans" w:cs="Arial"/>
          <w:sz w:val="22"/>
          <w:szCs w:val="22"/>
        </w:rPr>
        <w:t>. Available at: https://www.cipd.co.uk/knowledge/strategy/organisational-development/pestle-analysis-factsheet (Accessed: 30 November 2022).</w:t>
      </w:r>
    </w:p>
    <w:p w14:paraId="7705168C" w14:textId="77777777" w:rsidR="00656454" w:rsidRPr="008C792A" w:rsidRDefault="00656454" w:rsidP="00656454">
      <w:pPr>
        <w:spacing w:line="276" w:lineRule="auto"/>
        <w:rPr>
          <w:rFonts w:ascii="PT Sans" w:hAnsi="PT Sans" w:cs="Arial"/>
          <w:sz w:val="22"/>
          <w:szCs w:val="22"/>
        </w:rPr>
      </w:pPr>
    </w:p>
    <w:p w14:paraId="193EEECD" w14:textId="77777777" w:rsidR="00656454" w:rsidRPr="009E7FDB" w:rsidRDefault="00656454" w:rsidP="00656454">
      <w:pPr>
        <w:spacing w:line="276" w:lineRule="auto"/>
        <w:rPr>
          <w:rFonts w:ascii="PT Sans" w:hAnsi="PT Sans" w:cs="Arial"/>
          <w:sz w:val="22"/>
          <w:szCs w:val="22"/>
        </w:rPr>
      </w:pPr>
      <w:r w:rsidRPr="008C792A">
        <w:rPr>
          <w:rFonts w:ascii="PT Sans" w:hAnsi="PT Sans" w:cs="Arial"/>
          <w:sz w:val="22"/>
          <w:szCs w:val="22"/>
        </w:rPr>
        <w:t xml:space="preserve">CIPD (2021c) </w:t>
      </w:r>
      <w:r w:rsidRPr="008C792A">
        <w:rPr>
          <w:rFonts w:ascii="PT Sans" w:hAnsi="PT Sans" w:cs="Arial"/>
          <w:i/>
          <w:sz w:val="22"/>
          <w:szCs w:val="22"/>
        </w:rPr>
        <w:t>SWOT Analysis</w:t>
      </w:r>
      <w:r w:rsidRPr="008C792A">
        <w:rPr>
          <w:rFonts w:ascii="PT Sans" w:hAnsi="PT Sans" w:cs="Arial"/>
          <w:sz w:val="22"/>
          <w:szCs w:val="22"/>
        </w:rPr>
        <w:t>. Available at: https://www.cipd.co.uk/knowledge/strategy/organisational-development/swot-analysis-factsheet</w:t>
      </w:r>
      <w:r w:rsidRPr="008C792A">
        <w:rPr>
          <w:rFonts w:ascii="PT Sans" w:hAnsi="PT Sans" w:cs="Arial"/>
          <w:sz w:val="22"/>
          <w:szCs w:val="22"/>
        </w:rPr>
        <w:t xml:space="preserve"> (Accessed: 30 November 2022).</w:t>
      </w:r>
    </w:p>
    <w:p w14:paraId="1E5BDE5B" w14:textId="77777777" w:rsidR="00656454" w:rsidRPr="008C792A" w:rsidRDefault="00656454" w:rsidP="00656454">
      <w:pPr>
        <w:spacing w:line="276" w:lineRule="auto"/>
        <w:rPr>
          <w:rFonts w:ascii="PT Sans" w:hAnsi="PT Sans" w:cs="Arial"/>
          <w:sz w:val="22"/>
          <w:szCs w:val="22"/>
        </w:rPr>
      </w:pPr>
    </w:p>
    <w:p w14:paraId="456DFF28" w14:textId="77777777" w:rsidR="00656454" w:rsidRPr="008C792A" w:rsidRDefault="00656454" w:rsidP="00656454">
      <w:pPr>
        <w:spacing w:line="276" w:lineRule="auto"/>
        <w:rPr>
          <w:rFonts w:ascii="PT Sans" w:hAnsi="PT Sans" w:cs="Arial"/>
          <w:bCs/>
          <w:i/>
          <w:sz w:val="22"/>
          <w:szCs w:val="22"/>
        </w:rPr>
      </w:pPr>
      <w:r w:rsidRPr="008C792A">
        <w:rPr>
          <w:rFonts w:ascii="PT Sans" w:hAnsi="PT Sans" w:cs="Arial"/>
          <w:bCs/>
          <w:sz w:val="22"/>
          <w:szCs w:val="22"/>
        </w:rPr>
        <w:t xml:space="preserve">CIPD (2022a) </w:t>
      </w:r>
      <w:r w:rsidRPr="008C792A">
        <w:rPr>
          <w:rFonts w:ascii="PT Sans" w:hAnsi="PT Sans" w:cs="Arial"/>
          <w:bCs/>
          <w:i/>
          <w:sz w:val="22"/>
          <w:szCs w:val="22"/>
        </w:rPr>
        <w:t xml:space="preserve">Equality, diversity and inclusion (EDI) in the workplace. </w:t>
      </w:r>
      <w:r w:rsidRPr="008C792A">
        <w:rPr>
          <w:rFonts w:ascii="PT Sans" w:hAnsi="PT Sans" w:cs="Arial"/>
          <w:bCs/>
          <w:sz w:val="22"/>
          <w:szCs w:val="22"/>
        </w:rPr>
        <w:t>Available at:</w:t>
      </w:r>
    </w:p>
    <w:p w14:paraId="27E280EB" w14:textId="77777777" w:rsidR="00656454" w:rsidRPr="008C792A" w:rsidRDefault="00656454" w:rsidP="00656454">
      <w:pPr>
        <w:spacing w:line="276" w:lineRule="auto"/>
        <w:rPr>
          <w:rFonts w:ascii="PT Sans" w:hAnsi="PT Sans" w:cs="Arial"/>
          <w:sz w:val="22"/>
          <w:szCs w:val="22"/>
        </w:rPr>
      </w:pPr>
      <w:r w:rsidRPr="008C792A">
        <w:rPr>
          <w:rFonts w:ascii="PT Sans" w:hAnsi="PT Sans" w:cs="Arial"/>
          <w:sz w:val="22"/>
          <w:szCs w:val="22"/>
        </w:rPr>
        <w:t>https://www.cipd.co.uk/knowledge/fundamentals/relations/diversity/factsheet (Accessed: 30 November 2022).</w:t>
      </w:r>
    </w:p>
    <w:p w14:paraId="3778739D" w14:textId="77777777" w:rsidR="00656454" w:rsidRPr="008C792A" w:rsidRDefault="00656454" w:rsidP="00656454">
      <w:pPr>
        <w:spacing w:line="276" w:lineRule="auto"/>
        <w:rPr>
          <w:rFonts w:ascii="PT Sans" w:hAnsi="PT Sans" w:cs="Arial"/>
          <w:sz w:val="22"/>
          <w:szCs w:val="22"/>
        </w:rPr>
      </w:pPr>
    </w:p>
    <w:p w14:paraId="22F82960" w14:textId="77777777" w:rsidR="00656454" w:rsidRPr="008C792A" w:rsidRDefault="00656454" w:rsidP="00656454">
      <w:pPr>
        <w:spacing w:line="276" w:lineRule="auto"/>
        <w:rPr>
          <w:rFonts w:ascii="PT Sans" w:hAnsi="PT Sans" w:cs="Arial"/>
        </w:rPr>
      </w:pPr>
      <w:r w:rsidRPr="008C792A">
        <w:rPr>
          <w:rFonts w:ascii="PT Sans" w:hAnsi="PT Sans" w:cs="Arial"/>
          <w:sz w:val="22"/>
          <w:szCs w:val="22"/>
        </w:rPr>
        <w:t xml:space="preserve">CIPD (2022b) </w:t>
      </w:r>
      <w:r w:rsidRPr="008C792A">
        <w:rPr>
          <w:rFonts w:ascii="PT Sans" w:hAnsi="PT Sans" w:cs="Arial"/>
          <w:bCs/>
          <w:i/>
          <w:sz w:val="22"/>
          <w:szCs w:val="22"/>
        </w:rPr>
        <w:t>Organisational climate and culture</w:t>
      </w:r>
      <w:r w:rsidRPr="008C792A">
        <w:rPr>
          <w:rFonts w:ascii="PT Sans" w:hAnsi="PT Sans" w:cs="Arial"/>
          <w:i/>
          <w:sz w:val="22"/>
          <w:szCs w:val="22"/>
        </w:rPr>
        <w:t xml:space="preserve">. </w:t>
      </w:r>
      <w:r w:rsidRPr="008C792A">
        <w:rPr>
          <w:rFonts w:ascii="PT Sans" w:hAnsi="PT Sans" w:cs="Arial"/>
          <w:sz w:val="22"/>
          <w:szCs w:val="22"/>
        </w:rPr>
        <w:t>Available at: https://www.cipd.co.uk/knowledge/culture/working-environment/organisation-culture-change-factsheet (Accessed: 30 November 2022).</w:t>
      </w:r>
    </w:p>
    <w:p w14:paraId="25580B76" w14:textId="77777777" w:rsidR="00656454" w:rsidRPr="009E7FDB" w:rsidRDefault="00656454" w:rsidP="00656454">
      <w:pPr>
        <w:spacing w:line="276" w:lineRule="auto"/>
        <w:rPr>
          <w:rFonts w:ascii="PT Sans" w:hAnsi="PT Sans" w:cs="Arial"/>
          <w:sz w:val="22"/>
          <w:szCs w:val="22"/>
        </w:rPr>
      </w:pPr>
    </w:p>
    <w:p w14:paraId="3DBC8190" w14:textId="77777777" w:rsidR="00656454" w:rsidRPr="009E7FDB" w:rsidRDefault="00656454" w:rsidP="00656454">
      <w:pPr>
        <w:spacing w:line="276" w:lineRule="auto"/>
        <w:rPr>
          <w:rFonts w:ascii="PT Sans" w:hAnsi="PT Sans" w:cs="Arial"/>
          <w:color w:val="000000" w:themeColor="text1"/>
          <w:sz w:val="22"/>
          <w:szCs w:val="22"/>
        </w:rPr>
      </w:pPr>
      <w:r w:rsidRPr="009E7FDB">
        <w:rPr>
          <w:rFonts w:ascii="PT Sans" w:hAnsi="PT Sans" w:cs="Arial"/>
          <w:color w:val="000000" w:themeColor="text1"/>
          <w:sz w:val="22"/>
          <w:szCs w:val="22"/>
        </w:rPr>
        <w:t>Davey, R. (2022) </w:t>
      </w:r>
      <w:r w:rsidRPr="009E7FDB">
        <w:rPr>
          <w:rFonts w:ascii="PT Sans" w:hAnsi="PT Sans" w:cs="Arial"/>
          <w:i/>
          <w:color w:val="000000" w:themeColor="text1"/>
          <w:sz w:val="22"/>
          <w:szCs w:val="22"/>
        </w:rPr>
        <w:t>RNLI Water Safety</w:t>
      </w:r>
      <w:r w:rsidRPr="009E7FDB">
        <w:rPr>
          <w:rFonts w:ascii="PT Sans" w:hAnsi="PT Sans" w:cs="Arial"/>
          <w:color w:val="000000" w:themeColor="text1"/>
          <w:sz w:val="22"/>
          <w:szCs w:val="22"/>
        </w:rPr>
        <w:t xml:space="preserve">: </w:t>
      </w:r>
      <w:r w:rsidRPr="009E7FDB">
        <w:rPr>
          <w:rFonts w:ascii="PT Sans" w:hAnsi="PT Sans" w:cs="Arial"/>
          <w:i/>
          <w:iCs/>
          <w:color w:val="000000" w:themeColor="text1"/>
          <w:sz w:val="22"/>
          <w:szCs w:val="22"/>
        </w:rPr>
        <w:t>Cardiff Bay</w:t>
      </w:r>
      <w:r w:rsidRPr="009E7FDB">
        <w:rPr>
          <w:rFonts w:ascii="PT Sans" w:hAnsi="PT Sans" w:cs="Arial"/>
          <w:color w:val="000000" w:themeColor="text1"/>
          <w:sz w:val="22"/>
          <w:szCs w:val="22"/>
        </w:rPr>
        <w:t> [Photograph]. Cardiff.</w:t>
      </w:r>
    </w:p>
    <w:p w14:paraId="03C34709" w14:textId="77777777" w:rsidR="00656454" w:rsidRPr="009E7FDB" w:rsidRDefault="00656454" w:rsidP="00656454">
      <w:pPr>
        <w:spacing w:line="276" w:lineRule="auto"/>
        <w:rPr>
          <w:rFonts w:ascii="PT Sans" w:hAnsi="PT Sans" w:cs="Arial"/>
          <w:b/>
          <w:color w:val="000000" w:themeColor="text1"/>
          <w:sz w:val="22"/>
          <w:szCs w:val="22"/>
        </w:rPr>
      </w:pPr>
    </w:p>
    <w:p w14:paraId="7588CFF3" w14:textId="77777777" w:rsidR="00656454" w:rsidRPr="009E7FDB" w:rsidRDefault="00656454" w:rsidP="00656454">
      <w:pPr>
        <w:spacing w:line="276" w:lineRule="auto"/>
        <w:rPr>
          <w:rFonts w:ascii="PT Sans" w:hAnsi="PT Sans" w:cs="Arial"/>
          <w:color w:val="000000" w:themeColor="text1"/>
          <w:sz w:val="22"/>
          <w:szCs w:val="22"/>
        </w:rPr>
      </w:pPr>
      <w:r w:rsidRPr="009E7FDB">
        <w:rPr>
          <w:rFonts w:ascii="PT Sans" w:hAnsi="PT Sans" w:cs="Arial"/>
          <w:color w:val="000000" w:themeColor="text1"/>
          <w:sz w:val="22"/>
          <w:szCs w:val="22"/>
        </w:rPr>
        <w:t>Dawson, A. (2022) '"We want to do the right thing - even when nobody's looking"', </w:t>
      </w:r>
      <w:r w:rsidRPr="009E7FDB">
        <w:rPr>
          <w:rFonts w:ascii="PT Sans" w:hAnsi="PT Sans" w:cs="Arial"/>
          <w:i/>
          <w:iCs/>
          <w:color w:val="000000" w:themeColor="text1"/>
          <w:sz w:val="22"/>
          <w:szCs w:val="22"/>
        </w:rPr>
        <w:t>People Management</w:t>
      </w:r>
      <w:r w:rsidRPr="009E7FDB">
        <w:rPr>
          <w:rFonts w:ascii="PT Sans" w:hAnsi="PT Sans" w:cs="Arial"/>
          <w:color w:val="000000" w:themeColor="text1"/>
          <w:sz w:val="22"/>
          <w:szCs w:val="22"/>
        </w:rPr>
        <w:t>, October/November 2022, pp. 20-21.</w:t>
      </w:r>
    </w:p>
    <w:p w14:paraId="1C9E9983" w14:textId="77777777" w:rsidR="00656454" w:rsidRPr="009E7FDB" w:rsidRDefault="00656454" w:rsidP="00656454">
      <w:pPr>
        <w:spacing w:line="276" w:lineRule="auto"/>
        <w:rPr>
          <w:rFonts w:ascii="PT Sans" w:hAnsi="PT Sans" w:cs="Arial"/>
          <w:color w:val="000000" w:themeColor="text1"/>
          <w:sz w:val="22"/>
          <w:szCs w:val="22"/>
        </w:rPr>
      </w:pPr>
    </w:p>
    <w:p w14:paraId="0B73F05D" w14:textId="77777777" w:rsidR="00656454" w:rsidRDefault="00656454" w:rsidP="00656454">
      <w:pPr>
        <w:spacing w:line="276" w:lineRule="auto"/>
        <w:rPr>
          <w:rFonts w:ascii="PT Sans" w:hAnsi="PT Sans" w:cs="Arial"/>
          <w:color w:val="000000" w:themeColor="text1"/>
          <w:sz w:val="22"/>
          <w:szCs w:val="22"/>
        </w:rPr>
      </w:pPr>
      <w:r w:rsidRPr="009E7FDB">
        <w:rPr>
          <w:rFonts w:ascii="PT Sans" w:hAnsi="PT Sans" w:cs="Arial"/>
          <w:color w:val="000000" w:themeColor="text1"/>
          <w:sz w:val="22"/>
          <w:szCs w:val="22"/>
        </w:rPr>
        <w:t xml:space="preserve">Delve (2022) </w:t>
      </w:r>
      <w:r w:rsidRPr="009E7FDB">
        <w:rPr>
          <w:rFonts w:ascii="PT Sans" w:hAnsi="PT Sans" w:cs="Arial"/>
          <w:i/>
          <w:color w:val="000000" w:themeColor="text1"/>
          <w:sz w:val="22"/>
          <w:szCs w:val="22"/>
        </w:rPr>
        <w:t xml:space="preserve">How STEEPLE Analysis Informs Design Strategy. </w:t>
      </w:r>
      <w:r w:rsidRPr="009E7FDB">
        <w:rPr>
          <w:rFonts w:ascii="PT Sans" w:hAnsi="PT Sans" w:cs="Arial"/>
          <w:color w:val="000000" w:themeColor="text1"/>
          <w:sz w:val="22"/>
          <w:szCs w:val="22"/>
        </w:rPr>
        <w:t>Available at:</w:t>
      </w:r>
      <w:r>
        <w:rPr>
          <w:rFonts w:ascii="PT Sans" w:hAnsi="PT Sans" w:cs="Arial"/>
          <w:i/>
          <w:color w:val="000000" w:themeColor="text1"/>
        </w:rPr>
        <w:t xml:space="preserve"> </w:t>
      </w:r>
      <w:r w:rsidRPr="009E7FDB">
        <w:rPr>
          <w:rFonts w:ascii="PT Sans" w:hAnsi="PT Sans" w:cs="Arial"/>
          <w:color w:val="000000" w:themeColor="text1"/>
          <w:sz w:val="22"/>
          <w:szCs w:val="22"/>
        </w:rPr>
        <w:t>https://www.delve.com/insights/how-steeple-analysis-informs-design-strategy (Accessed:</w:t>
      </w:r>
      <w:r>
        <w:rPr>
          <w:rFonts w:ascii="PT Sans" w:hAnsi="PT Sans" w:cs="Arial"/>
          <w:color w:val="000000" w:themeColor="text1"/>
        </w:rPr>
        <w:t xml:space="preserve"> </w:t>
      </w:r>
      <w:r w:rsidRPr="009E7FDB">
        <w:rPr>
          <w:rFonts w:ascii="PT Sans" w:hAnsi="PT Sans" w:cs="Arial"/>
          <w:color w:val="000000" w:themeColor="text1"/>
          <w:sz w:val="22"/>
          <w:szCs w:val="22"/>
        </w:rPr>
        <w:t>30 November 2022).</w:t>
      </w:r>
    </w:p>
    <w:p w14:paraId="79D8D4FB" w14:textId="77777777" w:rsidR="00656454" w:rsidRPr="003701C2" w:rsidRDefault="00656454" w:rsidP="00656454">
      <w:pPr>
        <w:spacing w:line="276" w:lineRule="auto"/>
        <w:rPr>
          <w:rFonts w:ascii="PT Sans" w:hAnsi="PT Sans" w:cs="Arial"/>
          <w:color w:val="000000" w:themeColor="text1"/>
          <w:sz w:val="21"/>
          <w:szCs w:val="22"/>
        </w:rPr>
      </w:pPr>
    </w:p>
    <w:p w14:paraId="0E6FA00A" w14:textId="77777777" w:rsidR="00656454" w:rsidRPr="003701C2" w:rsidRDefault="00656454" w:rsidP="00656454">
      <w:pPr>
        <w:spacing w:line="276" w:lineRule="auto"/>
        <w:rPr>
          <w:rFonts w:ascii="PT Sans" w:hAnsi="PT Sans" w:cs="Arial"/>
          <w:color w:val="000000" w:themeColor="text1"/>
          <w:sz w:val="22"/>
        </w:rPr>
      </w:pPr>
      <w:r w:rsidRPr="003701C2">
        <w:rPr>
          <w:rFonts w:ascii="PT Sans" w:hAnsi="PT Sans" w:cs="Arial"/>
          <w:color w:val="000000" w:themeColor="text1"/>
          <w:sz w:val="22"/>
        </w:rPr>
        <w:t xml:space="preserve">DeSilver, D. (2022) </w:t>
      </w:r>
      <w:r w:rsidRPr="003701C2">
        <w:rPr>
          <w:rFonts w:ascii="PT Sans" w:hAnsi="PT Sans" w:cs="Arial"/>
          <w:bCs/>
          <w:i/>
          <w:color w:val="000000" w:themeColor="text1"/>
          <w:sz w:val="22"/>
        </w:rPr>
        <w:t xml:space="preserve">Research from 44 countries shows levels of rising inflation across the world. </w:t>
      </w:r>
      <w:r w:rsidRPr="003701C2">
        <w:rPr>
          <w:rFonts w:ascii="PT Sans" w:hAnsi="PT Sans" w:cs="Arial"/>
          <w:bCs/>
          <w:color w:val="000000" w:themeColor="text1"/>
          <w:sz w:val="22"/>
        </w:rPr>
        <w:t>Available at:</w:t>
      </w:r>
      <w:r w:rsidRPr="003701C2">
        <w:rPr>
          <w:rFonts w:ascii="PT Sans" w:hAnsi="PT Sans" w:cs="Arial"/>
          <w:b/>
          <w:bCs/>
          <w:color w:val="000000" w:themeColor="text1"/>
          <w:sz w:val="22"/>
        </w:rPr>
        <w:t xml:space="preserve"> </w:t>
      </w:r>
      <w:r w:rsidRPr="003701C2">
        <w:rPr>
          <w:rFonts w:ascii="PT Sans" w:hAnsi="PT Sans" w:cs="Arial"/>
          <w:color w:val="000000" w:themeColor="text1"/>
          <w:sz w:val="22"/>
        </w:rPr>
        <w:t>https://www.weforum.org/agenda/2022/06/inflation-stats-usa-and-world/ (Accessed: 3 December 2022).</w:t>
      </w:r>
    </w:p>
    <w:p w14:paraId="6B5B670A" w14:textId="77777777" w:rsidR="00656454" w:rsidRPr="00A7090C" w:rsidRDefault="00656454" w:rsidP="00656454">
      <w:pPr>
        <w:spacing w:line="276" w:lineRule="auto"/>
        <w:rPr>
          <w:rFonts w:ascii="PT Sans" w:hAnsi="PT Sans" w:cs="Arial"/>
          <w:b/>
          <w:bCs/>
          <w:color w:val="000000" w:themeColor="text1"/>
        </w:rPr>
      </w:pPr>
    </w:p>
    <w:p w14:paraId="2C8CC872" w14:textId="77777777" w:rsidR="00656454" w:rsidRPr="003701C2" w:rsidRDefault="00656454" w:rsidP="00656454">
      <w:pPr>
        <w:spacing w:line="276" w:lineRule="auto"/>
        <w:rPr>
          <w:rFonts w:ascii="PT Sans" w:hAnsi="PT Sans" w:cs="Arial"/>
          <w:sz w:val="22"/>
          <w:szCs w:val="22"/>
        </w:rPr>
      </w:pPr>
      <w:r w:rsidRPr="003701C2">
        <w:rPr>
          <w:rFonts w:ascii="PT Sans" w:hAnsi="PT Sans" w:cs="Arial"/>
          <w:sz w:val="22"/>
          <w:szCs w:val="22"/>
        </w:rPr>
        <w:t xml:space="preserve">Dowie, M. (2022) ‘Taking the RNLI from 2023 to 2026 as one crew’. RNLI. Unpublished. </w:t>
      </w:r>
    </w:p>
    <w:p w14:paraId="2FF280C7" w14:textId="77777777" w:rsidR="00656454" w:rsidRPr="009E7FDB" w:rsidRDefault="00656454" w:rsidP="00656454">
      <w:pPr>
        <w:spacing w:line="276" w:lineRule="auto"/>
        <w:rPr>
          <w:rFonts w:ascii="PT Sans" w:hAnsi="PT Sans" w:cs="Arial"/>
          <w:i/>
          <w:color w:val="000000" w:themeColor="text1"/>
          <w:sz w:val="22"/>
          <w:szCs w:val="22"/>
        </w:rPr>
      </w:pPr>
    </w:p>
    <w:p w14:paraId="05431116" w14:textId="77777777" w:rsidR="00656454" w:rsidRPr="009E7FDB" w:rsidRDefault="00656454" w:rsidP="00656454">
      <w:pPr>
        <w:spacing w:line="276" w:lineRule="auto"/>
        <w:rPr>
          <w:rFonts w:ascii="PT Sans" w:hAnsi="PT Sans" w:cs="Arial"/>
          <w:sz w:val="22"/>
          <w:szCs w:val="22"/>
        </w:rPr>
      </w:pPr>
      <w:r w:rsidRPr="009E7FDB">
        <w:rPr>
          <w:rFonts w:ascii="PT Sans" w:hAnsi="PT Sans" w:cs="Arial"/>
          <w:sz w:val="22"/>
          <w:szCs w:val="22"/>
        </w:rPr>
        <w:t>Downs, R., Donnelly, N. and Daellenbach, U</w:t>
      </w:r>
      <w:r w:rsidRPr="009E7FDB">
        <w:rPr>
          <w:rFonts w:ascii="PT Sans" w:hAnsi="PT Sans" w:cs="Arial"/>
          <w:color w:val="000000" w:themeColor="text1"/>
          <w:sz w:val="22"/>
          <w:szCs w:val="22"/>
        </w:rPr>
        <w:t>.</w:t>
      </w:r>
      <w:r w:rsidRPr="009E7FDB">
        <w:rPr>
          <w:rFonts w:ascii="PT Sans" w:hAnsi="PT Sans" w:cs="Arial"/>
          <w:bCs/>
          <w:color w:val="000000" w:themeColor="text1"/>
          <w:sz w:val="22"/>
          <w:szCs w:val="22"/>
          <w:bdr w:val="none" w:sz="0" w:space="0" w:color="auto" w:frame="1"/>
        </w:rPr>
        <w:t xml:space="preserve"> (2022</w:t>
      </w:r>
      <w:r>
        <w:rPr>
          <w:rFonts w:ascii="PT Sans" w:hAnsi="PT Sans" w:cs="Arial"/>
          <w:bCs/>
          <w:color w:val="000000" w:themeColor="text1"/>
          <w:sz w:val="22"/>
          <w:szCs w:val="22"/>
          <w:bdr w:val="none" w:sz="0" w:space="0" w:color="auto" w:frame="1"/>
        </w:rPr>
        <w:t>a</w:t>
      </w:r>
      <w:r w:rsidRPr="009E7FDB">
        <w:rPr>
          <w:rFonts w:ascii="PT Sans" w:hAnsi="PT Sans" w:cs="Arial"/>
          <w:bCs/>
          <w:color w:val="000000" w:themeColor="text1"/>
          <w:sz w:val="22"/>
          <w:szCs w:val="22"/>
          <w:bdr w:val="none" w:sz="0" w:space="0" w:color="auto" w:frame="1"/>
        </w:rPr>
        <w:t xml:space="preserve">) </w:t>
      </w:r>
      <w:r w:rsidRPr="009E7FDB">
        <w:rPr>
          <w:rFonts w:ascii="PT Sans" w:hAnsi="PT Sans" w:cs="Arial"/>
          <w:bCs/>
          <w:i/>
          <w:sz w:val="22"/>
          <w:szCs w:val="22"/>
        </w:rPr>
        <w:t>Don’t just bet on the metrics – personal connection is the real key to managing remote workers well</w:t>
      </w:r>
      <w:r w:rsidRPr="009E7FDB">
        <w:rPr>
          <w:rFonts w:ascii="PT Sans" w:hAnsi="PT Sans" w:cs="Arial"/>
          <w:sz w:val="22"/>
          <w:szCs w:val="22"/>
        </w:rPr>
        <w:t>. Available at: https://theconversation.com/dont-just-bet-on-the-metrics-personal-connection-is-the-real-key-to-managing-remote-workers-well-193206 (Accessed 30 November 2022).</w:t>
      </w:r>
    </w:p>
    <w:p w14:paraId="78F334B5" w14:textId="77777777" w:rsidR="00656454" w:rsidRPr="009E7FDB" w:rsidRDefault="00656454" w:rsidP="00656454">
      <w:pPr>
        <w:spacing w:line="276" w:lineRule="auto"/>
        <w:rPr>
          <w:rFonts w:ascii="PT Sans" w:hAnsi="PT Sans" w:cs="Arial"/>
          <w:sz w:val="22"/>
          <w:szCs w:val="22"/>
        </w:rPr>
      </w:pPr>
    </w:p>
    <w:p w14:paraId="2539FB0B" w14:textId="77777777" w:rsidR="00656454" w:rsidRPr="009E7FDB" w:rsidRDefault="00656454" w:rsidP="00656454">
      <w:pPr>
        <w:spacing w:line="276" w:lineRule="auto"/>
        <w:rPr>
          <w:rFonts w:ascii="PT Sans" w:hAnsi="PT Sans" w:cs="Arial"/>
          <w:b/>
          <w:bCs/>
          <w:color w:val="000000" w:themeColor="text1"/>
          <w:sz w:val="22"/>
          <w:szCs w:val="22"/>
          <w:bdr w:val="none" w:sz="0" w:space="0" w:color="auto" w:frame="1"/>
        </w:rPr>
      </w:pPr>
      <w:r w:rsidRPr="009E7FDB">
        <w:rPr>
          <w:rFonts w:ascii="PT Sans" w:hAnsi="PT Sans" w:cs="Arial"/>
          <w:color w:val="000000" w:themeColor="text1"/>
          <w:sz w:val="22"/>
          <w:szCs w:val="22"/>
        </w:rPr>
        <w:t>Downs, R., Donnelly, N. and Daellenbach, U.</w:t>
      </w:r>
      <w:r w:rsidRPr="009E7FDB">
        <w:rPr>
          <w:rFonts w:ascii="PT Sans" w:hAnsi="PT Sans" w:cs="Arial"/>
          <w:bCs/>
          <w:color w:val="000000" w:themeColor="text1"/>
          <w:sz w:val="22"/>
          <w:szCs w:val="22"/>
          <w:bdr w:val="none" w:sz="0" w:space="0" w:color="auto" w:frame="1"/>
        </w:rPr>
        <w:t xml:space="preserve"> (2022</w:t>
      </w:r>
      <w:r>
        <w:rPr>
          <w:rFonts w:ascii="PT Sans" w:hAnsi="PT Sans" w:cs="Arial"/>
          <w:bCs/>
          <w:color w:val="000000" w:themeColor="text1"/>
          <w:sz w:val="22"/>
          <w:szCs w:val="22"/>
          <w:bdr w:val="none" w:sz="0" w:space="0" w:color="auto" w:frame="1"/>
        </w:rPr>
        <w:t>b</w:t>
      </w:r>
      <w:r w:rsidRPr="009E7FDB">
        <w:rPr>
          <w:rFonts w:ascii="PT Sans" w:hAnsi="PT Sans" w:cs="Arial"/>
          <w:bCs/>
          <w:color w:val="000000" w:themeColor="text1"/>
          <w:sz w:val="22"/>
          <w:szCs w:val="22"/>
          <w:bdr w:val="none" w:sz="0" w:space="0" w:color="auto" w:frame="1"/>
        </w:rPr>
        <w:t xml:space="preserve">) </w:t>
      </w:r>
      <w:r w:rsidRPr="009E7FDB">
        <w:rPr>
          <w:rFonts w:ascii="PT Sans" w:hAnsi="PT Sans" w:cs="Arial"/>
          <w:bCs/>
          <w:i/>
          <w:color w:val="000000" w:themeColor="text1"/>
          <w:sz w:val="22"/>
          <w:szCs w:val="22"/>
          <w:bdr w:val="none" w:sz="0" w:space="0" w:color="auto" w:frame="1"/>
        </w:rPr>
        <w:t>Remote control: Attitude monitoring and informal control in distributed teams</w:t>
      </w:r>
      <w:r w:rsidRPr="009E7FDB">
        <w:rPr>
          <w:rFonts w:ascii="PT Sans" w:hAnsi="PT Sans" w:cs="Arial"/>
          <w:b/>
          <w:bCs/>
          <w:color w:val="000000" w:themeColor="text1"/>
          <w:sz w:val="22"/>
          <w:szCs w:val="22"/>
          <w:bdr w:val="none" w:sz="0" w:space="0" w:color="auto" w:frame="1"/>
        </w:rPr>
        <w:t xml:space="preserve">. </w:t>
      </w:r>
      <w:r w:rsidRPr="009E7FDB">
        <w:rPr>
          <w:rFonts w:ascii="PT Sans" w:hAnsi="PT Sans" w:cs="Arial"/>
          <w:bCs/>
          <w:color w:val="000000" w:themeColor="text1"/>
          <w:sz w:val="22"/>
          <w:szCs w:val="22"/>
          <w:bdr w:val="none" w:sz="0" w:space="0" w:color="auto" w:frame="1"/>
        </w:rPr>
        <w:t xml:space="preserve">Available at: </w:t>
      </w:r>
      <w:r w:rsidRPr="009E7FDB">
        <w:rPr>
          <w:rFonts w:ascii="PT Sans" w:hAnsi="PT Sans" w:cs="Arial"/>
          <w:color w:val="000000" w:themeColor="text1"/>
          <w:sz w:val="21"/>
          <w:szCs w:val="21"/>
        </w:rPr>
        <w:t xml:space="preserve">https://doi.org/10.1016/j.jbusres.2022.08.057 Accessed: 30 November 2022. </w:t>
      </w:r>
    </w:p>
    <w:p w14:paraId="3C608F11" w14:textId="77777777" w:rsidR="00656454" w:rsidRPr="003701C2" w:rsidRDefault="00656454" w:rsidP="00656454">
      <w:pPr>
        <w:spacing w:line="276" w:lineRule="auto"/>
        <w:rPr>
          <w:rFonts w:ascii="PT Sans" w:hAnsi="PT Sans" w:cs="Arial"/>
          <w:sz w:val="22"/>
          <w:szCs w:val="22"/>
        </w:rPr>
      </w:pPr>
    </w:p>
    <w:p w14:paraId="5F5D503F" w14:textId="77777777" w:rsidR="00656454" w:rsidRPr="003701C2" w:rsidRDefault="00656454" w:rsidP="00656454">
      <w:pPr>
        <w:spacing w:line="276" w:lineRule="auto"/>
        <w:rPr>
          <w:rFonts w:ascii="PT Sans" w:hAnsi="PT Sans" w:cs="Arial"/>
          <w:bCs/>
          <w:i/>
          <w:iCs/>
          <w:sz w:val="22"/>
          <w:szCs w:val="22"/>
        </w:rPr>
      </w:pPr>
      <w:r w:rsidRPr="003701C2">
        <w:rPr>
          <w:rFonts w:ascii="PT Sans" w:hAnsi="PT Sans" w:cs="Arial"/>
          <w:sz w:val="22"/>
          <w:szCs w:val="22"/>
        </w:rPr>
        <w:t xml:space="preserve">Dweck, C. (2014) </w:t>
      </w:r>
      <w:r w:rsidRPr="003701C2">
        <w:rPr>
          <w:rFonts w:ascii="PT Sans" w:hAnsi="PT Sans" w:cs="Arial"/>
          <w:bCs/>
          <w:i/>
          <w:iCs/>
          <w:sz w:val="22"/>
          <w:szCs w:val="22"/>
        </w:rPr>
        <w:t xml:space="preserve">Developing a Growth Mindset with Carol Dweck. </w:t>
      </w:r>
      <w:r w:rsidRPr="003701C2">
        <w:rPr>
          <w:rFonts w:ascii="PT Sans" w:hAnsi="PT Sans" w:cs="Arial"/>
          <w:sz w:val="22"/>
          <w:szCs w:val="22"/>
        </w:rPr>
        <w:t>9 October 2014.</w:t>
      </w:r>
      <w:r w:rsidRPr="003701C2">
        <w:rPr>
          <w:rFonts w:ascii="PT Sans" w:hAnsi="PT Sans" w:cs="Arial"/>
          <w:bCs/>
          <w:i/>
          <w:iCs/>
          <w:sz w:val="22"/>
          <w:szCs w:val="22"/>
        </w:rPr>
        <w:t xml:space="preserve"> </w:t>
      </w:r>
      <w:r w:rsidRPr="003701C2">
        <w:rPr>
          <w:rFonts w:ascii="PT Sans" w:hAnsi="PT Sans" w:cs="Arial"/>
          <w:sz w:val="22"/>
          <w:szCs w:val="22"/>
        </w:rPr>
        <w:t>Available at: https://www.youtube.com/watch?v=hiiEeMN7vbQ (Accessed: 5 December 2022).</w:t>
      </w:r>
    </w:p>
    <w:p w14:paraId="19DC6F42" w14:textId="77777777" w:rsidR="00656454" w:rsidRPr="00941CAD" w:rsidRDefault="00656454" w:rsidP="00656454">
      <w:pPr>
        <w:rPr>
          <w:rFonts w:ascii="PT Sans" w:hAnsi="PT Sans"/>
          <w:color w:val="3A3A3A"/>
          <w:sz w:val="22"/>
          <w:szCs w:val="23"/>
          <w:shd w:val="clear" w:color="auto" w:fill="FFFFFF"/>
        </w:rPr>
      </w:pPr>
    </w:p>
    <w:p w14:paraId="38A4FFCF" w14:textId="77777777" w:rsidR="00656454" w:rsidRPr="0065348C" w:rsidRDefault="00656454" w:rsidP="00656454">
      <w:pPr>
        <w:rPr>
          <w:rFonts w:ascii="PT Sans" w:hAnsi="PT Sans"/>
          <w:color w:val="000000" w:themeColor="text1"/>
          <w:sz w:val="22"/>
        </w:rPr>
      </w:pPr>
      <w:r w:rsidRPr="0065348C">
        <w:rPr>
          <w:rFonts w:ascii="PT Sans" w:hAnsi="PT Sans"/>
          <w:color w:val="000000" w:themeColor="text1"/>
          <w:sz w:val="22"/>
          <w:szCs w:val="23"/>
          <w:shd w:val="clear" w:color="auto" w:fill="FFFFFF"/>
        </w:rPr>
        <w:t xml:space="preserve">Endrejat, P. and Burnes, B. (2022) ‘Draw it, </w:t>
      </w:r>
      <w:proofErr w:type="gramStart"/>
      <w:r w:rsidRPr="0065348C">
        <w:rPr>
          <w:rFonts w:ascii="PT Sans" w:hAnsi="PT Sans"/>
          <w:color w:val="000000" w:themeColor="text1"/>
          <w:sz w:val="22"/>
          <w:szCs w:val="23"/>
          <w:shd w:val="clear" w:color="auto" w:fill="FFFFFF"/>
        </w:rPr>
        <w:t>Check</w:t>
      </w:r>
      <w:proofErr w:type="gramEnd"/>
      <w:r w:rsidRPr="0065348C">
        <w:rPr>
          <w:rFonts w:ascii="PT Sans" w:hAnsi="PT Sans"/>
          <w:color w:val="000000" w:themeColor="text1"/>
          <w:sz w:val="22"/>
          <w:szCs w:val="23"/>
          <w:shd w:val="clear" w:color="auto" w:fill="FFFFFF"/>
        </w:rPr>
        <w:t xml:space="preserve"> it, Change it: Reviving Lewin’s Topology to Facilitate Organizational Change Theory and Practice’. </w:t>
      </w:r>
      <w:r w:rsidRPr="0065348C">
        <w:rPr>
          <w:rFonts w:ascii="PT Sans" w:hAnsi="PT Sans"/>
          <w:i/>
          <w:iCs/>
          <w:color w:val="000000" w:themeColor="text1"/>
          <w:sz w:val="22"/>
          <w:szCs w:val="23"/>
          <w:shd w:val="clear" w:color="auto" w:fill="FFFFFF"/>
        </w:rPr>
        <w:t>The Journal of Applied Behavioral Science,</w:t>
      </w:r>
      <w:r w:rsidRPr="0065348C">
        <w:rPr>
          <w:rFonts w:ascii="PT Sans" w:hAnsi="PT Sans"/>
          <w:color w:val="000000" w:themeColor="text1"/>
          <w:sz w:val="22"/>
          <w:szCs w:val="23"/>
          <w:shd w:val="clear" w:color="auto" w:fill="FFFFFF"/>
        </w:rPr>
        <w:t xml:space="preserve"> 0(0). Available at: https://doi.org/10.1177/00218863221122875</w:t>
      </w:r>
    </w:p>
    <w:p w14:paraId="2CF670F5" w14:textId="77777777" w:rsidR="00656454" w:rsidRDefault="00656454" w:rsidP="00656454">
      <w:pPr>
        <w:spacing w:line="276" w:lineRule="auto"/>
        <w:rPr>
          <w:rFonts w:ascii="PT Sans" w:hAnsi="PT Sans" w:cs="Arial"/>
          <w:sz w:val="22"/>
          <w:szCs w:val="22"/>
        </w:rPr>
      </w:pPr>
    </w:p>
    <w:p w14:paraId="055828CB" w14:textId="77777777" w:rsidR="00656454" w:rsidRPr="003701C2" w:rsidRDefault="00656454" w:rsidP="00656454">
      <w:pPr>
        <w:spacing w:line="276" w:lineRule="auto"/>
        <w:rPr>
          <w:rFonts w:ascii="PT Sans" w:hAnsi="PT Sans" w:cs="Arial"/>
          <w:b/>
          <w:bCs/>
          <w:sz w:val="22"/>
          <w:szCs w:val="22"/>
        </w:rPr>
      </w:pPr>
      <w:r>
        <w:rPr>
          <w:rFonts w:ascii="PT Sans" w:hAnsi="PT Sans" w:cs="Arial"/>
          <w:sz w:val="22"/>
          <w:szCs w:val="22"/>
        </w:rPr>
        <w:t>Gould, B. (2018</w:t>
      </w:r>
      <w:r w:rsidRPr="003701C2">
        <w:rPr>
          <w:rFonts w:ascii="PT Sans" w:hAnsi="PT Sans" w:cs="Arial"/>
          <w:sz w:val="22"/>
          <w:szCs w:val="22"/>
        </w:rPr>
        <w:t xml:space="preserve">) </w:t>
      </w:r>
      <w:r w:rsidRPr="003701C2">
        <w:rPr>
          <w:rFonts w:ascii="PT Sans" w:hAnsi="PT Sans" w:cs="Arial"/>
          <w:bCs/>
          <w:i/>
          <w:sz w:val="22"/>
          <w:szCs w:val="22"/>
        </w:rPr>
        <w:t>Organisational culture: why the charity sector must invest in purpose and values to save itself</w:t>
      </w:r>
      <w:r>
        <w:rPr>
          <w:rFonts w:ascii="PT Sans" w:hAnsi="PT Sans" w:cs="Arial"/>
          <w:b/>
          <w:bCs/>
          <w:sz w:val="22"/>
          <w:szCs w:val="22"/>
        </w:rPr>
        <w:t xml:space="preserve">.  </w:t>
      </w:r>
      <w:r>
        <w:rPr>
          <w:rFonts w:ascii="PT Sans" w:hAnsi="PT Sans" w:cs="Arial"/>
          <w:sz w:val="22"/>
          <w:szCs w:val="22"/>
        </w:rPr>
        <w:t xml:space="preserve">Available at:  </w:t>
      </w:r>
      <w:r w:rsidRPr="003701C2">
        <w:rPr>
          <w:rFonts w:ascii="PT Sans" w:hAnsi="PT Sans" w:cs="Arial"/>
          <w:sz w:val="22"/>
          <w:szCs w:val="22"/>
        </w:rPr>
        <w:t>https://www.hrzone.com/engage/employees/organisational-culture-why-the-charity-sector-must-invest-in-purpose-and-values-to</w:t>
      </w:r>
      <w:r>
        <w:rPr>
          <w:rFonts w:ascii="PT Sans" w:hAnsi="PT Sans" w:cs="Arial"/>
          <w:sz w:val="22"/>
          <w:szCs w:val="22"/>
        </w:rPr>
        <w:t xml:space="preserve"> (Accessed: 5 December 2022). </w:t>
      </w:r>
    </w:p>
    <w:p w14:paraId="2221B9A8" w14:textId="77777777" w:rsidR="00656454" w:rsidRDefault="00656454" w:rsidP="00656454">
      <w:pPr>
        <w:spacing w:line="276" w:lineRule="auto"/>
        <w:rPr>
          <w:rFonts w:ascii="PT Sans" w:hAnsi="PT Sans" w:cs="Arial"/>
          <w:sz w:val="22"/>
          <w:szCs w:val="22"/>
        </w:rPr>
      </w:pPr>
    </w:p>
    <w:p w14:paraId="02DC2792" w14:textId="77777777" w:rsidR="00656454" w:rsidRPr="00F879B8" w:rsidRDefault="00656454" w:rsidP="00656454">
      <w:pPr>
        <w:spacing w:line="276" w:lineRule="auto"/>
        <w:rPr>
          <w:rFonts w:ascii="PT Sans" w:hAnsi="PT Sans" w:cs="Arial"/>
          <w:bCs/>
          <w:i/>
          <w:sz w:val="22"/>
          <w:szCs w:val="22"/>
        </w:rPr>
      </w:pPr>
      <w:r>
        <w:rPr>
          <w:rFonts w:ascii="PT Sans" w:hAnsi="PT Sans" w:cs="Arial"/>
          <w:sz w:val="22"/>
          <w:szCs w:val="22"/>
        </w:rPr>
        <w:t xml:space="preserve">Kendrick, A. H. (2022) </w:t>
      </w:r>
      <w:r w:rsidRPr="00344800">
        <w:rPr>
          <w:rFonts w:ascii="PT Sans" w:hAnsi="PT Sans" w:cs="Arial"/>
          <w:bCs/>
          <w:i/>
          <w:sz w:val="22"/>
          <w:szCs w:val="22"/>
        </w:rPr>
        <w:t>5 ways to create a compassionate workplace culture and help workers recover from burnout</w:t>
      </w:r>
      <w:r>
        <w:rPr>
          <w:rFonts w:ascii="PT Sans" w:hAnsi="PT Sans" w:cs="Arial"/>
          <w:bCs/>
          <w:i/>
          <w:sz w:val="22"/>
          <w:szCs w:val="22"/>
        </w:rPr>
        <w:t xml:space="preserve">. </w:t>
      </w:r>
      <w:r w:rsidRPr="00344800">
        <w:rPr>
          <w:rFonts w:ascii="PT Sans" w:hAnsi="PT Sans" w:cs="Arial"/>
          <w:bCs/>
          <w:sz w:val="22"/>
          <w:szCs w:val="22"/>
        </w:rPr>
        <w:t>Available at:</w:t>
      </w:r>
      <w:r>
        <w:rPr>
          <w:rFonts w:ascii="PT Sans" w:hAnsi="PT Sans" w:cs="Arial"/>
          <w:bCs/>
          <w:i/>
          <w:sz w:val="22"/>
          <w:szCs w:val="22"/>
        </w:rPr>
        <w:t xml:space="preserve"> </w:t>
      </w:r>
      <w:r w:rsidRPr="00344800">
        <w:rPr>
          <w:rFonts w:ascii="PT Sans" w:hAnsi="PT Sans" w:cs="Arial"/>
          <w:bCs/>
          <w:sz w:val="22"/>
          <w:szCs w:val="22"/>
        </w:rPr>
        <w:t>https://theconversation.com/5-ways-to-create-a-compassionate-workplace-culture-and-help-workers-recover-from-burnout-190489?utm_medium=ampfacebook</w:t>
      </w:r>
      <w:r>
        <w:rPr>
          <w:rFonts w:ascii="PT Sans" w:hAnsi="PT Sans" w:cs="Arial"/>
          <w:bCs/>
          <w:i/>
          <w:sz w:val="22"/>
          <w:szCs w:val="22"/>
        </w:rPr>
        <w:t xml:space="preserve"> </w:t>
      </w:r>
      <w:r>
        <w:rPr>
          <w:rFonts w:ascii="PT Sans" w:hAnsi="PT Sans" w:cs="Arial"/>
          <w:bCs/>
          <w:sz w:val="22"/>
          <w:szCs w:val="22"/>
        </w:rPr>
        <w:t xml:space="preserve">(Accessed 8 December 2022). </w:t>
      </w: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656454" w:rsidRPr="00A7090C" w14:paraId="76CA1998" w14:textId="77777777" w:rsidTr="00EC441C">
        <w:trPr>
          <w:gridAfter w:val="1"/>
        </w:trPr>
        <w:tc>
          <w:tcPr>
            <w:tcW w:w="0" w:type="auto"/>
            <w:shd w:val="clear" w:color="auto" w:fill="FFFFFF"/>
            <w:vAlign w:val="center"/>
            <w:hideMark/>
          </w:tcPr>
          <w:p w14:paraId="52E6AEBB" w14:textId="77777777" w:rsidR="00656454" w:rsidRPr="00A7090C" w:rsidRDefault="00656454" w:rsidP="00EC441C">
            <w:pPr>
              <w:spacing w:line="276" w:lineRule="auto"/>
              <w:rPr>
                <w:rFonts w:ascii="PT Sans" w:hAnsi="PT Sans" w:cs="Arial"/>
                <w:sz w:val="22"/>
                <w:szCs w:val="22"/>
              </w:rPr>
            </w:pPr>
          </w:p>
        </w:tc>
      </w:tr>
      <w:tr w:rsidR="00656454" w:rsidRPr="00A7090C" w14:paraId="64C6640E" w14:textId="77777777" w:rsidTr="00EC441C">
        <w:trPr>
          <w:gridAfter w:val="1"/>
        </w:trPr>
        <w:tc>
          <w:tcPr>
            <w:tcW w:w="0" w:type="auto"/>
            <w:shd w:val="clear" w:color="auto" w:fill="FFFFFF"/>
            <w:tcMar>
              <w:top w:w="120" w:type="dxa"/>
              <w:left w:w="0" w:type="dxa"/>
              <w:bottom w:w="120" w:type="dxa"/>
              <w:right w:w="0" w:type="dxa"/>
            </w:tcMar>
            <w:hideMark/>
          </w:tcPr>
          <w:p w14:paraId="4244CF02" w14:textId="77777777" w:rsidR="00656454" w:rsidRPr="00A7090C" w:rsidRDefault="00656454" w:rsidP="00EC441C">
            <w:pPr>
              <w:spacing w:line="276" w:lineRule="auto"/>
              <w:rPr>
                <w:rFonts w:ascii="PT Sans" w:hAnsi="PT Sans" w:cs="Arial"/>
                <w:sz w:val="22"/>
                <w:szCs w:val="22"/>
              </w:rPr>
            </w:pPr>
          </w:p>
        </w:tc>
      </w:tr>
      <w:tr w:rsidR="00656454" w:rsidRPr="00A7090C" w14:paraId="30451FD2" w14:textId="77777777" w:rsidTr="00EC441C">
        <w:tc>
          <w:tcPr>
            <w:tcW w:w="0" w:type="auto"/>
            <w:shd w:val="clear" w:color="auto" w:fill="FFFFFF"/>
            <w:noWrap/>
            <w:tcMar>
              <w:top w:w="120" w:type="dxa"/>
              <w:left w:w="0" w:type="dxa"/>
              <w:bottom w:w="120" w:type="dxa"/>
              <w:right w:w="240" w:type="dxa"/>
            </w:tcMar>
            <w:hideMark/>
          </w:tcPr>
          <w:p w14:paraId="29F94F3E" w14:textId="77777777" w:rsidR="00656454" w:rsidRPr="00A7090C" w:rsidRDefault="00656454" w:rsidP="00EC441C">
            <w:pPr>
              <w:spacing w:line="276" w:lineRule="auto"/>
              <w:rPr>
                <w:rFonts w:ascii="PT Sans" w:hAnsi="PT Sans" w:cs="Arial"/>
                <w:sz w:val="22"/>
                <w:szCs w:val="22"/>
              </w:rPr>
            </w:pPr>
          </w:p>
        </w:tc>
        <w:tc>
          <w:tcPr>
            <w:tcW w:w="0" w:type="auto"/>
            <w:shd w:val="clear" w:color="auto" w:fill="FFFFFF"/>
            <w:tcMar>
              <w:top w:w="120" w:type="dxa"/>
              <w:left w:w="0" w:type="dxa"/>
              <w:bottom w:w="120" w:type="dxa"/>
              <w:right w:w="0" w:type="dxa"/>
            </w:tcMar>
            <w:hideMark/>
          </w:tcPr>
          <w:p w14:paraId="5C61D56A" w14:textId="77777777" w:rsidR="00656454" w:rsidRPr="00A7090C" w:rsidRDefault="00656454" w:rsidP="00EC441C">
            <w:pPr>
              <w:spacing w:line="276" w:lineRule="auto"/>
              <w:rPr>
                <w:rFonts w:ascii="PT Sans" w:hAnsi="PT Sans" w:cs="Arial"/>
                <w:sz w:val="22"/>
                <w:szCs w:val="22"/>
              </w:rPr>
            </w:pPr>
          </w:p>
        </w:tc>
      </w:tr>
    </w:tbl>
    <w:p w14:paraId="66E28CBC" w14:textId="77777777" w:rsidR="00656454" w:rsidRPr="009E7FDB" w:rsidRDefault="00656454" w:rsidP="00656454">
      <w:pPr>
        <w:spacing w:line="276" w:lineRule="auto"/>
        <w:rPr>
          <w:rFonts w:ascii="PT Sans" w:hAnsi="PT Sans" w:cs="Arial"/>
          <w:sz w:val="22"/>
          <w:szCs w:val="22"/>
        </w:rPr>
      </w:pPr>
      <w:r w:rsidRPr="009E7FDB">
        <w:rPr>
          <w:rFonts w:ascii="PT Sans" w:hAnsi="PT Sans" w:cs="Arial"/>
          <w:sz w:val="22"/>
          <w:szCs w:val="22"/>
        </w:rPr>
        <w:t xml:space="preserve">Kneale, D. </w:t>
      </w:r>
      <w:r w:rsidRPr="009E7FDB">
        <w:rPr>
          <w:rFonts w:ascii="PT Sans" w:hAnsi="PT Sans" w:cs="Arial"/>
          <w:i/>
          <w:sz w:val="22"/>
          <w:szCs w:val="22"/>
        </w:rPr>
        <w:t>et al</w:t>
      </w:r>
      <w:r w:rsidRPr="009E7FDB">
        <w:rPr>
          <w:rFonts w:ascii="PT Sans" w:hAnsi="PT Sans" w:cs="Arial"/>
          <w:sz w:val="22"/>
          <w:szCs w:val="22"/>
        </w:rPr>
        <w:t xml:space="preserve"> (2022) Volunteering during the pandemic: Which mechanisms enabled groups, communities and agencies to mobilise and why? A rapid realist review of the evidence. London: EPPI Centre, UCL Social Research Institute, University College London. </w:t>
      </w:r>
    </w:p>
    <w:p w14:paraId="1C3DF326" w14:textId="77777777" w:rsidR="00656454" w:rsidRPr="009E7FDB" w:rsidRDefault="00656454" w:rsidP="00656454">
      <w:pPr>
        <w:spacing w:line="276" w:lineRule="auto"/>
        <w:rPr>
          <w:rFonts w:ascii="PT Sans" w:hAnsi="PT Sans" w:cs="Arial"/>
          <w:color w:val="000000" w:themeColor="text1"/>
          <w:sz w:val="22"/>
          <w:szCs w:val="22"/>
        </w:rPr>
      </w:pPr>
    </w:p>
    <w:p w14:paraId="0FA5AD08" w14:textId="77777777" w:rsidR="00656454" w:rsidRPr="009E7FDB" w:rsidRDefault="00656454" w:rsidP="00656454">
      <w:pPr>
        <w:spacing w:line="276" w:lineRule="auto"/>
        <w:rPr>
          <w:rFonts w:ascii="PT Sans" w:hAnsi="PT Sans" w:cs="Arial"/>
          <w:color w:val="000000" w:themeColor="text1"/>
          <w:sz w:val="22"/>
          <w:szCs w:val="22"/>
        </w:rPr>
      </w:pPr>
      <w:r w:rsidRPr="009E7FDB">
        <w:rPr>
          <w:rFonts w:ascii="PT Sans" w:hAnsi="PT Sans" w:cs="Arial"/>
          <w:color w:val="000000" w:themeColor="text1"/>
          <w:sz w:val="22"/>
          <w:szCs w:val="22"/>
        </w:rPr>
        <w:t xml:space="preserve">Lindrea, V. (2022) </w:t>
      </w:r>
      <w:r w:rsidRPr="009E7FDB">
        <w:rPr>
          <w:rFonts w:ascii="PT Sans" w:hAnsi="PT Sans" w:cs="Arial"/>
          <w:i/>
          <w:color w:val="000000" w:themeColor="text1"/>
          <w:sz w:val="22"/>
          <w:szCs w:val="22"/>
        </w:rPr>
        <w:t>Tory MPs urge PM to change law to ease migrant crisis</w:t>
      </w:r>
      <w:r w:rsidRPr="009E7FDB">
        <w:rPr>
          <w:rFonts w:ascii="PT Sans" w:hAnsi="PT Sans" w:cs="Arial"/>
          <w:color w:val="000000" w:themeColor="text1"/>
          <w:sz w:val="22"/>
          <w:szCs w:val="22"/>
        </w:rPr>
        <w:t>. Available at: https://www.bbc.co.uk/news/uk-63775337 (Accessed 1 December 2022).</w:t>
      </w:r>
    </w:p>
    <w:p w14:paraId="61EBD688" w14:textId="77777777" w:rsidR="00656454" w:rsidRPr="009E7FDB" w:rsidRDefault="00656454" w:rsidP="00656454">
      <w:pPr>
        <w:spacing w:line="276" w:lineRule="auto"/>
        <w:rPr>
          <w:rFonts w:ascii="PT Sans" w:hAnsi="PT Sans" w:cs="Arial"/>
          <w:color w:val="000000" w:themeColor="text1"/>
          <w:sz w:val="22"/>
          <w:szCs w:val="22"/>
        </w:rPr>
      </w:pPr>
    </w:p>
    <w:p w14:paraId="2F921C50" w14:textId="77777777" w:rsidR="00656454" w:rsidRPr="009E7FDB" w:rsidRDefault="00656454" w:rsidP="00656454">
      <w:pPr>
        <w:spacing w:line="276" w:lineRule="auto"/>
        <w:rPr>
          <w:rFonts w:ascii="PT Sans" w:hAnsi="PT Sans" w:cs="Arial"/>
          <w:color w:val="000000" w:themeColor="text1"/>
          <w:sz w:val="22"/>
          <w:szCs w:val="22"/>
        </w:rPr>
      </w:pPr>
      <w:r w:rsidRPr="009E7FDB">
        <w:rPr>
          <w:rFonts w:ascii="PT Sans" w:hAnsi="PT Sans" w:cs="Arial"/>
          <w:color w:val="000000" w:themeColor="text1"/>
          <w:sz w:val="22"/>
          <w:szCs w:val="22"/>
        </w:rPr>
        <w:t xml:space="preserve">Lord, J. (2022) </w:t>
      </w:r>
      <w:r w:rsidRPr="009E7FDB">
        <w:rPr>
          <w:rFonts w:ascii="PT Sans" w:hAnsi="PT Sans" w:cs="Arial"/>
          <w:bCs/>
          <w:i/>
          <w:color w:val="000000" w:themeColor="text1"/>
          <w:sz w:val="22"/>
          <w:szCs w:val="22"/>
        </w:rPr>
        <w:t xml:space="preserve">As transgender employees become more common, here’s how workplaces can welcome diversity. </w:t>
      </w:r>
      <w:r w:rsidRPr="009E7FDB">
        <w:rPr>
          <w:rFonts w:ascii="PT Sans" w:hAnsi="PT Sans" w:cs="Arial"/>
          <w:bCs/>
          <w:color w:val="000000" w:themeColor="text1"/>
          <w:sz w:val="22"/>
          <w:szCs w:val="22"/>
        </w:rPr>
        <w:t>Available at:</w:t>
      </w:r>
      <w:r w:rsidRPr="009E7FDB">
        <w:rPr>
          <w:rFonts w:ascii="PT Sans" w:hAnsi="PT Sans" w:cs="Arial"/>
          <w:color w:val="000000" w:themeColor="text1"/>
          <w:sz w:val="22"/>
          <w:szCs w:val="22"/>
        </w:rPr>
        <w:t xml:space="preserve"> https://theconversation.com/as-transgender-employees-become-more-common-heres-how-workplaces-can-welcome-diversity-193481 (Accessed 30 November 2022). </w:t>
      </w:r>
    </w:p>
    <w:p w14:paraId="1354FB09" w14:textId="77777777" w:rsidR="00656454" w:rsidRDefault="00656454" w:rsidP="00656454">
      <w:pPr>
        <w:spacing w:line="276" w:lineRule="auto"/>
        <w:rPr>
          <w:rFonts w:ascii="PT Sans" w:hAnsi="PT Sans" w:cs="Arial"/>
          <w:color w:val="000000" w:themeColor="text1"/>
          <w:sz w:val="22"/>
          <w:szCs w:val="22"/>
        </w:rPr>
      </w:pPr>
    </w:p>
    <w:p w14:paraId="3E2F572B" w14:textId="77777777" w:rsidR="00656454" w:rsidRPr="00B45E3A" w:rsidRDefault="00656454" w:rsidP="00656454">
      <w:pPr>
        <w:pStyle w:val="muitypography-root"/>
        <w:shd w:val="clear" w:color="auto" w:fill="FFFFFF"/>
        <w:spacing w:before="0" w:beforeAutospacing="0" w:after="120" w:afterAutospacing="0"/>
        <w:rPr>
          <w:rFonts w:ascii="Helvetica" w:hAnsi="Helvetica"/>
          <w:color w:val="79848B"/>
        </w:rPr>
      </w:pPr>
      <w:r>
        <w:rPr>
          <w:rFonts w:ascii="PT Sans" w:hAnsi="PT Sans" w:cs="Arial"/>
          <w:color w:val="000000" w:themeColor="text1"/>
          <w:sz w:val="22"/>
          <w:szCs w:val="22"/>
        </w:rPr>
        <w:t xml:space="preserve">Mind Tools (2022) </w:t>
      </w:r>
      <w:r w:rsidRPr="00B45E3A">
        <w:rPr>
          <w:rFonts w:ascii="PT Sans" w:hAnsi="PT Sans"/>
          <w:bCs/>
          <w:i/>
          <w:color w:val="000000" w:themeColor="text1"/>
          <w:sz w:val="22"/>
        </w:rPr>
        <w:t>McKinsey 7-S Framework</w:t>
      </w:r>
      <w:r>
        <w:rPr>
          <w:rFonts w:ascii="PT Sans" w:hAnsi="PT Sans"/>
          <w:bCs/>
          <w:i/>
          <w:color w:val="000000" w:themeColor="text1"/>
          <w:sz w:val="22"/>
        </w:rPr>
        <w:t xml:space="preserve"> </w:t>
      </w:r>
      <w:r>
        <w:rPr>
          <w:rFonts w:ascii="PT Sans" w:hAnsi="PT Sans"/>
          <w:bCs/>
          <w:color w:val="000000" w:themeColor="text1"/>
          <w:sz w:val="22"/>
        </w:rPr>
        <w:t xml:space="preserve">Available at: </w:t>
      </w:r>
      <w:r w:rsidRPr="00B45E3A">
        <w:rPr>
          <w:rFonts w:ascii="PT Sans" w:hAnsi="PT Sans" w:cs="Arial"/>
          <w:color w:val="000000" w:themeColor="text1"/>
          <w:sz w:val="22"/>
          <w:szCs w:val="22"/>
        </w:rPr>
        <w:t>https://www.mindtools.com/aicks4s/the-mckinsey-7-s-framework</w:t>
      </w:r>
      <w:r>
        <w:rPr>
          <w:rFonts w:ascii="PT Sans" w:hAnsi="PT Sans" w:cs="Arial"/>
          <w:color w:val="000000" w:themeColor="text1"/>
          <w:sz w:val="22"/>
          <w:szCs w:val="22"/>
        </w:rPr>
        <w:t xml:space="preserve"> (Accessed: 10 December 2022).</w:t>
      </w:r>
    </w:p>
    <w:p w14:paraId="392FF0BA" w14:textId="77777777" w:rsidR="00656454" w:rsidRPr="009E7FDB" w:rsidRDefault="00656454" w:rsidP="00656454">
      <w:pPr>
        <w:spacing w:line="276" w:lineRule="auto"/>
        <w:rPr>
          <w:rFonts w:ascii="PT Sans" w:hAnsi="PT Sans"/>
        </w:rPr>
      </w:pPr>
    </w:p>
    <w:p w14:paraId="7F32DCD1" w14:textId="77777777" w:rsidR="00656454" w:rsidRPr="009E7FDB" w:rsidRDefault="00656454" w:rsidP="00656454">
      <w:pPr>
        <w:spacing w:line="276" w:lineRule="auto"/>
        <w:rPr>
          <w:rFonts w:ascii="PT Sans" w:hAnsi="PT Sans" w:cs="Arial"/>
          <w:sz w:val="22"/>
        </w:rPr>
      </w:pPr>
      <w:r w:rsidRPr="009E7FDB">
        <w:rPr>
          <w:rFonts w:ascii="PT Sans" w:hAnsi="PT Sans" w:cs="Arial"/>
          <w:sz w:val="22"/>
        </w:rPr>
        <w:t>Mukherjee, S., Hauthal</w:t>
      </w:r>
      <w:r w:rsidRPr="005A4DE5">
        <w:rPr>
          <w:rFonts w:ascii="PT Sans" w:hAnsi="PT Sans" w:cs="Arial"/>
          <w:color w:val="000000" w:themeColor="text1"/>
          <w:sz w:val="22"/>
        </w:rPr>
        <w:t xml:space="preserve">, E. and Burghardt, D. (2022) </w:t>
      </w:r>
      <w:proofErr w:type="spellStart"/>
      <w:r w:rsidRPr="005A4DE5">
        <w:rPr>
          <w:rFonts w:ascii="PT Sans" w:hAnsi="PT Sans" w:cs="Arial"/>
          <w:color w:val="000000" w:themeColor="text1"/>
          <w:sz w:val="22"/>
        </w:rPr>
        <w:t>Analyzing</w:t>
      </w:r>
      <w:proofErr w:type="spellEnd"/>
      <w:r w:rsidRPr="005A4DE5">
        <w:rPr>
          <w:rFonts w:ascii="PT Sans" w:hAnsi="PT Sans" w:cs="Arial"/>
          <w:color w:val="000000" w:themeColor="text1"/>
          <w:sz w:val="22"/>
        </w:rPr>
        <w:t xml:space="preserve"> the EU Migration Crisis as Reflected on Twitter. </w:t>
      </w:r>
      <w:r w:rsidRPr="005A4DE5">
        <w:rPr>
          <w:rFonts w:ascii="PT Sans" w:hAnsi="PT Sans" w:cs="Arial"/>
          <w:i/>
          <w:iCs/>
          <w:color w:val="000000" w:themeColor="text1"/>
          <w:sz w:val="22"/>
          <w:shd w:val="clear" w:color="auto" w:fill="FCFCFC"/>
        </w:rPr>
        <w:t>KN - Journal of Cartography and Geographic Information</w:t>
      </w:r>
      <w:r w:rsidRPr="005A4DE5">
        <w:rPr>
          <w:rFonts w:ascii="PT Sans" w:hAnsi="PT Sans" w:cs="Arial"/>
          <w:color w:val="000000" w:themeColor="text1"/>
          <w:sz w:val="22"/>
        </w:rPr>
        <w:t xml:space="preserve">, </w:t>
      </w:r>
      <w:r w:rsidRPr="005A4DE5">
        <w:rPr>
          <w:rFonts w:ascii="PT Sans" w:hAnsi="PT Sans" w:cs="Arial"/>
          <w:bCs/>
          <w:color w:val="000000" w:themeColor="text1"/>
          <w:sz w:val="22"/>
        </w:rPr>
        <w:t>72</w:t>
      </w:r>
      <w:r w:rsidRPr="005A4DE5">
        <w:rPr>
          <w:rFonts w:ascii="PT Sans" w:hAnsi="PT Sans" w:cs="Arial"/>
          <w:color w:val="000000" w:themeColor="text1"/>
          <w:sz w:val="22"/>
        </w:rPr>
        <w:t>, pp. 213–228. Available at: https://doi.org/10.1007/s42489-022-00114-6</w:t>
      </w:r>
    </w:p>
    <w:p w14:paraId="5D4E488B" w14:textId="77777777" w:rsidR="00656454" w:rsidRPr="009E7FDB" w:rsidRDefault="00656454" w:rsidP="00656454">
      <w:pPr>
        <w:spacing w:line="276" w:lineRule="auto"/>
        <w:rPr>
          <w:rFonts w:ascii="PT Sans" w:hAnsi="PT Sans" w:cs="Arial"/>
          <w:color w:val="000000" w:themeColor="text1"/>
          <w:sz w:val="22"/>
          <w:szCs w:val="22"/>
        </w:rPr>
      </w:pPr>
    </w:p>
    <w:p w14:paraId="1F41D7D6" w14:textId="77777777" w:rsidR="00656454" w:rsidRPr="009E7FDB" w:rsidRDefault="00656454" w:rsidP="00656454">
      <w:pPr>
        <w:spacing w:line="276" w:lineRule="auto"/>
        <w:rPr>
          <w:rFonts w:ascii="PT Sans" w:hAnsi="PT Sans" w:cs="Arial"/>
          <w:color w:val="000000" w:themeColor="text1"/>
          <w:sz w:val="22"/>
          <w:szCs w:val="22"/>
        </w:rPr>
      </w:pPr>
      <w:r w:rsidRPr="009E7FDB">
        <w:rPr>
          <w:rFonts w:ascii="PT Sans" w:hAnsi="PT Sans" w:cs="Arial"/>
          <w:color w:val="000000" w:themeColor="text1"/>
          <w:sz w:val="22"/>
          <w:szCs w:val="22"/>
        </w:rPr>
        <w:t>O’Toole, M. and Grey, C. (2016</w:t>
      </w:r>
      <w:r>
        <w:rPr>
          <w:rFonts w:ascii="PT Sans" w:hAnsi="PT Sans" w:cs="Arial"/>
          <w:color w:val="000000" w:themeColor="text1"/>
          <w:sz w:val="22"/>
          <w:szCs w:val="22"/>
        </w:rPr>
        <w:t>a</w:t>
      </w:r>
      <w:r w:rsidRPr="009E7FDB">
        <w:rPr>
          <w:rFonts w:ascii="PT Sans" w:hAnsi="PT Sans" w:cs="Arial"/>
          <w:color w:val="000000" w:themeColor="text1"/>
          <w:sz w:val="22"/>
          <w:szCs w:val="22"/>
        </w:rPr>
        <w:t xml:space="preserve">) ‘Beyond choice: ‘Thick’ volunteering and the case of the Royal National Lifeboat Institution’, </w:t>
      </w:r>
      <w:r w:rsidRPr="009E7FDB">
        <w:rPr>
          <w:rFonts w:ascii="PT Sans" w:hAnsi="PT Sans" w:cs="Arial"/>
          <w:i/>
          <w:color w:val="000000" w:themeColor="text1"/>
          <w:sz w:val="22"/>
          <w:szCs w:val="22"/>
        </w:rPr>
        <w:t>Human Relations</w:t>
      </w:r>
      <w:r w:rsidRPr="009E7FDB">
        <w:rPr>
          <w:rFonts w:ascii="PT Sans" w:hAnsi="PT Sans" w:cs="Arial"/>
          <w:color w:val="000000" w:themeColor="text1"/>
          <w:sz w:val="22"/>
          <w:szCs w:val="22"/>
        </w:rPr>
        <w:t>, 69(1), pp. 85–109. Available at: https://doi-org.ezproxy.uwtsd.ac.uk/10.1177/0018726715580156</w:t>
      </w:r>
    </w:p>
    <w:p w14:paraId="3C01F054" w14:textId="77777777" w:rsidR="00656454" w:rsidRPr="009E7FDB" w:rsidRDefault="00656454" w:rsidP="00656454">
      <w:pPr>
        <w:spacing w:line="276" w:lineRule="auto"/>
        <w:rPr>
          <w:rFonts w:ascii="PT Sans" w:hAnsi="PT Sans" w:cs="Arial"/>
          <w:color w:val="000000" w:themeColor="text1"/>
          <w:sz w:val="22"/>
          <w:szCs w:val="22"/>
        </w:rPr>
      </w:pPr>
    </w:p>
    <w:p w14:paraId="316D9A36" w14:textId="77777777" w:rsidR="00656454" w:rsidRPr="009E7FDB" w:rsidRDefault="00656454" w:rsidP="00656454">
      <w:pPr>
        <w:spacing w:line="276" w:lineRule="auto"/>
        <w:rPr>
          <w:rFonts w:ascii="PT Sans" w:hAnsi="PT Sans" w:cs="Arial"/>
          <w:color w:val="000000" w:themeColor="text1"/>
          <w:sz w:val="22"/>
          <w:szCs w:val="22"/>
        </w:rPr>
      </w:pPr>
      <w:r w:rsidRPr="009E7FDB">
        <w:rPr>
          <w:rFonts w:ascii="PT Sans" w:hAnsi="PT Sans" w:cs="Arial"/>
          <w:color w:val="000000" w:themeColor="text1"/>
          <w:sz w:val="22"/>
          <w:szCs w:val="22"/>
        </w:rPr>
        <w:t>O’ Toole, M. and Grey, C. (2016</w:t>
      </w:r>
      <w:r>
        <w:rPr>
          <w:rFonts w:ascii="PT Sans" w:hAnsi="PT Sans" w:cs="Arial"/>
          <w:color w:val="000000" w:themeColor="text1"/>
          <w:sz w:val="22"/>
          <w:szCs w:val="22"/>
        </w:rPr>
        <w:t>b</w:t>
      </w:r>
      <w:r w:rsidRPr="009E7FDB">
        <w:rPr>
          <w:rFonts w:ascii="PT Sans" w:hAnsi="PT Sans" w:cs="Arial"/>
          <w:color w:val="000000" w:themeColor="text1"/>
          <w:sz w:val="22"/>
          <w:szCs w:val="22"/>
        </w:rPr>
        <w:t xml:space="preserve">) ‘’We Can Tell Them to Get Lost, but We Won’t Do That’: Cultural Control and Resistance in Voluntary Work’. </w:t>
      </w:r>
      <w:r w:rsidRPr="009E7FDB">
        <w:rPr>
          <w:rFonts w:ascii="PT Sans" w:hAnsi="PT Sans" w:cs="Arial"/>
          <w:i/>
          <w:color w:val="000000" w:themeColor="text1"/>
          <w:sz w:val="22"/>
          <w:szCs w:val="22"/>
        </w:rPr>
        <w:t>Organization Studies</w:t>
      </w:r>
      <w:r w:rsidRPr="009E7FDB">
        <w:rPr>
          <w:rFonts w:ascii="PT Sans" w:hAnsi="PT Sans" w:cs="Arial"/>
          <w:color w:val="000000" w:themeColor="text1"/>
          <w:sz w:val="22"/>
          <w:szCs w:val="22"/>
        </w:rPr>
        <w:t>, 37(1), pp. 55–75. Available at: https://doiorg.ezproxy.uwtsd.ac.uk/10.1177/0170840615604507</w:t>
      </w:r>
    </w:p>
    <w:p w14:paraId="54C1DF56" w14:textId="77777777" w:rsidR="00656454" w:rsidRPr="009E7FDB" w:rsidRDefault="00656454" w:rsidP="00656454">
      <w:pPr>
        <w:spacing w:line="276" w:lineRule="auto"/>
        <w:rPr>
          <w:rFonts w:ascii="PT Sans" w:hAnsi="PT Sans" w:cs="Arial"/>
          <w:bCs/>
          <w:sz w:val="22"/>
          <w:szCs w:val="22"/>
        </w:rPr>
      </w:pPr>
    </w:p>
    <w:p w14:paraId="2CA1B84A" w14:textId="5CFCEAAE" w:rsidR="00656454" w:rsidRDefault="00656454" w:rsidP="00656454">
      <w:pPr>
        <w:spacing w:line="276" w:lineRule="auto"/>
        <w:rPr>
          <w:rFonts w:ascii="PT Sans" w:hAnsi="PT Sans" w:cs="Arial"/>
          <w:sz w:val="22"/>
          <w:szCs w:val="22"/>
        </w:rPr>
      </w:pPr>
      <w:r w:rsidRPr="009E7FDB">
        <w:rPr>
          <w:rFonts w:ascii="PT Sans" w:hAnsi="PT Sans" w:cs="Arial"/>
          <w:bCs/>
          <w:sz w:val="22"/>
          <w:szCs w:val="22"/>
        </w:rPr>
        <w:t xml:space="preserve">Porter, M. (2008) </w:t>
      </w:r>
      <w:r w:rsidRPr="009E7FDB">
        <w:rPr>
          <w:rFonts w:ascii="PT Sans" w:hAnsi="PT Sans" w:cs="Arial"/>
          <w:bCs/>
          <w:i/>
          <w:sz w:val="22"/>
          <w:szCs w:val="22"/>
        </w:rPr>
        <w:t>The Five Competitive Forces That Shape Strategy.</w:t>
      </w:r>
      <w:r w:rsidRPr="009E7FDB">
        <w:rPr>
          <w:rFonts w:ascii="PT Sans" w:hAnsi="PT Sans" w:cs="Arial"/>
          <w:bCs/>
          <w:sz w:val="22"/>
          <w:szCs w:val="22"/>
        </w:rPr>
        <w:t xml:space="preserve"> Available at:</w:t>
      </w:r>
      <w:r>
        <w:rPr>
          <w:rFonts w:ascii="PT Sans" w:hAnsi="PT Sans" w:cs="Arial"/>
          <w:bCs/>
        </w:rPr>
        <w:t xml:space="preserve"> </w:t>
      </w:r>
      <w:r w:rsidRPr="009E7FDB">
        <w:rPr>
          <w:rFonts w:ascii="PT Sans" w:hAnsi="PT Sans" w:cs="Arial"/>
          <w:sz w:val="22"/>
          <w:szCs w:val="22"/>
        </w:rPr>
        <w:t>https://hbr.org/2008/01/the-five-competitive-forces-that-shape-strategy (Accessed</w:t>
      </w:r>
      <w:r>
        <w:rPr>
          <w:rFonts w:ascii="PT Sans" w:hAnsi="PT Sans" w:cs="Arial"/>
          <w:sz w:val="22"/>
          <w:szCs w:val="22"/>
        </w:rPr>
        <w:t>:</w:t>
      </w:r>
      <w:r w:rsidRPr="009E7FDB">
        <w:rPr>
          <w:rFonts w:ascii="PT Sans" w:hAnsi="PT Sans" w:cs="Arial"/>
          <w:sz w:val="22"/>
          <w:szCs w:val="22"/>
        </w:rPr>
        <w:t xml:space="preserve"> 30 November 2022). </w:t>
      </w:r>
    </w:p>
    <w:p w14:paraId="6DC40A06" w14:textId="77777777" w:rsidR="00656454" w:rsidRPr="009E7FDB" w:rsidRDefault="00656454" w:rsidP="00656454">
      <w:pPr>
        <w:spacing w:line="276" w:lineRule="auto"/>
        <w:rPr>
          <w:rFonts w:ascii="PT Sans" w:hAnsi="PT Sans" w:cs="Arial"/>
          <w:bCs/>
          <w:sz w:val="22"/>
          <w:szCs w:val="22"/>
        </w:rPr>
      </w:pPr>
    </w:p>
    <w:p w14:paraId="78731477" w14:textId="0E26EB11" w:rsidR="00656454" w:rsidRPr="0059424C" w:rsidRDefault="00656454" w:rsidP="0059424C">
      <w:pPr>
        <w:pStyle w:val="Heading1"/>
        <w:spacing w:line="276" w:lineRule="auto"/>
        <w:rPr>
          <w:rFonts w:ascii="Arial" w:hAnsi="Arial" w:cs="Arial"/>
          <w:b w:val="0"/>
          <w:color w:val="000000" w:themeColor="text1"/>
          <w:sz w:val="63"/>
          <w:szCs w:val="63"/>
        </w:rPr>
      </w:pPr>
      <w:r w:rsidRPr="00656454">
        <w:rPr>
          <w:rFonts w:ascii="PT Sans" w:hAnsi="PT Sans" w:cs="Arial"/>
          <w:b w:val="0"/>
          <w:color w:val="000000" w:themeColor="text1"/>
          <w:sz w:val="22"/>
        </w:rPr>
        <w:t xml:space="preserve">Razzetti, G (2022) </w:t>
      </w:r>
      <w:r w:rsidRPr="00656454">
        <w:rPr>
          <w:rFonts w:ascii="PT Sans" w:eastAsia="Times New Roman" w:hAnsi="PT Sans" w:cs="Arial"/>
          <w:b w:val="0"/>
          <w:i/>
          <w:color w:val="000000" w:themeColor="text1"/>
          <w:sz w:val="22"/>
          <w:szCs w:val="24"/>
        </w:rPr>
        <w:t>Culture Is How People Behave When No One Is Looking.</w:t>
      </w:r>
      <w:r w:rsidRPr="00656454">
        <w:rPr>
          <w:rFonts w:ascii="PT Sans" w:hAnsi="PT Sans" w:cs="Arial"/>
          <w:b w:val="0"/>
          <w:color w:val="000000" w:themeColor="text1"/>
          <w:sz w:val="22"/>
        </w:rPr>
        <w:t xml:space="preserve"> Available at: https://www.psychologytoday.com/gb/blog/the-adaptive-mind/202205/culture-is-how-people-behave-when-no-one-is-looking (Accessed: 8 December 2022).</w:t>
      </w:r>
    </w:p>
    <w:p w14:paraId="71E5062C" w14:textId="1AD12B43" w:rsidR="00656454" w:rsidRPr="009E7FDB" w:rsidRDefault="00656454" w:rsidP="00656454">
      <w:pPr>
        <w:spacing w:line="276" w:lineRule="auto"/>
        <w:rPr>
          <w:rFonts w:ascii="PT Sans" w:hAnsi="PT Sans" w:cs="Arial"/>
          <w:sz w:val="22"/>
          <w:szCs w:val="22"/>
        </w:rPr>
      </w:pPr>
      <w:r w:rsidRPr="009E7FDB">
        <w:rPr>
          <w:rFonts w:ascii="PT Sans" w:hAnsi="PT Sans" w:cs="Arial"/>
          <w:sz w:val="22"/>
          <w:szCs w:val="22"/>
        </w:rPr>
        <w:t>RNLI (2022</w:t>
      </w:r>
      <w:r w:rsidR="008F029D">
        <w:rPr>
          <w:rFonts w:ascii="PT Sans" w:hAnsi="PT Sans" w:cs="Arial"/>
          <w:sz w:val="22"/>
          <w:szCs w:val="22"/>
        </w:rPr>
        <w:t>a</w:t>
      </w:r>
      <w:r w:rsidRPr="009E7FDB">
        <w:rPr>
          <w:rFonts w:ascii="PT Sans" w:hAnsi="PT Sans" w:cs="Arial"/>
          <w:sz w:val="22"/>
          <w:szCs w:val="22"/>
        </w:rPr>
        <w:t>) </w:t>
      </w:r>
      <w:r w:rsidRPr="009E7FDB">
        <w:rPr>
          <w:rFonts w:ascii="PT Sans" w:hAnsi="PT Sans" w:cs="Arial"/>
          <w:i/>
          <w:iCs/>
          <w:sz w:val="22"/>
          <w:szCs w:val="22"/>
        </w:rPr>
        <w:t>Equality, Diversity and Inclusion.</w:t>
      </w:r>
      <w:r w:rsidRPr="009E7FDB">
        <w:rPr>
          <w:rFonts w:ascii="PT Sans" w:hAnsi="PT Sans" w:cs="Arial"/>
          <w:sz w:val="22"/>
          <w:szCs w:val="22"/>
        </w:rPr>
        <w:t> Available at: https://rnli.org/about-us/our-people/equality-diversity-and-inclusion (Accessed: 30 November 2022).</w:t>
      </w:r>
    </w:p>
    <w:p w14:paraId="7A2ACA61" w14:textId="77777777" w:rsidR="00656454" w:rsidRPr="009E7FDB" w:rsidRDefault="00656454" w:rsidP="00656454">
      <w:pPr>
        <w:spacing w:line="276" w:lineRule="auto"/>
        <w:rPr>
          <w:rFonts w:ascii="PT Sans" w:hAnsi="PT Sans" w:cs="Arial"/>
          <w:sz w:val="22"/>
          <w:szCs w:val="22"/>
        </w:rPr>
      </w:pPr>
    </w:p>
    <w:p w14:paraId="56A2E9F1" w14:textId="5C0FCC66" w:rsidR="00656454" w:rsidRDefault="00656454" w:rsidP="00656454">
      <w:pPr>
        <w:spacing w:line="276" w:lineRule="auto"/>
        <w:rPr>
          <w:rFonts w:ascii="PT Sans" w:hAnsi="PT Sans" w:cs="Arial"/>
          <w:sz w:val="22"/>
          <w:szCs w:val="22"/>
        </w:rPr>
      </w:pPr>
      <w:r w:rsidRPr="009E7FDB">
        <w:rPr>
          <w:rFonts w:ascii="PT Sans" w:hAnsi="PT Sans" w:cs="Arial"/>
          <w:sz w:val="22"/>
          <w:szCs w:val="22"/>
        </w:rPr>
        <w:t>RNLI (2022</w:t>
      </w:r>
      <w:r w:rsidR="008F029D">
        <w:rPr>
          <w:rFonts w:ascii="PT Sans" w:hAnsi="PT Sans" w:cs="Arial"/>
          <w:sz w:val="22"/>
          <w:szCs w:val="22"/>
        </w:rPr>
        <w:t>b)</w:t>
      </w:r>
      <w:r w:rsidRPr="009E7FDB">
        <w:rPr>
          <w:rFonts w:ascii="PT Sans" w:hAnsi="PT Sans" w:cs="Arial"/>
          <w:sz w:val="22"/>
          <w:szCs w:val="22"/>
        </w:rPr>
        <w:t xml:space="preserve"> </w:t>
      </w:r>
      <w:r w:rsidRPr="009E7FDB">
        <w:rPr>
          <w:rFonts w:ascii="PT Sans" w:hAnsi="PT Sans" w:cs="Arial"/>
          <w:i/>
          <w:sz w:val="22"/>
          <w:szCs w:val="22"/>
        </w:rPr>
        <w:t>Our Philosophy</w:t>
      </w:r>
      <w:r w:rsidRPr="009E7FDB">
        <w:rPr>
          <w:rFonts w:ascii="PT Sans" w:hAnsi="PT Sans" w:cs="Arial"/>
          <w:sz w:val="22"/>
          <w:szCs w:val="22"/>
        </w:rPr>
        <w:t>. Available at: https://rnli.org/about-us/our-strategy/our-philosophy (Accessed: 30 November 2022).</w:t>
      </w:r>
    </w:p>
    <w:p w14:paraId="42F5A262" w14:textId="77777777" w:rsidR="00656454" w:rsidRDefault="00656454" w:rsidP="00656454">
      <w:pPr>
        <w:spacing w:line="276" w:lineRule="auto"/>
        <w:rPr>
          <w:rFonts w:ascii="PT Sans" w:hAnsi="PT Sans" w:cs="Arial"/>
          <w:sz w:val="22"/>
          <w:szCs w:val="22"/>
        </w:rPr>
      </w:pPr>
    </w:p>
    <w:p w14:paraId="64636FA7" w14:textId="77777777" w:rsidR="00656454" w:rsidRPr="008C792A" w:rsidRDefault="00656454" w:rsidP="00656454">
      <w:pPr>
        <w:spacing w:line="276" w:lineRule="auto"/>
        <w:rPr>
          <w:rFonts w:ascii="PT Sans" w:hAnsi="PT Sans" w:cs="Arial"/>
          <w:color w:val="000000" w:themeColor="text1"/>
        </w:rPr>
      </w:pPr>
      <w:r w:rsidRPr="009E7FDB">
        <w:rPr>
          <w:rFonts w:ascii="PT Sans" w:hAnsi="PT Sans" w:cs="Arial"/>
          <w:color w:val="000000" w:themeColor="text1"/>
          <w:sz w:val="22"/>
          <w:szCs w:val="22"/>
        </w:rPr>
        <w:t xml:space="preserve">RNLI (2021) </w:t>
      </w:r>
      <w:r w:rsidRPr="009E7FDB">
        <w:rPr>
          <w:rFonts w:ascii="PT Sans" w:hAnsi="PT Sans" w:cs="Arial"/>
          <w:i/>
          <w:color w:val="000000" w:themeColor="text1"/>
          <w:sz w:val="22"/>
          <w:szCs w:val="22"/>
        </w:rPr>
        <w:t>RNLI and the Black Swimming Association partnership</w:t>
      </w:r>
      <w:r w:rsidRPr="009E7FDB">
        <w:rPr>
          <w:rFonts w:ascii="PT Sans" w:hAnsi="PT Sans" w:cs="Arial"/>
          <w:color w:val="000000" w:themeColor="text1"/>
          <w:sz w:val="22"/>
          <w:szCs w:val="22"/>
        </w:rPr>
        <w:t>. Available at: https://rnli.org/magazine/magazine-featured-list/2021/august/rnli-and-the-black-swimming-association-partnership (Accessed 25 October 2022).</w:t>
      </w:r>
    </w:p>
    <w:p w14:paraId="55BF42A4" w14:textId="77777777" w:rsidR="00656454" w:rsidRPr="009E7FDB" w:rsidRDefault="00656454" w:rsidP="00656454">
      <w:pPr>
        <w:spacing w:line="276" w:lineRule="auto"/>
        <w:rPr>
          <w:rFonts w:ascii="PT Sans" w:hAnsi="PT Sans" w:cs="Arial"/>
          <w:color w:val="000000" w:themeColor="text1"/>
          <w:sz w:val="22"/>
          <w:szCs w:val="22"/>
        </w:rPr>
      </w:pPr>
    </w:p>
    <w:p w14:paraId="256C79C7" w14:textId="77777777" w:rsidR="00656454" w:rsidRDefault="00656454" w:rsidP="00656454">
      <w:pPr>
        <w:spacing w:line="276" w:lineRule="auto"/>
        <w:rPr>
          <w:rFonts w:ascii="PT Sans" w:hAnsi="PT Sans" w:cs="Arial"/>
          <w:color w:val="000000" w:themeColor="text1"/>
          <w:sz w:val="22"/>
          <w:szCs w:val="22"/>
        </w:rPr>
      </w:pPr>
      <w:r w:rsidRPr="009E7FDB">
        <w:rPr>
          <w:rFonts w:ascii="PT Sans" w:hAnsi="PT Sans" w:cs="Arial"/>
          <w:color w:val="000000" w:themeColor="text1"/>
          <w:sz w:val="22"/>
          <w:szCs w:val="22"/>
        </w:rPr>
        <w:t>RNLI (2020</w:t>
      </w:r>
      <w:r>
        <w:rPr>
          <w:rFonts w:ascii="PT Sans" w:hAnsi="PT Sans" w:cs="Arial"/>
          <w:color w:val="000000" w:themeColor="text1"/>
          <w:sz w:val="22"/>
          <w:szCs w:val="22"/>
        </w:rPr>
        <w:t>a</w:t>
      </w:r>
      <w:r w:rsidRPr="009E7FDB">
        <w:rPr>
          <w:rFonts w:ascii="PT Sans" w:hAnsi="PT Sans" w:cs="Arial"/>
          <w:color w:val="000000" w:themeColor="text1"/>
          <w:sz w:val="22"/>
          <w:szCs w:val="22"/>
        </w:rPr>
        <w:t>) </w:t>
      </w:r>
      <w:r w:rsidRPr="009E7FDB">
        <w:rPr>
          <w:rFonts w:ascii="PT Sans" w:hAnsi="PT Sans" w:cs="Arial"/>
          <w:i/>
          <w:iCs/>
          <w:color w:val="000000" w:themeColor="text1"/>
          <w:sz w:val="22"/>
          <w:szCs w:val="22"/>
        </w:rPr>
        <w:t>Our Watch: RNLI Strategic Intent 2020-2024</w:t>
      </w:r>
      <w:r w:rsidRPr="009E7FDB">
        <w:rPr>
          <w:rFonts w:ascii="PT Sans" w:hAnsi="PT Sans" w:cs="Arial"/>
          <w:color w:val="000000" w:themeColor="text1"/>
          <w:sz w:val="22"/>
          <w:szCs w:val="22"/>
        </w:rPr>
        <w:t>. Available at: https://rnli.org/about-us/our-strategy/our-watch-medium-term-goals (Accessed: 30 November 2022).</w:t>
      </w:r>
    </w:p>
    <w:p w14:paraId="4D8885DC" w14:textId="77777777" w:rsidR="00656454" w:rsidRDefault="00656454" w:rsidP="00656454">
      <w:pPr>
        <w:spacing w:line="276" w:lineRule="auto"/>
        <w:rPr>
          <w:rFonts w:ascii="PT Sans" w:hAnsi="PT Sans" w:cs="Arial"/>
          <w:color w:val="000000" w:themeColor="text1"/>
        </w:rPr>
      </w:pPr>
    </w:p>
    <w:p w14:paraId="0984161A" w14:textId="77777777" w:rsidR="00656454" w:rsidRPr="002C46F5" w:rsidRDefault="00656454" w:rsidP="00656454">
      <w:pPr>
        <w:spacing w:line="276" w:lineRule="auto"/>
        <w:rPr>
          <w:rFonts w:ascii="PT Sans" w:hAnsi="PT Sans"/>
          <w:color w:val="000000" w:themeColor="text1"/>
          <w:sz w:val="22"/>
        </w:rPr>
      </w:pPr>
      <w:r w:rsidRPr="002C46F5">
        <w:rPr>
          <w:rFonts w:ascii="PT Sans" w:hAnsi="PT Sans" w:cs="Arial"/>
          <w:color w:val="000000" w:themeColor="text1"/>
          <w:sz w:val="22"/>
        </w:rPr>
        <w:t>RNLI (2020</w:t>
      </w:r>
      <w:r>
        <w:rPr>
          <w:rFonts w:ascii="PT Sans" w:hAnsi="PT Sans" w:cs="Arial"/>
          <w:color w:val="000000" w:themeColor="text1"/>
          <w:sz w:val="22"/>
        </w:rPr>
        <w:t>b</w:t>
      </w:r>
      <w:r w:rsidRPr="002C46F5">
        <w:rPr>
          <w:rFonts w:ascii="PT Sans" w:hAnsi="PT Sans" w:cs="Arial"/>
          <w:color w:val="000000" w:themeColor="text1"/>
          <w:sz w:val="22"/>
        </w:rPr>
        <w:t>) ‘RNLI Water Safety Plan 2020-2024’.</w:t>
      </w:r>
      <w:r w:rsidRPr="002C46F5">
        <w:rPr>
          <w:rFonts w:ascii="PT Sans" w:hAnsi="PT Sans" w:cs="Arial"/>
          <w:i/>
          <w:color w:val="000000" w:themeColor="text1"/>
          <w:sz w:val="22"/>
        </w:rPr>
        <w:t xml:space="preserve"> </w:t>
      </w:r>
      <w:r w:rsidRPr="002C46F5">
        <w:rPr>
          <w:rFonts w:ascii="PT Sans" w:hAnsi="PT Sans"/>
          <w:color w:val="000000" w:themeColor="text1"/>
          <w:sz w:val="21"/>
          <w:szCs w:val="23"/>
          <w:shd w:val="clear" w:color="auto" w:fill="FBFBFB"/>
        </w:rPr>
        <w:t>Unpublished.</w:t>
      </w:r>
    </w:p>
    <w:p w14:paraId="2B509A5F" w14:textId="77777777" w:rsidR="00656454" w:rsidRPr="009E7FDB" w:rsidRDefault="00656454" w:rsidP="00656454">
      <w:pPr>
        <w:spacing w:line="276" w:lineRule="auto"/>
        <w:rPr>
          <w:rFonts w:ascii="PT Sans" w:hAnsi="PT Sans" w:cs="Arial"/>
          <w:color w:val="000000" w:themeColor="text1"/>
          <w:sz w:val="22"/>
          <w:szCs w:val="22"/>
        </w:rPr>
      </w:pPr>
    </w:p>
    <w:p w14:paraId="4E3EE775" w14:textId="77777777" w:rsidR="00656454" w:rsidRDefault="00656454" w:rsidP="00656454">
      <w:pPr>
        <w:spacing w:line="276" w:lineRule="auto"/>
        <w:rPr>
          <w:rFonts w:ascii="PT Sans" w:hAnsi="PT Sans" w:cs="Arial"/>
          <w:color w:val="333333"/>
          <w:shd w:val="clear" w:color="auto" w:fill="FBFBFB"/>
        </w:rPr>
      </w:pPr>
      <w:r w:rsidRPr="009E7FDB">
        <w:rPr>
          <w:rFonts w:ascii="PT Sans" w:hAnsi="PT Sans" w:cs="Arial"/>
          <w:sz w:val="22"/>
          <w:szCs w:val="22"/>
        </w:rPr>
        <w:t xml:space="preserve">Rose, A. (2022) </w:t>
      </w:r>
      <w:r w:rsidRPr="009E7FDB">
        <w:rPr>
          <w:rFonts w:ascii="PT Sans" w:hAnsi="PT Sans" w:cs="Arial"/>
          <w:i/>
          <w:sz w:val="22"/>
          <w:szCs w:val="22"/>
        </w:rPr>
        <w:t xml:space="preserve">RNLI releases new Channel rescue footage and crew testimony. </w:t>
      </w:r>
      <w:r w:rsidRPr="009E7FDB">
        <w:rPr>
          <w:rFonts w:ascii="PT Sans" w:hAnsi="PT Sans" w:cs="Arial"/>
          <w:sz w:val="22"/>
          <w:szCs w:val="22"/>
        </w:rPr>
        <w:t>Available at: https://rnli.org/news-and-media/2022/october/18/rnli-releases-new-channel-rescue-footage-and-first-hand-crew-testimony</w:t>
      </w:r>
      <w:r w:rsidRPr="009E7FDB">
        <w:rPr>
          <w:rFonts w:ascii="PT Sans" w:hAnsi="PT Sans" w:cs="Arial"/>
          <w:color w:val="333333"/>
          <w:sz w:val="22"/>
          <w:szCs w:val="22"/>
          <w:shd w:val="clear" w:color="auto" w:fill="FBFBFB"/>
        </w:rPr>
        <w:t xml:space="preserve"> (Accessed: 28 November 2022).</w:t>
      </w:r>
    </w:p>
    <w:p w14:paraId="5E424F24" w14:textId="77777777" w:rsidR="00656454" w:rsidRPr="009E7FDB" w:rsidRDefault="00656454" w:rsidP="00656454">
      <w:pPr>
        <w:spacing w:line="276" w:lineRule="auto"/>
        <w:rPr>
          <w:rFonts w:ascii="PT Sans" w:hAnsi="PT Sans" w:cs="Arial"/>
          <w:sz w:val="22"/>
          <w:szCs w:val="22"/>
        </w:rPr>
      </w:pPr>
    </w:p>
    <w:p w14:paraId="30E2F78A" w14:textId="77777777" w:rsidR="00656454" w:rsidRDefault="00656454" w:rsidP="00656454">
      <w:pPr>
        <w:spacing w:line="276" w:lineRule="auto"/>
        <w:rPr>
          <w:rFonts w:ascii="PT Sans" w:hAnsi="PT Sans" w:cs="Arial"/>
        </w:rPr>
      </w:pPr>
      <w:r w:rsidRPr="009E7FDB">
        <w:rPr>
          <w:rFonts w:ascii="PT Sans" w:hAnsi="PT Sans" w:cs="Arial"/>
          <w:sz w:val="22"/>
          <w:szCs w:val="22"/>
        </w:rPr>
        <w:t xml:space="preserve">Rose, A. (2021) </w:t>
      </w:r>
      <w:r w:rsidRPr="009E7FDB">
        <w:rPr>
          <w:rFonts w:ascii="PT Sans" w:hAnsi="PT Sans" w:cs="Arial"/>
          <w:i/>
          <w:sz w:val="22"/>
          <w:szCs w:val="22"/>
        </w:rPr>
        <w:t xml:space="preserve">Statement on the humanitarian work of the RNLI in the English Channel. </w:t>
      </w:r>
      <w:r w:rsidRPr="009E7FDB">
        <w:rPr>
          <w:rFonts w:ascii="PT Sans" w:hAnsi="PT Sans" w:cs="Arial"/>
          <w:sz w:val="22"/>
          <w:szCs w:val="22"/>
        </w:rPr>
        <w:t xml:space="preserve">Available at: https://rnli.org/news-and-media/2021/july/28/statement-on-the-humanitarian-work-of-the-rnli-in-the-english-channel (Accessed: 29 November 2022). </w:t>
      </w:r>
    </w:p>
    <w:p w14:paraId="0E3F2C59" w14:textId="77777777" w:rsidR="00656454" w:rsidRPr="009E7FDB" w:rsidRDefault="00656454" w:rsidP="00656454">
      <w:pPr>
        <w:spacing w:line="276" w:lineRule="auto"/>
        <w:rPr>
          <w:rFonts w:ascii="PT Sans" w:hAnsi="PT Sans" w:cs="Arial"/>
          <w:sz w:val="22"/>
          <w:szCs w:val="22"/>
        </w:rPr>
      </w:pPr>
    </w:p>
    <w:p w14:paraId="28950330" w14:textId="77777777" w:rsidR="00656454" w:rsidRPr="009E7FDB" w:rsidRDefault="00656454" w:rsidP="00656454">
      <w:pPr>
        <w:spacing w:line="276" w:lineRule="auto"/>
        <w:rPr>
          <w:rFonts w:ascii="PT Sans" w:hAnsi="PT Sans" w:cs="Arial"/>
          <w:i/>
          <w:iCs/>
          <w:sz w:val="22"/>
          <w:szCs w:val="22"/>
        </w:rPr>
      </w:pPr>
      <w:r w:rsidRPr="009E7FDB">
        <w:rPr>
          <w:rFonts w:ascii="PT Sans" w:hAnsi="PT Sans" w:cs="Arial"/>
          <w:sz w:val="22"/>
          <w:szCs w:val="22"/>
        </w:rPr>
        <w:t>Schein, H. E. (2004) </w:t>
      </w:r>
      <w:r w:rsidRPr="009E7FDB">
        <w:rPr>
          <w:rFonts w:ascii="PT Sans" w:hAnsi="PT Sans" w:cs="Arial"/>
          <w:i/>
          <w:iCs/>
          <w:sz w:val="22"/>
          <w:szCs w:val="22"/>
        </w:rPr>
        <w:t>Organizational Culture and Leadership</w:t>
      </w:r>
      <w:r w:rsidRPr="009E7FDB">
        <w:rPr>
          <w:rFonts w:ascii="PT Sans" w:hAnsi="PT Sans" w:cs="Arial"/>
          <w:sz w:val="22"/>
          <w:szCs w:val="22"/>
        </w:rPr>
        <w:t>. Available at: http://www.untag-smd.ac.id/files/Perpustakaan_Digital_2/ORGANIZATIONAL%20CULTURE%20Organizational%20Culture%20and%20Leadership,%203rd%20Edition.pdf (Accessed: 30 November 2022).</w:t>
      </w:r>
    </w:p>
    <w:p w14:paraId="77A80C65" w14:textId="77777777" w:rsidR="00656454" w:rsidRPr="009E7FDB" w:rsidRDefault="00656454" w:rsidP="00656454">
      <w:pPr>
        <w:spacing w:line="276" w:lineRule="auto"/>
        <w:rPr>
          <w:rFonts w:ascii="PT Sans" w:hAnsi="PT Sans" w:cs="Arial"/>
          <w:sz w:val="22"/>
          <w:szCs w:val="22"/>
        </w:rPr>
      </w:pPr>
    </w:p>
    <w:p w14:paraId="04F0753B" w14:textId="77777777" w:rsidR="00656454" w:rsidRDefault="00656454" w:rsidP="00656454">
      <w:pPr>
        <w:spacing w:line="276" w:lineRule="auto"/>
        <w:rPr>
          <w:rFonts w:ascii="PT Sans" w:hAnsi="PT Sans" w:cs="Arial"/>
          <w:sz w:val="22"/>
          <w:szCs w:val="22"/>
        </w:rPr>
      </w:pPr>
      <w:r w:rsidRPr="009E7FDB">
        <w:rPr>
          <w:rFonts w:ascii="PT Sans" w:hAnsi="PT Sans" w:cs="Arial"/>
          <w:sz w:val="22"/>
          <w:szCs w:val="22"/>
        </w:rPr>
        <w:t>Semerádová, T. and Weinlich, P. (2022) </w:t>
      </w:r>
      <w:r w:rsidRPr="009E7FDB">
        <w:rPr>
          <w:rFonts w:ascii="PT Sans" w:hAnsi="PT Sans" w:cs="Arial"/>
          <w:i/>
          <w:iCs/>
          <w:sz w:val="22"/>
          <w:szCs w:val="22"/>
        </w:rPr>
        <w:t>Moving Businesses Online and Embracing E-Commerce: Impact and Opportunities Caused by COVID-19.</w:t>
      </w:r>
      <w:r w:rsidRPr="009E7FDB">
        <w:rPr>
          <w:rFonts w:ascii="PT Sans" w:hAnsi="PT Sans" w:cs="Arial"/>
          <w:sz w:val="22"/>
          <w:szCs w:val="22"/>
        </w:rPr>
        <w:t xml:space="preserve"> Available at: https://doi-org.ezproxy.uwtsd.ac.uk/10.4018/978-1-7998-8294-7 (Accessed: 29 November 2022). </w:t>
      </w:r>
    </w:p>
    <w:p w14:paraId="17CE19B3" w14:textId="77777777" w:rsidR="00656454" w:rsidRDefault="00656454" w:rsidP="00656454">
      <w:pPr>
        <w:spacing w:line="276" w:lineRule="auto"/>
        <w:rPr>
          <w:rFonts w:ascii="PT Sans" w:hAnsi="PT Sans" w:cs="Arial"/>
          <w:sz w:val="22"/>
          <w:szCs w:val="22"/>
        </w:rPr>
      </w:pPr>
    </w:p>
    <w:p w14:paraId="58BCA385" w14:textId="77777777" w:rsidR="00656454" w:rsidRDefault="00656454" w:rsidP="00656454">
      <w:pPr>
        <w:spacing w:line="276" w:lineRule="auto"/>
        <w:rPr>
          <w:rFonts w:ascii="PT Sans" w:hAnsi="PT Sans" w:cs="Arial"/>
          <w:sz w:val="22"/>
          <w:szCs w:val="22"/>
        </w:rPr>
      </w:pPr>
    </w:p>
    <w:p w14:paraId="57DA07B2" w14:textId="77777777" w:rsidR="00656454" w:rsidRPr="0065348C" w:rsidRDefault="00656454" w:rsidP="00656454">
      <w:pPr>
        <w:spacing w:line="276" w:lineRule="auto"/>
        <w:rPr>
          <w:rFonts w:ascii="PT Sans" w:hAnsi="PT Sans" w:cs="Arial"/>
          <w:bCs/>
          <w:i/>
          <w:sz w:val="22"/>
          <w:szCs w:val="22"/>
        </w:rPr>
      </w:pPr>
      <w:r>
        <w:rPr>
          <w:rFonts w:ascii="PT Sans" w:hAnsi="PT Sans" w:cs="Arial"/>
          <w:sz w:val="22"/>
          <w:szCs w:val="22"/>
        </w:rPr>
        <w:t xml:space="preserve">Senedd Cymru (2022) </w:t>
      </w:r>
      <w:r w:rsidRPr="0065348C">
        <w:rPr>
          <w:rFonts w:ascii="PT Sans" w:hAnsi="PT Sans" w:cs="Arial"/>
          <w:bCs/>
          <w:i/>
          <w:sz w:val="22"/>
          <w:szCs w:val="22"/>
        </w:rPr>
        <w:t>Mark Allen’s Law: The campaign for water safety measures</w:t>
      </w:r>
      <w:r>
        <w:rPr>
          <w:rFonts w:ascii="PT Sans" w:hAnsi="PT Sans" w:cs="Arial"/>
          <w:bCs/>
          <w:i/>
          <w:sz w:val="22"/>
          <w:szCs w:val="22"/>
        </w:rPr>
        <w:t>.</w:t>
      </w:r>
    </w:p>
    <w:p w14:paraId="62662475" w14:textId="77777777" w:rsidR="00656454" w:rsidRDefault="00656454" w:rsidP="00656454">
      <w:pPr>
        <w:spacing w:line="276" w:lineRule="auto"/>
        <w:rPr>
          <w:rFonts w:ascii="PT Sans" w:hAnsi="PT Sans" w:cs="Arial"/>
          <w:sz w:val="22"/>
          <w:szCs w:val="22"/>
        </w:rPr>
      </w:pPr>
      <w:r>
        <w:rPr>
          <w:rFonts w:ascii="PT Sans" w:hAnsi="PT Sans" w:cs="Arial"/>
          <w:sz w:val="22"/>
          <w:szCs w:val="22"/>
        </w:rPr>
        <w:t xml:space="preserve">Available at: </w:t>
      </w:r>
      <w:r w:rsidRPr="0065348C">
        <w:rPr>
          <w:rFonts w:ascii="PT Sans" w:hAnsi="PT Sans" w:cs="Arial"/>
          <w:sz w:val="22"/>
          <w:szCs w:val="22"/>
        </w:rPr>
        <w:t>https://research.senedd.wales/research-articles/mark-allen-s-law-the-campaign-for-water-safety-measures/</w:t>
      </w:r>
      <w:r>
        <w:rPr>
          <w:rFonts w:ascii="PT Sans" w:hAnsi="PT Sans" w:cs="Arial"/>
          <w:sz w:val="22"/>
          <w:szCs w:val="22"/>
        </w:rPr>
        <w:t xml:space="preserve"> (Accessed: 10 December 2022). </w:t>
      </w:r>
    </w:p>
    <w:p w14:paraId="039192D2" w14:textId="77777777" w:rsidR="00656454" w:rsidRDefault="00656454" w:rsidP="00656454">
      <w:pPr>
        <w:spacing w:line="276" w:lineRule="auto"/>
        <w:rPr>
          <w:rFonts w:ascii="PT Sans" w:hAnsi="PT Sans" w:cs="Arial"/>
          <w:sz w:val="22"/>
          <w:szCs w:val="22"/>
        </w:rPr>
      </w:pPr>
    </w:p>
    <w:p w14:paraId="02BA2E80" w14:textId="77777777" w:rsidR="00656454" w:rsidRDefault="00656454" w:rsidP="00656454">
      <w:pPr>
        <w:spacing w:line="276" w:lineRule="auto"/>
        <w:rPr>
          <w:rFonts w:ascii="PT Sans" w:hAnsi="PT Sans" w:cs="Arial"/>
          <w:sz w:val="22"/>
          <w:szCs w:val="22"/>
        </w:rPr>
      </w:pPr>
      <w:r>
        <w:rPr>
          <w:rFonts w:ascii="PT Sans" w:hAnsi="PT Sans" w:cs="Arial"/>
          <w:sz w:val="22"/>
          <w:szCs w:val="22"/>
        </w:rPr>
        <w:t xml:space="preserve">Smith, J. (2020). </w:t>
      </w:r>
      <w:r w:rsidRPr="00113D4A">
        <w:rPr>
          <w:rFonts w:ascii="PT Sans" w:hAnsi="PT Sans" w:cs="Arial"/>
          <w:i/>
          <w:sz w:val="22"/>
          <w:szCs w:val="22"/>
        </w:rPr>
        <w:t>Growth Mindset vs Fixed Mindset: How what you think affects what you achieve</w:t>
      </w:r>
      <w:r>
        <w:rPr>
          <w:rFonts w:ascii="PT Sans" w:hAnsi="PT Sans" w:cs="Arial"/>
          <w:i/>
          <w:sz w:val="22"/>
          <w:szCs w:val="22"/>
        </w:rPr>
        <w:t>.</w:t>
      </w:r>
      <w:r>
        <w:rPr>
          <w:rFonts w:ascii="PT Sans" w:hAnsi="PT Sans" w:cs="Arial"/>
          <w:sz w:val="22"/>
          <w:szCs w:val="22"/>
        </w:rPr>
        <w:t xml:space="preserve"> Available at: </w:t>
      </w:r>
      <w:r w:rsidRPr="00113D4A">
        <w:rPr>
          <w:rFonts w:ascii="PT Sans" w:hAnsi="PT Sans" w:cs="Arial"/>
          <w:sz w:val="22"/>
          <w:szCs w:val="22"/>
        </w:rPr>
        <w:t>https://www.mindsethealth.com/matter/growth-vs-fixed-mindset</w:t>
      </w:r>
      <w:r>
        <w:rPr>
          <w:rFonts w:ascii="PT Sans" w:hAnsi="PT Sans" w:cs="Arial"/>
          <w:sz w:val="22"/>
          <w:szCs w:val="22"/>
        </w:rPr>
        <w:t xml:space="preserve"> (Accessed 5 December 2022). </w:t>
      </w:r>
    </w:p>
    <w:p w14:paraId="3B969E6C" w14:textId="77777777" w:rsidR="00656454" w:rsidRPr="009E7FDB" w:rsidRDefault="00656454" w:rsidP="00656454">
      <w:pPr>
        <w:spacing w:line="276" w:lineRule="auto"/>
        <w:rPr>
          <w:rFonts w:ascii="PT Sans" w:hAnsi="PT Sans" w:cs="Arial"/>
          <w:sz w:val="22"/>
          <w:szCs w:val="22"/>
        </w:rPr>
      </w:pPr>
    </w:p>
    <w:p w14:paraId="1C485860" w14:textId="77777777" w:rsidR="00656454" w:rsidRPr="009E7FDB" w:rsidRDefault="00656454" w:rsidP="00656454">
      <w:pPr>
        <w:spacing w:line="276" w:lineRule="auto"/>
        <w:rPr>
          <w:rFonts w:ascii="PT Sans" w:hAnsi="PT Sans" w:cs="Arial"/>
          <w:sz w:val="22"/>
          <w:szCs w:val="22"/>
        </w:rPr>
      </w:pPr>
      <w:r w:rsidRPr="009E7FDB">
        <w:rPr>
          <w:rFonts w:ascii="PT Sans" w:hAnsi="PT Sans" w:cs="Arial"/>
          <w:color w:val="000000" w:themeColor="text1"/>
          <w:sz w:val="22"/>
          <w:szCs w:val="22"/>
        </w:rPr>
        <w:t>Taylor, S. and Woodhams, C. (2016) ‘Studying HRM’, in Taylor, S. and Woodhams, C (2</w:t>
      </w:r>
      <w:r w:rsidRPr="009E7FDB">
        <w:rPr>
          <w:rFonts w:ascii="PT Sans" w:hAnsi="PT Sans" w:cs="Arial"/>
          <w:color w:val="000000" w:themeColor="text1"/>
          <w:sz w:val="22"/>
          <w:szCs w:val="22"/>
          <w:vertAlign w:val="superscript"/>
        </w:rPr>
        <w:t>nd</w:t>
      </w:r>
      <w:r w:rsidRPr="009E7FDB">
        <w:rPr>
          <w:rFonts w:ascii="PT Sans" w:hAnsi="PT Sans" w:cs="Arial"/>
          <w:color w:val="000000" w:themeColor="text1"/>
          <w:sz w:val="22"/>
          <w:szCs w:val="22"/>
        </w:rPr>
        <w:t xml:space="preserve"> edition) </w:t>
      </w:r>
      <w:r w:rsidRPr="009E7FDB">
        <w:rPr>
          <w:rFonts w:ascii="PT Sans" w:hAnsi="PT Sans" w:cs="Arial"/>
          <w:i/>
          <w:iCs/>
          <w:color w:val="000000" w:themeColor="text1"/>
          <w:sz w:val="22"/>
          <w:szCs w:val="22"/>
        </w:rPr>
        <w:t>Studying Human Resource Management</w:t>
      </w:r>
      <w:r w:rsidRPr="009E7FDB">
        <w:rPr>
          <w:rFonts w:ascii="PT Sans" w:hAnsi="PT Sans" w:cs="Arial"/>
          <w:color w:val="000000" w:themeColor="text1"/>
          <w:sz w:val="22"/>
          <w:szCs w:val="22"/>
        </w:rPr>
        <w:t>. London: CIPD, pp. 1-19.</w:t>
      </w:r>
      <w:r w:rsidRPr="009E7FDB">
        <w:rPr>
          <w:rFonts w:ascii="PT Sans" w:hAnsi="PT Sans" w:cs="Arial"/>
          <w:color w:val="333333"/>
          <w:sz w:val="22"/>
          <w:szCs w:val="22"/>
          <w:shd w:val="clear" w:color="auto" w:fill="FBFBFB"/>
        </w:rPr>
        <w:t xml:space="preserve"> </w:t>
      </w:r>
    </w:p>
    <w:p w14:paraId="1E731BC4" w14:textId="77777777" w:rsidR="00656454" w:rsidRPr="009E7FDB" w:rsidRDefault="00656454" w:rsidP="00656454">
      <w:pPr>
        <w:spacing w:line="276" w:lineRule="auto"/>
        <w:rPr>
          <w:rFonts w:ascii="PT Sans" w:hAnsi="PT Sans" w:cs="Arial"/>
          <w:color w:val="000000" w:themeColor="text1"/>
          <w:sz w:val="22"/>
          <w:szCs w:val="22"/>
        </w:rPr>
      </w:pPr>
    </w:p>
    <w:p w14:paraId="40FCED38" w14:textId="77777777" w:rsidR="00656454" w:rsidRPr="009E7FDB" w:rsidRDefault="00656454" w:rsidP="00656454">
      <w:pPr>
        <w:spacing w:line="276" w:lineRule="auto"/>
        <w:rPr>
          <w:rFonts w:ascii="PT Sans" w:hAnsi="PT Sans" w:cs="Arial"/>
          <w:color w:val="000000" w:themeColor="text1"/>
          <w:sz w:val="22"/>
          <w:szCs w:val="22"/>
        </w:rPr>
      </w:pPr>
      <w:r w:rsidRPr="009E7FDB">
        <w:rPr>
          <w:rFonts w:ascii="PT Sans" w:hAnsi="PT Sans" w:cs="Arial"/>
          <w:color w:val="000000" w:themeColor="text1"/>
          <w:sz w:val="22"/>
          <w:szCs w:val="22"/>
        </w:rPr>
        <w:t>Urquhart, J. (2022) ‘</w:t>
      </w:r>
      <w:r w:rsidRPr="009E7FDB">
        <w:rPr>
          <w:rFonts w:ascii="PT Sans" w:hAnsi="PT Sans" w:cs="Arial"/>
          <w:bCs/>
          <w:color w:val="000000" w:themeColor="text1"/>
          <w:sz w:val="22"/>
          <w:szCs w:val="22"/>
        </w:rPr>
        <w:t>A third of people to change retirement plans due to cost of living, study finds</w:t>
      </w:r>
      <w:r w:rsidRPr="009E7FDB">
        <w:rPr>
          <w:rFonts w:ascii="PT Sans" w:hAnsi="PT Sans" w:cs="Arial"/>
          <w:color w:val="000000" w:themeColor="text1"/>
          <w:sz w:val="22"/>
          <w:szCs w:val="22"/>
        </w:rPr>
        <w:t>’, </w:t>
      </w:r>
      <w:r w:rsidRPr="009E7FDB">
        <w:rPr>
          <w:rFonts w:ascii="PT Sans" w:hAnsi="PT Sans" w:cs="Arial"/>
          <w:i/>
          <w:iCs/>
          <w:color w:val="000000" w:themeColor="text1"/>
          <w:sz w:val="22"/>
          <w:szCs w:val="22"/>
        </w:rPr>
        <w:t>People Management</w:t>
      </w:r>
      <w:r w:rsidRPr="009E7FDB">
        <w:rPr>
          <w:rFonts w:ascii="PT Sans" w:hAnsi="PT Sans" w:cs="Arial"/>
          <w:color w:val="000000" w:themeColor="text1"/>
          <w:sz w:val="22"/>
          <w:szCs w:val="22"/>
        </w:rPr>
        <w:t>, (25 November). Available at: https://www.peoplemanagement.co.uk/article/1806359/third-people-change-retirement-plans-due-cost-living-study-finds (Accessed: 30 November 2022).</w:t>
      </w:r>
    </w:p>
    <w:p w14:paraId="42254DF7" w14:textId="77777777" w:rsidR="00656454" w:rsidRPr="009E7FDB" w:rsidRDefault="00656454" w:rsidP="00656454">
      <w:pPr>
        <w:spacing w:line="276" w:lineRule="auto"/>
        <w:rPr>
          <w:rFonts w:ascii="PT Sans" w:hAnsi="PT Sans" w:cs="Arial"/>
          <w:sz w:val="22"/>
          <w:szCs w:val="22"/>
        </w:rPr>
      </w:pPr>
    </w:p>
    <w:p w14:paraId="2C2CE7A8" w14:textId="77777777" w:rsidR="00656454" w:rsidRPr="009E7FDB" w:rsidRDefault="00656454" w:rsidP="00656454">
      <w:pPr>
        <w:spacing w:line="276" w:lineRule="auto"/>
        <w:rPr>
          <w:rFonts w:ascii="PT Sans" w:hAnsi="PT Sans" w:cs="Arial"/>
          <w:sz w:val="22"/>
          <w:szCs w:val="22"/>
        </w:rPr>
      </w:pPr>
      <w:r w:rsidRPr="009E7FDB">
        <w:rPr>
          <w:rFonts w:ascii="PT Sans" w:hAnsi="PT Sans" w:cs="Arial"/>
          <w:sz w:val="22"/>
          <w:szCs w:val="22"/>
        </w:rPr>
        <w:t xml:space="preserve">Waite, K. </w:t>
      </w:r>
      <w:r w:rsidRPr="009E7FDB">
        <w:rPr>
          <w:rFonts w:ascii="PT Sans" w:hAnsi="PT Sans" w:cs="Arial"/>
          <w:i/>
          <w:sz w:val="22"/>
          <w:szCs w:val="22"/>
        </w:rPr>
        <w:t>et al</w:t>
      </w:r>
      <w:r w:rsidRPr="009E7FDB">
        <w:rPr>
          <w:rFonts w:ascii="PT Sans" w:hAnsi="PT Sans" w:cs="Arial"/>
          <w:sz w:val="22"/>
          <w:szCs w:val="22"/>
        </w:rPr>
        <w:t xml:space="preserve"> (2021) </w:t>
      </w:r>
      <w:r w:rsidRPr="009E7FDB">
        <w:rPr>
          <w:rFonts w:ascii="PT Sans" w:hAnsi="PT Sans" w:cs="Arial"/>
          <w:i/>
          <w:sz w:val="22"/>
          <w:szCs w:val="22"/>
        </w:rPr>
        <w:t>People practice: a complete guide</w:t>
      </w:r>
      <w:r w:rsidRPr="009E7FDB">
        <w:rPr>
          <w:rFonts w:ascii="PT Sans" w:hAnsi="PT Sans" w:cs="Arial"/>
          <w:sz w:val="22"/>
          <w:szCs w:val="22"/>
        </w:rPr>
        <w:t>. London: Kogan Page.</w:t>
      </w:r>
    </w:p>
    <w:p w14:paraId="51BFD339" w14:textId="77777777" w:rsidR="00656454" w:rsidRPr="009E7FDB" w:rsidRDefault="00656454" w:rsidP="00656454">
      <w:pPr>
        <w:spacing w:line="276" w:lineRule="auto"/>
        <w:rPr>
          <w:rFonts w:ascii="PT Sans" w:hAnsi="PT Sans" w:cs="Arial"/>
          <w:sz w:val="22"/>
          <w:szCs w:val="22"/>
        </w:rPr>
      </w:pPr>
    </w:p>
    <w:p w14:paraId="47171E94" w14:textId="77777777" w:rsidR="00656454" w:rsidRPr="009E7FDB" w:rsidRDefault="00656454" w:rsidP="00656454">
      <w:pPr>
        <w:spacing w:line="276" w:lineRule="auto"/>
        <w:rPr>
          <w:rFonts w:ascii="PT Sans" w:hAnsi="PT Sans" w:cs="Arial"/>
          <w:color w:val="000000" w:themeColor="text1"/>
          <w:sz w:val="22"/>
          <w:szCs w:val="22"/>
          <w:shd w:val="clear" w:color="auto" w:fill="FFFFFF"/>
        </w:rPr>
      </w:pPr>
      <w:r w:rsidRPr="00A16D4C">
        <w:rPr>
          <w:rFonts w:ascii="PT Sans" w:hAnsi="PT Sans" w:cs="Arial"/>
          <w:color w:val="000000" w:themeColor="text1"/>
          <w:sz w:val="22"/>
          <w:szCs w:val="22"/>
          <w:shd w:val="clear" w:color="auto" w:fill="FFFFFF"/>
        </w:rPr>
        <w:t>Warburton,</w:t>
      </w:r>
      <w:r w:rsidRPr="009E7FDB">
        <w:rPr>
          <w:rFonts w:ascii="PT Sans" w:hAnsi="PT Sans" w:cs="Arial"/>
          <w:color w:val="000000" w:themeColor="text1"/>
          <w:sz w:val="22"/>
          <w:szCs w:val="22"/>
          <w:shd w:val="clear" w:color="auto" w:fill="FFFFFF"/>
        </w:rPr>
        <w:t xml:space="preserve"> J.,</w:t>
      </w:r>
      <w:r w:rsidRPr="00A16D4C">
        <w:rPr>
          <w:rFonts w:ascii="PT Sans" w:hAnsi="PT Sans" w:cs="Arial"/>
          <w:color w:val="000000" w:themeColor="text1"/>
          <w:sz w:val="22"/>
          <w:szCs w:val="22"/>
          <w:shd w:val="clear" w:color="auto" w:fill="FFFFFF"/>
        </w:rPr>
        <w:t xml:space="preserve"> Moore, M. </w:t>
      </w:r>
      <w:r w:rsidRPr="009E7FDB">
        <w:rPr>
          <w:rFonts w:ascii="PT Sans" w:hAnsi="PT Sans" w:cs="Arial"/>
          <w:color w:val="000000" w:themeColor="text1"/>
          <w:sz w:val="22"/>
          <w:szCs w:val="22"/>
          <w:shd w:val="clear" w:color="auto" w:fill="FFFFFF"/>
        </w:rPr>
        <w:t>and</w:t>
      </w:r>
      <w:r w:rsidRPr="00A16D4C">
        <w:rPr>
          <w:rFonts w:ascii="PT Sans" w:hAnsi="PT Sans" w:cs="Arial"/>
          <w:color w:val="000000" w:themeColor="text1"/>
          <w:sz w:val="22"/>
          <w:szCs w:val="22"/>
          <w:shd w:val="clear" w:color="auto" w:fill="FFFFFF"/>
        </w:rPr>
        <w:t xml:space="preserve"> Oppenheimer, M. (2018) </w:t>
      </w:r>
      <w:r w:rsidRPr="009E7FDB">
        <w:rPr>
          <w:rFonts w:ascii="PT Sans" w:hAnsi="PT Sans" w:cs="Arial"/>
          <w:color w:val="000000" w:themeColor="text1"/>
          <w:sz w:val="22"/>
          <w:szCs w:val="22"/>
          <w:shd w:val="clear" w:color="auto" w:fill="FFFFFF"/>
        </w:rPr>
        <w:t>‘</w:t>
      </w:r>
      <w:r w:rsidRPr="00A16D4C">
        <w:rPr>
          <w:rFonts w:ascii="PT Sans" w:hAnsi="PT Sans" w:cs="Arial"/>
          <w:color w:val="000000" w:themeColor="text1"/>
          <w:sz w:val="22"/>
          <w:szCs w:val="22"/>
          <w:shd w:val="clear" w:color="auto" w:fill="FFFFFF"/>
        </w:rPr>
        <w:t>Challenges to the Recruitment and Retention of Volunteers in Traditional Non</w:t>
      </w:r>
      <w:r>
        <w:rPr>
          <w:rFonts w:ascii="PT Sans" w:hAnsi="PT Sans" w:cs="Arial"/>
          <w:color w:val="000000" w:themeColor="text1"/>
          <w:sz w:val="22"/>
          <w:szCs w:val="22"/>
          <w:shd w:val="clear" w:color="auto" w:fill="FFFFFF"/>
        </w:rPr>
        <w:t>-</w:t>
      </w:r>
      <w:r w:rsidRPr="00A16D4C">
        <w:rPr>
          <w:rFonts w:ascii="PT Sans" w:hAnsi="PT Sans" w:cs="Arial"/>
          <w:color w:val="000000" w:themeColor="text1"/>
          <w:sz w:val="22"/>
          <w:szCs w:val="22"/>
          <w:shd w:val="clear" w:color="auto" w:fill="FFFFFF"/>
        </w:rPr>
        <w:t>profit Organizations: A Case Study of Australian Meals on Wheels</w:t>
      </w:r>
      <w:r w:rsidRPr="009E7FDB">
        <w:rPr>
          <w:rFonts w:ascii="PT Sans" w:hAnsi="PT Sans" w:cs="Arial"/>
          <w:color w:val="000000" w:themeColor="text1"/>
          <w:sz w:val="22"/>
          <w:szCs w:val="22"/>
          <w:shd w:val="clear" w:color="auto" w:fill="FFFFFF"/>
        </w:rPr>
        <w:t>’</w:t>
      </w:r>
      <w:r w:rsidRPr="00A16D4C">
        <w:rPr>
          <w:rFonts w:ascii="PT Sans" w:hAnsi="PT Sans" w:cs="Arial"/>
          <w:color w:val="000000" w:themeColor="text1"/>
          <w:sz w:val="22"/>
          <w:szCs w:val="22"/>
          <w:shd w:val="clear" w:color="auto" w:fill="FFFFFF"/>
        </w:rPr>
        <w:t>. </w:t>
      </w:r>
      <w:r w:rsidRPr="00A16D4C">
        <w:rPr>
          <w:rFonts w:ascii="PT Sans" w:hAnsi="PT Sans" w:cs="Arial"/>
          <w:i/>
          <w:iCs/>
          <w:color w:val="000000" w:themeColor="text1"/>
          <w:sz w:val="22"/>
          <w:szCs w:val="22"/>
          <w:shd w:val="clear" w:color="auto" w:fill="FFFFFF"/>
        </w:rPr>
        <w:t>International Journal of Public Administration</w:t>
      </w:r>
      <w:r w:rsidRPr="00A16D4C">
        <w:rPr>
          <w:rFonts w:ascii="PT Sans" w:hAnsi="PT Sans" w:cs="Arial"/>
          <w:color w:val="000000" w:themeColor="text1"/>
          <w:sz w:val="22"/>
          <w:szCs w:val="22"/>
          <w:shd w:val="clear" w:color="auto" w:fill="FFFFFF"/>
        </w:rPr>
        <w:t>, </w:t>
      </w:r>
      <w:r w:rsidRPr="00A16D4C">
        <w:rPr>
          <w:rFonts w:ascii="PT Sans" w:hAnsi="PT Sans" w:cs="Arial"/>
          <w:i/>
          <w:iCs/>
          <w:color w:val="000000" w:themeColor="text1"/>
          <w:sz w:val="22"/>
          <w:szCs w:val="22"/>
          <w:shd w:val="clear" w:color="auto" w:fill="FFFFFF"/>
        </w:rPr>
        <w:t>41</w:t>
      </w:r>
      <w:r w:rsidRPr="00A16D4C">
        <w:rPr>
          <w:rFonts w:ascii="PT Sans" w:hAnsi="PT Sans" w:cs="Arial"/>
          <w:color w:val="000000" w:themeColor="text1"/>
          <w:sz w:val="22"/>
          <w:szCs w:val="22"/>
          <w:shd w:val="clear" w:color="auto" w:fill="FFFFFF"/>
        </w:rPr>
        <w:t xml:space="preserve">(16), </w:t>
      </w:r>
      <w:r w:rsidRPr="009E7FDB">
        <w:rPr>
          <w:rFonts w:ascii="PT Sans" w:hAnsi="PT Sans" w:cs="Arial"/>
          <w:color w:val="000000" w:themeColor="text1"/>
          <w:sz w:val="22"/>
          <w:szCs w:val="22"/>
          <w:shd w:val="clear" w:color="auto" w:fill="FFFFFF"/>
        </w:rPr>
        <w:t xml:space="preserve">pp. </w:t>
      </w:r>
      <w:r w:rsidRPr="00A16D4C">
        <w:rPr>
          <w:rFonts w:ascii="PT Sans" w:hAnsi="PT Sans" w:cs="Arial"/>
          <w:color w:val="000000" w:themeColor="text1"/>
          <w:sz w:val="22"/>
          <w:szCs w:val="22"/>
          <w:shd w:val="clear" w:color="auto" w:fill="FFFFFF"/>
        </w:rPr>
        <w:t xml:space="preserve">1361–1373. </w:t>
      </w:r>
      <w:r w:rsidRPr="009E7FDB">
        <w:rPr>
          <w:rFonts w:ascii="PT Sans" w:hAnsi="PT Sans" w:cs="Arial"/>
          <w:color w:val="000000" w:themeColor="text1"/>
          <w:sz w:val="22"/>
          <w:szCs w:val="22"/>
          <w:shd w:val="clear" w:color="auto" w:fill="FFFFFF"/>
        </w:rPr>
        <w:t>Available at: https://doi.org/10.1080/01900692.2017.1390581</w:t>
      </w:r>
    </w:p>
    <w:p w14:paraId="03B73E2F" w14:textId="79D0A064" w:rsidR="00984F58" w:rsidRDefault="00984F58" w:rsidP="009E7FDB">
      <w:pPr>
        <w:rPr>
          <w:rFonts w:ascii="PT Sans" w:hAnsi="PT Sans" w:cstheme="minorBidi"/>
        </w:rPr>
      </w:pPr>
    </w:p>
    <w:p w14:paraId="53A61D21" w14:textId="26B85E1F" w:rsidR="00180CE5" w:rsidRDefault="00180CE5" w:rsidP="009E7FDB">
      <w:pPr>
        <w:rPr>
          <w:rFonts w:ascii="PT Sans" w:hAnsi="PT Sans" w:cstheme="minorBidi"/>
        </w:rPr>
      </w:pPr>
    </w:p>
    <w:p w14:paraId="09FF8AA8" w14:textId="2B76F5C5" w:rsidR="00180CE5" w:rsidRDefault="00180CE5" w:rsidP="009E7FDB">
      <w:pPr>
        <w:rPr>
          <w:rFonts w:ascii="PT Sans" w:hAnsi="PT Sans" w:cstheme="minorBidi"/>
        </w:rPr>
      </w:pPr>
    </w:p>
    <w:p w14:paraId="4F40939E" w14:textId="77777777" w:rsidR="00180CE5" w:rsidRPr="00244D37" w:rsidRDefault="00180CE5" w:rsidP="009E7FDB">
      <w:pPr>
        <w:rPr>
          <w:rFonts w:ascii="PT Sans" w:hAnsi="PT Sans" w:cstheme="minorBidi"/>
        </w:rPr>
      </w:pPr>
    </w:p>
    <w:sectPr w:rsidR="00180CE5" w:rsidRPr="00244D37" w:rsidSect="00721A90">
      <w:type w:val="continuous"/>
      <w:pgSz w:w="11906" w:h="16838" w:code="9"/>
      <w:pgMar w:top="720" w:right="720" w:bottom="720" w:left="720" w:header="680" w:footer="51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A5038E" w14:textId="77777777" w:rsidR="009838FA" w:rsidRDefault="009838FA" w:rsidP="00130923">
      <w:r>
        <w:separator/>
      </w:r>
    </w:p>
  </w:endnote>
  <w:endnote w:type="continuationSeparator" w:id="0">
    <w:p w14:paraId="6966F65C" w14:textId="77777777" w:rsidR="009838FA" w:rsidRDefault="009838FA" w:rsidP="001309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PT Sans">
    <w:panose1 w:val="020B0503020203020204"/>
    <w:charset w:val="4D"/>
    <w:family w:val="swiss"/>
    <w:pitch w:val="variable"/>
    <w:sig w:usb0="A00002EF" w:usb1="5000204B" w:usb2="00000000" w:usb3="00000000" w:csb0="00000097"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00000003" w:usb1="00000000" w:usb2="00000000" w:usb3="00000000" w:csb0="00000001" w:csb1="00000000"/>
  </w:font>
  <w:font w:name="Century">
    <w:panose1 w:val="02040604050505020304"/>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8BAF2" w14:textId="2B96EF19" w:rsidR="003242B9" w:rsidRDefault="006808E7" w:rsidP="00714047">
    <w:pPr>
      <w:pStyle w:val="Footer"/>
      <w:tabs>
        <w:tab w:val="clear" w:pos="9026"/>
        <w:tab w:val="right" w:pos="8647"/>
      </w:tabs>
      <w:jc w:val="right"/>
    </w:pPr>
    <w:sdt>
      <w:sdtPr>
        <w:id w:val="266119163"/>
        <w:docPartObj>
          <w:docPartGallery w:val="Page Numbers (Bottom of Page)"/>
          <w:docPartUnique/>
        </w:docPartObj>
      </w:sdtPr>
      <w:sdtEndPr>
        <w:rPr>
          <w:noProof/>
        </w:rPr>
      </w:sdtEndPr>
      <w:sdtContent>
        <w:r w:rsidR="003242B9">
          <w:fldChar w:fldCharType="begin"/>
        </w:r>
        <w:r w:rsidR="003242B9">
          <w:instrText xml:space="preserve"> PAGE   \* MERGEFORMAT </w:instrText>
        </w:r>
        <w:r w:rsidR="003242B9">
          <w:fldChar w:fldCharType="separate"/>
        </w:r>
        <w:r w:rsidR="00E91A25">
          <w:rPr>
            <w:noProof/>
          </w:rPr>
          <w:t>2</w:t>
        </w:r>
        <w:r w:rsidR="003242B9">
          <w:rPr>
            <w:noProof/>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8BAF3" w14:textId="4C73B1E1" w:rsidR="00832FB2" w:rsidRPr="00714047" w:rsidRDefault="00832FB2" w:rsidP="00154C1E">
    <w:pPr>
      <w:pStyle w:val="Footer"/>
      <w:jc w:val="right"/>
      <w:rPr>
        <w:rStyle w:val="Emphasis"/>
        <w:b w:val="0"/>
        <w:bCs w:val="0"/>
        <w:i w:val="0"/>
        <w:iCs w:val="0"/>
        <w:spacing w:val="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C2578A" w14:textId="77777777" w:rsidR="009838FA" w:rsidRDefault="009838FA" w:rsidP="00130923">
      <w:r>
        <w:separator/>
      </w:r>
    </w:p>
  </w:footnote>
  <w:footnote w:type="continuationSeparator" w:id="0">
    <w:p w14:paraId="14D6329E" w14:textId="77777777" w:rsidR="009838FA" w:rsidRDefault="009838FA" w:rsidP="001309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8BAF1" w14:textId="735C584D" w:rsidR="00560CA0" w:rsidRDefault="00560CA0" w:rsidP="00A66052">
    <w:pPr>
      <w:pStyle w:val="Header"/>
      <w:spacing w:after="480"/>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165788"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770CE"/>
    <w:multiLevelType w:val="hybridMultilevel"/>
    <w:tmpl w:val="5D6ED0CC"/>
    <w:lvl w:ilvl="0" w:tplc="A2C27448">
      <w:numFmt w:val="bullet"/>
      <w:lvlText w:val="-"/>
      <w:lvlJc w:val="left"/>
      <w:pPr>
        <w:ind w:left="720" w:hanging="360"/>
      </w:pPr>
      <w:rPr>
        <w:rFonts w:ascii="PT Sans" w:eastAsiaTheme="minorEastAsia" w:hAnsi="PT San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641DF2"/>
    <w:multiLevelType w:val="hybridMultilevel"/>
    <w:tmpl w:val="F7842D62"/>
    <w:lvl w:ilvl="0" w:tplc="7F847DE4">
      <w:start w:val="1"/>
      <w:numFmt w:val="decimal"/>
      <w:pStyle w:val="numberedpara"/>
      <w:lvlText w:val="%1."/>
      <w:lvlJc w:val="right"/>
      <w:pPr>
        <w:tabs>
          <w:tab w:val="num" w:pos="567"/>
        </w:tabs>
        <w:ind w:left="0" w:hanging="567"/>
      </w:pPr>
      <w:rPr>
        <w:rFonts w:ascii="Calibri" w:hAnsi="Calibri" w:cs="Times New Roman" w:hint="default"/>
        <w:b w:val="0"/>
        <w:i w:val="0"/>
        <w:color w:val="auto"/>
        <w:sz w:val="22"/>
      </w:rPr>
    </w:lvl>
    <w:lvl w:ilvl="1" w:tplc="0C090019">
      <w:start w:val="1"/>
      <w:numFmt w:val="lowerLetter"/>
      <w:lvlText w:val="%2."/>
      <w:lvlJc w:val="left"/>
      <w:pPr>
        <w:tabs>
          <w:tab w:val="num" w:pos="1440"/>
        </w:tabs>
        <w:ind w:left="1440" w:hanging="360"/>
      </w:pPr>
    </w:lvl>
    <w:lvl w:ilvl="2" w:tplc="0C09001B">
      <w:start w:val="1"/>
      <w:numFmt w:val="decimal"/>
      <w:lvlText w:val="%3."/>
      <w:lvlJc w:val="left"/>
      <w:pPr>
        <w:tabs>
          <w:tab w:val="num" w:pos="2160"/>
        </w:tabs>
        <w:ind w:left="2160" w:hanging="360"/>
      </w:pPr>
    </w:lvl>
    <w:lvl w:ilvl="3" w:tplc="0C09000F">
      <w:start w:val="1"/>
      <w:numFmt w:val="decimal"/>
      <w:lvlText w:val="%4."/>
      <w:lvlJc w:val="left"/>
      <w:pPr>
        <w:tabs>
          <w:tab w:val="num" w:pos="2880"/>
        </w:tabs>
        <w:ind w:left="2880" w:hanging="360"/>
      </w:pPr>
    </w:lvl>
    <w:lvl w:ilvl="4" w:tplc="0C090019">
      <w:start w:val="1"/>
      <w:numFmt w:val="decimal"/>
      <w:lvlText w:val="%5."/>
      <w:lvlJc w:val="left"/>
      <w:pPr>
        <w:tabs>
          <w:tab w:val="num" w:pos="3600"/>
        </w:tabs>
        <w:ind w:left="3600" w:hanging="360"/>
      </w:pPr>
    </w:lvl>
    <w:lvl w:ilvl="5" w:tplc="0C09001B">
      <w:start w:val="1"/>
      <w:numFmt w:val="decimal"/>
      <w:lvlText w:val="%6."/>
      <w:lvlJc w:val="left"/>
      <w:pPr>
        <w:tabs>
          <w:tab w:val="num" w:pos="4320"/>
        </w:tabs>
        <w:ind w:left="4320" w:hanging="360"/>
      </w:pPr>
    </w:lvl>
    <w:lvl w:ilvl="6" w:tplc="0C09000F">
      <w:start w:val="1"/>
      <w:numFmt w:val="decimal"/>
      <w:lvlText w:val="%7."/>
      <w:lvlJc w:val="left"/>
      <w:pPr>
        <w:tabs>
          <w:tab w:val="num" w:pos="5040"/>
        </w:tabs>
        <w:ind w:left="5040" w:hanging="360"/>
      </w:pPr>
    </w:lvl>
    <w:lvl w:ilvl="7" w:tplc="0C090019">
      <w:start w:val="1"/>
      <w:numFmt w:val="decimal"/>
      <w:lvlText w:val="%8."/>
      <w:lvlJc w:val="left"/>
      <w:pPr>
        <w:tabs>
          <w:tab w:val="num" w:pos="5760"/>
        </w:tabs>
        <w:ind w:left="5760" w:hanging="360"/>
      </w:pPr>
    </w:lvl>
    <w:lvl w:ilvl="8" w:tplc="0C09001B">
      <w:start w:val="1"/>
      <w:numFmt w:val="decimal"/>
      <w:lvlText w:val="%9."/>
      <w:lvlJc w:val="left"/>
      <w:pPr>
        <w:tabs>
          <w:tab w:val="num" w:pos="6480"/>
        </w:tabs>
        <w:ind w:left="6480" w:hanging="360"/>
      </w:pPr>
    </w:lvl>
  </w:abstractNum>
  <w:abstractNum w:abstractNumId="3" w15:restartNumberingAfterBreak="0">
    <w:nsid w:val="1B11002A"/>
    <w:multiLevelType w:val="hybridMultilevel"/>
    <w:tmpl w:val="BBD434DE"/>
    <w:lvl w:ilvl="0" w:tplc="547A6442">
      <w:start w:val="1"/>
      <w:numFmt w:val="decimal"/>
      <w:lvlText w:val="%1)"/>
      <w:lvlJc w:val="left"/>
      <w:pPr>
        <w:ind w:left="720" w:hanging="360"/>
      </w:pPr>
      <w:rPr>
        <w:rFonts w:ascii="Arial" w:hAnsi="Arial" w:cs="Arial" w:hint="default"/>
        <w:color w:val="33333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FBA5C77"/>
    <w:multiLevelType w:val="multilevel"/>
    <w:tmpl w:val="FF4E1B02"/>
    <w:lvl w:ilvl="0">
      <w:start w:val="1"/>
      <w:numFmt w:val="decimal"/>
      <w:pStyle w:val="ListNumber"/>
      <w:lvlText w:val="%1"/>
      <w:lvlJc w:val="left"/>
      <w:pPr>
        <w:ind w:left="360" w:hanging="360"/>
      </w:pPr>
      <w:rPr>
        <w:rFonts w:hint="default"/>
      </w:rPr>
    </w:lvl>
    <w:lvl w:ilvl="1">
      <w:start w:val="1"/>
      <w:numFmt w:val="decimal"/>
      <w:pStyle w:val="ListNumber2"/>
      <w:lvlText w:val="%1.%2"/>
      <w:lvlJc w:val="left"/>
      <w:pPr>
        <w:ind w:left="851" w:hanging="491"/>
      </w:pPr>
      <w:rPr>
        <w:rFonts w:hint="default"/>
      </w:rPr>
    </w:lvl>
    <w:lvl w:ilvl="2">
      <w:start w:val="1"/>
      <w:numFmt w:val="decimal"/>
      <w:pStyle w:val="ListNumber3"/>
      <w:lvlText w:val="%1.%2.%3"/>
      <w:lvlJc w:val="left"/>
      <w:pPr>
        <w:ind w:left="1474" w:hanging="623"/>
      </w:pPr>
      <w:rPr>
        <w:rFonts w:hint="default"/>
      </w:rPr>
    </w:lvl>
    <w:lvl w:ilvl="3">
      <w:start w:val="1"/>
      <w:numFmt w:val="decimal"/>
      <w:pStyle w:val="ListNumber4"/>
      <w:lvlText w:val="%1.%2.%3.%4"/>
      <w:lvlJc w:val="left"/>
      <w:pPr>
        <w:ind w:left="2268" w:hanging="737"/>
      </w:pPr>
      <w:rPr>
        <w:rFonts w:hint="default"/>
      </w:rPr>
    </w:lvl>
    <w:lvl w:ilvl="4">
      <w:start w:val="1"/>
      <w:numFmt w:val="none"/>
      <w:lvlText w:val=""/>
      <w:lvlJc w:val="left"/>
      <w:pPr>
        <w:ind w:left="1800" w:hanging="360"/>
      </w:pPr>
      <w:rPr>
        <w:rFonts w:hint="default"/>
      </w:rPr>
    </w:lvl>
    <w:lvl w:ilvl="5">
      <w:start w:val="1"/>
      <w:numFmt w:val="none"/>
      <w:lvlText w:val=""/>
      <w:lvlJc w:val="left"/>
      <w:pPr>
        <w:ind w:left="2160" w:hanging="360"/>
      </w:pPr>
      <w:rPr>
        <w:rFonts w:hint="default"/>
      </w:rPr>
    </w:lvl>
    <w:lvl w:ilvl="6">
      <w:start w:val="1"/>
      <w:numFmt w:val="none"/>
      <w:lvlText w:val=""/>
      <w:lvlJc w:val="left"/>
      <w:pPr>
        <w:ind w:left="2520" w:hanging="360"/>
      </w:pPr>
      <w:rPr>
        <w:rFonts w:hint="default"/>
      </w:rPr>
    </w:lvl>
    <w:lvl w:ilvl="7">
      <w:start w:val="1"/>
      <w:numFmt w:val="none"/>
      <w:lvlText w:val=""/>
      <w:lvlJc w:val="left"/>
      <w:pPr>
        <w:ind w:left="2880" w:hanging="360"/>
      </w:pPr>
      <w:rPr>
        <w:rFonts w:hint="default"/>
      </w:rPr>
    </w:lvl>
    <w:lvl w:ilvl="8">
      <w:start w:val="1"/>
      <w:numFmt w:val="none"/>
      <w:lvlText w:val=""/>
      <w:lvlJc w:val="left"/>
      <w:pPr>
        <w:ind w:left="3240" w:hanging="360"/>
      </w:pPr>
      <w:rPr>
        <w:rFonts w:hint="default"/>
      </w:rPr>
    </w:lvl>
  </w:abstractNum>
  <w:abstractNum w:abstractNumId="5" w15:restartNumberingAfterBreak="0">
    <w:nsid w:val="51B73210"/>
    <w:multiLevelType w:val="multilevel"/>
    <w:tmpl w:val="9C90C164"/>
    <w:lvl w:ilvl="0">
      <w:start w:val="1"/>
      <w:numFmt w:val="bullet"/>
      <w:pStyle w:val="ListBullet"/>
      <w:lvlText w:val=""/>
      <w:lvlJc w:val="left"/>
      <w:pPr>
        <w:ind w:left="360" w:hanging="360"/>
      </w:pPr>
      <w:rPr>
        <w:rFonts w:ascii="Symbol" w:hAnsi="Symbol" w:hint="default"/>
      </w:rPr>
    </w:lvl>
    <w:lvl w:ilvl="1">
      <w:start w:val="1"/>
      <w:numFmt w:val="bullet"/>
      <w:pStyle w:val="ListBullet2"/>
      <w:lvlText w:val=""/>
      <w:lvlJc w:val="left"/>
      <w:pPr>
        <w:ind w:left="737" w:hanging="340"/>
      </w:pPr>
      <w:rPr>
        <w:rFonts w:ascii="Symbol" w:hAnsi="Symbol" w:hint="default"/>
      </w:rPr>
    </w:lvl>
    <w:lvl w:ilvl="2">
      <w:start w:val="1"/>
      <w:numFmt w:val="bullet"/>
      <w:pStyle w:val="ListBullet3"/>
      <w:lvlText w:val=""/>
      <w:lvlJc w:val="left"/>
      <w:pPr>
        <w:ind w:left="1134" w:hanging="340"/>
      </w:pPr>
      <w:rPr>
        <w:rFonts w:ascii="Wingdings" w:hAnsi="Wingdings" w:hint="default"/>
      </w:rPr>
    </w:lvl>
    <w:lvl w:ilvl="3">
      <w:start w:val="1"/>
      <w:numFmt w:val="bullet"/>
      <w:pStyle w:val="ListBullet4"/>
      <w:lvlText w:val="o"/>
      <w:lvlJc w:val="left"/>
      <w:pPr>
        <w:ind w:left="1531" w:hanging="397"/>
      </w:pPr>
      <w:rPr>
        <w:rFonts w:ascii="Courier New" w:hAnsi="Courier New"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6" w15:restartNumberingAfterBreak="0">
    <w:nsid w:val="564F57A5"/>
    <w:multiLevelType w:val="multilevel"/>
    <w:tmpl w:val="43683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 w:numId="5">
    <w:abstractNumId w:val="1"/>
  </w:num>
  <w:num w:numId="6">
    <w:abstractNumId w:val="6"/>
  </w:num>
  <w:num w:numId="7">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AMO_XmlVersion" w:val="Empty"/>
  </w:docVars>
  <w:rsids>
    <w:rsidRoot w:val="00C10C19"/>
    <w:rsid w:val="00002721"/>
    <w:rsid w:val="00007E0C"/>
    <w:rsid w:val="00015086"/>
    <w:rsid w:val="00021887"/>
    <w:rsid w:val="00024179"/>
    <w:rsid w:val="00024E24"/>
    <w:rsid w:val="000258BC"/>
    <w:rsid w:val="00034C4F"/>
    <w:rsid w:val="00034D79"/>
    <w:rsid w:val="00034EAA"/>
    <w:rsid w:val="0004008E"/>
    <w:rsid w:val="000436B3"/>
    <w:rsid w:val="00044FDA"/>
    <w:rsid w:val="000452BE"/>
    <w:rsid w:val="00053858"/>
    <w:rsid w:val="00055C43"/>
    <w:rsid w:val="0007099E"/>
    <w:rsid w:val="00072472"/>
    <w:rsid w:val="000757C0"/>
    <w:rsid w:val="000770B7"/>
    <w:rsid w:val="000861A6"/>
    <w:rsid w:val="000962ED"/>
    <w:rsid w:val="000A30C6"/>
    <w:rsid w:val="000A6238"/>
    <w:rsid w:val="000B1293"/>
    <w:rsid w:val="000B1E3F"/>
    <w:rsid w:val="000B49AC"/>
    <w:rsid w:val="000B560B"/>
    <w:rsid w:val="000D2A9F"/>
    <w:rsid w:val="000D7FD3"/>
    <w:rsid w:val="000E7E7B"/>
    <w:rsid w:val="000F3BA2"/>
    <w:rsid w:val="00111202"/>
    <w:rsid w:val="00112FE1"/>
    <w:rsid w:val="00113624"/>
    <w:rsid w:val="0011633B"/>
    <w:rsid w:val="001175BF"/>
    <w:rsid w:val="001225A3"/>
    <w:rsid w:val="00130204"/>
    <w:rsid w:val="00130923"/>
    <w:rsid w:val="001371B4"/>
    <w:rsid w:val="00137270"/>
    <w:rsid w:val="001414F3"/>
    <w:rsid w:val="00143FCD"/>
    <w:rsid w:val="00146B91"/>
    <w:rsid w:val="00151396"/>
    <w:rsid w:val="00151F3A"/>
    <w:rsid w:val="00153612"/>
    <w:rsid w:val="00154C1E"/>
    <w:rsid w:val="001607CD"/>
    <w:rsid w:val="00161B4D"/>
    <w:rsid w:val="00163D78"/>
    <w:rsid w:val="0016495B"/>
    <w:rsid w:val="00170DB0"/>
    <w:rsid w:val="0017743D"/>
    <w:rsid w:val="00180CE5"/>
    <w:rsid w:val="001870D7"/>
    <w:rsid w:val="00187C5F"/>
    <w:rsid w:val="0019451E"/>
    <w:rsid w:val="0019551D"/>
    <w:rsid w:val="00197CC9"/>
    <w:rsid w:val="001A07D7"/>
    <w:rsid w:val="001A2209"/>
    <w:rsid w:val="001B439F"/>
    <w:rsid w:val="001B5DAF"/>
    <w:rsid w:val="001B6467"/>
    <w:rsid w:val="001C48A7"/>
    <w:rsid w:val="001C5476"/>
    <w:rsid w:val="001F4764"/>
    <w:rsid w:val="001F585F"/>
    <w:rsid w:val="00207772"/>
    <w:rsid w:val="0021299E"/>
    <w:rsid w:val="00212E36"/>
    <w:rsid w:val="00215D7B"/>
    <w:rsid w:val="00216640"/>
    <w:rsid w:val="00223146"/>
    <w:rsid w:val="00223C6E"/>
    <w:rsid w:val="00223EB1"/>
    <w:rsid w:val="00230AB0"/>
    <w:rsid w:val="00233D53"/>
    <w:rsid w:val="00236917"/>
    <w:rsid w:val="00237D40"/>
    <w:rsid w:val="00243D6B"/>
    <w:rsid w:val="00244D37"/>
    <w:rsid w:val="00250253"/>
    <w:rsid w:val="002564C3"/>
    <w:rsid w:val="002664C9"/>
    <w:rsid w:val="00266B70"/>
    <w:rsid w:val="002746F7"/>
    <w:rsid w:val="0028056F"/>
    <w:rsid w:val="00287541"/>
    <w:rsid w:val="002929F6"/>
    <w:rsid w:val="00293E0E"/>
    <w:rsid w:val="002A0CD6"/>
    <w:rsid w:val="002A5A93"/>
    <w:rsid w:val="002A7017"/>
    <w:rsid w:val="002B06E6"/>
    <w:rsid w:val="002B279B"/>
    <w:rsid w:val="002B6E1F"/>
    <w:rsid w:val="002C0736"/>
    <w:rsid w:val="002C0A4D"/>
    <w:rsid w:val="002C3AA1"/>
    <w:rsid w:val="002C4633"/>
    <w:rsid w:val="002D271F"/>
    <w:rsid w:val="002D2BB1"/>
    <w:rsid w:val="002D6386"/>
    <w:rsid w:val="002E263B"/>
    <w:rsid w:val="002E28DB"/>
    <w:rsid w:val="002F15F2"/>
    <w:rsid w:val="002F1999"/>
    <w:rsid w:val="002F1EB4"/>
    <w:rsid w:val="0030132C"/>
    <w:rsid w:val="003035ED"/>
    <w:rsid w:val="00305B35"/>
    <w:rsid w:val="0031544B"/>
    <w:rsid w:val="003155A7"/>
    <w:rsid w:val="00316102"/>
    <w:rsid w:val="003166C5"/>
    <w:rsid w:val="00317042"/>
    <w:rsid w:val="003221E3"/>
    <w:rsid w:val="003242B9"/>
    <w:rsid w:val="003316C7"/>
    <w:rsid w:val="00333C8E"/>
    <w:rsid w:val="003342FC"/>
    <w:rsid w:val="0034246A"/>
    <w:rsid w:val="0035736E"/>
    <w:rsid w:val="00360845"/>
    <w:rsid w:val="003621EA"/>
    <w:rsid w:val="0036583A"/>
    <w:rsid w:val="003753C7"/>
    <w:rsid w:val="0038793F"/>
    <w:rsid w:val="00391527"/>
    <w:rsid w:val="0039239D"/>
    <w:rsid w:val="00397549"/>
    <w:rsid w:val="003979FC"/>
    <w:rsid w:val="003B1CFA"/>
    <w:rsid w:val="003B221F"/>
    <w:rsid w:val="003B4B9D"/>
    <w:rsid w:val="003B7FDA"/>
    <w:rsid w:val="003C0329"/>
    <w:rsid w:val="003C0894"/>
    <w:rsid w:val="003C09A7"/>
    <w:rsid w:val="003C2D2B"/>
    <w:rsid w:val="003C7325"/>
    <w:rsid w:val="003D6646"/>
    <w:rsid w:val="003D67FC"/>
    <w:rsid w:val="003E67FB"/>
    <w:rsid w:val="003E680C"/>
    <w:rsid w:val="003F4C9E"/>
    <w:rsid w:val="00405592"/>
    <w:rsid w:val="00406E5A"/>
    <w:rsid w:val="00416BC3"/>
    <w:rsid w:val="00420AD5"/>
    <w:rsid w:val="004252CA"/>
    <w:rsid w:val="0043261E"/>
    <w:rsid w:val="0044010F"/>
    <w:rsid w:val="00452DB9"/>
    <w:rsid w:val="00455520"/>
    <w:rsid w:val="00455B34"/>
    <w:rsid w:val="004722A8"/>
    <w:rsid w:val="00475234"/>
    <w:rsid w:val="00480028"/>
    <w:rsid w:val="00480370"/>
    <w:rsid w:val="00481F02"/>
    <w:rsid w:val="0048762C"/>
    <w:rsid w:val="004B256F"/>
    <w:rsid w:val="004C40E5"/>
    <w:rsid w:val="004C69CB"/>
    <w:rsid w:val="004D2C29"/>
    <w:rsid w:val="004D69D2"/>
    <w:rsid w:val="004D7937"/>
    <w:rsid w:val="004D7D3D"/>
    <w:rsid w:val="004E23D4"/>
    <w:rsid w:val="00502C7A"/>
    <w:rsid w:val="005056BF"/>
    <w:rsid w:val="00507C52"/>
    <w:rsid w:val="00510166"/>
    <w:rsid w:val="005113B6"/>
    <w:rsid w:val="00511EE7"/>
    <w:rsid w:val="00521B07"/>
    <w:rsid w:val="00531817"/>
    <w:rsid w:val="005326DD"/>
    <w:rsid w:val="005347F2"/>
    <w:rsid w:val="00550818"/>
    <w:rsid w:val="00556079"/>
    <w:rsid w:val="00557F64"/>
    <w:rsid w:val="00560CA0"/>
    <w:rsid w:val="005624F3"/>
    <w:rsid w:val="0056726F"/>
    <w:rsid w:val="005712BF"/>
    <w:rsid w:val="005748EE"/>
    <w:rsid w:val="0057793B"/>
    <w:rsid w:val="005811EF"/>
    <w:rsid w:val="00585C4C"/>
    <w:rsid w:val="00590642"/>
    <w:rsid w:val="0059424C"/>
    <w:rsid w:val="005B0878"/>
    <w:rsid w:val="005C1340"/>
    <w:rsid w:val="005C15C0"/>
    <w:rsid w:val="005C2B63"/>
    <w:rsid w:val="005D5B66"/>
    <w:rsid w:val="005D6B9B"/>
    <w:rsid w:val="005E00C0"/>
    <w:rsid w:val="005F13AA"/>
    <w:rsid w:val="00610654"/>
    <w:rsid w:val="00611A5B"/>
    <w:rsid w:val="00620226"/>
    <w:rsid w:val="00625E5A"/>
    <w:rsid w:val="006318B9"/>
    <w:rsid w:val="00643595"/>
    <w:rsid w:val="0064391E"/>
    <w:rsid w:val="006543D6"/>
    <w:rsid w:val="00656454"/>
    <w:rsid w:val="00656D8F"/>
    <w:rsid w:val="00660760"/>
    <w:rsid w:val="006667F8"/>
    <w:rsid w:val="00667607"/>
    <w:rsid w:val="0067026C"/>
    <w:rsid w:val="0067149A"/>
    <w:rsid w:val="006755F1"/>
    <w:rsid w:val="00676768"/>
    <w:rsid w:val="006808E7"/>
    <w:rsid w:val="0068645C"/>
    <w:rsid w:val="00696954"/>
    <w:rsid w:val="006A1F59"/>
    <w:rsid w:val="006A45D1"/>
    <w:rsid w:val="006C0E4C"/>
    <w:rsid w:val="006D005A"/>
    <w:rsid w:val="006D14B2"/>
    <w:rsid w:val="006D2E7B"/>
    <w:rsid w:val="006E2A9A"/>
    <w:rsid w:val="006E2D49"/>
    <w:rsid w:val="006F7477"/>
    <w:rsid w:val="0070108F"/>
    <w:rsid w:val="007063F2"/>
    <w:rsid w:val="00714047"/>
    <w:rsid w:val="00721A90"/>
    <w:rsid w:val="00726D35"/>
    <w:rsid w:val="00732FB3"/>
    <w:rsid w:val="007355B2"/>
    <w:rsid w:val="007360AF"/>
    <w:rsid w:val="00736F6B"/>
    <w:rsid w:val="0074154B"/>
    <w:rsid w:val="007419DF"/>
    <w:rsid w:val="007440D1"/>
    <w:rsid w:val="007441ED"/>
    <w:rsid w:val="007468FC"/>
    <w:rsid w:val="007534D5"/>
    <w:rsid w:val="00755019"/>
    <w:rsid w:val="007836BB"/>
    <w:rsid w:val="0078419B"/>
    <w:rsid w:val="00786430"/>
    <w:rsid w:val="007868B2"/>
    <w:rsid w:val="00790EF5"/>
    <w:rsid w:val="00792CA3"/>
    <w:rsid w:val="007A2649"/>
    <w:rsid w:val="007B0F9C"/>
    <w:rsid w:val="007B2FDD"/>
    <w:rsid w:val="007B5346"/>
    <w:rsid w:val="007B5A84"/>
    <w:rsid w:val="007C1443"/>
    <w:rsid w:val="007D2DDC"/>
    <w:rsid w:val="007D58FB"/>
    <w:rsid w:val="007D7354"/>
    <w:rsid w:val="007F0973"/>
    <w:rsid w:val="007F2304"/>
    <w:rsid w:val="007F3AFB"/>
    <w:rsid w:val="00812EB9"/>
    <w:rsid w:val="00814158"/>
    <w:rsid w:val="00825112"/>
    <w:rsid w:val="00832FB2"/>
    <w:rsid w:val="0083468A"/>
    <w:rsid w:val="00842D43"/>
    <w:rsid w:val="0085669A"/>
    <w:rsid w:val="00856D1C"/>
    <w:rsid w:val="00867D0E"/>
    <w:rsid w:val="008720C2"/>
    <w:rsid w:val="0087596D"/>
    <w:rsid w:val="00875D16"/>
    <w:rsid w:val="00876AC0"/>
    <w:rsid w:val="00886ADD"/>
    <w:rsid w:val="008A55CC"/>
    <w:rsid w:val="008B4C48"/>
    <w:rsid w:val="008D21CF"/>
    <w:rsid w:val="008D4074"/>
    <w:rsid w:val="008E3D28"/>
    <w:rsid w:val="008F029D"/>
    <w:rsid w:val="00903408"/>
    <w:rsid w:val="00905AD9"/>
    <w:rsid w:val="009116EA"/>
    <w:rsid w:val="00916A28"/>
    <w:rsid w:val="00924354"/>
    <w:rsid w:val="009273C7"/>
    <w:rsid w:val="00930125"/>
    <w:rsid w:val="00933671"/>
    <w:rsid w:val="009436AD"/>
    <w:rsid w:val="009524B1"/>
    <w:rsid w:val="0096744C"/>
    <w:rsid w:val="009675F0"/>
    <w:rsid w:val="009709AA"/>
    <w:rsid w:val="009714FF"/>
    <w:rsid w:val="009726AD"/>
    <w:rsid w:val="00972BF7"/>
    <w:rsid w:val="00972DD5"/>
    <w:rsid w:val="009838FA"/>
    <w:rsid w:val="00984879"/>
    <w:rsid w:val="00984F58"/>
    <w:rsid w:val="00985632"/>
    <w:rsid w:val="00987F77"/>
    <w:rsid w:val="00987FB4"/>
    <w:rsid w:val="00991B63"/>
    <w:rsid w:val="00994593"/>
    <w:rsid w:val="00994B72"/>
    <w:rsid w:val="009B0F78"/>
    <w:rsid w:val="009B2428"/>
    <w:rsid w:val="009B3EED"/>
    <w:rsid w:val="009B5CB7"/>
    <w:rsid w:val="009B6FF7"/>
    <w:rsid w:val="009C2177"/>
    <w:rsid w:val="009C65DB"/>
    <w:rsid w:val="009C70F3"/>
    <w:rsid w:val="009D34FD"/>
    <w:rsid w:val="009D367B"/>
    <w:rsid w:val="009E7FDB"/>
    <w:rsid w:val="009F5C08"/>
    <w:rsid w:val="00A01CA6"/>
    <w:rsid w:val="00A03F21"/>
    <w:rsid w:val="00A049ED"/>
    <w:rsid w:val="00A05B29"/>
    <w:rsid w:val="00A07B35"/>
    <w:rsid w:val="00A105BD"/>
    <w:rsid w:val="00A151D0"/>
    <w:rsid w:val="00A1668D"/>
    <w:rsid w:val="00A20923"/>
    <w:rsid w:val="00A27548"/>
    <w:rsid w:val="00A31242"/>
    <w:rsid w:val="00A33201"/>
    <w:rsid w:val="00A429D8"/>
    <w:rsid w:val="00A44AEF"/>
    <w:rsid w:val="00A46DDA"/>
    <w:rsid w:val="00A475CB"/>
    <w:rsid w:val="00A52530"/>
    <w:rsid w:val="00A551BF"/>
    <w:rsid w:val="00A649F7"/>
    <w:rsid w:val="00A64F57"/>
    <w:rsid w:val="00A66052"/>
    <w:rsid w:val="00A70524"/>
    <w:rsid w:val="00A70E55"/>
    <w:rsid w:val="00A73406"/>
    <w:rsid w:val="00A753C5"/>
    <w:rsid w:val="00A83717"/>
    <w:rsid w:val="00A85225"/>
    <w:rsid w:val="00A85298"/>
    <w:rsid w:val="00AA0B3F"/>
    <w:rsid w:val="00AB4374"/>
    <w:rsid w:val="00AC301D"/>
    <w:rsid w:val="00AC65DA"/>
    <w:rsid w:val="00AD09E4"/>
    <w:rsid w:val="00AD21C8"/>
    <w:rsid w:val="00AD7AE5"/>
    <w:rsid w:val="00AF1737"/>
    <w:rsid w:val="00B06E26"/>
    <w:rsid w:val="00B1654E"/>
    <w:rsid w:val="00B2722A"/>
    <w:rsid w:val="00B37FE9"/>
    <w:rsid w:val="00B413D4"/>
    <w:rsid w:val="00B4715B"/>
    <w:rsid w:val="00B606B3"/>
    <w:rsid w:val="00B618BA"/>
    <w:rsid w:val="00B632E2"/>
    <w:rsid w:val="00B64EBD"/>
    <w:rsid w:val="00B64F35"/>
    <w:rsid w:val="00B7520A"/>
    <w:rsid w:val="00B82137"/>
    <w:rsid w:val="00B87DC4"/>
    <w:rsid w:val="00B956E6"/>
    <w:rsid w:val="00BA0FA6"/>
    <w:rsid w:val="00BA124B"/>
    <w:rsid w:val="00BA282D"/>
    <w:rsid w:val="00BA4D57"/>
    <w:rsid w:val="00BB1DA8"/>
    <w:rsid w:val="00BB6260"/>
    <w:rsid w:val="00BB7D8F"/>
    <w:rsid w:val="00BD3042"/>
    <w:rsid w:val="00BD5730"/>
    <w:rsid w:val="00BF3DED"/>
    <w:rsid w:val="00C00A72"/>
    <w:rsid w:val="00C05E74"/>
    <w:rsid w:val="00C0778B"/>
    <w:rsid w:val="00C10C19"/>
    <w:rsid w:val="00C143B8"/>
    <w:rsid w:val="00C17D02"/>
    <w:rsid w:val="00C36286"/>
    <w:rsid w:val="00C417E2"/>
    <w:rsid w:val="00C43F73"/>
    <w:rsid w:val="00C5649C"/>
    <w:rsid w:val="00C7012E"/>
    <w:rsid w:val="00C75486"/>
    <w:rsid w:val="00C8202C"/>
    <w:rsid w:val="00C83F31"/>
    <w:rsid w:val="00C8489E"/>
    <w:rsid w:val="00C91576"/>
    <w:rsid w:val="00C92A5B"/>
    <w:rsid w:val="00C92C27"/>
    <w:rsid w:val="00CA1731"/>
    <w:rsid w:val="00CA20D1"/>
    <w:rsid w:val="00CA3141"/>
    <w:rsid w:val="00CA46EC"/>
    <w:rsid w:val="00CA679B"/>
    <w:rsid w:val="00CB514E"/>
    <w:rsid w:val="00CC1DD4"/>
    <w:rsid w:val="00CC5EC1"/>
    <w:rsid w:val="00CD6256"/>
    <w:rsid w:val="00CF150D"/>
    <w:rsid w:val="00CF54B2"/>
    <w:rsid w:val="00CF77CB"/>
    <w:rsid w:val="00CF7930"/>
    <w:rsid w:val="00D025FA"/>
    <w:rsid w:val="00D05B29"/>
    <w:rsid w:val="00D11819"/>
    <w:rsid w:val="00D12792"/>
    <w:rsid w:val="00D1394D"/>
    <w:rsid w:val="00D14AF0"/>
    <w:rsid w:val="00D1677D"/>
    <w:rsid w:val="00D230F4"/>
    <w:rsid w:val="00D26B21"/>
    <w:rsid w:val="00D27C2D"/>
    <w:rsid w:val="00D3465C"/>
    <w:rsid w:val="00D47740"/>
    <w:rsid w:val="00D54EF3"/>
    <w:rsid w:val="00D71B96"/>
    <w:rsid w:val="00D73A27"/>
    <w:rsid w:val="00D812B9"/>
    <w:rsid w:val="00D820CC"/>
    <w:rsid w:val="00D903FD"/>
    <w:rsid w:val="00D9279D"/>
    <w:rsid w:val="00D94BC5"/>
    <w:rsid w:val="00D96627"/>
    <w:rsid w:val="00D96C08"/>
    <w:rsid w:val="00D96D54"/>
    <w:rsid w:val="00DC040F"/>
    <w:rsid w:val="00DC0993"/>
    <w:rsid w:val="00DC3052"/>
    <w:rsid w:val="00DD23B0"/>
    <w:rsid w:val="00DE1699"/>
    <w:rsid w:val="00DE59FD"/>
    <w:rsid w:val="00DF46C4"/>
    <w:rsid w:val="00DF4CA3"/>
    <w:rsid w:val="00E02515"/>
    <w:rsid w:val="00E1604B"/>
    <w:rsid w:val="00E2321D"/>
    <w:rsid w:val="00E40AA9"/>
    <w:rsid w:val="00E51A65"/>
    <w:rsid w:val="00E54157"/>
    <w:rsid w:val="00E55B1C"/>
    <w:rsid w:val="00E55DBE"/>
    <w:rsid w:val="00E569FF"/>
    <w:rsid w:val="00E724A8"/>
    <w:rsid w:val="00E91A25"/>
    <w:rsid w:val="00E9559D"/>
    <w:rsid w:val="00EA4781"/>
    <w:rsid w:val="00EB6CF9"/>
    <w:rsid w:val="00EB743D"/>
    <w:rsid w:val="00EB7E44"/>
    <w:rsid w:val="00EC2411"/>
    <w:rsid w:val="00EC5941"/>
    <w:rsid w:val="00EC78E7"/>
    <w:rsid w:val="00ED43D2"/>
    <w:rsid w:val="00EE3B8C"/>
    <w:rsid w:val="00EF262F"/>
    <w:rsid w:val="00EF4A38"/>
    <w:rsid w:val="00EF5845"/>
    <w:rsid w:val="00F11B8F"/>
    <w:rsid w:val="00F34424"/>
    <w:rsid w:val="00F36389"/>
    <w:rsid w:val="00F44B04"/>
    <w:rsid w:val="00F47193"/>
    <w:rsid w:val="00F5648C"/>
    <w:rsid w:val="00F57FA8"/>
    <w:rsid w:val="00F72871"/>
    <w:rsid w:val="00F74011"/>
    <w:rsid w:val="00F763B5"/>
    <w:rsid w:val="00F80CFC"/>
    <w:rsid w:val="00F80DCB"/>
    <w:rsid w:val="00F81707"/>
    <w:rsid w:val="00F8322B"/>
    <w:rsid w:val="00F836F7"/>
    <w:rsid w:val="00F938CA"/>
    <w:rsid w:val="00F95791"/>
    <w:rsid w:val="00FB10CB"/>
    <w:rsid w:val="00FB15A8"/>
    <w:rsid w:val="00FC2A97"/>
    <w:rsid w:val="00FD013F"/>
    <w:rsid w:val="00FD231C"/>
    <w:rsid w:val="00FD36C0"/>
    <w:rsid w:val="00FD70B8"/>
    <w:rsid w:val="00FD7D8A"/>
    <w:rsid w:val="00FE421D"/>
    <w:rsid w:val="00FE5F8A"/>
    <w:rsid w:val="00FF0A37"/>
    <w:rsid w:val="00FF2B22"/>
    <w:rsid w:val="00FF4F94"/>
    <w:rsid w:val="00FF4F98"/>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998BAB4"/>
  <w15:docId w15:val="{FC501F48-87BA-42ED-81FD-2F449445B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AU"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36BB"/>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2C3AA1"/>
    <w:pPr>
      <w:spacing w:after="240"/>
      <w:contextualSpacing/>
      <w:outlineLvl w:val="0"/>
    </w:pPr>
    <w:rPr>
      <w:rFonts w:ascii="Calibri" w:eastAsiaTheme="majorEastAsia" w:hAnsi="Calibri" w:cstheme="majorBidi"/>
      <w:b/>
      <w:bCs/>
      <w:color w:val="522761"/>
      <w:sz w:val="36"/>
      <w:szCs w:val="28"/>
    </w:rPr>
  </w:style>
  <w:style w:type="paragraph" w:styleId="Heading2">
    <w:name w:val="heading 2"/>
    <w:basedOn w:val="Normal"/>
    <w:next w:val="Normal"/>
    <w:link w:val="Heading2Char"/>
    <w:uiPriority w:val="9"/>
    <w:unhideWhenUsed/>
    <w:qFormat/>
    <w:rsid w:val="0034246A"/>
    <w:pPr>
      <w:spacing w:before="200"/>
      <w:outlineLvl w:val="1"/>
    </w:pPr>
    <w:rPr>
      <w:rFonts w:ascii="Calibri" w:eastAsiaTheme="majorEastAsia" w:hAnsi="Calibri" w:cstheme="majorBidi"/>
      <w:b/>
      <w:bCs/>
      <w:sz w:val="28"/>
      <w:szCs w:val="26"/>
    </w:rPr>
  </w:style>
  <w:style w:type="paragraph" w:styleId="Heading3">
    <w:name w:val="heading 3"/>
    <w:basedOn w:val="Normal"/>
    <w:next w:val="Normal"/>
    <w:link w:val="Heading3Char"/>
    <w:uiPriority w:val="9"/>
    <w:unhideWhenUsed/>
    <w:qFormat/>
    <w:rsid w:val="001B6467"/>
    <w:pPr>
      <w:spacing w:before="200"/>
      <w:outlineLvl w:val="2"/>
    </w:pPr>
    <w:rPr>
      <w:rFonts w:ascii="Calibri" w:eastAsiaTheme="majorEastAsia" w:hAnsi="Calibri" w:cstheme="majorBidi"/>
      <w:b/>
      <w:bCs/>
    </w:rPr>
  </w:style>
  <w:style w:type="paragraph" w:styleId="Heading4">
    <w:name w:val="heading 4"/>
    <w:basedOn w:val="Normal"/>
    <w:next w:val="Normal"/>
    <w:link w:val="Heading4Char"/>
    <w:uiPriority w:val="9"/>
    <w:unhideWhenUsed/>
    <w:qFormat/>
    <w:rsid w:val="00236917"/>
    <w:pPr>
      <w:spacing w:before="200"/>
      <w:outlineLvl w:val="3"/>
    </w:pPr>
    <w:rPr>
      <w:rFonts w:ascii="Calibri" w:eastAsiaTheme="majorEastAsia" w:hAnsi="Calibri" w:cstheme="majorBidi"/>
      <w:b/>
      <w:bCs/>
      <w:i/>
      <w:iCs/>
    </w:rPr>
  </w:style>
  <w:style w:type="paragraph" w:styleId="Heading5">
    <w:name w:val="heading 5"/>
    <w:basedOn w:val="Normal"/>
    <w:next w:val="Normal"/>
    <w:link w:val="Heading5Char"/>
    <w:uiPriority w:val="9"/>
    <w:unhideWhenUsed/>
    <w:qFormat/>
    <w:rsid w:val="001B6467"/>
    <w:pPr>
      <w:spacing w:before="200"/>
      <w:outlineLvl w:val="4"/>
    </w:pPr>
    <w:rPr>
      <w:rFonts w:ascii="Calibri" w:eastAsiaTheme="majorEastAsia" w:hAnsi="Calibri" w:cstheme="majorBidi"/>
      <w:b/>
      <w:bCs/>
      <w:color w:val="757575"/>
    </w:rPr>
  </w:style>
  <w:style w:type="paragraph" w:styleId="Heading6">
    <w:name w:val="heading 6"/>
    <w:basedOn w:val="Normal"/>
    <w:next w:val="Normal"/>
    <w:link w:val="Heading6Char"/>
    <w:uiPriority w:val="9"/>
    <w:unhideWhenUsed/>
    <w:qFormat/>
    <w:rsid w:val="00933671"/>
    <w:pPr>
      <w:spacing w:before="200"/>
      <w:outlineLvl w:val="5"/>
    </w:pPr>
    <w:rPr>
      <w:rFonts w:ascii="Calibri" w:eastAsiaTheme="majorEastAsia" w:hAnsi="Calibri" w:cstheme="majorBidi"/>
      <w:b/>
      <w:bCs/>
      <w:i/>
      <w:iCs/>
      <w:color w:val="757575"/>
    </w:rPr>
  </w:style>
  <w:style w:type="paragraph" w:styleId="Heading7">
    <w:name w:val="heading 7"/>
    <w:basedOn w:val="Normal"/>
    <w:next w:val="Normal"/>
    <w:link w:val="Heading7Char"/>
    <w:uiPriority w:val="9"/>
    <w:semiHidden/>
    <w:unhideWhenUsed/>
    <w:qFormat/>
    <w:rsid w:val="00AC65DA"/>
    <w:pPr>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AC65DA"/>
    <w:pPr>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AC65DA"/>
    <w:pPr>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uiPriority w:val="22"/>
    <w:qFormat/>
    <w:rsid w:val="00AC65DA"/>
    <w:rPr>
      <w:b/>
      <w:bCs/>
    </w:rPr>
  </w:style>
  <w:style w:type="character" w:styleId="Emphasis">
    <w:name w:val="Emphasis"/>
    <w:uiPriority w:val="20"/>
    <w:qFormat/>
    <w:rsid w:val="00AC65DA"/>
    <w:rPr>
      <w:b/>
      <w:bCs/>
      <w:i/>
      <w:iCs/>
      <w:spacing w:val="10"/>
      <w:bdr w:val="none" w:sz="0" w:space="0" w:color="auto"/>
      <w:shd w:val="clear" w:color="auto" w:fill="auto"/>
    </w:rPr>
  </w:style>
  <w:style w:type="character" w:styleId="BookTitle">
    <w:name w:val="Book Title"/>
    <w:uiPriority w:val="33"/>
    <w:qFormat/>
    <w:rsid w:val="009116EA"/>
    <w:rPr>
      <w:i/>
      <w:iCs/>
      <w:caps w:val="0"/>
      <w:smallCaps w:val="0"/>
      <w:spacing w:val="5"/>
    </w:rPr>
  </w:style>
  <w:style w:type="character" w:styleId="Hyperlink">
    <w:name w:val="Hyperlink"/>
    <w:basedOn w:val="DefaultParagraphFont"/>
    <w:uiPriority w:val="99"/>
    <w:unhideWhenUsed/>
    <w:rsid w:val="00C10C19"/>
    <w:rPr>
      <w:color w:val="165788" w:themeColor="hyperlink"/>
      <w:u w:val="single"/>
    </w:rPr>
  </w:style>
  <w:style w:type="paragraph" w:styleId="Quote">
    <w:name w:val="Quote"/>
    <w:basedOn w:val="Normal"/>
    <w:next w:val="Normal"/>
    <w:link w:val="QuoteChar"/>
    <w:uiPriority w:val="29"/>
    <w:qFormat/>
    <w:rsid w:val="00C05E74"/>
    <w:pPr>
      <w:spacing w:after="120"/>
      <w:ind w:left="369" w:right="369"/>
    </w:pPr>
    <w:rPr>
      <w:i/>
      <w:iCs/>
    </w:rPr>
  </w:style>
  <w:style w:type="character" w:customStyle="1" w:styleId="QuoteChar">
    <w:name w:val="Quote Char"/>
    <w:basedOn w:val="DefaultParagraphFont"/>
    <w:link w:val="Quote"/>
    <w:uiPriority w:val="29"/>
    <w:rsid w:val="00C05E74"/>
    <w:rPr>
      <w:i/>
      <w:iCs/>
    </w:rPr>
  </w:style>
  <w:style w:type="character" w:customStyle="1" w:styleId="Heading1Char">
    <w:name w:val="Heading 1 Char"/>
    <w:basedOn w:val="DefaultParagraphFont"/>
    <w:link w:val="Heading1"/>
    <w:uiPriority w:val="9"/>
    <w:rsid w:val="002C3AA1"/>
    <w:rPr>
      <w:rFonts w:ascii="Calibri" w:eastAsiaTheme="majorEastAsia" w:hAnsi="Calibri" w:cstheme="majorBidi"/>
      <w:b/>
      <w:bCs/>
      <w:color w:val="522761"/>
      <w:sz w:val="36"/>
      <w:szCs w:val="28"/>
    </w:rPr>
  </w:style>
  <w:style w:type="character" w:customStyle="1" w:styleId="Heading2Char">
    <w:name w:val="Heading 2 Char"/>
    <w:basedOn w:val="DefaultParagraphFont"/>
    <w:link w:val="Heading2"/>
    <w:uiPriority w:val="9"/>
    <w:rsid w:val="0034246A"/>
    <w:rPr>
      <w:rFonts w:ascii="Calibri" w:eastAsiaTheme="majorEastAsia" w:hAnsi="Calibri" w:cstheme="majorBidi"/>
      <w:b/>
      <w:bCs/>
      <w:sz w:val="28"/>
      <w:szCs w:val="26"/>
    </w:rPr>
  </w:style>
  <w:style w:type="character" w:customStyle="1" w:styleId="Heading3Char">
    <w:name w:val="Heading 3 Char"/>
    <w:basedOn w:val="DefaultParagraphFont"/>
    <w:link w:val="Heading3"/>
    <w:uiPriority w:val="9"/>
    <w:rsid w:val="001B6467"/>
    <w:rPr>
      <w:rFonts w:ascii="Calibri" w:eastAsiaTheme="majorEastAsia" w:hAnsi="Calibri" w:cstheme="majorBidi"/>
      <w:b/>
      <w:bCs/>
    </w:rPr>
  </w:style>
  <w:style w:type="character" w:customStyle="1" w:styleId="Heading4Char">
    <w:name w:val="Heading 4 Char"/>
    <w:basedOn w:val="DefaultParagraphFont"/>
    <w:link w:val="Heading4"/>
    <w:uiPriority w:val="9"/>
    <w:rsid w:val="00236917"/>
    <w:rPr>
      <w:rFonts w:ascii="Calibri" w:eastAsiaTheme="majorEastAsia" w:hAnsi="Calibri" w:cstheme="majorBidi"/>
      <w:b/>
      <w:bCs/>
      <w:i/>
      <w:iCs/>
    </w:rPr>
  </w:style>
  <w:style w:type="character" w:customStyle="1" w:styleId="Heading5Char">
    <w:name w:val="Heading 5 Char"/>
    <w:basedOn w:val="DefaultParagraphFont"/>
    <w:link w:val="Heading5"/>
    <w:uiPriority w:val="9"/>
    <w:rsid w:val="001B6467"/>
    <w:rPr>
      <w:rFonts w:ascii="Calibri" w:eastAsiaTheme="majorEastAsia" w:hAnsi="Calibri" w:cstheme="majorBidi"/>
      <w:b/>
      <w:bCs/>
      <w:color w:val="757575"/>
    </w:rPr>
  </w:style>
  <w:style w:type="character" w:customStyle="1" w:styleId="Heading6Char">
    <w:name w:val="Heading 6 Char"/>
    <w:basedOn w:val="DefaultParagraphFont"/>
    <w:link w:val="Heading6"/>
    <w:uiPriority w:val="9"/>
    <w:rsid w:val="00933671"/>
    <w:rPr>
      <w:rFonts w:ascii="Calibri" w:eastAsiaTheme="majorEastAsia" w:hAnsi="Calibri" w:cstheme="majorBidi"/>
      <w:b/>
      <w:bCs/>
      <w:i/>
      <w:iCs/>
      <w:color w:val="757575"/>
    </w:rPr>
  </w:style>
  <w:style w:type="character" w:customStyle="1" w:styleId="Heading7Char">
    <w:name w:val="Heading 7 Char"/>
    <w:basedOn w:val="DefaultParagraphFont"/>
    <w:link w:val="Heading7"/>
    <w:uiPriority w:val="9"/>
    <w:semiHidden/>
    <w:rsid w:val="00AC65DA"/>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AC65DA"/>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AC65DA"/>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E1604B"/>
    <w:pPr>
      <w:spacing w:before="480" w:after="120"/>
      <w:contextualSpacing/>
    </w:pPr>
    <w:rPr>
      <w:rFonts w:ascii="Calibri" w:eastAsiaTheme="majorEastAsia" w:hAnsi="Calibri" w:cstheme="majorBidi"/>
      <w:b/>
      <w:color w:val="522761"/>
      <w:spacing w:val="5"/>
      <w:sz w:val="60"/>
      <w:szCs w:val="52"/>
    </w:rPr>
  </w:style>
  <w:style w:type="character" w:customStyle="1" w:styleId="TitleChar">
    <w:name w:val="Title Char"/>
    <w:basedOn w:val="DefaultParagraphFont"/>
    <w:link w:val="Title"/>
    <w:uiPriority w:val="10"/>
    <w:rsid w:val="00E1604B"/>
    <w:rPr>
      <w:rFonts w:ascii="Calibri" w:eastAsiaTheme="majorEastAsia" w:hAnsi="Calibri" w:cstheme="majorBidi"/>
      <w:b/>
      <w:color w:val="522761"/>
      <w:spacing w:val="5"/>
      <w:sz w:val="60"/>
      <w:szCs w:val="52"/>
    </w:rPr>
  </w:style>
  <w:style w:type="paragraph" w:styleId="Subtitle">
    <w:name w:val="Subtitle"/>
    <w:basedOn w:val="Normal"/>
    <w:next w:val="Normal"/>
    <w:link w:val="SubtitleChar"/>
    <w:uiPriority w:val="11"/>
    <w:qFormat/>
    <w:rsid w:val="00F80CFC"/>
    <w:pPr>
      <w:spacing w:after="240"/>
    </w:pPr>
    <w:rPr>
      <w:rFonts w:ascii="Calibri" w:eastAsiaTheme="majorEastAsia" w:hAnsi="Calibri" w:cstheme="majorBidi"/>
      <w:b/>
      <w:iCs/>
      <w:color w:val="522761"/>
      <w:spacing w:val="13"/>
      <w:sz w:val="40"/>
    </w:rPr>
  </w:style>
  <w:style w:type="character" w:customStyle="1" w:styleId="SubtitleChar">
    <w:name w:val="Subtitle Char"/>
    <w:basedOn w:val="DefaultParagraphFont"/>
    <w:link w:val="Subtitle"/>
    <w:uiPriority w:val="11"/>
    <w:rsid w:val="00F80CFC"/>
    <w:rPr>
      <w:rFonts w:ascii="Calibri" w:eastAsiaTheme="majorEastAsia" w:hAnsi="Calibri" w:cstheme="majorBidi"/>
      <w:b/>
      <w:iCs/>
      <w:color w:val="522761"/>
      <w:spacing w:val="13"/>
      <w:sz w:val="40"/>
      <w:szCs w:val="24"/>
    </w:rPr>
  </w:style>
  <w:style w:type="paragraph" w:styleId="NoSpacing">
    <w:name w:val="No Spacing"/>
    <w:basedOn w:val="Normal"/>
    <w:link w:val="NoSpacingChar"/>
    <w:uiPriority w:val="1"/>
    <w:qFormat/>
    <w:rsid w:val="00AC65DA"/>
  </w:style>
  <w:style w:type="paragraph" w:styleId="ListParagraph">
    <w:name w:val="List Paragraph"/>
    <w:basedOn w:val="Normal"/>
    <w:uiPriority w:val="34"/>
    <w:rsid w:val="00AC65DA"/>
    <w:pPr>
      <w:ind w:left="720"/>
      <w:contextualSpacing/>
    </w:pPr>
  </w:style>
  <w:style w:type="paragraph" w:styleId="IntenseQuote">
    <w:name w:val="Intense Quote"/>
    <w:basedOn w:val="Normal"/>
    <w:next w:val="Normal"/>
    <w:link w:val="IntenseQuoteChar"/>
    <w:uiPriority w:val="30"/>
    <w:qFormat/>
    <w:rsid w:val="00AC65DA"/>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AC65DA"/>
    <w:rPr>
      <w:b/>
      <w:bCs/>
      <w:i/>
      <w:iCs/>
    </w:rPr>
  </w:style>
  <w:style w:type="character" w:styleId="SubtleEmphasis">
    <w:name w:val="Subtle Emphasis"/>
    <w:uiPriority w:val="19"/>
    <w:qFormat/>
    <w:rsid w:val="00AC65DA"/>
    <w:rPr>
      <w:i/>
      <w:iCs/>
    </w:rPr>
  </w:style>
  <w:style w:type="character" w:styleId="IntenseEmphasis">
    <w:name w:val="Intense Emphasis"/>
    <w:uiPriority w:val="21"/>
    <w:qFormat/>
    <w:rsid w:val="00AC65DA"/>
    <w:rPr>
      <w:b/>
      <w:bCs/>
    </w:rPr>
  </w:style>
  <w:style w:type="character" w:styleId="SubtleReference">
    <w:name w:val="Subtle Reference"/>
    <w:uiPriority w:val="31"/>
    <w:qFormat/>
    <w:rsid w:val="00AC65DA"/>
    <w:rPr>
      <w:smallCaps/>
    </w:rPr>
  </w:style>
  <w:style w:type="character" w:styleId="IntenseReference">
    <w:name w:val="Intense Reference"/>
    <w:uiPriority w:val="32"/>
    <w:qFormat/>
    <w:rsid w:val="00AC65DA"/>
    <w:rPr>
      <w:smallCaps/>
      <w:spacing w:val="5"/>
      <w:u w:val="single"/>
    </w:rPr>
  </w:style>
  <w:style w:type="paragraph" w:styleId="TOCHeading">
    <w:name w:val="TOC Heading"/>
    <w:basedOn w:val="Heading1"/>
    <w:next w:val="Normal"/>
    <w:uiPriority w:val="39"/>
    <w:unhideWhenUsed/>
    <w:qFormat/>
    <w:rsid w:val="00AC65DA"/>
    <w:pPr>
      <w:outlineLvl w:val="9"/>
    </w:pPr>
    <w:rPr>
      <w:lang w:bidi="en-US"/>
    </w:rPr>
  </w:style>
  <w:style w:type="paragraph" w:styleId="ListNumber">
    <w:name w:val="List Number"/>
    <w:basedOn w:val="Normal"/>
    <w:uiPriority w:val="99"/>
    <w:unhideWhenUsed/>
    <w:rsid w:val="00FB10CB"/>
    <w:pPr>
      <w:numPr>
        <w:numId w:val="1"/>
      </w:numPr>
      <w:spacing w:after="120"/>
      <w:ind w:left="369" w:hanging="369"/>
      <w:contextualSpacing/>
    </w:pPr>
  </w:style>
  <w:style w:type="paragraph" w:styleId="ListNumber2">
    <w:name w:val="List Number 2"/>
    <w:basedOn w:val="Normal"/>
    <w:uiPriority w:val="99"/>
    <w:unhideWhenUsed/>
    <w:rsid w:val="00985632"/>
    <w:pPr>
      <w:numPr>
        <w:ilvl w:val="1"/>
        <w:numId w:val="1"/>
      </w:numPr>
      <w:tabs>
        <w:tab w:val="left" w:pos="1134"/>
      </w:tabs>
      <w:spacing w:after="120"/>
      <w:ind w:left="936" w:hanging="567"/>
      <w:contextualSpacing/>
    </w:pPr>
  </w:style>
  <w:style w:type="paragraph" w:styleId="ListNumber3">
    <w:name w:val="List Number 3"/>
    <w:basedOn w:val="Normal"/>
    <w:uiPriority w:val="99"/>
    <w:unhideWhenUsed/>
    <w:rsid w:val="00985632"/>
    <w:pPr>
      <w:numPr>
        <w:ilvl w:val="2"/>
        <w:numId w:val="1"/>
      </w:numPr>
      <w:spacing w:after="120"/>
      <w:ind w:left="1701" w:hanging="765"/>
      <w:contextualSpacing/>
    </w:pPr>
  </w:style>
  <w:style w:type="paragraph" w:styleId="ListNumber4">
    <w:name w:val="List Number 4"/>
    <w:basedOn w:val="Normal"/>
    <w:uiPriority w:val="99"/>
    <w:unhideWhenUsed/>
    <w:rsid w:val="00406E5A"/>
    <w:pPr>
      <w:numPr>
        <w:ilvl w:val="3"/>
        <w:numId w:val="1"/>
      </w:numPr>
      <w:spacing w:after="120"/>
      <w:ind w:left="2637" w:hanging="936"/>
      <w:contextualSpacing/>
    </w:pPr>
  </w:style>
  <w:style w:type="paragraph" w:styleId="ListBullet">
    <w:name w:val="List Bullet"/>
    <w:basedOn w:val="Normal"/>
    <w:uiPriority w:val="99"/>
    <w:unhideWhenUsed/>
    <w:rsid w:val="00CA46EC"/>
    <w:pPr>
      <w:numPr>
        <w:numId w:val="2"/>
      </w:numPr>
      <w:spacing w:after="120"/>
      <w:contextualSpacing/>
    </w:pPr>
  </w:style>
  <w:style w:type="paragraph" w:styleId="ListBullet2">
    <w:name w:val="List Bullet 2"/>
    <w:basedOn w:val="Normal"/>
    <w:uiPriority w:val="99"/>
    <w:unhideWhenUsed/>
    <w:rsid w:val="00CA46EC"/>
    <w:pPr>
      <w:numPr>
        <w:ilvl w:val="1"/>
        <w:numId w:val="2"/>
      </w:numPr>
      <w:spacing w:after="120"/>
      <w:ind w:left="766" w:hanging="369"/>
      <w:contextualSpacing/>
    </w:pPr>
  </w:style>
  <w:style w:type="paragraph" w:styleId="ListBullet3">
    <w:name w:val="List Bullet 3"/>
    <w:basedOn w:val="Normal"/>
    <w:uiPriority w:val="99"/>
    <w:unhideWhenUsed/>
    <w:rsid w:val="00CA46EC"/>
    <w:pPr>
      <w:numPr>
        <w:ilvl w:val="2"/>
        <w:numId w:val="2"/>
      </w:numPr>
      <w:spacing w:after="120"/>
      <w:ind w:left="1163" w:hanging="369"/>
      <w:contextualSpacing/>
    </w:pPr>
  </w:style>
  <w:style w:type="paragraph" w:styleId="ListBullet4">
    <w:name w:val="List Bullet 4"/>
    <w:basedOn w:val="Normal"/>
    <w:uiPriority w:val="99"/>
    <w:unhideWhenUsed/>
    <w:rsid w:val="00CA46EC"/>
    <w:pPr>
      <w:numPr>
        <w:ilvl w:val="3"/>
        <w:numId w:val="2"/>
      </w:numPr>
      <w:spacing w:after="120"/>
      <w:ind w:left="1503" w:hanging="369"/>
      <w:contextualSpacing/>
    </w:pPr>
  </w:style>
  <w:style w:type="table" w:styleId="TableGrid">
    <w:name w:val="Table Grid"/>
    <w:basedOn w:val="TableNormal"/>
    <w:uiPriority w:val="39"/>
    <w:rsid w:val="00792C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DEEWRTable">
    <w:name w:val="DEEWR Table"/>
    <w:basedOn w:val="TableNormal"/>
    <w:uiPriority w:val="99"/>
    <w:rsid w:val="00BA4D57"/>
    <w:pPr>
      <w:spacing w:after="0" w:line="240" w:lineRule="auto"/>
    </w:pPr>
    <w:rPr>
      <w:color w:val="000000" w:themeColor="text1"/>
      <w:sz w:val="20"/>
    </w:rPr>
    <w:tblPr>
      <w:tblStyleRowBandSize w:val="1"/>
      <w:tblBorders>
        <w:bottom w:val="single" w:sz="4" w:space="0" w:color="auto"/>
      </w:tblBorders>
    </w:tblPr>
    <w:trPr>
      <w:cantSplit/>
    </w:trPr>
    <w:tblStylePr w:type="firstRow">
      <w:pPr>
        <w:wordWrap/>
        <w:ind w:leftChars="0" w:left="0" w:rightChars="0" w:right="0"/>
        <w:jc w:val="left"/>
      </w:pPr>
      <w:rPr>
        <w:rFonts w:asciiTheme="minorHAnsi" w:hAnsiTheme="minorHAnsi"/>
        <w:b/>
        <w:color w:val="FFFFFF" w:themeColor="background2"/>
        <w:sz w:val="20"/>
      </w:rPr>
      <w:tblPr/>
      <w:tcPr>
        <w:shd w:val="clear" w:color="auto" w:fill="522761"/>
      </w:tcPr>
    </w:tblStylePr>
    <w:tblStylePr w:type="firstCol">
      <w:pPr>
        <w:jc w:val="left"/>
      </w:pPr>
      <w:rPr>
        <w:b/>
      </w:rPr>
    </w:tblStylePr>
  </w:style>
  <w:style w:type="paragraph" w:customStyle="1" w:styleId="Default">
    <w:name w:val="Default"/>
    <w:rsid w:val="00130923"/>
    <w:pPr>
      <w:autoSpaceDE w:val="0"/>
      <w:autoSpaceDN w:val="0"/>
      <w:adjustRightInd w:val="0"/>
      <w:spacing w:after="0" w:line="240" w:lineRule="auto"/>
    </w:pPr>
    <w:rPr>
      <w:rFonts w:ascii="Calibri" w:eastAsia="Times New Roman" w:hAnsi="Calibri" w:cs="Calibri"/>
      <w:color w:val="000000"/>
      <w:sz w:val="24"/>
      <w:szCs w:val="24"/>
      <w:lang w:eastAsia="en-AU"/>
    </w:rPr>
  </w:style>
  <w:style w:type="paragraph" w:styleId="BodyText">
    <w:name w:val="Body Text"/>
    <w:basedOn w:val="Normal"/>
    <w:link w:val="BodyTextChar"/>
    <w:rsid w:val="00130923"/>
    <w:pPr>
      <w:spacing w:after="120"/>
    </w:pPr>
    <w:rPr>
      <w:lang w:eastAsia="en-AU"/>
    </w:rPr>
  </w:style>
  <w:style w:type="character" w:customStyle="1" w:styleId="BodyTextChar">
    <w:name w:val="Body Text Char"/>
    <w:basedOn w:val="DefaultParagraphFont"/>
    <w:link w:val="BodyText"/>
    <w:rsid w:val="00130923"/>
    <w:rPr>
      <w:rFonts w:eastAsia="Times New Roman" w:cs="Times New Roman"/>
      <w:szCs w:val="24"/>
      <w:lang w:eastAsia="en-AU"/>
    </w:rPr>
  </w:style>
  <w:style w:type="paragraph" w:customStyle="1" w:styleId="numberedpara">
    <w:name w:val="numbered para"/>
    <w:basedOn w:val="Normal"/>
    <w:rsid w:val="00130923"/>
    <w:pPr>
      <w:numPr>
        <w:numId w:val="3"/>
      </w:numPr>
    </w:pPr>
    <w:rPr>
      <w:rFonts w:ascii="Calibri" w:eastAsiaTheme="minorHAnsi" w:hAnsi="Calibri" w:cs="Calibri"/>
      <w:lang w:eastAsia="en-AU"/>
    </w:rPr>
  </w:style>
  <w:style w:type="paragraph" w:styleId="BalloonText">
    <w:name w:val="Balloon Text"/>
    <w:basedOn w:val="Normal"/>
    <w:link w:val="BalloonTextChar"/>
    <w:uiPriority w:val="99"/>
    <w:semiHidden/>
    <w:unhideWhenUsed/>
    <w:rsid w:val="00130923"/>
    <w:rPr>
      <w:rFonts w:ascii="Tahoma" w:hAnsi="Tahoma" w:cs="Tahoma"/>
      <w:sz w:val="16"/>
      <w:szCs w:val="16"/>
    </w:rPr>
  </w:style>
  <w:style w:type="character" w:customStyle="1" w:styleId="BalloonTextChar">
    <w:name w:val="Balloon Text Char"/>
    <w:basedOn w:val="DefaultParagraphFont"/>
    <w:link w:val="BalloonText"/>
    <w:uiPriority w:val="99"/>
    <w:semiHidden/>
    <w:rsid w:val="00130923"/>
    <w:rPr>
      <w:rFonts w:ascii="Tahoma" w:hAnsi="Tahoma" w:cs="Tahoma"/>
      <w:sz w:val="16"/>
      <w:szCs w:val="16"/>
    </w:rPr>
  </w:style>
  <w:style w:type="character" w:customStyle="1" w:styleId="NoSpacingChar">
    <w:name w:val="No Spacing Char"/>
    <w:basedOn w:val="DefaultParagraphFont"/>
    <w:link w:val="NoSpacing"/>
    <w:uiPriority w:val="1"/>
    <w:rsid w:val="00130923"/>
  </w:style>
  <w:style w:type="paragraph" w:styleId="Header">
    <w:name w:val="header"/>
    <w:basedOn w:val="Normal"/>
    <w:link w:val="HeaderChar"/>
    <w:uiPriority w:val="99"/>
    <w:unhideWhenUsed/>
    <w:rsid w:val="00130923"/>
    <w:pPr>
      <w:tabs>
        <w:tab w:val="center" w:pos="4513"/>
        <w:tab w:val="right" w:pos="9026"/>
      </w:tabs>
    </w:pPr>
  </w:style>
  <w:style w:type="character" w:customStyle="1" w:styleId="HeaderChar">
    <w:name w:val="Header Char"/>
    <w:basedOn w:val="DefaultParagraphFont"/>
    <w:link w:val="Header"/>
    <w:uiPriority w:val="99"/>
    <w:rsid w:val="00130923"/>
  </w:style>
  <w:style w:type="paragraph" w:styleId="Footer">
    <w:name w:val="footer"/>
    <w:basedOn w:val="Normal"/>
    <w:link w:val="FooterChar"/>
    <w:uiPriority w:val="99"/>
    <w:unhideWhenUsed/>
    <w:rsid w:val="00130923"/>
    <w:pPr>
      <w:tabs>
        <w:tab w:val="center" w:pos="4513"/>
        <w:tab w:val="right" w:pos="9026"/>
      </w:tabs>
    </w:pPr>
  </w:style>
  <w:style w:type="character" w:customStyle="1" w:styleId="FooterChar">
    <w:name w:val="Footer Char"/>
    <w:basedOn w:val="DefaultParagraphFont"/>
    <w:link w:val="Footer"/>
    <w:uiPriority w:val="99"/>
    <w:rsid w:val="00130923"/>
  </w:style>
  <w:style w:type="paragraph" w:styleId="TOC1">
    <w:name w:val="toc 1"/>
    <w:basedOn w:val="Normal"/>
    <w:next w:val="Normal"/>
    <w:autoRedefine/>
    <w:uiPriority w:val="39"/>
    <w:unhideWhenUsed/>
    <w:rsid w:val="00EF4A38"/>
    <w:pPr>
      <w:spacing w:after="100"/>
    </w:pPr>
  </w:style>
  <w:style w:type="paragraph" w:styleId="TOC2">
    <w:name w:val="toc 2"/>
    <w:basedOn w:val="Normal"/>
    <w:next w:val="Normal"/>
    <w:autoRedefine/>
    <w:uiPriority w:val="39"/>
    <w:unhideWhenUsed/>
    <w:rsid w:val="00EF4A38"/>
    <w:pPr>
      <w:spacing w:after="100"/>
      <w:ind w:left="220"/>
    </w:pPr>
  </w:style>
  <w:style w:type="paragraph" w:styleId="TOC3">
    <w:name w:val="toc 3"/>
    <w:basedOn w:val="Normal"/>
    <w:next w:val="Normal"/>
    <w:autoRedefine/>
    <w:uiPriority w:val="39"/>
    <w:unhideWhenUsed/>
    <w:rsid w:val="00EF4A38"/>
    <w:pPr>
      <w:spacing w:after="100"/>
      <w:ind w:left="440"/>
    </w:pPr>
  </w:style>
  <w:style w:type="paragraph" w:styleId="Caption">
    <w:name w:val="caption"/>
    <w:basedOn w:val="Heading4"/>
    <w:next w:val="Normal"/>
    <w:uiPriority w:val="35"/>
    <w:unhideWhenUsed/>
    <w:rsid w:val="00B2722A"/>
    <w:rPr>
      <w:i w:val="0"/>
    </w:rPr>
  </w:style>
  <w:style w:type="paragraph" w:customStyle="1" w:styleId="Source">
    <w:name w:val="Source"/>
    <w:basedOn w:val="Normal"/>
    <w:qFormat/>
    <w:rsid w:val="00B2722A"/>
    <w:rPr>
      <w:rFonts w:cstheme="minorHAnsi"/>
      <w:b/>
      <w:sz w:val="20"/>
      <w:szCs w:val="20"/>
    </w:rPr>
  </w:style>
  <w:style w:type="character" w:styleId="PlaceholderText">
    <w:name w:val="Placeholder Text"/>
    <w:basedOn w:val="DefaultParagraphFont"/>
    <w:uiPriority w:val="99"/>
    <w:semiHidden/>
    <w:rsid w:val="00BA282D"/>
    <w:rPr>
      <w:color w:val="808080"/>
    </w:rPr>
  </w:style>
  <w:style w:type="paragraph" w:customStyle="1" w:styleId="DeleteText">
    <w:name w:val="Delete Text"/>
    <w:basedOn w:val="Normal"/>
    <w:qFormat/>
    <w:rsid w:val="00F74011"/>
    <w:rPr>
      <w:color w:val="7030A0"/>
    </w:rPr>
  </w:style>
  <w:style w:type="character" w:styleId="CommentReference">
    <w:name w:val="annotation reference"/>
    <w:rsid w:val="000436B3"/>
    <w:rPr>
      <w:sz w:val="16"/>
      <w:szCs w:val="16"/>
    </w:rPr>
  </w:style>
  <w:style w:type="paragraph" w:styleId="CommentText">
    <w:name w:val="annotation text"/>
    <w:basedOn w:val="Normal"/>
    <w:link w:val="CommentTextChar"/>
    <w:rsid w:val="000436B3"/>
    <w:pPr>
      <w:widowControl w:val="0"/>
      <w:jc w:val="both"/>
    </w:pPr>
    <w:rPr>
      <w:rFonts w:ascii="Century" w:eastAsia="MS Mincho" w:hAnsi="Century"/>
      <w:kern w:val="2"/>
      <w:sz w:val="20"/>
      <w:szCs w:val="20"/>
      <w:lang w:val="en-US" w:eastAsia="ja-JP"/>
    </w:rPr>
  </w:style>
  <w:style w:type="character" w:customStyle="1" w:styleId="CommentTextChar">
    <w:name w:val="Comment Text Char"/>
    <w:basedOn w:val="DefaultParagraphFont"/>
    <w:link w:val="CommentText"/>
    <w:rsid w:val="000436B3"/>
    <w:rPr>
      <w:rFonts w:ascii="Century" w:eastAsia="MS Mincho" w:hAnsi="Century" w:cs="Times New Roman"/>
      <w:kern w:val="2"/>
      <w:sz w:val="20"/>
      <w:szCs w:val="20"/>
      <w:lang w:val="en-US" w:eastAsia="ja-JP"/>
    </w:rPr>
  </w:style>
  <w:style w:type="paragraph" w:customStyle="1" w:styleId="Alertheading">
    <w:name w:val="Alert heading"/>
    <w:next w:val="Normal"/>
    <w:rsid w:val="000436B3"/>
    <w:pPr>
      <w:spacing w:before="120" w:after="0" w:line="240" w:lineRule="auto"/>
    </w:pPr>
    <w:rPr>
      <w:rFonts w:ascii="Verdana" w:eastAsia="MS Mincho" w:hAnsi="Verdana" w:cs="Times New Roman"/>
      <w:b/>
      <w:sz w:val="32"/>
      <w:szCs w:val="20"/>
      <w:lang w:eastAsia="en-AU"/>
    </w:rPr>
  </w:style>
  <w:style w:type="paragraph" w:customStyle="1" w:styleId="Alerttext">
    <w:name w:val="Alert text"/>
    <w:rsid w:val="000436B3"/>
    <w:pPr>
      <w:spacing w:after="120" w:line="240" w:lineRule="auto"/>
    </w:pPr>
    <w:rPr>
      <w:rFonts w:ascii="Verdana" w:eastAsia="MS Mincho" w:hAnsi="Verdana" w:cs="Times New Roman"/>
      <w:sz w:val="28"/>
      <w:szCs w:val="20"/>
      <w:lang w:eastAsia="en-AU"/>
    </w:rPr>
  </w:style>
  <w:style w:type="paragraph" w:styleId="NormalWeb">
    <w:name w:val="Normal (Web)"/>
    <w:basedOn w:val="Normal"/>
    <w:uiPriority w:val="99"/>
    <w:unhideWhenUsed/>
    <w:rsid w:val="00812EB9"/>
    <w:pPr>
      <w:textAlignment w:val="baseline"/>
    </w:pPr>
    <w:rPr>
      <w:lang w:eastAsia="en-AU"/>
    </w:rPr>
  </w:style>
  <w:style w:type="table" w:styleId="LightShading-Accent2">
    <w:name w:val="Light Shading Accent 2"/>
    <w:basedOn w:val="TableNormal"/>
    <w:uiPriority w:val="60"/>
    <w:rsid w:val="00726D35"/>
    <w:pPr>
      <w:spacing w:after="0" w:line="240" w:lineRule="auto"/>
    </w:pPr>
    <w:rPr>
      <w:color w:val="422856" w:themeColor="accent2" w:themeShade="BF"/>
    </w:rPr>
    <w:tblPr>
      <w:tblStyleRowBandSize w:val="1"/>
      <w:tblStyleColBandSize w:val="1"/>
      <w:tblBorders>
        <w:top w:val="single" w:sz="8" w:space="0" w:color="593674" w:themeColor="accent2"/>
        <w:bottom w:val="single" w:sz="8" w:space="0" w:color="593674" w:themeColor="accent2"/>
      </w:tblBorders>
    </w:tblPr>
    <w:tblStylePr w:type="firstRow">
      <w:pPr>
        <w:spacing w:before="0" w:after="0" w:line="240" w:lineRule="auto"/>
      </w:pPr>
      <w:rPr>
        <w:b/>
        <w:bCs/>
      </w:rPr>
      <w:tblPr/>
      <w:tcPr>
        <w:tcBorders>
          <w:top w:val="single" w:sz="8" w:space="0" w:color="593674" w:themeColor="accent2"/>
          <w:left w:val="nil"/>
          <w:bottom w:val="single" w:sz="8" w:space="0" w:color="593674" w:themeColor="accent2"/>
          <w:right w:val="nil"/>
          <w:insideH w:val="nil"/>
          <w:insideV w:val="nil"/>
        </w:tcBorders>
      </w:tcPr>
    </w:tblStylePr>
    <w:tblStylePr w:type="lastRow">
      <w:pPr>
        <w:spacing w:before="0" w:after="0" w:line="240" w:lineRule="auto"/>
      </w:pPr>
      <w:rPr>
        <w:b/>
        <w:bCs/>
      </w:rPr>
      <w:tblPr/>
      <w:tcPr>
        <w:tcBorders>
          <w:top w:val="single" w:sz="8" w:space="0" w:color="593674" w:themeColor="accent2"/>
          <w:left w:val="nil"/>
          <w:bottom w:val="single" w:sz="8" w:space="0" w:color="593674"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C5E4" w:themeFill="accent2" w:themeFillTint="3F"/>
      </w:tcPr>
    </w:tblStylePr>
    <w:tblStylePr w:type="band1Horz">
      <w:tblPr/>
      <w:tcPr>
        <w:tcBorders>
          <w:left w:val="nil"/>
          <w:right w:val="nil"/>
          <w:insideH w:val="nil"/>
          <w:insideV w:val="nil"/>
        </w:tcBorders>
        <w:shd w:val="clear" w:color="auto" w:fill="D6C5E4" w:themeFill="accent2" w:themeFillTint="3F"/>
      </w:tcPr>
    </w:tblStylePr>
  </w:style>
  <w:style w:type="paragraph" w:customStyle="1" w:styleId="Listparag">
    <w:name w:val="List parag"/>
    <w:basedOn w:val="ListParagraph"/>
    <w:link w:val="ListparagChar"/>
    <w:qFormat/>
    <w:rsid w:val="007B5A84"/>
    <w:pPr>
      <w:numPr>
        <w:numId w:val="4"/>
      </w:numPr>
      <w:spacing w:after="120" w:line="264" w:lineRule="auto"/>
      <w:contextualSpacing w:val="0"/>
    </w:pPr>
    <w:rPr>
      <w:rFonts w:ascii="Arial" w:hAnsi="Arial" w:cs="Arial"/>
      <w:lang w:eastAsia="en-GB"/>
    </w:rPr>
  </w:style>
  <w:style w:type="character" w:customStyle="1" w:styleId="ListparagChar">
    <w:name w:val="List parag Char"/>
    <w:basedOn w:val="DefaultParagraphFont"/>
    <w:link w:val="Listparag"/>
    <w:rsid w:val="007B5A84"/>
    <w:rPr>
      <w:rFonts w:ascii="Arial" w:eastAsia="Times New Roman" w:hAnsi="Arial" w:cs="Arial"/>
      <w:sz w:val="24"/>
      <w:szCs w:val="24"/>
      <w:lang w:val="en-GB" w:eastAsia="en-GB"/>
    </w:rPr>
  </w:style>
  <w:style w:type="character" w:styleId="UnresolvedMention">
    <w:name w:val="Unresolved Mention"/>
    <w:basedOn w:val="DefaultParagraphFont"/>
    <w:uiPriority w:val="99"/>
    <w:semiHidden/>
    <w:unhideWhenUsed/>
    <w:rsid w:val="00C83F31"/>
    <w:rPr>
      <w:color w:val="605E5C"/>
      <w:shd w:val="clear" w:color="auto" w:fill="E1DFDD"/>
    </w:rPr>
  </w:style>
  <w:style w:type="paragraph" w:customStyle="1" w:styleId="Nornal">
    <w:name w:val="Nornal"/>
    <w:basedOn w:val="Normal"/>
    <w:link w:val="NornalChar"/>
    <w:qFormat/>
    <w:rsid w:val="00987FB4"/>
    <w:pPr>
      <w:spacing w:after="160" w:line="264" w:lineRule="auto"/>
    </w:pPr>
    <w:rPr>
      <w:rFonts w:ascii="Arial" w:eastAsiaTheme="minorHAnsi" w:hAnsi="Arial" w:cs="Arial"/>
    </w:rPr>
  </w:style>
  <w:style w:type="character" w:customStyle="1" w:styleId="NornalChar">
    <w:name w:val="Nornal Char"/>
    <w:basedOn w:val="DefaultParagraphFont"/>
    <w:link w:val="Nornal"/>
    <w:rsid w:val="00987FB4"/>
    <w:rPr>
      <w:rFonts w:ascii="Arial" w:eastAsiaTheme="minorHAnsi" w:hAnsi="Arial" w:cs="Arial"/>
      <w:lang w:val="en-GB"/>
    </w:rPr>
  </w:style>
  <w:style w:type="character" w:styleId="FollowedHyperlink">
    <w:name w:val="FollowedHyperlink"/>
    <w:basedOn w:val="DefaultParagraphFont"/>
    <w:uiPriority w:val="99"/>
    <w:semiHidden/>
    <w:unhideWhenUsed/>
    <w:rsid w:val="008720C2"/>
    <w:rPr>
      <w:color w:val="000000" w:themeColor="followedHyperlink"/>
      <w:u w:val="single"/>
    </w:rPr>
  </w:style>
  <w:style w:type="paragraph" w:customStyle="1" w:styleId="muitypography-root">
    <w:name w:val="muitypography-root"/>
    <w:basedOn w:val="Normal"/>
    <w:rsid w:val="0065645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49481">
      <w:bodyDiv w:val="1"/>
      <w:marLeft w:val="0"/>
      <w:marRight w:val="0"/>
      <w:marTop w:val="0"/>
      <w:marBottom w:val="0"/>
      <w:divBdr>
        <w:top w:val="none" w:sz="0" w:space="0" w:color="auto"/>
        <w:left w:val="none" w:sz="0" w:space="0" w:color="auto"/>
        <w:bottom w:val="none" w:sz="0" w:space="0" w:color="auto"/>
        <w:right w:val="none" w:sz="0" w:space="0" w:color="auto"/>
      </w:divBdr>
    </w:div>
    <w:div w:id="80565278">
      <w:bodyDiv w:val="1"/>
      <w:marLeft w:val="0"/>
      <w:marRight w:val="0"/>
      <w:marTop w:val="0"/>
      <w:marBottom w:val="0"/>
      <w:divBdr>
        <w:top w:val="none" w:sz="0" w:space="0" w:color="auto"/>
        <w:left w:val="none" w:sz="0" w:space="0" w:color="auto"/>
        <w:bottom w:val="none" w:sz="0" w:space="0" w:color="auto"/>
        <w:right w:val="none" w:sz="0" w:space="0" w:color="auto"/>
      </w:divBdr>
    </w:div>
    <w:div w:id="165095870">
      <w:bodyDiv w:val="1"/>
      <w:marLeft w:val="0"/>
      <w:marRight w:val="0"/>
      <w:marTop w:val="0"/>
      <w:marBottom w:val="0"/>
      <w:divBdr>
        <w:top w:val="none" w:sz="0" w:space="0" w:color="auto"/>
        <w:left w:val="none" w:sz="0" w:space="0" w:color="auto"/>
        <w:bottom w:val="none" w:sz="0" w:space="0" w:color="auto"/>
        <w:right w:val="none" w:sz="0" w:space="0" w:color="auto"/>
      </w:divBdr>
    </w:div>
    <w:div w:id="174614364">
      <w:bodyDiv w:val="1"/>
      <w:marLeft w:val="0"/>
      <w:marRight w:val="0"/>
      <w:marTop w:val="0"/>
      <w:marBottom w:val="0"/>
      <w:divBdr>
        <w:top w:val="none" w:sz="0" w:space="0" w:color="auto"/>
        <w:left w:val="none" w:sz="0" w:space="0" w:color="auto"/>
        <w:bottom w:val="none" w:sz="0" w:space="0" w:color="auto"/>
        <w:right w:val="none" w:sz="0" w:space="0" w:color="auto"/>
      </w:divBdr>
    </w:div>
    <w:div w:id="184365507">
      <w:bodyDiv w:val="1"/>
      <w:marLeft w:val="0"/>
      <w:marRight w:val="0"/>
      <w:marTop w:val="0"/>
      <w:marBottom w:val="0"/>
      <w:divBdr>
        <w:top w:val="none" w:sz="0" w:space="0" w:color="auto"/>
        <w:left w:val="none" w:sz="0" w:space="0" w:color="auto"/>
        <w:bottom w:val="none" w:sz="0" w:space="0" w:color="auto"/>
        <w:right w:val="none" w:sz="0" w:space="0" w:color="auto"/>
      </w:divBdr>
    </w:div>
    <w:div w:id="201285872">
      <w:bodyDiv w:val="1"/>
      <w:marLeft w:val="0"/>
      <w:marRight w:val="0"/>
      <w:marTop w:val="0"/>
      <w:marBottom w:val="0"/>
      <w:divBdr>
        <w:top w:val="none" w:sz="0" w:space="0" w:color="auto"/>
        <w:left w:val="none" w:sz="0" w:space="0" w:color="auto"/>
        <w:bottom w:val="none" w:sz="0" w:space="0" w:color="auto"/>
        <w:right w:val="none" w:sz="0" w:space="0" w:color="auto"/>
      </w:divBdr>
    </w:div>
    <w:div w:id="272250600">
      <w:bodyDiv w:val="1"/>
      <w:marLeft w:val="0"/>
      <w:marRight w:val="0"/>
      <w:marTop w:val="0"/>
      <w:marBottom w:val="0"/>
      <w:divBdr>
        <w:top w:val="none" w:sz="0" w:space="0" w:color="auto"/>
        <w:left w:val="none" w:sz="0" w:space="0" w:color="auto"/>
        <w:bottom w:val="none" w:sz="0" w:space="0" w:color="auto"/>
        <w:right w:val="none" w:sz="0" w:space="0" w:color="auto"/>
      </w:divBdr>
    </w:div>
    <w:div w:id="339739510">
      <w:bodyDiv w:val="1"/>
      <w:marLeft w:val="0"/>
      <w:marRight w:val="0"/>
      <w:marTop w:val="0"/>
      <w:marBottom w:val="0"/>
      <w:divBdr>
        <w:top w:val="none" w:sz="0" w:space="0" w:color="auto"/>
        <w:left w:val="none" w:sz="0" w:space="0" w:color="auto"/>
        <w:bottom w:val="none" w:sz="0" w:space="0" w:color="auto"/>
        <w:right w:val="none" w:sz="0" w:space="0" w:color="auto"/>
      </w:divBdr>
    </w:div>
    <w:div w:id="368651927">
      <w:bodyDiv w:val="1"/>
      <w:marLeft w:val="0"/>
      <w:marRight w:val="0"/>
      <w:marTop w:val="0"/>
      <w:marBottom w:val="0"/>
      <w:divBdr>
        <w:top w:val="none" w:sz="0" w:space="0" w:color="auto"/>
        <w:left w:val="none" w:sz="0" w:space="0" w:color="auto"/>
        <w:bottom w:val="none" w:sz="0" w:space="0" w:color="auto"/>
        <w:right w:val="none" w:sz="0" w:space="0" w:color="auto"/>
      </w:divBdr>
    </w:div>
    <w:div w:id="427121517">
      <w:bodyDiv w:val="1"/>
      <w:marLeft w:val="0"/>
      <w:marRight w:val="0"/>
      <w:marTop w:val="0"/>
      <w:marBottom w:val="0"/>
      <w:divBdr>
        <w:top w:val="none" w:sz="0" w:space="0" w:color="auto"/>
        <w:left w:val="none" w:sz="0" w:space="0" w:color="auto"/>
        <w:bottom w:val="none" w:sz="0" w:space="0" w:color="auto"/>
        <w:right w:val="none" w:sz="0" w:space="0" w:color="auto"/>
      </w:divBdr>
    </w:div>
    <w:div w:id="468671206">
      <w:bodyDiv w:val="1"/>
      <w:marLeft w:val="0"/>
      <w:marRight w:val="0"/>
      <w:marTop w:val="0"/>
      <w:marBottom w:val="0"/>
      <w:divBdr>
        <w:top w:val="none" w:sz="0" w:space="0" w:color="auto"/>
        <w:left w:val="none" w:sz="0" w:space="0" w:color="auto"/>
        <w:bottom w:val="none" w:sz="0" w:space="0" w:color="auto"/>
        <w:right w:val="none" w:sz="0" w:space="0" w:color="auto"/>
      </w:divBdr>
    </w:div>
    <w:div w:id="490484698">
      <w:bodyDiv w:val="1"/>
      <w:marLeft w:val="0"/>
      <w:marRight w:val="0"/>
      <w:marTop w:val="0"/>
      <w:marBottom w:val="0"/>
      <w:divBdr>
        <w:top w:val="none" w:sz="0" w:space="0" w:color="auto"/>
        <w:left w:val="none" w:sz="0" w:space="0" w:color="auto"/>
        <w:bottom w:val="none" w:sz="0" w:space="0" w:color="auto"/>
        <w:right w:val="none" w:sz="0" w:space="0" w:color="auto"/>
      </w:divBdr>
    </w:div>
    <w:div w:id="496531301">
      <w:bodyDiv w:val="1"/>
      <w:marLeft w:val="0"/>
      <w:marRight w:val="0"/>
      <w:marTop w:val="0"/>
      <w:marBottom w:val="0"/>
      <w:divBdr>
        <w:top w:val="none" w:sz="0" w:space="0" w:color="auto"/>
        <w:left w:val="none" w:sz="0" w:space="0" w:color="auto"/>
        <w:bottom w:val="none" w:sz="0" w:space="0" w:color="auto"/>
        <w:right w:val="none" w:sz="0" w:space="0" w:color="auto"/>
      </w:divBdr>
    </w:div>
    <w:div w:id="558439265">
      <w:bodyDiv w:val="1"/>
      <w:marLeft w:val="0"/>
      <w:marRight w:val="0"/>
      <w:marTop w:val="0"/>
      <w:marBottom w:val="0"/>
      <w:divBdr>
        <w:top w:val="none" w:sz="0" w:space="0" w:color="auto"/>
        <w:left w:val="none" w:sz="0" w:space="0" w:color="auto"/>
        <w:bottom w:val="none" w:sz="0" w:space="0" w:color="auto"/>
        <w:right w:val="none" w:sz="0" w:space="0" w:color="auto"/>
      </w:divBdr>
    </w:div>
    <w:div w:id="632250106">
      <w:bodyDiv w:val="1"/>
      <w:marLeft w:val="0"/>
      <w:marRight w:val="0"/>
      <w:marTop w:val="0"/>
      <w:marBottom w:val="0"/>
      <w:divBdr>
        <w:top w:val="none" w:sz="0" w:space="0" w:color="auto"/>
        <w:left w:val="none" w:sz="0" w:space="0" w:color="auto"/>
        <w:bottom w:val="none" w:sz="0" w:space="0" w:color="auto"/>
        <w:right w:val="none" w:sz="0" w:space="0" w:color="auto"/>
      </w:divBdr>
    </w:div>
    <w:div w:id="651494659">
      <w:bodyDiv w:val="1"/>
      <w:marLeft w:val="0"/>
      <w:marRight w:val="0"/>
      <w:marTop w:val="0"/>
      <w:marBottom w:val="0"/>
      <w:divBdr>
        <w:top w:val="none" w:sz="0" w:space="0" w:color="auto"/>
        <w:left w:val="none" w:sz="0" w:space="0" w:color="auto"/>
        <w:bottom w:val="none" w:sz="0" w:space="0" w:color="auto"/>
        <w:right w:val="none" w:sz="0" w:space="0" w:color="auto"/>
      </w:divBdr>
    </w:div>
    <w:div w:id="680085840">
      <w:bodyDiv w:val="1"/>
      <w:marLeft w:val="0"/>
      <w:marRight w:val="0"/>
      <w:marTop w:val="0"/>
      <w:marBottom w:val="0"/>
      <w:divBdr>
        <w:top w:val="none" w:sz="0" w:space="0" w:color="auto"/>
        <w:left w:val="none" w:sz="0" w:space="0" w:color="auto"/>
        <w:bottom w:val="none" w:sz="0" w:space="0" w:color="auto"/>
        <w:right w:val="none" w:sz="0" w:space="0" w:color="auto"/>
      </w:divBdr>
    </w:div>
    <w:div w:id="688528140">
      <w:bodyDiv w:val="1"/>
      <w:marLeft w:val="0"/>
      <w:marRight w:val="0"/>
      <w:marTop w:val="0"/>
      <w:marBottom w:val="0"/>
      <w:divBdr>
        <w:top w:val="none" w:sz="0" w:space="0" w:color="auto"/>
        <w:left w:val="none" w:sz="0" w:space="0" w:color="auto"/>
        <w:bottom w:val="none" w:sz="0" w:space="0" w:color="auto"/>
        <w:right w:val="none" w:sz="0" w:space="0" w:color="auto"/>
      </w:divBdr>
      <w:divsChild>
        <w:div w:id="944264185">
          <w:marLeft w:val="0"/>
          <w:marRight w:val="0"/>
          <w:marTop w:val="0"/>
          <w:marBottom w:val="0"/>
          <w:divBdr>
            <w:top w:val="none" w:sz="0" w:space="0" w:color="auto"/>
            <w:left w:val="none" w:sz="0" w:space="0" w:color="auto"/>
            <w:bottom w:val="none" w:sz="0" w:space="0" w:color="auto"/>
            <w:right w:val="none" w:sz="0" w:space="0" w:color="auto"/>
          </w:divBdr>
          <w:divsChild>
            <w:div w:id="1317995205">
              <w:marLeft w:val="0"/>
              <w:marRight w:val="0"/>
              <w:marTop w:val="0"/>
              <w:marBottom w:val="0"/>
              <w:divBdr>
                <w:top w:val="none" w:sz="0" w:space="0" w:color="auto"/>
                <w:left w:val="none" w:sz="0" w:space="0" w:color="auto"/>
                <w:bottom w:val="none" w:sz="0" w:space="0" w:color="auto"/>
                <w:right w:val="none" w:sz="0" w:space="0" w:color="auto"/>
              </w:divBdr>
              <w:divsChild>
                <w:div w:id="1701784958">
                  <w:marLeft w:val="0"/>
                  <w:marRight w:val="0"/>
                  <w:marTop w:val="0"/>
                  <w:marBottom w:val="0"/>
                  <w:divBdr>
                    <w:top w:val="none" w:sz="0" w:space="0" w:color="auto"/>
                    <w:left w:val="none" w:sz="0" w:space="0" w:color="auto"/>
                    <w:bottom w:val="none" w:sz="0" w:space="0" w:color="auto"/>
                    <w:right w:val="none" w:sz="0" w:space="0" w:color="auto"/>
                  </w:divBdr>
                  <w:divsChild>
                    <w:div w:id="1399743571">
                      <w:marLeft w:val="0"/>
                      <w:marRight w:val="0"/>
                      <w:marTop w:val="0"/>
                      <w:marBottom w:val="0"/>
                      <w:divBdr>
                        <w:top w:val="none" w:sz="0" w:space="0" w:color="auto"/>
                        <w:left w:val="none" w:sz="0" w:space="0" w:color="auto"/>
                        <w:bottom w:val="none" w:sz="0" w:space="0" w:color="auto"/>
                        <w:right w:val="none" w:sz="0" w:space="0" w:color="auto"/>
                      </w:divBdr>
                      <w:divsChild>
                        <w:div w:id="188359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4717327">
      <w:bodyDiv w:val="1"/>
      <w:marLeft w:val="0"/>
      <w:marRight w:val="0"/>
      <w:marTop w:val="0"/>
      <w:marBottom w:val="0"/>
      <w:divBdr>
        <w:top w:val="none" w:sz="0" w:space="0" w:color="auto"/>
        <w:left w:val="none" w:sz="0" w:space="0" w:color="auto"/>
        <w:bottom w:val="none" w:sz="0" w:space="0" w:color="auto"/>
        <w:right w:val="none" w:sz="0" w:space="0" w:color="auto"/>
      </w:divBdr>
      <w:divsChild>
        <w:div w:id="1748191091">
          <w:marLeft w:val="0"/>
          <w:marRight w:val="0"/>
          <w:marTop w:val="0"/>
          <w:marBottom w:val="240"/>
          <w:divBdr>
            <w:top w:val="none" w:sz="0" w:space="0" w:color="auto"/>
            <w:left w:val="none" w:sz="0" w:space="0" w:color="auto"/>
            <w:bottom w:val="none" w:sz="0" w:space="0" w:color="auto"/>
            <w:right w:val="none" w:sz="0" w:space="0" w:color="auto"/>
          </w:divBdr>
        </w:div>
      </w:divsChild>
    </w:div>
    <w:div w:id="707343358">
      <w:bodyDiv w:val="1"/>
      <w:marLeft w:val="0"/>
      <w:marRight w:val="0"/>
      <w:marTop w:val="0"/>
      <w:marBottom w:val="0"/>
      <w:divBdr>
        <w:top w:val="none" w:sz="0" w:space="0" w:color="auto"/>
        <w:left w:val="none" w:sz="0" w:space="0" w:color="auto"/>
        <w:bottom w:val="none" w:sz="0" w:space="0" w:color="auto"/>
        <w:right w:val="none" w:sz="0" w:space="0" w:color="auto"/>
      </w:divBdr>
    </w:div>
    <w:div w:id="731194123">
      <w:bodyDiv w:val="1"/>
      <w:marLeft w:val="0"/>
      <w:marRight w:val="0"/>
      <w:marTop w:val="0"/>
      <w:marBottom w:val="0"/>
      <w:divBdr>
        <w:top w:val="none" w:sz="0" w:space="0" w:color="auto"/>
        <w:left w:val="none" w:sz="0" w:space="0" w:color="auto"/>
        <w:bottom w:val="none" w:sz="0" w:space="0" w:color="auto"/>
        <w:right w:val="none" w:sz="0" w:space="0" w:color="auto"/>
      </w:divBdr>
    </w:div>
    <w:div w:id="796919675">
      <w:bodyDiv w:val="1"/>
      <w:marLeft w:val="0"/>
      <w:marRight w:val="0"/>
      <w:marTop w:val="0"/>
      <w:marBottom w:val="0"/>
      <w:divBdr>
        <w:top w:val="none" w:sz="0" w:space="0" w:color="auto"/>
        <w:left w:val="none" w:sz="0" w:space="0" w:color="auto"/>
        <w:bottom w:val="none" w:sz="0" w:space="0" w:color="auto"/>
        <w:right w:val="none" w:sz="0" w:space="0" w:color="auto"/>
      </w:divBdr>
    </w:div>
    <w:div w:id="818956241">
      <w:bodyDiv w:val="1"/>
      <w:marLeft w:val="0"/>
      <w:marRight w:val="0"/>
      <w:marTop w:val="0"/>
      <w:marBottom w:val="0"/>
      <w:divBdr>
        <w:top w:val="none" w:sz="0" w:space="0" w:color="auto"/>
        <w:left w:val="none" w:sz="0" w:space="0" w:color="auto"/>
        <w:bottom w:val="none" w:sz="0" w:space="0" w:color="auto"/>
        <w:right w:val="none" w:sz="0" w:space="0" w:color="auto"/>
      </w:divBdr>
    </w:div>
    <w:div w:id="851722660">
      <w:bodyDiv w:val="1"/>
      <w:marLeft w:val="0"/>
      <w:marRight w:val="0"/>
      <w:marTop w:val="0"/>
      <w:marBottom w:val="0"/>
      <w:divBdr>
        <w:top w:val="none" w:sz="0" w:space="0" w:color="auto"/>
        <w:left w:val="none" w:sz="0" w:space="0" w:color="auto"/>
        <w:bottom w:val="none" w:sz="0" w:space="0" w:color="auto"/>
        <w:right w:val="none" w:sz="0" w:space="0" w:color="auto"/>
      </w:divBdr>
    </w:div>
    <w:div w:id="863708586">
      <w:bodyDiv w:val="1"/>
      <w:marLeft w:val="0"/>
      <w:marRight w:val="0"/>
      <w:marTop w:val="0"/>
      <w:marBottom w:val="0"/>
      <w:divBdr>
        <w:top w:val="none" w:sz="0" w:space="0" w:color="auto"/>
        <w:left w:val="none" w:sz="0" w:space="0" w:color="auto"/>
        <w:bottom w:val="none" w:sz="0" w:space="0" w:color="auto"/>
        <w:right w:val="none" w:sz="0" w:space="0" w:color="auto"/>
      </w:divBdr>
    </w:div>
    <w:div w:id="885485509">
      <w:bodyDiv w:val="1"/>
      <w:marLeft w:val="0"/>
      <w:marRight w:val="0"/>
      <w:marTop w:val="0"/>
      <w:marBottom w:val="0"/>
      <w:divBdr>
        <w:top w:val="none" w:sz="0" w:space="0" w:color="auto"/>
        <w:left w:val="none" w:sz="0" w:space="0" w:color="auto"/>
        <w:bottom w:val="none" w:sz="0" w:space="0" w:color="auto"/>
        <w:right w:val="none" w:sz="0" w:space="0" w:color="auto"/>
      </w:divBdr>
    </w:div>
    <w:div w:id="1007172956">
      <w:bodyDiv w:val="1"/>
      <w:marLeft w:val="0"/>
      <w:marRight w:val="0"/>
      <w:marTop w:val="0"/>
      <w:marBottom w:val="0"/>
      <w:divBdr>
        <w:top w:val="none" w:sz="0" w:space="0" w:color="auto"/>
        <w:left w:val="none" w:sz="0" w:space="0" w:color="auto"/>
        <w:bottom w:val="none" w:sz="0" w:space="0" w:color="auto"/>
        <w:right w:val="none" w:sz="0" w:space="0" w:color="auto"/>
      </w:divBdr>
    </w:div>
    <w:div w:id="1014764030">
      <w:bodyDiv w:val="1"/>
      <w:marLeft w:val="0"/>
      <w:marRight w:val="0"/>
      <w:marTop w:val="0"/>
      <w:marBottom w:val="0"/>
      <w:divBdr>
        <w:top w:val="none" w:sz="0" w:space="0" w:color="auto"/>
        <w:left w:val="none" w:sz="0" w:space="0" w:color="auto"/>
        <w:bottom w:val="none" w:sz="0" w:space="0" w:color="auto"/>
        <w:right w:val="none" w:sz="0" w:space="0" w:color="auto"/>
      </w:divBdr>
    </w:div>
    <w:div w:id="1097867983">
      <w:bodyDiv w:val="1"/>
      <w:marLeft w:val="0"/>
      <w:marRight w:val="0"/>
      <w:marTop w:val="0"/>
      <w:marBottom w:val="0"/>
      <w:divBdr>
        <w:top w:val="none" w:sz="0" w:space="0" w:color="auto"/>
        <w:left w:val="none" w:sz="0" w:space="0" w:color="auto"/>
        <w:bottom w:val="none" w:sz="0" w:space="0" w:color="auto"/>
        <w:right w:val="none" w:sz="0" w:space="0" w:color="auto"/>
      </w:divBdr>
    </w:div>
    <w:div w:id="1140922271">
      <w:bodyDiv w:val="1"/>
      <w:marLeft w:val="0"/>
      <w:marRight w:val="0"/>
      <w:marTop w:val="0"/>
      <w:marBottom w:val="0"/>
      <w:divBdr>
        <w:top w:val="none" w:sz="0" w:space="0" w:color="auto"/>
        <w:left w:val="none" w:sz="0" w:space="0" w:color="auto"/>
        <w:bottom w:val="none" w:sz="0" w:space="0" w:color="auto"/>
        <w:right w:val="none" w:sz="0" w:space="0" w:color="auto"/>
      </w:divBdr>
    </w:div>
    <w:div w:id="1165901511">
      <w:bodyDiv w:val="1"/>
      <w:marLeft w:val="0"/>
      <w:marRight w:val="0"/>
      <w:marTop w:val="0"/>
      <w:marBottom w:val="0"/>
      <w:divBdr>
        <w:top w:val="none" w:sz="0" w:space="0" w:color="auto"/>
        <w:left w:val="none" w:sz="0" w:space="0" w:color="auto"/>
        <w:bottom w:val="none" w:sz="0" w:space="0" w:color="auto"/>
        <w:right w:val="none" w:sz="0" w:space="0" w:color="auto"/>
      </w:divBdr>
    </w:div>
    <w:div w:id="1182433162">
      <w:bodyDiv w:val="1"/>
      <w:marLeft w:val="0"/>
      <w:marRight w:val="0"/>
      <w:marTop w:val="0"/>
      <w:marBottom w:val="0"/>
      <w:divBdr>
        <w:top w:val="none" w:sz="0" w:space="0" w:color="auto"/>
        <w:left w:val="none" w:sz="0" w:space="0" w:color="auto"/>
        <w:bottom w:val="none" w:sz="0" w:space="0" w:color="auto"/>
        <w:right w:val="none" w:sz="0" w:space="0" w:color="auto"/>
      </w:divBdr>
    </w:div>
    <w:div w:id="1205217185">
      <w:bodyDiv w:val="1"/>
      <w:marLeft w:val="0"/>
      <w:marRight w:val="0"/>
      <w:marTop w:val="0"/>
      <w:marBottom w:val="0"/>
      <w:divBdr>
        <w:top w:val="none" w:sz="0" w:space="0" w:color="auto"/>
        <w:left w:val="none" w:sz="0" w:space="0" w:color="auto"/>
        <w:bottom w:val="none" w:sz="0" w:space="0" w:color="auto"/>
        <w:right w:val="none" w:sz="0" w:space="0" w:color="auto"/>
      </w:divBdr>
    </w:div>
    <w:div w:id="1234244510">
      <w:bodyDiv w:val="1"/>
      <w:marLeft w:val="0"/>
      <w:marRight w:val="0"/>
      <w:marTop w:val="0"/>
      <w:marBottom w:val="0"/>
      <w:divBdr>
        <w:top w:val="none" w:sz="0" w:space="0" w:color="auto"/>
        <w:left w:val="none" w:sz="0" w:space="0" w:color="auto"/>
        <w:bottom w:val="none" w:sz="0" w:space="0" w:color="auto"/>
        <w:right w:val="none" w:sz="0" w:space="0" w:color="auto"/>
      </w:divBdr>
    </w:div>
    <w:div w:id="1346009546">
      <w:bodyDiv w:val="1"/>
      <w:marLeft w:val="0"/>
      <w:marRight w:val="0"/>
      <w:marTop w:val="0"/>
      <w:marBottom w:val="0"/>
      <w:divBdr>
        <w:top w:val="none" w:sz="0" w:space="0" w:color="auto"/>
        <w:left w:val="none" w:sz="0" w:space="0" w:color="auto"/>
        <w:bottom w:val="none" w:sz="0" w:space="0" w:color="auto"/>
        <w:right w:val="none" w:sz="0" w:space="0" w:color="auto"/>
      </w:divBdr>
    </w:div>
    <w:div w:id="1361974773">
      <w:bodyDiv w:val="1"/>
      <w:marLeft w:val="0"/>
      <w:marRight w:val="0"/>
      <w:marTop w:val="0"/>
      <w:marBottom w:val="0"/>
      <w:divBdr>
        <w:top w:val="none" w:sz="0" w:space="0" w:color="auto"/>
        <w:left w:val="none" w:sz="0" w:space="0" w:color="auto"/>
        <w:bottom w:val="none" w:sz="0" w:space="0" w:color="auto"/>
        <w:right w:val="none" w:sz="0" w:space="0" w:color="auto"/>
      </w:divBdr>
    </w:div>
    <w:div w:id="1487284724">
      <w:bodyDiv w:val="1"/>
      <w:marLeft w:val="0"/>
      <w:marRight w:val="0"/>
      <w:marTop w:val="0"/>
      <w:marBottom w:val="0"/>
      <w:divBdr>
        <w:top w:val="none" w:sz="0" w:space="0" w:color="auto"/>
        <w:left w:val="none" w:sz="0" w:space="0" w:color="auto"/>
        <w:bottom w:val="none" w:sz="0" w:space="0" w:color="auto"/>
        <w:right w:val="none" w:sz="0" w:space="0" w:color="auto"/>
      </w:divBdr>
    </w:div>
    <w:div w:id="1568301500">
      <w:bodyDiv w:val="1"/>
      <w:marLeft w:val="0"/>
      <w:marRight w:val="0"/>
      <w:marTop w:val="0"/>
      <w:marBottom w:val="0"/>
      <w:divBdr>
        <w:top w:val="none" w:sz="0" w:space="0" w:color="auto"/>
        <w:left w:val="none" w:sz="0" w:space="0" w:color="auto"/>
        <w:bottom w:val="none" w:sz="0" w:space="0" w:color="auto"/>
        <w:right w:val="none" w:sz="0" w:space="0" w:color="auto"/>
      </w:divBdr>
    </w:div>
    <w:div w:id="1628125129">
      <w:bodyDiv w:val="1"/>
      <w:marLeft w:val="0"/>
      <w:marRight w:val="0"/>
      <w:marTop w:val="0"/>
      <w:marBottom w:val="0"/>
      <w:divBdr>
        <w:top w:val="none" w:sz="0" w:space="0" w:color="auto"/>
        <w:left w:val="none" w:sz="0" w:space="0" w:color="auto"/>
        <w:bottom w:val="none" w:sz="0" w:space="0" w:color="auto"/>
        <w:right w:val="none" w:sz="0" w:space="0" w:color="auto"/>
      </w:divBdr>
    </w:div>
    <w:div w:id="1682780622">
      <w:bodyDiv w:val="1"/>
      <w:marLeft w:val="0"/>
      <w:marRight w:val="0"/>
      <w:marTop w:val="0"/>
      <w:marBottom w:val="0"/>
      <w:divBdr>
        <w:top w:val="none" w:sz="0" w:space="0" w:color="auto"/>
        <w:left w:val="none" w:sz="0" w:space="0" w:color="auto"/>
        <w:bottom w:val="none" w:sz="0" w:space="0" w:color="auto"/>
        <w:right w:val="none" w:sz="0" w:space="0" w:color="auto"/>
      </w:divBdr>
    </w:div>
    <w:div w:id="1720663591">
      <w:bodyDiv w:val="1"/>
      <w:marLeft w:val="0"/>
      <w:marRight w:val="0"/>
      <w:marTop w:val="0"/>
      <w:marBottom w:val="0"/>
      <w:divBdr>
        <w:top w:val="none" w:sz="0" w:space="0" w:color="auto"/>
        <w:left w:val="none" w:sz="0" w:space="0" w:color="auto"/>
        <w:bottom w:val="none" w:sz="0" w:space="0" w:color="auto"/>
        <w:right w:val="none" w:sz="0" w:space="0" w:color="auto"/>
      </w:divBdr>
    </w:div>
    <w:div w:id="1779986757">
      <w:bodyDiv w:val="1"/>
      <w:marLeft w:val="0"/>
      <w:marRight w:val="0"/>
      <w:marTop w:val="0"/>
      <w:marBottom w:val="0"/>
      <w:divBdr>
        <w:top w:val="none" w:sz="0" w:space="0" w:color="auto"/>
        <w:left w:val="none" w:sz="0" w:space="0" w:color="auto"/>
        <w:bottom w:val="none" w:sz="0" w:space="0" w:color="auto"/>
        <w:right w:val="none" w:sz="0" w:space="0" w:color="auto"/>
      </w:divBdr>
    </w:div>
    <w:div w:id="1858494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RelyOnCS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DEEWR">
      <a:dk1>
        <a:sysClr val="windowText" lastClr="000000"/>
      </a:dk1>
      <a:lt1>
        <a:srgbClr val="7F7F7F"/>
      </a:lt1>
      <a:dk2>
        <a:srgbClr val="165788"/>
      </a:dk2>
      <a:lt2>
        <a:srgbClr val="FFFFFF"/>
      </a:lt2>
      <a:accent1>
        <a:srgbClr val="165788"/>
      </a:accent1>
      <a:accent2>
        <a:srgbClr val="593674"/>
      </a:accent2>
      <a:accent3>
        <a:srgbClr val="478A57"/>
      </a:accent3>
      <a:accent4>
        <a:srgbClr val="969A52"/>
      </a:accent4>
      <a:accent5>
        <a:srgbClr val="CF9A3E"/>
      </a:accent5>
      <a:accent6>
        <a:srgbClr val="A75534"/>
      </a:accent6>
      <a:hlink>
        <a:srgbClr val="165788"/>
      </a:hlink>
      <a:folHlink>
        <a:srgbClr val="00000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B7BAE2FE061684EB3543C79CA2162FA" ma:contentTypeVersion="4" ma:contentTypeDescription="Create a new document." ma:contentTypeScope="" ma:versionID="c0169cb3ec059734b3996919675665a8">
  <xsd:schema xmlns:xsd="http://www.w3.org/2001/XMLSchema" xmlns:xs="http://www.w3.org/2001/XMLSchema" xmlns:p="http://schemas.microsoft.com/office/2006/metadata/properties" xmlns:ns1="http://schemas.microsoft.com/sharepoint/v3" xmlns:ns2="c5a0bbd5-585e-4472-9791-5df67fe41a90" targetNamespace="http://schemas.microsoft.com/office/2006/metadata/properties" ma:root="true" ma:fieldsID="e239c91d44a4bcdb4eb0fe645f6a7a08" ns1:_="" ns2:_="">
    <xsd:import namespace="http://schemas.microsoft.com/sharepoint/v3"/>
    <xsd:import namespace="c5a0bbd5-585e-4472-9791-5df67fe41a90"/>
    <xsd:element name="properties">
      <xsd:complexType>
        <xsd:sequence>
          <xsd:element name="documentManagement">
            <xsd:complexType>
              <xsd:all>
                <xsd:element ref="ns1:PublishingStartDate" minOccurs="0"/>
                <xsd:element ref="ns1:PublishingExpirationDate" minOccurs="0"/>
                <xsd:element ref="ns2:Categories0" minOccurs="0"/>
                <xsd:element ref="ns2:Security_x0020_DLM" minOccurs="0"/>
                <xsd:element ref="ns2:Security_x0020_Classifi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 ma:hidden="true" ma:internalName="PublishingStartDate">
      <xsd:simpleType>
        <xsd:restriction base="dms:Unknown"/>
      </xsd:simpleType>
    </xsd:element>
    <xsd:element name="PublishingExpirationDate" ma:index="9" nillable="true" ma:displayName="Scheduling End Date" ma:description="" ma:hidden="true"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5a0bbd5-585e-4472-9791-5df67fe41a90" elementFormDefault="qualified">
    <xsd:import namespace="http://schemas.microsoft.com/office/2006/documentManagement/types"/>
    <xsd:import namespace="http://schemas.microsoft.com/office/infopath/2007/PartnerControls"/>
    <xsd:element name="Categories0" ma:index="10" nillable="true" ma:displayName="Categories" ma:format="Dropdown" ma:internalName="Categories0">
      <xsd:simpleType>
        <xsd:restriction base="dms:Choice">
          <xsd:enumeration value="Fax"/>
          <xsd:enumeration value="Letter - Deputy or Associate Secretary"/>
          <xsd:enumeration value="Letter - Other"/>
          <xsd:enumeration value="Minutes and meetings"/>
          <xsd:enumeration value="Other"/>
          <xsd:enumeration value="PowerPoint"/>
          <xsd:enumeration value="Secretary"/>
          <xsd:enumeration value="Education - Fax"/>
          <xsd:enumeration value="Education - Letter - Deputy or Associate Secretary"/>
          <xsd:enumeration value="Education - Letter - Other"/>
          <xsd:enumeration value="Education - Minutes and meetings"/>
          <xsd:enumeration value="Education - Other"/>
          <xsd:enumeration value="Education - PowerPoint"/>
          <xsd:enumeration value="Education - Secretary"/>
        </xsd:restriction>
      </xsd:simpleType>
    </xsd:element>
    <xsd:element name="Security_x0020_DLM" ma:index="11" nillable="true" ma:displayName="Security DLM" ma:format="Dropdown" ma:internalName="Security_x0020_DLM">
      <xsd:simpleType>
        <xsd:restriction base="dms:Choice">
          <xsd:enumeration value="For Official Use Only"/>
          <xsd:enumeration value="Sensitive"/>
          <xsd:enumeration value="Sensitive: Personal"/>
          <xsd:enumeration value="Sensitive: Legal"/>
          <xsd:enumeration value="Sensitive: Cabinet"/>
        </xsd:restriction>
      </xsd:simpleType>
    </xsd:element>
    <xsd:element name="Security_x0020_Classification" ma:index="12" nillable="true" ma:displayName="Security Classification" ma:format="Dropdown" ma:internalName="Security_x0020_Classification">
      <xsd:simpleType>
        <xsd:restriction base="dms:Choice">
          <xsd:enumeration value="UNOFFICIAL"/>
          <xsd:enumeration value="UNCLASSIFIED"/>
          <xsd:enumeration value="PROTECTED"/>
          <xsd:enumeration value="CONFIDENTIAL"/>
          <xsd:enumeration value="SECRET"/>
          <xsd:enumeration value="TOP SECRET"/>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Categories0 xmlns="c5a0bbd5-585e-4472-9791-5df67fe41a90">Other</Categories0>
    <PublishingStartDate xmlns="http://schemas.microsoft.com/sharepoint/v3" xsi:nil="true"/>
    <Security_x0020_Classification xmlns="c5a0bbd5-585e-4472-9791-5df67fe41a90" xsi:nil="true"/>
    <Security_x0020_DLM xmlns="c5a0bbd5-585e-4472-9791-5df67fe41a9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C34212-CDED-4AAA-9C45-33D4E2BDD7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c5a0bbd5-585e-4472-9791-5df67fe41a9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7166C5-B1F3-49AB-8928-050D79CFF202}">
  <ds:schemaRefs>
    <ds:schemaRef ds:uri="http://schemas.microsoft.com/office/2006/metadata/properties"/>
    <ds:schemaRef ds:uri="http://schemas.microsoft.com/office/infopath/2007/PartnerControls"/>
    <ds:schemaRef ds:uri="http://schemas.microsoft.com/sharepoint/v3"/>
    <ds:schemaRef ds:uri="c5a0bbd5-585e-4472-9791-5df67fe41a90"/>
  </ds:schemaRefs>
</ds:datastoreItem>
</file>

<file path=customXml/itemProps3.xml><?xml version="1.0" encoding="utf-8"?>
<ds:datastoreItem xmlns:ds="http://schemas.openxmlformats.org/officeDocument/2006/customXml" ds:itemID="{7CF99EFB-7BA9-4984-B5DE-4174A4410E88}">
  <ds:schemaRefs>
    <ds:schemaRef ds:uri="http://schemas.microsoft.com/sharepoint/v3/contenttype/forms"/>
  </ds:schemaRefs>
</ds:datastoreItem>
</file>

<file path=customXml/itemProps4.xml><?xml version="1.0" encoding="utf-8"?>
<ds:datastoreItem xmlns:ds="http://schemas.openxmlformats.org/officeDocument/2006/customXml" ds:itemID="{DF574929-AB44-E146-B883-677390975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772</TotalTime>
  <Pages>10</Pages>
  <Words>4167</Words>
  <Characters>23753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International education: ensuring quality and protecting students</vt:lpstr>
    </vt:vector>
  </TitlesOfParts>
  <Company>Australian Government</Company>
  <LinksUpToDate>false</LinksUpToDate>
  <CharactersWithSpaces>27865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It’s not all smooth-sailing for the RNLI:</dc:title>
  <dc:creator>Andrej  Pavkovic</dc:creator>
  <cp:lastModifiedBy>Rihana Davey</cp:lastModifiedBy>
  <cp:revision>120</cp:revision>
  <cp:lastPrinted>2016-03-23T05:53:00Z</cp:lastPrinted>
  <dcterms:created xsi:type="dcterms:W3CDTF">2022-11-30T17:26:00Z</dcterms:created>
  <dcterms:modified xsi:type="dcterms:W3CDTF">2022-12-10T13:31:00Z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0x010100CB7BAE2FE061684EB3543C79CA2162FA</vt:lpwstr>
  </property>
  <property fmtid="{D5CDD505-2E9C-101B-9397-08002B2CF9AE}" pid="3" name="Order">
    <vt:r8>1800</vt:r8>
  </property>
</Properties>
</file>