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Hyperlink"/>
        <w:tblpPr w:leftFromText="180" w:rightFromText="180" w:vertAnchor="text" w:horzAnchor="margin" w:tblpY="1996"/>
        <w:tblW w:w="0" w:type="auto"/>
        <w:tblLook w:val="04A0" w:firstRow="1" w:lastRow="0" w:firstColumn="1" w:lastColumn="0" w:noHBand="0" w:noVBand="1"/>
      </w:tblPr>
      <w:tblGrid>
        <w:gridCol w:w="1722"/>
        <w:gridCol w:w="3647"/>
        <w:gridCol w:w="3647"/>
      </w:tblGrid>
      <w:tr w:rsidR="000E10C4" w:rsidRPr="00755E37" w14:paraId="6CD78039" w14:textId="77777777" w:rsidTr="000E10C4">
        <w:tc>
          <w:tcPr>
            <w:tcW w:w="1722" w:type="dxa"/>
            <w:tcBorders>
              <w:top w:val="single" w:sz="4" w:space="0" w:color="auto"/>
              <w:left w:val="single" w:sz="4" w:space="0" w:color="auto"/>
              <w:bottom w:val="single" w:sz="4" w:space="0" w:color="auto"/>
              <w:right w:val="single" w:sz="4" w:space="0" w:color="auto"/>
            </w:tcBorders>
          </w:tcPr>
          <w:p w14:paraId="2459E8F0" w14:textId="77777777" w:rsidR="000E10C4" w:rsidRDefault="000E10C4" w:rsidP="000E10C4">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2849F2D1" w14:textId="77777777" w:rsidR="000E10C4" w:rsidRDefault="000E10C4" w:rsidP="000E10C4">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37F4F52C" w14:textId="77777777" w:rsidR="000E10C4" w:rsidRDefault="000E10C4" w:rsidP="000E10C4">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B6E6A22" w14:textId="77777777" w:rsidR="000E10C4" w:rsidRDefault="000E10C4" w:rsidP="000E10C4">
            <w:pPr>
              <w:pStyle w:val="NormalWeb"/>
              <w:spacing w:before="0" w:beforeAutospacing="0" w:after="0" w:afterAutospacing="0"/>
              <w:rPr>
                <w:rFonts w:ascii="Arial" w:hAnsi="Arial" w:cs="Arial"/>
                <w:color w:val="222222"/>
                <w:sz w:val="22"/>
                <w:szCs w:val="22"/>
                <w:lang w:val="en-US" w:eastAsia="en-US"/>
              </w:rPr>
            </w:pPr>
          </w:p>
          <w:p w14:paraId="65EA6953" w14:textId="77777777" w:rsidR="000E10C4" w:rsidRPr="00755E37" w:rsidRDefault="000E10C4" w:rsidP="000E10C4">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0E10C4" w14:paraId="50D45AA2" w14:textId="77777777" w:rsidTr="000E10C4">
        <w:tc>
          <w:tcPr>
            <w:tcW w:w="1722" w:type="dxa"/>
            <w:tcBorders>
              <w:top w:val="single" w:sz="4" w:space="0" w:color="auto"/>
              <w:left w:val="single" w:sz="4" w:space="0" w:color="auto"/>
              <w:bottom w:val="single" w:sz="4" w:space="0" w:color="auto"/>
              <w:right w:val="single" w:sz="4" w:space="0" w:color="auto"/>
            </w:tcBorders>
            <w:hideMark/>
          </w:tcPr>
          <w:p w14:paraId="225EFA34" w14:textId="77777777" w:rsidR="000E10C4" w:rsidRDefault="000E10C4" w:rsidP="000E10C4">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30B15B28" w14:textId="77777777" w:rsidR="000E10C4" w:rsidRPr="001F13C4" w:rsidRDefault="000E10C4" w:rsidP="000E10C4">
            <w:pPr>
              <w:rPr>
                <w:rFonts w:ascii="Times New Roman" w:eastAsia="Times New Roman" w:hAnsi="Times New Roman" w:cs="Times New Roman"/>
                <w:sz w:val="24"/>
                <w:szCs w:val="24"/>
                <w:lang w:eastAsia="en-GB"/>
              </w:rPr>
            </w:pPr>
            <w:r w:rsidRPr="001F13C4">
              <w:rPr>
                <w:rFonts w:ascii="Times New Roman" w:eastAsia="Times New Roman" w:hAnsi="Times New Roman" w:cs="Times New Roman"/>
                <w:sz w:val="24"/>
                <w:szCs w:val="24"/>
                <w:lang w:eastAsia="en-GB"/>
              </w:rPr>
              <w:t>1. Check work for run on sentences and make more concise</w:t>
            </w:r>
          </w:p>
          <w:p w14:paraId="1F02E533" w14:textId="77777777" w:rsidR="000E10C4" w:rsidRDefault="000E10C4" w:rsidP="000E10C4"/>
        </w:tc>
        <w:tc>
          <w:tcPr>
            <w:tcW w:w="3647" w:type="dxa"/>
            <w:tcBorders>
              <w:top w:val="single" w:sz="4" w:space="0" w:color="auto"/>
              <w:left w:val="single" w:sz="4" w:space="0" w:color="auto"/>
              <w:bottom w:val="single" w:sz="4" w:space="0" w:color="auto"/>
              <w:right w:val="single" w:sz="4" w:space="0" w:color="auto"/>
            </w:tcBorders>
          </w:tcPr>
          <w:p w14:paraId="4D1F9CEF" w14:textId="77777777" w:rsidR="000E10C4" w:rsidRDefault="000E10C4" w:rsidP="000E10C4">
            <w:pPr>
              <w:pStyle w:val="AssignBody"/>
            </w:pPr>
            <w:r>
              <w:t>I have read over my work and worked hard to look at separating sentences that would make more sense as two sentences rather than one. I have also used semi colons to separate two sentences following a similar idea. I have also looked at condensing what I am trying to say and have discussed this with my personal tutor.</w:t>
            </w:r>
          </w:p>
        </w:tc>
      </w:tr>
      <w:tr w:rsidR="000E10C4" w14:paraId="0CD9B637" w14:textId="77777777" w:rsidTr="000E10C4">
        <w:tc>
          <w:tcPr>
            <w:tcW w:w="1722" w:type="dxa"/>
            <w:tcBorders>
              <w:top w:val="single" w:sz="4" w:space="0" w:color="auto"/>
              <w:left w:val="single" w:sz="4" w:space="0" w:color="auto"/>
              <w:bottom w:val="single" w:sz="4" w:space="0" w:color="auto"/>
              <w:right w:val="single" w:sz="4" w:space="0" w:color="auto"/>
            </w:tcBorders>
            <w:hideMark/>
          </w:tcPr>
          <w:p w14:paraId="7DA5E292" w14:textId="77777777" w:rsidR="000E10C4" w:rsidRDefault="000E10C4" w:rsidP="000E10C4">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5FF2068E" w14:textId="77777777" w:rsidR="000E10C4" w:rsidRPr="001F13C4" w:rsidRDefault="000E10C4" w:rsidP="000E10C4">
            <w:pPr>
              <w:rPr>
                <w:rFonts w:ascii="Times New Roman" w:eastAsia="Times New Roman" w:hAnsi="Times New Roman" w:cs="Times New Roman"/>
                <w:sz w:val="24"/>
                <w:szCs w:val="24"/>
                <w:lang w:eastAsia="en-GB"/>
              </w:rPr>
            </w:pPr>
            <w:r w:rsidRPr="001F13C4">
              <w:rPr>
                <w:rFonts w:ascii="Times New Roman" w:eastAsia="Times New Roman" w:hAnsi="Times New Roman" w:cs="Times New Roman"/>
                <w:sz w:val="24"/>
                <w:szCs w:val="24"/>
                <w:lang w:eastAsia="en-GB"/>
              </w:rPr>
              <w:t>2. Ensure correct use of referencing and limit over referencing</w:t>
            </w:r>
          </w:p>
          <w:p w14:paraId="62F257D1" w14:textId="77777777" w:rsidR="000E10C4" w:rsidRDefault="000E10C4" w:rsidP="000E10C4">
            <w:pPr>
              <w:pStyle w:val="AssignBody"/>
            </w:pPr>
          </w:p>
        </w:tc>
        <w:tc>
          <w:tcPr>
            <w:tcW w:w="3647" w:type="dxa"/>
            <w:tcBorders>
              <w:top w:val="single" w:sz="4" w:space="0" w:color="auto"/>
              <w:left w:val="single" w:sz="4" w:space="0" w:color="auto"/>
              <w:bottom w:val="single" w:sz="4" w:space="0" w:color="auto"/>
              <w:right w:val="single" w:sz="4" w:space="0" w:color="auto"/>
            </w:tcBorders>
          </w:tcPr>
          <w:p w14:paraId="061FCBCA" w14:textId="77777777" w:rsidR="000E10C4" w:rsidRDefault="000E10C4" w:rsidP="000E10C4">
            <w:pPr>
              <w:pStyle w:val="AssignBody"/>
            </w:pPr>
            <w:r>
              <w:t>I have sought academic support from the University as well as using online referencing videos and guides as I found the university guide to be too confusing as well as asking my personal tutor and peers for assistance with referencing.</w:t>
            </w:r>
          </w:p>
        </w:tc>
      </w:tr>
    </w:tbl>
    <w:p w14:paraId="3369D239" w14:textId="085A2556" w:rsidR="000E10C4" w:rsidRDefault="000E10C4" w:rsidP="00FD4B15">
      <w:pPr>
        <w:spacing w:line="360" w:lineRule="auto"/>
        <w:rPr>
          <w:rFonts w:ascii="Arial" w:hAnsi="Arial" w:cs="Arial"/>
          <w:sz w:val="28"/>
          <w:szCs w:val="28"/>
        </w:rPr>
      </w:pPr>
    </w:p>
    <w:p w14:paraId="055717D5" w14:textId="65D87B8C" w:rsidR="000E10C4" w:rsidRDefault="000E10C4" w:rsidP="00FD4B15">
      <w:pPr>
        <w:spacing w:line="360" w:lineRule="auto"/>
        <w:rPr>
          <w:rFonts w:ascii="Arial" w:hAnsi="Arial" w:cs="Arial"/>
          <w:sz w:val="28"/>
          <w:szCs w:val="28"/>
        </w:rPr>
      </w:pPr>
      <w:r>
        <w:rPr>
          <w:rFonts w:ascii="Arial" w:hAnsi="Arial" w:cs="Arial"/>
          <w:sz w:val="28"/>
          <w:szCs w:val="28"/>
        </w:rPr>
        <w:t>‘Does having higher attaining pupils model answers to questions effect how lower attaining pupils frame theirs?’</w:t>
      </w:r>
    </w:p>
    <w:p w14:paraId="07DD1FE1" w14:textId="77777777" w:rsidR="000E10C4" w:rsidRDefault="000E10C4">
      <w:pPr>
        <w:rPr>
          <w:rFonts w:ascii="Arial" w:hAnsi="Arial" w:cs="Arial"/>
          <w:sz w:val="28"/>
          <w:szCs w:val="28"/>
        </w:rPr>
      </w:pPr>
      <w:r>
        <w:rPr>
          <w:rFonts w:ascii="Arial" w:hAnsi="Arial" w:cs="Arial"/>
          <w:sz w:val="28"/>
          <w:szCs w:val="28"/>
        </w:rPr>
        <w:br w:type="page"/>
      </w:r>
    </w:p>
    <w:p w14:paraId="4A9FC560" w14:textId="6E63DB33" w:rsidR="000E10C4" w:rsidRDefault="000E10C4">
      <w:pPr>
        <w:rPr>
          <w:rFonts w:ascii="Arial" w:hAnsi="Arial" w:cs="Arial"/>
          <w:sz w:val="28"/>
          <w:szCs w:val="28"/>
        </w:rPr>
      </w:pPr>
    </w:p>
    <w:p w14:paraId="132AC7F6" w14:textId="7DB2ACE5" w:rsidR="00FD4B15" w:rsidRPr="00CD72EC" w:rsidRDefault="00FD4B15" w:rsidP="00FD4B15">
      <w:pPr>
        <w:spacing w:line="360" w:lineRule="auto"/>
        <w:rPr>
          <w:rFonts w:ascii="Arial" w:hAnsi="Arial" w:cs="Arial"/>
          <w:sz w:val="28"/>
          <w:szCs w:val="28"/>
        </w:rPr>
      </w:pPr>
      <w:r w:rsidRPr="00CD72EC">
        <w:rPr>
          <w:rFonts w:ascii="Arial" w:hAnsi="Arial" w:cs="Arial"/>
          <w:sz w:val="28"/>
          <w:szCs w:val="28"/>
        </w:rPr>
        <w:t xml:space="preserve">Introduction: </w:t>
      </w:r>
    </w:p>
    <w:p w14:paraId="6B45E701" w14:textId="3C4CD7AF" w:rsidR="00FD4B15" w:rsidRDefault="00FD4B15" w:rsidP="00FD4B15">
      <w:pPr>
        <w:spacing w:line="360" w:lineRule="auto"/>
        <w:rPr>
          <w:rFonts w:ascii="Arial" w:hAnsi="Arial" w:cs="Arial"/>
        </w:rPr>
      </w:pPr>
      <w:r w:rsidRPr="00FD4B15">
        <w:rPr>
          <w:rFonts w:ascii="Arial" w:hAnsi="Arial" w:cs="Arial"/>
        </w:rPr>
        <w:t>Peer teaching and learning is something key to a Constructivist way of thinking and learning. Within ‘Successful Futures’, a review was written for The Welsh Government (2015) by Donaldson that discusses 12 principles of good teaching and learning, discuss ‘collaboration’ being a key part of a child's development and learning skills, focusing on developing these skills through modelled language through collaboration with peers. This assignment will explore this by discussing the research undertaken. The literature relating to the topic will be reviewed and I will reflect upon my implementations</w:t>
      </w:r>
      <w:r w:rsidR="00CD72EC">
        <w:rPr>
          <w:rFonts w:ascii="Arial" w:hAnsi="Arial" w:cs="Arial"/>
        </w:rPr>
        <w:t>. My interest in this area developed as, within</w:t>
      </w:r>
      <w:r w:rsidRPr="00FD4B15">
        <w:rPr>
          <w:rFonts w:ascii="Arial" w:hAnsi="Arial" w:cs="Arial"/>
        </w:rPr>
        <w:t xml:space="preserve"> my class </w:t>
      </w:r>
      <w:r w:rsidR="00CD72EC">
        <w:rPr>
          <w:rFonts w:ascii="Arial" w:hAnsi="Arial" w:cs="Arial"/>
        </w:rPr>
        <w:t xml:space="preserve">pupils </w:t>
      </w:r>
      <w:r w:rsidRPr="00FD4B15">
        <w:rPr>
          <w:rFonts w:ascii="Arial" w:hAnsi="Arial" w:cs="Arial"/>
        </w:rPr>
        <w:t xml:space="preserve">who could frame their answers correctly generally understood a concept better and could transfer that knowledge practically. This </w:t>
      </w:r>
      <w:r w:rsidR="00CD72EC">
        <w:rPr>
          <w:rFonts w:ascii="Arial" w:hAnsi="Arial" w:cs="Arial"/>
        </w:rPr>
        <w:t xml:space="preserve">research </w:t>
      </w:r>
      <w:r w:rsidRPr="00FD4B15">
        <w:rPr>
          <w:rFonts w:ascii="Arial" w:hAnsi="Arial" w:cs="Arial"/>
        </w:rPr>
        <w:t xml:space="preserve">being </w:t>
      </w:r>
      <w:r w:rsidR="00CD72EC">
        <w:rPr>
          <w:rFonts w:ascii="Arial" w:hAnsi="Arial" w:cs="Arial"/>
        </w:rPr>
        <w:t>undertaken</w:t>
      </w:r>
      <w:r w:rsidRPr="00FD4B15">
        <w:rPr>
          <w:rFonts w:ascii="Arial" w:hAnsi="Arial" w:cs="Arial"/>
        </w:rPr>
        <w:t xml:space="preserve"> to develop pupils </w:t>
      </w:r>
      <w:proofErr w:type="spellStart"/>
      <w:r w:rsidRPr="00FD4B15">
        <w:rPr>
          <w:rFonts w:ascii="Arial" w:hAnsi="Arial" w:cs="Arial"/>
        </w:rPr>
        <w:t>oracy</w:t>
      </w:r>
      <w:proofErr w:type="spellEnd"/>
      <w:r w:rsidRPr="00FD4B15">
        <w:rPr>
          <w:rFonts w:ascii="Arial" w:hAnsi="Arial" w:cs="Arial"/>
        </w:rPr>
        <w:t xml:space="preserve"> skills, focusing on developing these skills through modelled language</w:t>
      </w:r>
      <w:r w:rsidR="00CD72EC">
        <w:rPr>
          <w:rFonts w:ascii="Arial" w:hAnsi="Arial" w:cs="Arial"/>
        </w:rPr>
        <w:t>,</w:t>
      </w:r>
      <w:r w:rsidRPr="00FD4B15">
        <w:rPr>
          <w:rFonts w:ascii="Arial" w:hAnsi="Arial" w:cs="Arial"/>
        </w:rPr>
        <w:t xml:space="preserve"> through collaboration with peers. This assignment will explore this by discussing the research undertaken. The literature relating to the topic will be reviewed and I will reflect upon my implementations. </w:t>
      </w:r>
    </w:p>
    <w:p w14:paraId="6AFB1B87" w14:textId="77777777" w:rsidR="00CD72EC" w:rsidRPr="00FD4B15" w:rsidRDefault="00CD72EC" w:rsidP="00FD4B15">
      <w:pPr>
        <w:spacing w:line="360" w:lineRule="auto"/>
        <w:rPr>
          <w:rFonts w:ascii="Arial" w:hAnsi="Arial" w:cs="Arial"/>
        </w:rPr>
      </w:pPr>
    </w:p>
    <w:p w14:paraId="73BC0BDE" w14:textId="77777777" w:rsidR="00FD4B15" w:rsidRPr="00CD72EC" w:rsidRDefault="00FD4B15" w:rsidP="00FD4B15">
      <w:pPr>
        <w:spacing w:line="360" w:lineRule="auto"/>
        <w:rPr>
          <w:rFonts w:ascii="Arial" w:hAnsi="Arial" w:cs="Arial"/>
          <w:sz w:val="28"/>
          <w:szCs w:val="28"/>
        </w:rPr>
      </w:pPr>
      <w:r w:rsidRPr="00CD72EC">
        <w:rPr>
          <w:rFonts w:ascii="Arial" w:hAnsi="Arial" w:cs="Arial"/>
          <w:sz w:val="28"/>
          <w:szCs w:val="28"/>
        </w:rPr>
        <w:t xml:space="preserve">Research context: </w:t>
      </w:r>
    </w:p>
    <w:p w14:paraId="10204341" w14:textId="239CC051" w:rsidR="00FD4B15" w:rsidRPr="00FD4B15" w:rsidRDefault="00FD4B15" w:rsidP="00FD4B15">
      <w:pPr>
        <w:spacing w:line="360" w:lineRule="auto"/>
        <w:rPr>
          <w:rFonts w:ascii="Arial" w:hAnsi="Arial" w:cs="Arial"/>
        </w:rPr>
      </w:pPr>
      <w:r w:rsidRPr="00FD4B15">
        <w:rPr>
          <w:rFonts w:ascii="Arial" w:hAnsi="Arial" w:cs="Arial"/>
        </w:rPr>
        <w:t>The lessons studied for this case study were undertaken in two different environments with two key stage three classes. Both schools were mixed English medium schools based in South Wales with students aged 11-18 but differ in size and socio-economic status</w:t>
      </w:r>
      <w:r w:rsidR="00CD72EC">
        <w:rPr>
          <w:rFonts w:ascii="Arial" w:hAnsi="Arial" w:cs="Arial"/>
        </w:rPr>
        <w:t>;</w:t>
      </w:r>
      <w:r w:rsidRPr="00FD4B15">
        <w:rPr>
          <w:rFonts w:ascii="Arial" w:hAnsi="Arial" w:cs="Arial"/>
        </w:rPr>
        <w:t xml:space="preserve"> School X is school containing 866 pupils with 11.8% of pupils being of free school meal status with very little pupils coming from the 20% most deprived areas in Wales or an Ethnic minority (Estyn, 2017). School Y contains 1724 pupils with a 26.5% pupil free school meal status. (Welsh Government, 2019). Around 60% of School Y’s pupils come from the 20% most deprived areas in Wales with 70% coming from a minority or ethnic background (Estyn, 2017). Within my class the framing of lower attaining pupils' responses was inconsistent and upon discussion with my research partner it was decided that our research question was ‘Does having higher attaining pupils model answers to question</w:t>
      </w:r>
      <w:r w:rsidR="00CD72EC">
        <w:rPr>
          <w:rFonts w:ascii="Arial" w:hAnsi="Arial" w:cs="Arial"/>
        </w:rPr>
        <w:t>s</w:t>
      </w:r>
      <w:r w:rsidRPr="00FD4B15">
        <w:rPr>
          <w:rFonts w:ascii="Arial" w:hAnsi="Arial" w:cs="Arial"/>
        </w:rPr>
        <w:t xml:space="preserve"> effect how lower attaining pupils frame theirs?’ For my class, this meant experimenting with different answering opportunities to increase answer quality. This would allow me to analyse what was effective and ineffective about the ways that peer support impacted the development of an answer. </w:t>
      </w:r>
    </w:p>
    <w:p w14:paraId="40C0D4FA" w14:textId="77777777" w:rsidR="00FD4B15" w:rsidRPr="00FD4B15" w:rsidRDefault="00FD4B15" w:rsidP="00FD4B15">
      <w:pPr>
        <w:spacing w:line="360" w:lineRule="auto"/>
        <w:rPr>
          <w:rFonts w:ascii="Arial" w:hAnsi="Arial" w:cs="Arial"/>
        </w:rPr>
      </w:pPr>
      <w:r w:rsidRPr="00FD4B15">
        <w:rPr>
          <w:rFonts w:ascii="Arial" w:hAnsi="Arial" w:cs="Arial"/>
        </w:rPr>
        <w:t xml:space="preserve"> </w:t>
      </w:r>
    </w:p>
    <w:p w14:paraId="15FC48DD" w14:textId="77777777" w:rsidR="00CD72EC" w:rsidRDefault="00CD72EC" w:rsidP="00FD4B15">
      <w:pPr>
        <w:spacing w:line="360" w:lineRule="auto"/>
        <w:rPr>
          <w:rFonts w:ascii="Arial" w:hAnsi="Arial" w:cs="Arial"/>
          <w:sz w:val="28"/>
          <w:szCs w:val="28"/>
        </w:rPr>
      </w:pPr>
    </w:p>
    <w:p w14:paraId="06D49FB4" w14:textId="77777777" w:rsidR="00CD72EC" w:rsidRDefault="00CD72EC" w:rsidP="00FD4B15">
      <w:pPr>
        <w:spacing w:line="360" w:lineRule="auto"/>
        <w:rPr>
          <w:rFonts w:ascii="Arial" w:hAnsi="Arial" w:cs="Arial"/>
          <w:sz w:val="28"/>
          <w:szCs w:val="28"/>
        </w:rPr>
      </w:pPr>
    </w:p>
    <w:p w14:paraId="40B755C9" w14:textId="0A840C32" w:rsidR="00FD4B15" w:rsidRPr="00CD72EC" w:rsidRDefault="00FD4B15" w:rsidP="00FD4B15">
      <w:pPr>
        <w:spacing w:line="360" w:lineRule="auto"/>
        <w:rPr>
          <w:rFonts w:ascii="Arial" w:hAnsi="Arial" w:cs="Arial"/>
          <w:sz w:val="28"/>
          <w:szCs w:val="28"/>
        </w:rPr>
      </w:pPr>
      <w:r w:rsidRPr="00CD72EC">
        <w:rPr>
          <w:rFonts w:ascii="Arial" w:hAnsi="Arial" w:cs="Arial"/>
          <w:sz w:val="28"/>
          <w:szCs w:val="28"/>
        </w:rPr>
        <w:t xml:space="preserve">Literature review: </w:t>
      </w:r>
    </w:p>
    <w:p w14:paraId="5462C720" w14:textId="77777777" w:rsidR="00FD4B15" w:rsidRPr="00FD4B15" w:rsidRDefault="00FD4B15" w:rsidP="00FD4B15">
      <w:pPr>
        <w:spacing w:line="360" w:lineRule="auto"/>
        <w:rPr>
          <w:rFonts w:ascii="Arial" w:hAnsi="Arial" w:cs="Arial"/>
        </w:rPr>
      </w:pPr>
      <w:proofErr w:type="gramStart"/>
      <w:r w:rsidRPr="00FD4B15">
        <w:rPr>
          <w:rFonts w:ascii="Arial" w:hAnsi="Arial" w:cs="Arial"/>
        </w:rPr>
        <w:t>Assuming that</w:t>
      </w:r>
      <w:proofErr w:type="gramEnd"/>
      <w:r w:rsidRPr="00FD4B15">
        <w:rPr>
          <w:rFonts w:ascii="Arial" w:hAnsi="Arial" w:cs="Arial"/>
        </w:rPr>
        <w:t xml:space="preserve"> group work is not effective is a major assumption. Group work holds importance in developing a child's knowledge and understanding from a sociocultural perspective, emphasising the importance that social interaction holds (Mercer and Littleton; 2007). However, in </w:t>
      </w:r>
      <w:proofErr w:type="spellStart"/>
      <w:r w:rsidRPr="00FD4B15">
        <w:rPr>
          <w:rFonts w:ascii="Arial" w:hAnsi="Arial" w:cs="Arial"/>
        </w:rPr>
        <w:t>Wegerif</w:t>
      </w:r>
      <w:proofErr w:type="spellEnd"/>
      <w:r w:rsidRPr="00FD4B15">
        <w:rPr>
          <w:rFonts w:ascii="Arial" w:hAnsi="Arial" w:cs="Arial"/>
        </w:rPr>
        <w:t xml:space="preserve"> and Scrimshaw’s (1997) observation study, the researchers found that group discussion conversations were not always productive, or </w:t>
      </w:r>
      <w:proofErr w:type="gramStart"/>
      <w:r w:rsidRPr="00FD4B15">
        <w:rPr>
          <w:rFonts w:ascii="Arial" w:hAnsi="Arial" w:cs="Arial"/>
        </w:rPr>
        <w:t>task-focused</w:t>
      </w:r>
      <w:proofErr w:type="gramEnd"/>
      <w:r w:rsidRPr="00FD4B15">
        <w:rPr>
          <w:rFonts w:ascii="Arial" w:hAnsi="Arial" w:cs="Arial"/>
        </w:rPr>
        <w:t>. This often led to the group going with the more dominant characters views. Mercer and Littleton (2007) also addressed the limitations of group discussions, by observing that although children work together, they may not be working with each other collaboratively, and interaction does not always mean “</w:t>
      </w:r>
      <w:proofErr w:type="spellStart"/>
      <w:r w:rsidRPr="00FD4B15">
        <w:rPr>
          <w:rFonts w:ascii="Arial" w:hAnsi="Arial" w:cs="Arial"/>
        </w:rPr>
        <w:t>interthinking</w:t>
      </w:r>
      <w:proofErr w:type="spellEnd"/>
      <w:r w:rsidRPr="00FD4B15">
        <w:rPr>
          <w:rFonts w:ascii="Arial" w:hAnsi="Arial" w:cs="Arial"/>
        </w:rPr>
        <w:t xml:space="preserve">”. This displays a lack of discipline within group work. Whereas, Mercer and Littleton (2007) later discuss the importance of setting out ground rules for discussions whilst working together. Therefore, if pupils are aware of the rules of working together this may influence pupils to be more productive and would need to be assisted by knowing what an effective group discussion is and having the opportunity to explore this. This is reinforced by Blatchford, </w:t>
      </w:r>
      <w:proofErr w:type="spellStart"/>
      <w:r w:rsidRPr="00FD4B15">
        <w:rPr>
          <w:rFonts w:ascii="Arial" w:hAnsi="Arial" w:cs="Arial"/>
        </w:rPr>
        <w:t>Kutnick</w:t>
      </w:r>
      <w:proofErr w:type="spellEnd"/>
      <w:r w:rsidRPr="00FD4B15">
        <w:rPr>
          <w:rFonts w:ascii="Arial" w:hAnsi="Arial" w:cs="Arial"/>
        </w:rPr>
        <w:t xml:space="preserve">, Baines and Galton (2003) that suggest that pupils not having the opportunity to work in groups are then not prepared to work effectively in groups as they aren’t being exposed to this. This then would initiate a vicious cycle of the view of the ineffectiveness of group work when a teacher is planning a lesson, leading to pupils being isolated from the social pedagogy side of their development. In addition to the work of </w:t>
      </w:r>
      <w:proofErr w:type="spellStart"/>
      <w:r w:rsidRPr="00FD4B15">
        <w:rPr>
          <w:rFonts w:ascii="Arial" w:hAnsi="Arial" w:cs="Arial"/>
        </w:rPr>
        <w:t>Wegerif</w:t>
      </w:r>
      <w:proofErr w:type="spellEnd"/>
      <w:r w:rsidRPr="00FD4B15">
        <w:rPr>
          <w:rFonts w:ascii="Arial" w:hAnsi="Arial" w:cs="Arial"/>
        </w:rPr>
        <w:t xml:space="preserve"> and Scrimshaw (1997), more recent research was undertaken in this field by </w:t>
      </w:r>
      <w:proofErr w:type="spellStart"/>
      <w:r w:rsidRPr="00FD4B15">
        <w:rPr>
          <w:rFonts w:ascii="Arial" w:hAnsi="Arial" w:cs="Arial"/>
        </w:rPr>
        <w:t>Kutnick</w:t>
      </w:r>
      <w:proofErr w:type="spellEnd"/>
      <w:r w:rsidRPr="00FD4B15">
        <w:rPr>
          <w:rFonts w:ascii="Arial" w:hAnsi="Arial" w:cs="Arial"/>
        </w:rPr>
        <w:t xml:space="preserve">, Ota and </w:t>
      </w:r>
      <w:proofErr w:type="spellStart"/>
      <w:r w:rsidRPr="00FD4B15">
        <w:rPr>
          <w:rFonts w:ascii="Arial" w:hAnsi="Arial" w:cs="Arial"/>
        </w:rPr>
        <w:t>Berdondini</w:t>
      </w:r>
      <w:proofErr w:type="spellEnd"/>
      <w:r w:rsidRPr="00FD4B15">
        <w:rPr>
          <w:rFonts w:ascii="Arial" w:hAnsi="Arial" w:cs="Arial"/>
        </w:rPr>
        <w:t xml:space="preserve"> (2008) finding that pupils can work effectively in groups that promote academic achievement; finding that naturally formed groups do not promote collaborative learning. However, Blatchford, </w:t>
      </w:r>
      <w:proofErr w:type="spellStart"/>
      <w:r w:rsidRPr="00FD4B15">
        <w:rPr>
          <w:rFonts w:ascii="Arial" w:hAnsi="Arial" w:cs="Arial"/>
        </w:rPr>
        <w:t>Kutnick</w:t>
      </w:r>
      <w:proofErr w:type="spellEnd"/>
      <w:r w:rsidRPr="00FD4B15">
        <w:rPr>
          <w:rFonts w:ascii="Arial" w:hAnsi="Arial" w:cs="Arial"/>
        </w:rPr>
        <w:t xml:space="preserve">, </w:t>
      </w:r>
      <w:proofErr w:type="spellStart"/>
      <w:r w:rsidRPr="00FD4B15">
        <w:rPr>
          <w:rFonts w:ascii="Arial" w:hAnsi="Arial" w:cs="Arial"/>
        </w:rPr>
        <w:t>Baives</w:t>
      </w:r>
      <w:proofErr w:type="spellEnd"/>
      <w:r w:rsidRPr="00FD4B15">
        <w:rPr>
          <w:rFonts w:ascii="Arial" w:hAnsi="Arial" w:cs="Arial"/>
        </w:rPr>
        <w:t xml:space="preserve"> and Galton (2003) discuss the effectiveness of groupings that are strategically planned based on: size, the learning purposes and types of interaction. Therefore, holding the responsibility for the effectiveness of group work laying with teacher planning and allowing pupils the opportunity to develop competence in this area. Within this area, there proved to be a lack of research discussing group works effect on the development of language. However, this was significant to my research as this type of work is key as social engagement is useful to the communication of language even though it appeared to mostly be recorded in terms of social and cognitive development. </w:t>
      </w:r>
    </w:p>
    <w:p w14:paraId="6C7DFEEC" w14:textId="77777777" w:rsidR="00FD4B15" w:rsidRPr="00FD4B15" w:rsidRDefault="00FD4B15" w:rsidP="00FD4B15">
      <w:pPr>
        <w:spacing w:line="360" w:lineRule="auto"/>
        <w:rPr>
          <w:rFonts w:ascii="Arial" w:hAnsi="Arial" w:cs="Arial"/>
        </w:rPr>
      </w:pPr>
      <w:r w:rsidRPr="00FD4B15">
        <w:rPr>
          <w:rFonts w:ascii="Arial" w:hAnsi="Arial" w:cs="Arial"/>
        </w:rPr>
        <w:t xml:space="preserve">The modelling of language was an important element of my research. However, most work surrounding this area was linked to teacher to student modelling. Therefore, lacked discussion of peer modelling of language. Teachers are the targeted language models and </w:t>
      </w:r>
      <w:r w:rsidRPr="00FD4B15">
        <w:rPr>
          <w:rFonts w:ascii="Arial" w:hAnsi="Arial" w:cs="Arial"/>
        </w:rPr>
        <w:lastRenderedPageBreak/>
        <w:t>using this allows pupils to gain more exposure to the target language (</w:t>
      </w:r>
      <w:proofErr w:type="spellStart"/>
      <w:r w:rsidRPr="00FD4B15">
        <w:rPr>
          <w:rFonts w:ascii="Arial" w:hAnsi="Arial" w:cs="Arial"/>
        </w:rPr>
        <w:t>Setiawati</w:t>
      </w:r>
      <w:proofErr w:type="spellEnd"/>
      <w:r w:rsidRPr="00FD4B15">
        <w:rPr>
          <w:rFonts w:ascii="Arial" w:hAnsi="Arial" w:cs="Arial"/>
        </w:rPr>
        <w:t xml:space="preserve">, L; 2012). This holds relevance as within my research the higher attaining pupil undertook the role of the teacher modelling language. Teacher modelling is a widely discussed concept throughout literature. However, peer modelling is an area that lacks deeply in literature. Zwiers and Crawford (2011) suggest that teacher modelling is important but loses its appeal to pupils quickly. This is agreed by </w:t>
      </w:r>
      <w:proofErr w:type="spellStart"/>
      <w:r w:rsidRPr="00FD4B15">
        <w:rPr>
          <w:rFonts w:ascii="Arial" w:hAnsi="Arial" w:cs="Arial"/>
        </w:rPr>
        <w:t>Setiawati</w:t>
      </w:r>
      <w:proofErr w:type="spellEnd"/>
      <w:r w:rsidRPr="00FD4B15">
        <w:rPr>
          <w:rFonts w:ascii="Arial" w:hAnsi="Arial" w:cs="Arial"/>
        </w:rPr>
        <w:t xml:space="preserve"> (2012) The researcher found that although the teacher can model well, the pupils were not engaged when too much teacher talk was used. This displays that although modelling language is important, this will only be effective if pupils are engaged. Zwiers and Crawford (2011) later discuss that when pupils model, other pupils engage for with this for longer. This is significant to my research as if pupils can engage, they can learn and develop their language (an issue previously highlighted). </w:t>
      </w:r>
    </w:p>
    <w:p w14:paraId="38A99DF1" w14:textId="528CAD4B" w:rsidR="00FD4B15" w:rsidRPr="00FD4B15" w:rsidRDefault="00FD4B15" w:rsidP="00FD4B15">
      <w:pPr>
        <w:spacing w:line="360" w:lineRule="auto"/>
        <w:rPr>
          <w:rFonts w:ascii="Arial" w:hAnsi="Arial" w:cs="Arial"/>
        </w:rPr>
      </w:pPr>
      <w:r w:rsidRPr="00FD4B15">
        <w:rPr>
          <w:rFonts w:ascii="Arial" w:hAnsi="Arial" w:cs="Arial"/>
        </w:rPr>
        <w:t xml:space="preserve">Peer-evaluation was a form used when lower attaining pupils developed their answer alongside a higher attaining pupil. Peer assessment allows pupils of equal status identify and consider the: quality, value and level of another learner’s: writing, oral presentation, performance or skills (Topping, K; 2009). However, </w:t>
      </w:r>
      <w:proofErr w:type="spellStart"/>
      <w:r w:rsidRPr="00FD4B15">
        <w:rPr>
          <w:rFonts w:ascii="Arial" w:hAnsi="Arial" w:cs="Arial"/>
        </w:rPr>
        <w:t>Falchikov</w:t>
      </w:r>
      <w:proofErr w:type="spellEnd"/>
      <w:r w:rsidRPr="00FD4B15">
        <w:rPr>
          <w:rFonts w:ascii="Arial" w:hAnsi="Arial" w:cs="Arial"/>
        </w:rPr>
        <w:t xml:space="preserve"> and Goldfinch (2000) address that there are concerns over validity, the difference in peer and teacher marking, that restrict teachers from using this; therefore, isolates pupils from its benefits. It can be argued that this is looking at the smaller picture and peer evaluation is broader than marking and attainment. Palmer (2010) suggests that pupils with EAL benefit from oral rehearsal with a partner when developing language to </w:t>
      </w:r>
      <w:bookmarkStart w:id="1" w:name="_GoBack"/>
      <w:r w:rsidRPr="00FD4B15">
        <w:rPr>
          <w:rFonts w:ascii="Arial" w:hAnsi="Arial" w:cs="Arial"/>
        </w:rPr>
        <w:t>check</w:t>
      </w:r>
      <w:bookmarkEnd w:id="1"/>
      <w:r w:rsidRPr="00FD4B15">
        <w:rPr>
          <w:rFonts w:ascii="Arial" w:hAnsi="Arial" w:cs="Arial"/>
        </w:rPr>
        <w:t xml:space="preserve"> facts and prepare what they are going to say before they say it, helping to develop language skills and gain independence. Although this is discussed using pupils with EAL, this is relevant to my research as the lower attaining pupils generally lack behind the higher attaining pupils regarding spoken language </w:t>
      </w:r>
      <w:r w:rsidR="00CD72EC">
        <w:rPr>
          <w:rFonts w:ascii="Arial" w:hAnsi="Arial" w:cs="Arial"/>
        </w:rPr>
        <w:t>in my class</w:t>
      </w:r>
      <w:r w:rsidRPr="00FD4B15">
        <w:rPr>
          <w:rFonts w:ascii="Arial" w:hAnsi="Arial" w:cs="Arial"/>
        </w:rPr>
        <w:t xml:space="preserve">. Linking also to the study, as pupils within School Y are 70% EAL Pupils (Estyn, 2017). Similarly, Vygotsky’s ‘Zone of Proximal Development’ which discusses that there is a struggle Zone that a child can execute with the assistance of an abler other and later complete independently (Vygotsky referenced in </w:t>
      </w:r>
      <w:proofErr w:type="spellStart"/>
      <w:r w:rsidRPr="00FD4B15">
        <w:rPr>
          <w:rFonts w:ascii="Arial" w:hAnsi="Arial" w:cs="Arial"/>
        </w:rPr>
        <w:t>Cazden</w:t>
      </w:r>
      <w:proofErr w:type="spellEnd"/>
      <w:r w:rsidRPr="00FD4B15">
        <w:rPr>
          <w:rFonts w:ascii="Arial" w:hAnsi="Arial" w:cs="Arial"/>
        </w:rPr>
        <w:t>, C.B; 1997). However, this has been criticised as it can be difficult to identify and know how to teach and engage with (</w:t>
      </w:r>
      <w:proofErr w:type="spellStart"/>
      <w:r w:rsidRPr="00FD4B15">
        <w:rPr>
          <w:rFonts w:ascii="Arial" w:hAnsi="Arial" w:cs="Arial"/>
        </w:rPr>
        <w:t>Chaiklin</w:t>
      </w:r>
      <w:proofErr w:type="spellEnd"/>
      <w:r w:rsidRPr="00FD4B15">
        <w:rPr>
          <w:rFonts w:ascii="Arial" w:hAnsi="Arial" w:cs="Arial"/>
        </w:rPr>
        <w:t xml:space="preserve">, S; 2003). Nevertheless, some elements can be taken from this such as, </w:t>
      </w:r>
      <w:r w:rsidR="00CD72EC" w:rsidRPr="00FD4B15">
        <w:rPr>
          <w:rFonts w:ascii="Arial" w:hAnsi="Arial" w:cs="Arial"/>
        </w:rPr>
        <w:t>using</w:t>
      </w:r>
      <w:r w:rsidRPr="00FD4B15">
        <w:rPr>
          <w:rFonts w:ascii="Arial" w:hAnsi="Arial" w:cs="Arial"/>
        </w:rPr>
        <w:t xml:space="preserve"> prompts to gain a response that pupils may not give themselves (</w:t>
      </w:r>
      <w:proofErr w:type="spellStart"/>
      <w:r w:rsidRPr="00FD4B15">
        <w:rPr>
          <w:rFonts w:ascii="Arial" w:hAnsi="Arial" w:cs="Arial"/>
        </w:rPr>
        <w:t>Cazden</w:t>
      </w:r>
      <w:proofErr w:type="spellEnd"/>
      <w:r w:rsidRPr="00FD4B15">
        <w:rPr>
          <w:rFonts w:ascii="Arial" w:hAnsi="Arial" w:cs="Arial"/>
        </w:rPr>
        <w:t>; 1997). Therefore, it would be the responsibility of the teacher to promote prompting in peer assessment rather than giving the answers directly. This holds relevance as the higher attaining pupils are the more able others assisting the lower attaining and therefore, will be responsible for developing lower attaining pupil's language.</w:t>
      </w:r>
    </w:p>
    <w:p w14:paraId="5E1D0A47" w14:textId="77777777" w:rsidR="00FD4B15" w:rsidRPr="00FD4B15" w:rsidRDefault="00FD4B15" w:rsidP="00FD4B15">
      <w:pPr>
        <w:spacing w:line="360" w:lineRule="auto"/>
        <w:rPr>
          <w:rFonts w:ascii="Arial" w:hAnsi="Arial" w:cs="Arial"/>
        </w:rPr>
      </w:pPr>
      <w:r w:rsidRPr="00FD4B15">
        <w:rPr>
          <w:rFonts w:ascii="Arial" w:hAnsi="Arial" w:cs="Arial"/>
        </w:rPr>
        <w:t xml:space="preserve"> </w:t>
      </w:r>
    </w:p>
    <w:p w14:paraId="622CD3F1" w14:textId="77777777" w:rsidR="00CD72EC" w:rsidRDefault="00CD72EC" w:rsidP="00FD4B15">
      <w:pPr>
        <w:spacing w:line="360" w:lineRule="auto"/>
        <w:rPr>
          <w:rFonts w:ascii="Arial" w:hAnsi="Arial" w:cs="Arial"/>
          <w:sz w:val="28"/>
          <w:szCs w:val="28"/>
        </w:rPr>
      </w:pPr>
    </w:p>
    <w:p w14:paraId="1B203CEE" w14:textId="6124F737" w:rsidR="00FD4B15" w:rsidRPr="00CD72EC" w:rsidRDefault="00FD4B15" w:rsidP="00FD4B15">
      <w:pPr>
        <w:spacing w:line="360" w:lineRule="auto"/>
        <w:rPr>
          <w:rFonts w:ascii="Arial" w:hAnsi="Arial" w:cs="Arial"/>
          <w:sz w:val="28"/>
          <w:szCs w:val="28"/>
        </w:rPr>
      </w:pPr>
      <w:r w:rsidRPr="00CD72EC">
        <w:rPr>
          <w:rFonts w:ascii="Arial" w:hAnsi="Arial" w:cs="Arial"/>
          <w:sz w:val="28"/>
          <w:szCs w:val="28"/>
        </w:rPr>
        <w:t xml:space="preserve">Lesson Study design: </w:t>
      </w:r>
    </w:p>
    <w:p w14:paraId="3ECE48F5" w14:textId="77777777" w:rsidR="00FD4B15" w:rsidRPr="00FD4B15" w:rsidRDefault="00FD4B15" w:rsidP="00FD4B15">
      <w:pPr>
        <w:spacing w:line="360" w:lineRule="auto"/>
        <w:rPr>
          <w:rFonts w:ascii="Arial" w:hAnsi="Arial" w:cs="Arial"/>
        </w:rPr>
      </w:pPr>
      <w:r w:rsidRPr="00FD4B15">
        <w:rPr>
          <w:rFonts w:ascii="Arial" w:hAnsi="Arial" w:cs="Arial"/>
        </w:rPr>
        <w:t>Whilst choosing the correct methodology to undertake my research and to complete this assignment, it was pivotal to use a reflective model to fit the purpose of identifying ‘Does having higher attaining pupils model answers to questions affect how lower attaining pupils frame theirs.’ A reflective model is a useful tool that identifies an event, reflecting on the critical part of the event (a key moment). Within this research project, the focus is on how the learning and development of the pupils are affected; It also identifies what qualities in a lesson were critical and, upon evaluation, a decision could be adapted or changed for future practice (</w:t>
      </w:r>
      <w:proofErr w:type="spellStart"/>
      <w:r w:rsidRPr="00FD4B15">
        <w:rPr>
          <w:rFonts w:ascii="Arial" w:hAnsi="Arial" w:cs="Arial"/>
        </w:rPr>
        <w:t>Mannen</w:t>
      </w:r>
      <w:proofErr w:type="spellEnd"/>
      <w:r w:rsidRPr="00FD4B15">
        <w:rPr>
          <w:rFonts w:ascii="Arial" w:hAnsi="Arial" w:cs="Arial"/>
        </w:rPr>
        <w:t xml:space="preserve">, V; 1991 referenced in Moon; 2013). Gibbs (1988) created a reflective cycle, six stages of reflection were considered: describing the experience, feelings based on the experience, evaluating what was good and what was bad, analyse the situation, conclude and then act upon this. However, in comparison to the university’s ARC model, this lacks an element of being reflective as evaluation and analysing an event is not enough to act upon an event. Reflection is I feel to be key, which is why I have used this as my chosen model of reflection to be in line with Donaldson (2015) where a practitioner’s constant professional development is discussed (The Welsh Government; 2015). To achieve this, reflection is a key element. </w:t>
      </w:r>
    </w:p>
    <w:p w14:paraId="0AD1B852" w14:textId="677BFAA5" w:rsidR="00FD4B15" w:rsidRPr="00FD4B15" w:rsidRDefault="00FD4B15" w:rsidP="00FD4B15">
      <w:pPr>
        <w:spacing w:line="360" w:lineRule="auto"/>
        <w:rPr>
          <w:rFonts w:ascii="Arial" w:hAnsi="Arial" w:cs="Arial"/>
        </w:rPr>
      </w:pPr>
      <w:r w:rsidRPr="00FD4B15">
        <w:rPr>
          <w:rFonts w:ascii="Arial" w:hAnsi="Arial" w:cs="Arial"/>
        </w:rPr>
        <w:t xml:space="preserve">A case study approach was adopted to allow a deeper insight into the adaptation of a child’s oral linguistic ability. The reason a case study was chosen was that It was important to my research to focus on groups rather than the full lesson as key elements may have been missed.  The lesson study would occur in an authentic setting where the same lesson structure would take place in two different environments, with a total of six different pupil subjects as a focus (three subjects in each environment) gaining qualitative data. Three pupils were used as Dudley (2014) suggests that this is a good sample size. (Tight, M; 2017.pg. 5-7) discusses that the premise of a case study; He argues in support of studies that are undertaken with an in-depth view which focus on cases that are limited to a singular area. This arguably links to the small-scale, area-specific research that has been undertaken by myself and my research partner over a two-lesson period. (Bassey, M; 1999.pg.58) identifies the purpose of conducting an educational case study is to analyse: what is significant within the case, to create interpretations of the findings that are reasonable or probable, to test for the trustworthiness of what has been constructed and to link this to relevant literature and research to convey an argument. This is a clear description of what was set out to be achieved within my research. It inspires the structure that this assignment will follow. (Tight, M; 2017 pg.6) also discusses the use of triangulation, meaning using </w:t>
      </w:r>
      <w:r w:rsidRPr="00FD4B15">
        <w:rPr>
          <w:rFonts w:ascii="Arial" w:hAnsi="Arial" w:cs="Arial"/>
        </w:rPr>
        <w:lastRenderedPageBreak/>
        <w:t xml:space="preserve">multiple evidence sources to study aspects of human behaviour. This too has informed how my research was undertaken, using various forms to increase validity. Within this case-study the structures used were: A </w:t>
      </w:r>
      <w:r w:rsidR="004F266B">
        <w:rPr>
          <w:rFonts w:ascii="Arial" w:hAnsi="Arial" w:cs="Arial"/>
        </w:rPr>
        <w:t>lesson</w:t>
      </w:r>
      <w:r w:rsidRPr="00FD4B15">
        <w:rPr>
          <w:rFonts w:ascii="Arial" w:hAnsi="Arial" w:cs="Arial"/>
        </w:rPr>
        <w:t xml:space="preserve"> </w:t>
      </w:r>
      <w:r w:rsidR="004F266B">
        <w:rPr>
          <w:rFonts w:ascii="Arial" w:hAnsi="Arial" w:cs="Arial"/>
        </w:rPr>
        <w:t>observation</w:t>
      </w:r>
      <w:r w:rsidRPr="00FD4B15">
        <w:rPr>
          <w:rFonts w:ascii="Arial" w:hAnsi="Arial" w:cs="Arial"/>
        </w:rPr>
        <w:t xml:space="preserve"> with an observation schedule to assess the answers that were given by pupils and if anything worth noting occurred (See appendix 1) and a focus group based on the lesson. This was followed by using the university’s ARC model to reflect (See appendix 3). The Observation part of the study took a structured approach, this allowed the generation of numerical data which allows comparison to be drawn between situations and settings; Allowing the noting </w:t>
      </w:r>
      <w:r w:rsidR="004F266B" w:rsidRPr="00FD4B15">
        <w:rPr>
          <w:rFonts w:ascii="Arial" w:hAnsi="Arial" w:cs="Arial"/>
        </w:rPr>
        <w:t>of</w:t>
      </w:r>
      <w:r w:rsidRPr="00FD4B15">
        <w:rPr>
          <w:rFonts w:ascii="Arial" w:hAnsi="Arial" w:cs="Arial"/>
        </w:rPr>
        <w:t xml:space="preserve"> patterns, frequencies and trends (Cohen, Manion and Morrison; 2007). The research schedule therefore also reflected this (see appendix 1). The structure of both lessons was as </w:t>
      </w:r>
      <w:r w:rsidR="004F266B" w:rsidRPr="00FD4B15">
        <w:rPr>
          <w:rFonts w:ascii="Arial" w:hAnsi="Arial" w:cs="Arial"/>
        </w:rPr>
        <w:t>follows;</w:t>
      </w:r>
      <w:r w:rsidRPr="00FD4B15">
        <w:rPr>
          <w:rFonts w:ascii="Arial" w:hAnsi="Arial" w:cs="Arial"/>
        </w:rPr>
        <w:t xml:space="preserve"> Pupils were put into groups of threes. These included one higher attaining, one middle attaining and one pupil. From the pupils being studied, it was pre-decided that one lower attaining pupil would answer their question with assistance (of a higher attaining pupil), one without and one with a fifty/fifty option. All three lower attaining pupils would then get to answer the question again to test progression and this was then triangulated by asking the same question at the end of the lesson (all lower attaining pupils answering without assistance) and then assessed. </w:t>
      </w:r>
    </w:p>
    <w:p w14:paraId="2A98E90C" w14:textId="77777777" w:rsidR="00FD4B15" w:rsidRPr="00FD4B15" w:rsidRDefault="00FD4B15" w:rsidP="00FD4B15">
      <w:pPr>
        <w:spacing w:line="360" w:lineRule="auto"/>
        <w:rPr>
          <w:rFonts w:ascii="Arial" w:hAnsi="Arial" w:cs="Arial"/>
        </w:rPr>
      </w:pPr>
      <w:r w:rsidRPr="00FD4B15">
        <w:rPr>
          <w:rFonts w:ascii="Arial" w:hAnsi="Arial" w:cs="Arial"/>
        </w:rPr>
        <w:t>As previously stated, Triangulation was used to study the complexity of human behaviour (Cohen, c; Manion, L; Morrison K; 2007 PG.141). This was partly undertaken in the form of a focus group that involved the six pupils to increase the validity and reliability of the research previously undertaken within the case-study. The use of two qualitative methods increased the reliability of the research by matching what pupils physically do to what they say and feel to dissect whether this correlated. Within the planning stages of the focus group, it was important to consider the type of data needed to assess the validity of the observed lesson. (</w:t>
      </w:r>
      <w:proofErr w:type="spellStart"/>
      <w:r w:rsidRPr="00FD4B15">
        <w:rPr>
          <w:rFonts w:ascii="Arial" w:hAnsi="Arial" w:cs="Arial"/>
        </w:rPr>
        <w:t>Drever</w:t>
      </w:r>
      <w:proofErr w:type="spellEnd"/>
      <w:r w:rsidRPr="00FD4B15">
        <w:rPr>
          <w:rFonts w:ascii="Arial" w:hAnsi="Arial" w:cs="Arial"/>
        </w:rPr>
        <w:t>, E; 2003 pg.13) discusses that closed questions offer little scope whereas, open questions add the element of choice. This informed how this element was planned as an answer to a closed question but could not verify anything from the previous study and cannot be dissected. (</w:t>
      </w:r>
      <w:proofErr w:type="spellStart"/>
      <w:r w:rsidRPr="00FD4B15">
        <w:rPr>
          <w:rFonts w:ascii="Arial" w:hAnsi="Arial" w:cs="Arial"/>
        </w:rPr>
        <w:t>Drever</w:t>
      </w:r>
      <w:proofErr w:type="spellEnd"/>
      <w:r w:rsidRPr="00FD4B15">
        <w:rPr>
          <w:rFonts w:ascii="Arial" w:hAnsi="Arial" w:cs="Arial"/>
        </w:rPr>
        <w:t xml:space="preserve">, E; 2003 pg.2) alludes that an interview is more meaningful due to the depth of information that can be received in comparison to questionnaires. </w:t>
      </w:r>
      <w:proofErr w:type="spellStart"/>
      <w:r w:rsidRPr="00FD4B15">
        <w:rPr>
          <w:rFonts w:ascii="Arial" w:hAnsi="Arial" w:cs="Arial"/>
        </w:rPr>
        <w:t>Drever</w:t>
      </w:r>
      <w:proofErr w:type="spellEnd"/>
      <w:r w:rsidRPr="00FD4B15">
        <w:rPr>
          <w:rFonts w:ascii="Arial" w:hAnsi="Arial" w:cs="Arial"/>
        </w:rPr>
        <w:t xml:space="preserve"> also addresses the idea that questionnaires are not flexible once distributed. This informed my research as the assessment of answers can take place whilst the interview is ongoing. However, with a questionnaire, this would be left until later and miscommunication cannot be cleared up. (</w:t>
      </w:r>
      <w:proofErr w:type="spellStart"/>
      <w:r w:rsidRPr="00FD4B15">
        <w:rPr>
          <w:rFonts w:ascii="Arial" w:hAnsi="Arial" w:cs="Arial"/>
        </w:rPr>
        <w:t>Drever</w:t>
      </w:r>
      <w:proofErr w:type="spellEnd"/>
      <w:r w:rsidRPr="00FD4B15">
        <w:rPr>
          <w:rFonts w:ascii="Arial" w:hAnsi="Arial" w:cs="Arial"/>
        </w:rPr>
        <w:t>, E; 2003. Pg.3) addresses the time-consuming nature of interviews. However, this did not affect my interview process due to it being small scale research with smaller sample size. Another issue addressed is that within-group interviews one person can tend to dominate (</w:t>
      </w:r>
      <w:proofErr w:type="spellStart"/>
      <w:r w:rsidRPr="00FD4B15">
        <w:rPr>
          <w:rFonts w:ascii="Arial" w:hAnsi="Arial" w:cs="Arial"/>
        </w:rPr>
        <w:t>Drever</w:t>
      </w:r>
      <w:proofErr w:type="spellEnd"/>
      <w:r w:rsidRPr="00FD4B15">
        <w:rPr>
          <w:rFonts w:ascii="Arial" w:hAnsi="Arial" w:cs="Arial"/>
        </w:rPr>
        <w:t xml:space="preserve">, E 2003. Pg.16), informing our planning to ensure there was structure to the interview for equitable opportunity to answer. More specifically investigator </w:t>
      </w:r>
      <w:r w:rsidRPr="00FD4B15">
        <w:rPr>
          <w:rFonts w:ascii="Arial" w:hAnsi="Arial" w:cs="Arial"/>
        </w:rPr>
        <w:lastRenderedPageBreak/>
        <w:t xml:space="preserve">triangulation was used whereas there was more than one observer and multiple forms of data were retrieved (Silverman 1993: 99 referenced in Cohen, L; Manion L; Morrison, K; 2007 pg.142) Methodological triangulation was also used, where a method is used on different occasions (Cohen, L; Manion L; Morrison, K; 2007 pg.142) which are both appropriate to the research undertaken due to how we structured our research in planning the same method of questioning for two different subjects and different environments. To assess whether responses to questions were valid, triangulation questioning was used (asking two similar questions). However, it has been questioned that if two of the outcomes from triangulation produce different results, should they hold equal weight? Or are they invalid? (Foss and </w:t>
      </w:r>
      <w:proofErr w:type="spellStart"/>
      <w:r w:rsidRPr="00FD4B15">
        <w:rPr>
          <w:rFonts w:ascii="Arial" w:hAnsi="Arial" w:cs="Arial"/>
        </w:rPr>
        <w:t>Ellefsen</w:t>
      </w:r>
      <w:proofErr w:type="spellEnd"/>
      <w:r w:rsidRPr="00FD4B15">
        <w:rPr>
          <w:rFonts w:ascii="Arial" w:hAnsi="Arial" w:cs="Arial"/>
        </w:rPr>
        <w:t xml:space="preserve">; 2002). Nonetheless, the benefits of triangulation outweighed this.  </w:t>
      </w:r>
    </w:p>
    <w:p w14:paraId="4731413C" w14:textId="77777777" w:rsidR="00FD4B15" w:rsidRPr="00FD4B15" w:rsidRDefault="00FD4B15" w:rsidP="00FD4B15">
      <w:pPr>
        <w:spacing w:line="360" w:lineRule="auto"/>
        <w:rPr>
          <w:rFonts w:ascii="Arial" w:hAnsi="Arial" w:cs="Arial"/>
        </w:rPr>
      </w:pPr>
      <w:r w:rsidRPr="00FD4B15">
        <w:rPr>
          <w:rFonts w:ascii="Arial" w:hAnsi="Arial" w:cs="Arial"/>
        </w:rPr>
        <w:t xml:space="preserve"> </w:t>
      </w:r>
    </w:p>
    <w:p w14:paraId="47A06666" w14:textId="77777777" w:rsidR="00FD4B15" w:rsidRPr="004F266B" w:rsidRDefault="00FD4B15" w:rsidP="00FD4B15">
      <w:pPr>
        <w:spacing w:line="360" w:lineRule="auto"/>
        <w:rPr>
          <w:rFonts w:ascii="Arial" w:hAnsi="Arial" w:cs="Arial"/>
          <w:sz w:val="28"/>
          <w:szCs w:val="28"/>
        </w:rPr>
      </w:pPr>
      <w:r w:rsidRPr="004F266B">
        <w:rPr>
          <w:rFonts w:ascii="Arial" w:hAnsi="Arial" w:cs="Arial"/>
          <w:sz w:val="28"/>
          <w:szCs w:val="28"/>
        </w:rPr>
        <w:t xml:space="preserve">Ethical considerations: </w:t>
      </w:r>
    </w:p>
    <w:p w14:paraId="6F853B75" w14:textId="5D727031" w:rsidR="00FD4B15" w:rsidRPr="00FD4B15" w:rsidRDefault="00FD4B15" w:rsidP="00FD4B15">
      <w:pPr>
        <w:spacing w:line="360" w:lineRule="auto"/>
        <w:rPr>
          <w:rFonts w:ascii="Arial" w:hAnsi="Arial" w:cs="Arial"/>
        </w:rPr>
      </w:pPr>
      <w:r w:rsidRPr="00FD4B15">
        <w:rPr>
          <w:rFonts w:ascii="Arial" w:hAnsi="Arial" w:cs="Arial"/>
        </w:rPr>
        <w:t>Before following on to discuss the findings of the research undertaken, it is essential to address the ethical grounds which were taken into consideration before the research was undertaken. First, the process began with the submission of an ethics form to the university ethics committee to ensure that the research undertaken was ethical. Furthermore, to be in line with (</w:t>
      </w:r>
      <w:proofErr w:type="spellStart"/>
      <w:r w:rsidRPr="00FD4B15">
        <w:rPr>
          <w:rFonts w:ascii="Arial" w:hAnsi="Arial" w:cs="Arial"/>
        </w:rPr>
        <w:t>Bera</w:t>
      </w:r>
      <w:proofErr w:type="spellEnd"/>
      <w:r w:rsidRPr="00FD4B15">
        <w:rPr>
          <w:rFonts w:ascii="Arial" w:hAnsi="Arial" w:cs="Arial"/>
        </w:rPr>
        <w:t xml:space="preserve">, 2015) ethical guidelines,  the pupils will be referred to as X, Y and Z and both schools addressed as School X and School Y to ensure the pupil and schools anonymity and their information remaining confidential. It was also stated that both subjects involved, and parents should be made aware of the purpose of the research. This leads on to informed consent which is described in (Cohen, Manion and Morrison; 2007 pg.52-54) as giving participants full information where any potential dangers or consequences could arise. It also identifies the subjects right to self-determination and freedom whilst taking part. It was discussed that there are two stages. Stage one involves gaining parental consent which led to both parents and pupils being given the full information about the study making it ethical and legal to undertake, with the appropriate and ethical guidelines followed. It then led onto stage two also discussed within (Cohen, Manion, Morrison; 2007 pg.54) of approaching the pupils where ascent then came into how I conducted my research. This was also sought by both researchers throughout the process of the lesson study where verbal elements were put into place for pupils to opt-out in both the lesson and focus group. </w:t>
      </w:r>
    </w:p>
    <w:p w14:paraId="0F7CA47B" w14:textId="77777777" w:rsidR="000E10C4" w:rsidRDefault="000E10C4" w:rsidP="00FD4B15">
      <w:pPr>
        <w:spacing w:line="360" w:lineRule="auto"/>
        <w:rPr>
          <w:rFonts w:ascii="Arial" w:hAnsi="Arial" w:cs="Arial"/>
          <w:sz w:val="28"/>
          <w:szCs w:val="28"/>
        </w:rPr>
      </w:pPr>
    </w:p>
    <w:p w14:paraId="1F0E6CAE" w14:textId="77777777" w:rsidR="000E10C4" w:rsidRDefault="000E10C4" w:rsidP="00FD4B15">
      <w:pPr>
        <w:spacing w:line="360" w:lineRule="auto"/>
        <w:rPr>
          <w:rFonts w:ascii="Arial" w:hAnsi="Arial" w:cs="Arial"/>
          <w:sz w:val="28"/>
          <w:szCs w:val="28"/>
        </w:rPr>
      </w:pPr>
    </w:p>
    <w:p w14:paraId="6546E0A0" w14:textId="3BBEBABB" w:rsidR="00FD4B15" w:rsidRPr="004F266B" w:rsidRDefault="00FD4B15" w:rsidP="00FD4B15">
      <w:pPr>
        <w:spacing w:line="360" w:lineRule="auto"/>
        <w:rPr>
          <w:rFonts w:ascii="Arial" w:hAnsi="Arial" w:cs="Arial"/>
          <w:sz w:val="28"/>
          <w:szCs w:val="28"/>
        </w:rPr>
      </w:pPr>
      <w:r w:rsidRPr="004F266B">
        <w:rPr>
          <w:rFonts w:ascii="Arial" w:hAnsi="Arial" w:cs="Arial"/>
          <w:sz w:val="28"/>
          <w:szCs w:val="28"/>
        </w:rPr>
        <w:lastRenderedPageBreak/>
        <w:t xml:space="preserve">Lesson study 1 results and analysis: </w:t>
      </w:r>
    </w:p>
    <w:p w14:paraId="6B245455" w14:textId="17FF8606" w:rsidR="00FD4B15" w:rsidRPr="00FD4B15" w:rsidRDefault="00FD4B15" w:rsidP="00FD4B15">
      <w:pPr>
        <w:spacing w:line="360" w:lineRule="auto"/>
        <w:rPr>
          <w:rFonts w:ascii="Arial" w:hAnsi="Arial" w:cs="Arial"/>
        </w:rPr>
      </w:pPr>
      <w:r w:rsidRPr="00FD4B15">
        <w:rPr>
          <w:rFonts w:ascii="Arial" w:hAnsi="Arial" w:cs="Arial"/>
        </w:rPr>
        <w:t>The first of the studies were undertaken in School X (The background and context previously described). The findings from the study of this case were that Pupil X who discussed their answers with a higher attaining pupil w</w:t>
      </w:r>
      <w:r w:rsidR="004F266B">
        <w:rPr>
          <w:rFonts w:ascii="Arial" w:hAnsi="Arial" w:cs="Arial"/>
        </w:rPr>
        <w:t>as</w:t>
      </w:r>
      <w:r w:rsidRPr="00FD4B15">
        <w:rPr>
          <w:rFonts w:ascii="Arial" w:hAnsi="Arial" w:cs="Arial"/>
        </w:rPr>
        <w:t xml:space="preserve"> able to increase the linguistic quality (did it make sense, and did they use the appropriate language) of their answer as well as the content quality (was subject-specific terminology used and did it link to the topic). However, Pupil Z made less quality progress but there was a slight improvement, mostly regarding the linguistic increase. Pupil X displayed a positive attitude toward learning and enthusiasm towards the lesson. Upon observation, it was clear that Pupil X was a confident member of the group. However, when pupil X was called upon without raising their hand, they displayed a lack of confidence in giving their initial answer within the lesson. The lack of confidence was later confirmed within the focus group (Appendix 2A, Question 3 and Question 5) the pupil expressed worry of not knowing what to say and what others thought. This displays that the first instant is a worry of the unknown and being incorrect and judged before consideration of the answer. Pupil Y had a similar attitude to learning and enthusiasm as Pupil X and displayed similar confidence issues when selected without putting their hand up. This was again confirmed in the focus group (Appendix 2A, Question 3). However, in comparison to the lesson, within the interview Pupil’s X, Y and Z did not display a lack of confidence. This suggests that the environment also may have played a factor in the pressure Pupils may have felt. Pupil X displayed a positive attitude in working collaboratively with the higher attaining pupil and displayed more confidence in delivering the answer from the modelled answer and this was retained this had improved also (see appendix, A Question two). This identified the effectiveness of the method on this pupil and displayed the pupil was not passive to this. Whereas, Pupil Y and Z displayed less confidence in the delivery of the answer, which was later validated in the focus group (Appendix 2A). It could be suggested that this was due to the lack of collaboration these pupils received in comparison to Pupil X and a line then drawn between the effect of peer discussion and their confidence which affected what they could say. Pupil Y found that that the fifty/fifty approach acted as a barrier to adaptation (Appendix 2A, Question 10B) which stopped the pupil saying </w:t>
      </w:r>
      <w:r w:rsidR="004F266B">
        <w:rPr>
          <w:rFonts w:ascii="Arial" w:hAnsi="Arial" w:cs="Arial"/>
        </w:rPr>
        <w:t>w</w:t>
      </w:r>
      <w:r w:rsidRPr="00FD4B15">
        <w:rPr>
          <w:rFonts w:ascii="Arial" w:hAnsi="Arial" w:cs="Arial"/>
        </w:rPr>
        <w:t>hat they wanted as they were worried about being wrong (a worry Pupil X didn’t carry). This further cemented the link between peer discussion increasing confidence and this being a factor to the quality and linguistic adaptation of the original answer. It was also discovered that the Pupil X, having the opportunity to discuss their answers showed signs of being able to draw larger comparisons between their original answer and their adapted answer, in language and quality (</w:t>
      </w:r>
      <w:r w:rsidR="004F266B">
        <w:rPr>
          <w:rFonts w:ascii="Arial" w:hAnsi="Arial" w:cs="Arial"/>
        </w:rPr>
        <w:t xml:space="preserve">see </w:t>
      </w:r>
      <w:r w:rsidRPr="00FD4B15">
        <w:rPr>
          <w:rFonts w:ascii="Arial" w:hAnsi="Arial" w:cs="Arial"/>
        </w:rPr>
        <w:t xml:space="preserve">Appendix 1) than Pupil Y and Z. Pupil X </w:t>
      </w:r>
      <w:r w:rsidR="004F266B">
        <w:rPr>
          <w:rFonts w:ascii="Arial" w:hAnsi="Arial" w:cs="Arial"/>
        </w:rPr>
        <w:t xml:space="preserve">displayed </w:t>
      </w:r>
      <w:r w:rsidRPr="00FD4B15">
        <w:rPr>
          <w:rFonts w:ascii="Arial" w:hAnsi="Arial" w:cs="Arial"/>
        </w:rPr>
        <w:t xml:space="preserve">that the </w:t>
      </w:r>
      <w:r w:rsidRPr="00FD4B15">
        <w:rPr>
          <w:rFonts w:ascii="Arial" w:hAnsi="Arial" w:cs="Arial"/>
        </w:rPr>
        <w:lastRenderedPageBreak/>
        <w:t xml:space="preserve">collaboration was helpful in understanding which was also key. It was concluded in this lesson that Pupil X made the most progress out of all learners. </w:t>
      </w:r>
    </w:p>
    <w:p w14:paraId="6BC42488" w14:textId="77777777" w:rsidR="00FD4B15" w:rsidRPr="00FD4B15" w:rsidRDefault="00FD4B15" w:rsidP="00FD4B15">
      <w:pPr>
        <w:spacing w:line="360" w:lineRule="auto"/>
        <w:rPr>
          <w:rFonts w:ascii="Arial" w:hAnsi="Arial" w:cs="Arial"/>
        </w:rPr>
      </w:pPr>
      <w:r w:rsidRPr="00FD4B15">
        <w:rPr>
          <w:rFonts w:ascii="Arial" w:hAnsi="Arial" w:cs="Arial"/>
        </w:rPr>
        <w:t xml:space="preserve">To adapt the research collection methods for the next study it was decided that question clarification would be needed in the focus group if the pupils did not understand fully what the question was asking, to avoid pupils going on tangents and not addressing the question directly. The lesson content was also reviewed, and we believed that to improve the lesson, we would need to spread the questioning out more throughout the lesson. This decision was made due to question sessions were being asked in chunks which effected engagement and the decision was made to avoid lack of engagement or cognitive overload. It was also considered space and class size difference for the next study and groups of three would not be possible in the next study and adaptation of the task with the same question structure and technique was then decided. </w:t>
      </w:r>
    </w:p>
    <w:p w14:paraId="5EBA65B9" w14:textId="77777777" w:rsidR="00FD4B15" w:rsidRPr="00FD4B15" w:rsidRDefault="00FD4B15" w:rsidP="00FD4B15">
      <w:pPr>
        <w:spacing w:line="360" w:lineRule="auto"/>
        <w:rPr>
          <w:rFonts w:ascii="Arial" w:hAnsi="Arial" w:cs="Arial"/>
        </w:rPr>
      </w:pPr>
      <w:r w:rsidRPr="00FD4B15">
        <w:rPr>
          <w:rFonts w:ascii="Arial" w:hAnsi="Arial" w:cs="Arial"/>
        </w:rPr>
        <w:t xml:space="preserve"> </w:t>
      </w:r>
    </w:p>
    <w:p w14:paraId="2FDD4ED6" w14:textId="77777777" w:rsidR="00FD4B15" w:rsidRPr="000E10C4" w:rsidRDefault="00FD4B15" w:rsidP="00FD4B15">
      <w:pPr>
        <w:spacing w:line="360" w:lineRule="auto"/>
        <w:rPr>
          <w:rFonts w:ascii="Arial" w:hAnsi="Arial" w:cs="Arial"/>
          <w:sz w:val="28"/>
          <w:szCs w:val="28"/>
        </w:rPr>
      </w:pPr>
      <w:r w:rsidRPr="000E10C4">
        <w:rPr>
          <w:rFonts w:ascii="Arial" w:hAnsi="Arial" w:cs="Arial"/>
          <w:sz w:val="28"/>
          <w:szCs w:val="28"/>
        </w:rPr>
        <w:t xml:space="preserve">Lesson study 2 results and analysis: </w:t>
      </w:r>
    </w:p>
    <w:p w14:paraId="58263F68" w14:textId="77777777" w:rsidR="00FD4B15" w:rsidRPr="00FD4B15" w:rsidRDefault="00FD4B15" w:rsidP="00FD4B15">
      <w:pPr>
        <w:spacing w:line="360" w:lineRule="auto"/>
        <w:rPr>
          <w:rFonts w:ascii="Arial" w:hAnsi="Arial" w:cs="Arial"/>
        </w:rPr>
      </w:pPr>
      <w:r w:rsidRPr="00FD4B15">
        <w:rPr>
          <w:rFonts w:ascii="Arial" w:hAnsi="Arial" w:cs="Arial"/>
        </w:rPr>
        <w:t xml:space="preserve">The second study was undertaken in school Y and where the results of this study regarding the development of language and quality of answers in this lesson were evident, but the results were not as drastic as they were in school X regarding the progression of answers (see Appendix 1B, section 5). All pupils being studied displayed a positive attitude to learning and both Pupil X and Y displayed confident behaviour throughout the lesson. It was observed that Pupil Z was a bit less confident in comparison. However, Pupil X and Y displayed confidence in their ability whilst answering questions. Whereas, pupil Z showed a lower level of confidence. However, these pupils also displayed a lower level of low confidence within the focus group – again reinforcing the link between the original answer delivered and the confidence in delivery. It could be suggested that these pupils were more able to disguise how they were feeling, and this was only evident upon discussion. This was again made clear in the focus group as having good answers and impressing the teacher seemed important to pupils (See Appendix 2B). Upon reflection, it was clear that the results were due to all pupils in the sample having a high enough mental capacity to give themselves time to process the question and mostly gave an answer of good quality. Mental capacity meaning the number of schemes relevant to a task that can be activated to facilitate problem-solving and information processing (Niaz, Nunez and Pineda; 2000). However, it also proved to be effective when Pupil X discussed their answer as the second answer delivered had also improved in spoken language and quality. Concluding also that Pupil X make the most progress. All pupils were able to identify the difference between the original answer and the second answer given. Therefore, pupils did retain the information when </w:t>
      </w:r>
      <w:r w:rsidRPr="00FD4B15">
        <w:rPr>
          <w:rFonts w:ascii="Arial" w:hAnsi="Arial" w:cs="Arial"/>
        </w:rPr>
        <w:lastRenderedPageBreak/>
        <w:t xml:space="preserve">asked the same question at the end but not to the same quality as lesson one. It could be suggested that this was due to the smaller gap between the original answer and increased quality. All pupils displayed better-structured language within the lesson observation then they did within the interview. It could be suggested that within a higher-stakes environment that what they said was considered more and within more relaxed setting pupils relied more on spontaneous speech. Spontaneous speech is disfluent, and the speakers are known to hesitate (using: oh, um or uh), repeating or interrupting themselves mid-sentence or by starting over or abandoning a phrase (Brennan and Schober; 2001), Therefore, reinforcing that the flow of speech effects the delivery of spoken language that is spontaneous and has not been prepared prior.  </w:t>
      </w:r>
    </w:p>
    <w:p w14:paraId="4E5B668D" w14:textId="77777777" w:rsidR="00FD4B15" w:rsidRPr="00FD4B15" w:rsidRDefault="00FD4B15" w:rsidP="00FD4B15">
      <w:pPr>
        <w:spacing w:line="360" w:lineRule="auto"/>
        <w:rPr>
          <w:rFonts w:ascii="Arial" w:hAnsi="Arial" w:cs="Arial"/>
        </w:rPr>
      </w:pPr>
      <w:r w:rsidRPr="00FD4B15">
        <w:rPr>
          <w:rFonts w:ascii="Arial" w:hAnsi="Arial" w:cs="Arial"/>
        </w:rPr>
        <w:t>This lesson could be improved for future purposes by using all peer interaction groupings like Pupil X was involved in to assess whether this was something that could be generalised or whether results were specific to this pupil. It could also be improved by putting it into a non-research context removing the initial answer being given; this would not be practical for timings, as to obtain an answer from all lower attaining pupils and hear a second answer to then assess all answers would be extremely impractical in the implementation as a whole. Cutting out the initial answer and using a think, pair and share model would add practicality with the higher lower attaining pupil set up. From this experience, we learned that having a higher attaining pupil model the answer does influence the development of a lower attaining pupils answer. Discovering that peer work increases confidence which assists removing that initial barrier of the initial delivery of an answer, effecting the language used to deliver (</w:t>
      </w:r>
      <w:proofErr w:type="spellStart"/>
      <w:r w:rsidRPr="00FD4B15">
        <w:rPr>
          <w:rFonts w:ascii="Arial" w:hAnsi="Arial" w:cs="Arial"/>
        </w:rPr>
        <w:t>eg.</w:t>
      </w:r>
      <w:proofErr w:type="spellEnd"/>
      <w:r w:rsidRPr="00FD4B15">
        <w:rPr>
          <w:rFonts w:ascii="Arial" w:hAnsi="Arial" w:cs="Arial"/>
        </w:rPr>
        <w:t xml:space="preserve"> Nervous reactions such as stumbling and losing train of thought). Concluding that many factors could affect a pupil's language upon delivery, but peer discussion can help to minimize a lot of these issues. </w:t>
      </w:r>
    </w:p>
    <w:p w14:paraId="39E7BB51" w14:textId="0411ADE2" w:rsidR="00FD4B15" w:rsidRPr="000E10C4" w:rsidRDefault="00FD4B15" w:rsidP="00FD4B15">
      <w:pPr>
        <w:spacing w:line="360" w:lineRule="auto"/>
        <w:rPr>
          <w:rFonts w:ascii="Arial" w:hAnsi="Arial" w:cs="Arial"/>
          <w:sz w:val="28"/>
          <w:szCs w:val="28"/>
        </w:rPr>
      </w:pPr>
      <w:r w:rsidRPr="000E10C4">
        <w:rPr>
          <w:rFonts w:ascii="Arial" w:hAnsi="Arial" w:cs="Arial"/>
          <w:sz w:val="28"/>
          <w:szCs w:val="28"/>
        </w:rPr>
        <w:t xml:space="preserve"> Discussion of research findings: </w:t>
      </w:r>
    </w:p>
    <w:p w14:paraId="0A09F2DD" w14:textId="77777777" w:rsidR="00FD4B15" w:rsidRPr="00FD4B15" w:rsidRDefault="00FD4B15" w:rsidP="00FD4B15">
      <w:pPr>
        <w:spacing w:line="360" w:lineRule="auto"/>
        <w:rPr>
          <w:rFonts w:ascii="Arial" w:hAnsi="Arial" w:cs="Arial"/>
        </w:rPr>
      </w:pPr>
      <w:r w:rsidRPr="00FD4B15">
        <w:rPr>
          <w:rFonts w:ascii="Arial" w:hAnsi="Arial" w:cs="Arial"/>
        </w:rPr>
        <w:t xml:space="preserve">From both studies, it was evident that allowing higher attaining pupils to model answers was successful in increasing the framing and quality of lower attaining pupils' answers. Pupils from both studies also displayed that confidence in answering a question was a key factor in the original answer delivered. This being something discussed by </w:t>
      </w:r>
      <w:proofErr w:type="spellStart"/>
      <w:r w:rsidRPr="00FD4B15">
        <w:rPr>
          <w:rFonts w:ascii="Arial" w:hAnsi="Arial" w:cs="Arial"/>
        </w:rPr>
        <w:t>Compte</w:t>
      </w:r>
      <w:proofErr w:type="spellEnd"/>
      <w:r w:rsidRPr="00FD4B15">
        <w:rPr>
          <w:rFonts w:ascii="Arial" w:hAnsi="Arial" w:cs="Arial"/>
        </w:rPr>
        <w:t xml:space="preserve"> and </w:t>
      </w:r>
      <w:proofErr w:type="spellStart"/>
      <w:r w:rsidRPr="00FD4B15">
        <w:rPr>
          <w:rFonts w:ascii="Arial" w:hAnsi="Arial" w:cs="Arial"/>
        </w:rPr>
        <w:t>Postlewaite</w:t>
      </w:r>
      <w:proofErr w:type="spellEnd"/>
      <w:r w:rsidRPr="00FD4B15">
        <w:rPr>
          <w:rFonts w:ascii="Arial" w:hAnsi="Arial" w:cs="Arial"/>
        </w:rPr>
        <w:t xml:space="preserve"> (2004) that negative emotions such as fearing failure effect performance, whereas, positive emotions can also affect performance in this way.  This displayed that reassurance of the understanding of a concept and their use of language when displaying this was crucial to the progress of the answer. It could be suggested that through the peer discussion, the confidence within the answer previously given allowed pupils to retain this to use later within the session. The reason being that recollection of success is found to be easier than failure </w:t>
      </w:r>
      <w:r w:rsidRPr="00FD4B15">
        <w:rPr>
          <w:rFonts w:ascii="Arial" w:hAnsi="Arial" w:cs="Arial"/>
        </w:rPr>
        <w:lastRenderedPageBreak/>
        <w:t>(</w:t>
      </w:r>
      <w:proofErr w:type="spellStart"/>
      <w:r w:rsidRPr="00FD4B15">
        <w:rPr>
          <w:rFonts w:ascii="Arial" w:hAnsi="Arial" w:cs="Arial"/>
        </w:rPr>
        <w:t>Compte</w:t>
      </w:r>
      <w:proofErr w:type="spellEnd"/>
      <w:r w:rsidRPr="00FD4B15">
        <w:rPr>
          <w:rFonts w:ascii="Arial" w:hAnsi="Arial" w:cs="Arial"/>
        </w:rPr>
        <w:t xml:space="preserve">, O and </w:t>
      </w:r>
      <w:proofErr w:type="spellStart"/>
      <w:r w:rsidRPr="00FD4B15">
        <w:rPr>
          <w:rFonts w:ascii="Arial" w:hAnsi="Arial" w:cs="Arial"/>
        </w:rPr>
        <w:t>Postlewaite</w:t>
      </w:r>
      <w:proofErr w:type="spellEnd"/>
      <w:r w:rsidRPr="00FD4B15">
        <w:rPr>
          <w:rFonts w:ascii="Arial" w:hAnsi="Arial" w:cs="Arial"/>
        </w:rPr>
        <w:t xml:space="preserve">; 2004).  This was evident in the way that the answers were delivered when assessed through triangulation questioning later in the lessons. </w:t>
      </w:r>
    </w:p>
    <w:p w14:paraId="3AB6B2FF" w14:textId="77777777" w:rsidR="00FD4B15" w:rsidRPr="00FD4B15" w:rsidRDefault="00FD4B15" w:rsidP="00FD4B15">
      <w:pPr>
        <w:spacing w:line="360" w:lineRule="auto"/>
        <w:rPr>
          <w:rFonts w:ascii="Arial" w:hAnsi="Arial" w:cs="Arial"/>
        </w:rPr>
      </w:pPr>
      <w:r w:rsidRPr="00FD4B15">
        <w:rPr>
          <w:rFonts w:ascii="Arial" w:hAnsi="Arial" w:cs="Arial"/>
        </w:rPr>
        <w:t xml:space="preserve">It was also apparent that this affected the pupil's retention of the information as these pupils had the opportunity to discuss their thoughts which cemented this in their minds. Pupils in both studies (Pupil X in both) displayed a developed quality answer regarding: Language, structure and terminology after the model from the higher attaining pupil. In comparison to the Pupils that had the fifty/fifty choice (Pupil Y in both Studies) and the pupil that couldn’t ask for help (Pupil Z in both studies). It was evident that Pupil X in the first study increased the quality of their answer (See Appendix 1A, Section 1 and 5) showing significantly more progress from the original than Pupil X in the second study (see Appendix 1B, Question 1 and 5). It was discussed that this could be due to the lower ability pupil in lesson two being abler than the lower ability Pupil X in lesson one. There was no evidence from both lessons that suggested that either Pupil X had mimicked what the higher attaining pupil had suggested because they had displayed engagement through identifying the differences between the model and their answer and the fact they had been stimulated with other tasks before the same question was asked again. Both pupils (Pupil X) gave a slightly different response but with the same structure and language type. </w:t>
      </w:r>
    </w:p>
    <w:p w14:paraId="0DFDA8A5" w14:textId="77777777" w:rsidR="00FD4B15" w:rsidRPr="00FD4B15" w:rsidRDefault="00FD4B15" w:rsidP="00FD4B15">
      <w:pPr>
        <w:spacing w:line="360" w:lineRule="auto"/>
        <w:rPr>
          <w:rFonts w:ascii="Arial" w:hAnsi="Arial" w:cs="Arial"/>
        </w:rPr>
      </w:pPr>
      <w:r w:rsidRPr="00FD4B15">
        <w:rPr>
          <w:rFonts w:ascii="Arial" w:hAnsi="Arial" w:cs="Arial"/>
        </w:rPr>
        <w:t xml:space="preserve">We were shocked to discover that Pupil Z in both lessons did not retain information as well as we had anticipated. We had previously believed that because pupils had to think about it themselves that they would remember, but they did not. However, these pupils did display the same amount of discomfort and lack of confidence on both occasions. However, information that did contrast was that both Pupil Y’s in both lessons displayed a slightly more confident approach when given a fifty/fifty choice. However, Pupil Y in lesson one did not like this approach and found it confusing (See Appendix 2A, Question 10B) and Pupil Y in lesson two found it one of their favourites (See appendix 2B, Question 10D). It was apparent across all lessons that all pupils decreased in confidence when called upon without putting their hands up and did not prefer this method of selection. All pupils also displayed a more confident attitude in the focus group answering questions rather than the classroom. This suggests that the environment affected confidence and this from the focus group, came from a worry of being wrong or not knowing and then this, in turn, affected the language of pupils. Which goes back to debating nature over nurture discussed in Factors Influencing the Development of Self-esteem (Mentalhelp.net, 2020) where it is discussed a child's biological ability is nature, but the development of their confidence/self-esteem comes partly from interaction with social environments. Similarly, Brennan and Williams (1995) undertook a study, the researchers found that information is given that helps determine how confident speakers are through either silence or hesitation (silence being considering, hesitation with </w:t>
      </w:r>
      <w:r w:rsidRPr="00FD4B15">
        <w:rPr>
          <w:rFonts w:ascii="Arial" w:hAnsi="Arial" w:cs="Arial"/>
        </w:rPr>
        <w:lastRenderedPageBreak/>
        <w:t xml:space="preserve">um or uh being unconfident. Therefore, reinforcing confidence influence on the delivery of language. </w:t>
      </w:r>
    </w:p>
    <w:p w14:paraId="573B8AC5" w14:textId="77777777" w:rsidR="00FD4B15" w:rsidRPr="000E10C4" w:rsidRDefault="00FD4B15" w:rsidP="00FD4B15">
      <w:pPr>
        <w:spacing w:line="360" w:lineRule="auto"/>
        <w:rPr>
          <w:rFonts w:ascii="Arial" w:hAnsi="Arial" w:cs="Arial"/>
          <w:sz w:val="28"/>
          <w:szCs w:val="28"/>
        </w:rPr>
      </w:pPr>
      <w:r w:rsidRPr="000E10C4">
        <w:rPr>
          <w:rFonts w:ascii="Arial" w:hAnsi="Arial" w:cs="Arial"/>
          <w:sz w:val="28"/>
          <w:szCs w:val="28"/>
        </w:rPr>
        <w:t xml:space="preserve">Conclusion: </w:t>
      </w:r>
    </w:p>
    <w:p w14:paraId="224796B0" w14:textId="77777777" w:rsidR="00FD4B15" w:rsidRPr="00FD4B15" w:rsidRDefault="00FD4B15" w:rsidP="00FD4B15">
      <w:pPr>
        <w:spacing w:line="360" w:lineRule="auto"/>
        <w:rPr>
          <w:rFonts w:ascii="Arial" w:hAnsi="Arial" w:cs="Arial"/>
        </w:rPr>
      </w:pPr>
      <w:r w:rsidRPr="00FD4B15">
        <w:rPr>
          <w:rFonts w:ascii="Arial" w:hAnsi="Arial" w:cs="Arial"/>
        </w:rPr>
        <w:t xml:space="preserve">In conclusion, it’s important to address that the methods used to undertake the research have areas that could be viewed as more reliable than others. This is the case with any research undertaken as no method can 100% guarantee a result. The setup of the lesson held its limitations, one being it worked extremely well within a drama class environment due to space and resources available. However, this was adaptable to take place in an English class environment with more pupils and less space by ensuring the same methods of questioning were being used in a differently structured lesson. The use of the research schedule proved to be reliable as it was clear to both researchers what the purpose of each question was through a key of what needs to be measured being provided (See Appendix 1A and 1B) following the structure design in (Cohen, Manion and Morrison; 2007 pg.198). This ensured the reliability of results as the role of the researcher changed over the lessons studied. Also, complimenting this was a scale of 1-4 which did not allow for a researcher to choose a middle ground or take a neutral stance as this would be an easier option and could not be analysed as effectively. However, using this did not allow room for comments to be made and this could allow thoughts throughout to be forgotten by the time the method of reflection was used. The use of the focus group proved to be effective as this created a more relaxed environment, and this was evident by pupils verbalising answers naturally. In comparison to a questionnaire, this was justified by allowing pupils to expand on answers that they may not necessarily write down. This method allowed also for miscommunications to be cleared up within the discussion.  </w:t>
      </w:r>
    </w:p>
    <w:p w14:paraId="2F6C9FBA" w14:textId="77777777" w:rsidR="00FD4B15" w:rsidRPr="00FD4B15" w:rsidRDefault="00FD4B15" w:rsidP="00FD4B15">
      <w:pPr>
        <w:spacing w:line="360" w:lineRule="auto"/>
        <w:rPr>
          <w:rFonts w:ascii="Arial" w:hAnsi="Arial" w:cs="Arial"/>
        </w:rPr>
      </w:pPr>
      <w:r w:rsidRPr="00FD4B15">
        <w:rPr>
          <w:rFonts w:ascii="Arial" w:hAnsi="Arial" w:cs="Arial"/>
        </w:rPr>
        <w:t xml:space="preserve">The concluded findings of the lesson were the structure did work and higher attaining pupils modelling answer did have a positive effect on lower attaining pupils' answers. Also, discovering confidence also was a key factor in the initial stages which could be minimized by peer sharing. The answers could be viewed as more valid with the use of triangulation questioning could validate that pupils were giving the same answer twice and not trying to impress the researcher or speaking without thought. This type of research could be generalised as the research was undertaken in two different environments with different socio-economic factors and different cultures.  </w:t>
      </w:r>
    </w:p>
    <w:p w14:paraId="7538687A" w14:textId="77777777" w:rsidR="00FD4B15" w:rsidRPr="000E10C4" w:rsidRDefault="00FD4B15" w:rsidP="00FD4B15">
      <w:pPr>
        <w:spacing w:line="360" w:lineRule="auto"/>
        <w:rPr>
          <w:rFonts w:ascii="Arial" w:hAnsi="Arial" w:cs="Arial"/>
          <w:sz w:val="28"/>
          <w:szCs w:val="28"/>
        </w:rPr>
      </w:pPr>
      <w:r w:rsidRPr="000E10C4">
        <w:rPr>
          <w:rFonts w:ascii="Arial" w:hAnsi="Arial" w:cs="Arial"/>
          <w:sz w:val="28"/>
          <w:szCs w:val="28"/>
        </w:rPr>
        <w:t xml:space="preserve">Recommendations: </w:t>
      </w:r>
    </w:p>
    <w:p w14:paraId="197553C6" w14:textId="6428D579" w:rsidR="000E10C4" w:rsidRDefault="00FD4B15" w:rsidP="00FD4B15">
      <w:pPr>
        <w:spacing w:line="360" w:lineRule="auto"/>
        <w:rPr>
          <w:rFonts w:ascii="Arial" w:hAnsi="Arial" w:cs="Arial"/>
        </w:rPr>
      </w:pPr>
      <w:r w:rsidRPr="00FD4B15">
        <w:rPr>
          <w:rFonts w:ascii="Arial" w:hAnsi="Arial" w:cs="Arial"/>
        </w:rPr>
        <w:t xml:space="preserve">In light of my research I would recommend strategically planning groups similarly to the style previously mentioned by (Blatchford, </w:t>
      </w:r>
      <w:proofErr w:type="spellStart"/>
      <w:r w:rsidRPr="00FD4B15">
        <w:rPr>
          <w:rFonts w:ascii="Arial" w:hAnsi="Arial" w:cs="Arial"/>
        </w:rPr>
        <w:t>Kutnick</w:t>
      </w:r>
      <w:proofErr w:type="spellEnd"/>
      <w:r w:rsidRPr="00FD4B15">
        <w:rPr>
          <w:rFonts w:ascii="Arial" w:hAnsi="Arial" w:cs="Arial"/>
        </w:rPr>
        <w:t xml:space="preserve">, </w:t>
      </w:r>
      <w:proofErr w:type="spellStart"/>
      <w:r w:rsidRPr="00FD4B15">
        <w:rPr>
          <w:rFonts w:ascii="Arial" w:hAnsi="Arial" w:cs="Arial"/>
        </w:rPr>
        <w:t>Baives</w:t>
      </w:r>
      <w:proofErr w:type="spellEnd"/>
      <w:r w:rsidRPr="00FD4B15">
        <w:rPr>
          <w:rFonts w:ascii="Arial" w:hAnsi="Arial" w:cs="Arial"/>
        </w:rPr>
        <w:t xml:space="preserve"> and Galton; 2003) but including </w:t>
      </w:r>
      <w:r w:rsidRPr="00FD4B15">
        <w:rPr>
          <w:rFonts w:ascii="Arial" w:hAnsi="Arial" w:cs="Arial"/>
        </w:rPr>
        <w:lastRenderedPageBreak/>
        <w:t>grouping of mixed ability for peers to teach each other and for higher attaining pupils to help increase the quality of answers of lower ability pupils and cement both pupils learning. My findings may be taken forward in further research by applying this method in a lower ability class and assessing whether this would work as effectively as it did in a higher and mixed ability class. This will help me to move forward in my personal pedagogical choices by ensuring pupils are exposed to group work and given examples of what it means to work effectively as a group. The purpose of this would be to increase productivity and ensure all pupils in the group are actively engaged and building on learning. If I did a case study form of research again, I would ensure that the lower ability classes were not neglected within research and expand this research wider amongst different key stages. I would do this to assess whether this research would be applicable across the key stages or could be adapted to do so. The progression of pupil's language through peer modelling is an area where I found a lack of research had been undertaken. With this, moving forward I would begin exploring this using different methods of exploring peer-teaching and its effect on the development of language.</w:t>
      </w:r>
    </w:p>
    <w:p w14:paraId="0D926498" w14:textId="4429C255" w:rsidR="00FD4B15" w:rsidRDefault="00FD4B15" w:rsidP="00FD4B15">
      <w:pPr>
        <w:spacing w:line="360" w:lineRule="auto"/>
        <w:rPr>
          <w:rFonts w:ascii="Arial" w:hAnsi="Arial" w:cs="Arial"/>
        </w:rPr>
      </w:pPr>
    </w:p>
    <w:p w14:paraId="111109AE" w14:textId="55AD00AC" w:rsidR="00FD4B15" w:rsidRDefault="00FD4B15" w:rsidP="00FD4B15">
      <w:pPr>
        <w:spacing w:line="360" w:lineRule="auto"/>
        <w:rPr>
          <w:rFonts w:ascii="Arial" w:hAnsi="Arial" w:cs="Arial"/>
        </w:rPr>
      </w:pPr>
    </w:p>
    <w:p w14:paraId="68FFA39E" w14:textId="3234DC23" w:rsidR="00FD4B15" w:rsidRDefault="00FD4B15" w:rsidP="00FD4B15">
      <w:pPr>
        <w:spacing w:line="360" w:lineRule="auto"/>
        <w:rPr>
          <w:rFonts w:ascii="Arial" w:hAnsi="Arial" w:cs="Arial"/>
        </w:rPr>
      </w:pPr>
    </w:p>
    <w:p w14:paraId="30EDE83B" w14:textId="31F2FE25" w:rsidR="00FD4B15" w:rsidRDefault="00FD4B15" w:rsidP="00FD4B15">
      <w:pPr>
        <w:spacing w:line="360" w:lineRule="auto"/>
        <w:rPr>
          <w:rFonts w:ascii="Arial" w:hAnsi="Arial" w:cs="Arial"/>
        </w:rPr>
      </w:pPr>
    </w:p>
    <w:p w14:paraId="520C9BB2" w14:textId="48BDD5BA" w:rsidR="00FD4B15" w:rsidRDefault="00FD4B15" w:rsidP="00FD4B15">
      <w:pPr>
        <w:spacing w:line="360" w:lineRule="auto"/>
        <w:rPr>
          <w:rFonts w:ascii="Arial" w:hAnsi="Arial" w:cs="Arial"/>
        </w:rPr>
      </w:pPr>
    </w:p>
    <w:p w14:paraId="35BD2726" w14:textId="3493A9D5" w:rsidR="00FD4B15" w:rsidRDefault="00FD4B15" w:rsidP="00FD4B15">
      <w:pPr>
        <w:spacing w:line="360" w:lineRule="auto"/>
        <w:rPr>
          <w:rFonts w:ascii="Arial" w:hAnsi="Arial" w:cs="Arial"/>
        </w:rPr>
      </w:pPr>
    </w:p>
    <w:p w14:paraId="1FE71FBB" w14:textId="00B90A20" w:rsidR="00FD4B15" w:rsidRDefault="00FD4B15" w:rsidP="00FD4B15">
      <w:pPr>
        <w:spacing w:line="360" w:lineRule="auto"/>
        <w:rPr>
          <w:rFonts w:ascii="Arial" w:hAnsi="Arial" w:cs="Arial"/>
        </w:rPr>
      </w:pPr>
    </w:p>
    <w:p w14:paraId="55C62226" w14:textId="2D18F24F" w:rsidR="00FD4B15" w:rsidRDefault="00FD4B15" w:rsidP="00FD4B15">
      <w:pPr>
        <w:spacing w:line="360" w:lineRule="auto"/>
        <w:rPr>
          <w:rFonts w:ascii="Arial" w:hAnsi="Arial" w:cs="Arial"/>
        </w:rPr>
      </w:pPr>
    </w:p>
    <w:p w14:paraId="31149239" w14:textId="7D3A6028" w:rsidR="00FD4B15" w:rsidRDefault="00FD4B15" w:rsidP="00FD4B15">
      <w:pPr>
        <w:spacing w:line="360" w:lineRule="auto"/>
        <w:rPr>
          <w:rFonts w:ascii="Arial" w:hAnsi="Arial" w:cs="Arial"/>
        </w:rPr>
      </w:pPr>
    </w:p>
    <w:p w14:paraId="4387DB5D" w14:textId="4DF749F0" w:rsidR="00FD4B15" w:rsidRDefault="00FD4B15" w:rsidP="00FD4B15">
      <w:pPr>
        <w:spacing w:line="360" w:lineRule="auto"/>
        <w:rPr>
          <w:rFonts w:ascii="Arial" w:hAnsi="Arial" w:cs="Arial"/>
        </w:rPr>
      </w:pPr>
    </w:p>
    <w:p w14:paraId="22DC5D26" w14:textId="7AEE2FED" w:rsidR="00FD4B15" w:rsidRDefault="00FD4B15" w:rsidP="00FD4B15">
      <w:pPr>
        <w:spacing w:line="360" w:lineRule="auto"/>
        <w:rPr>
          <w:rFonts w:ascii="Arial" w:hAnsi="Arial" w:cs="Arial"/>
        </w:rPr>
      </w:pPr>
    </w:p>
    <w:p w14:paraId="1EB18EFC" w14:textId="1CC72501" w:rsidR="00FD4B15" w:rsidRDefault="00FD4B15" w:rsidP="00FD4B15">
      <w:pPr>
        <w:spacing w:line="360" w:lineRule="auto"/>
        <w:rPr>
          <w:rFonts w:ascii="Arial" w:hAnsi="Arial" w:cs="Arial"/>
        </w:rPr>
      </w:pPr>
    </w:p>
    <w:p w14:paraId="1EE34778" w14:textId="1039919A" w:rsidR="00FD4B15" w:rsidRDefault="00FD4B15" w:rsidP="00FD4B15">
      <w:pPr>
        <w:spacing w:line="360" w:lineRule="auto"/>
        <w:rPr>
          <w:rFonts w:ascii="Arial" w:hAnsi="Arial" w:cs="Arial"/>
        </w:rPr>
      </w:pPr>
    </w:p>
    <w:p w14:paraId="0B936D9B" w14:textId="31E090AD" w:rsidR="00FD4B15" w:rsidRDefault="00FD4B15" w:rsidP="00FD4B15">
      <w:pPr>
        <w:spacing w:line="360" w:lineRule="auto"/>
        <w:rPr>
          <w:rFonts w:ascii="Arial" w:hAnsi="Arial" w:cs="Arial"/>
        </w:rPr>
      </w:pPr>
    </w:p>
    <w:p w14:paraId="0F1B0DA0" w14:textId="1BE65F43" w:rsidR="00FD4B15" w:rsidRDefault="00FD4B15" w:rsidP="00FD4B15">
      <w:pPr>
        <w:spacing w:line="360" w:lineRule="auto"/>
        <w:rPr>
          <w:rFonts w:ascii="Arial" w:hAnsi="Arial" w:cs="Arial"/>
        </w:rPr>
      </w:pPr>
    </w:p>
    <w:p w14:paraId="6FE1404A" w14:textId="2F6C4481" w:rsidR="00FD4B15" w:rsidRDefault="00FD4B15" w:rsidP="00FD4B15">
      <w:pPr>
        <w:spacing w:line="360" w:lineRule="auto"/>
        <w:rPr>
          <w:rFonts w:ascii="Arial" w:hAnsi="Arial" w:cs="Arial"/>
        </w:rPr>
      </w:pPr>
    </w:p>
    <w:p w14:paraId="678CD8CF" w14:textId="21667623" w:rsidR="00FD4B15" w:rsidRDefault="00FD4B15" w:rsidP="00FD4B15">
      <w:pPr>
        <w:spacing w:line="360" w:lineRule="auto"/>
        <w:rPr>
          <w:rFonts w:ascii="Arial" w:hAnsi="Arial" w:cs="Arial"/>
        </w:rPr>
      </w:pPr>
    </w:p>
    <w:p w14:paraId="72CED6A2" w14:textId="040CEE5B" w:rsidR="00FD4B15" w:rsidRDefault="00FD4B15" w:rsidP="00FD4B15">
      <w:pPr>
        <w:spacing w:line="360" w:lineRule="auto"/>
        <w:rPr>
          <w:rFonts w:ascii="Arial" w:hAnsi="Arial" w:cs="Arial"/>
        </w:rPr>
      </w:pPr>
    </w:p>
    <w:p w14:paraId="7F20C2F1" w14:textId="26E385FF" w:rsidR="00FD4B15" w:rsidRDefault="00FD4B15" w:rsidP="00FD4B15">
      <w:pPr>
        <w:spacing w:line="360" w:lineRule="auto"/>
        <w:rPr>
          <w:rFonts w:ascii="Arial" w:hAnsi="Arial" w:cs="Arial"/>
        </w:rPr>
      </w:pPr>
    </w:p>
    <w:p w14:paraId="013287CC" w14:textId="0A906006" w:rsidR="00FD4B15" w:rsidRDefault="00FD4B15" w:rsidP="00FD4B15">
      <w:pPr>
        <w:spacing w:line="360" w:lineRule="auto"/>
        <w:rPr>
          <w:rFonts w:ascii="Arial" w:hAnsi="Arial" w:cs="Arial"/>
        </w:rPr>
      </w:pPr>
    </w:p>
    <w:p w14:paraId="2088449C" w14:textId="77777777" w:rsidR="00FD4B15" w:rsidRPr="00FD4B15" w:rsidRDefault="00FD4B15" w:rsidP="00FD4B15">
      <w:pPr>
        <w:pStyle w:val="paragraph"/>
        <w:spacing w:before="0" w:beforeAutospacing="0" w:after="0" w:afterAutospacing="0"/>
        <w:textAlignment w:val="baseline"/>
        <w:rPr>
          <w:rFonts w:ascii="Arial" w:hAnsi="Arial" w:cs="Arial"/>
          <w:color w:val="222222"/>
          <w:sz w:val="22"/>
          <w:szCs w:val="22"/>
          <w:shd w:val="clear" w:color="auto" w:fill="FFFFFF"/>
        </w:rPr>
      </w:pPr>
      <w:r w:rsidRPr="00FD4B15">
        <w:rPr>
          <w:rFonts w:ascii="Arial" w:hAnsi="Arial" w:cs="Arial"/>
          <w:color w:val="222222"/>
          <w:sz w:val="22"/>
          <w:szCs w:val="22"/>
          <w:shd w:val="clear" w:color="auto" w:fill="FFFFFF"/>
        </w:rPr>
        <w:t>Reference List:</w:t>
      </w:r>
    </w:p>
    <w:p w14:paraId="26BCE42C" w14:textId="77777777" w:rsidR="00FD4B15" w:rsidRPr="00FD4B15" w:rsidRDefault="00FD4B15" w:rsidP="00FD4B15">
      <w:pPr>
        <w:pStyle w:val="paragraph"/>
        <w:spacing w:before="0" w:beforeAutospacing="0" w:after="0" w:afterAutospacing="0"/>
        <w:textAlignment w:val="baseline"/>
        <w:rPr>
          <w:rFonts w:ascii="Arial" w:hAnsi="Arial" w:cs="Arial"/>
          <w:color w:val="222222"/>
          <w:sz w:val="22"/>
          <w:szCs w:val="22"/>
          <w:shd w:val="clear" w:color="auto" w:fill="FFFFFF"/>
        </w:rPr>
      </w:pPr>
    </w:p>
    <w:p w14:paraId="378A3B1C" w14:textId="77777777" w:rsidR="00FD4B15" w:rsidRPr="00FD4B15" w:rsidRDefault="00FD4B15" w:rsidP="00FD4B15">
      <w:pPr>
        <w:pStyle w:val="paragraph"/>
        <w:spacing w:before="0" w:beforeAutospacing="0" w:after="0" w:afterAutospacing="0"/>
        <w:textAlignment w:val="baseline"/>
        <w:rPr>
          <w:rFonts w:ascii="Arial" w:hAnsi="Arial" w:cs="Arial"/>
          <w:color w:val="222222"/>
          <w:sz w:val="22"/>
          <w:szCs w:val="22"/>
          <w:shd w:val="clear" w:color="auto" w:fill="FFFFFF"/>
        </w:rPr>
      </w:pPr>
    </w:p>
    <w:p w14:paraId="4D0A73D1" w14:textId="77777777" w:rsidR="00FD4B15" w:rsidRPr="00FD4B15" w:rsidRDefault="00FD4B15" w:rsidP="00FD4B15">
      <w:pPr>
        <w:pStyle w:val="paragraph"/>
        <w:spacing w:before="0" w:beforeAutospacing="0" w:after="0" w:afterAutospacing="0"/>
        <w:textAlignment w:val="baseline"/>
        <w:rPr>
          <w:rFonts w:ascii="Arial" w:hAnsi="Arial" w:cs="Arial"/>
          <w:sz w:val="22"/>
          <w:szCs w:val="22"/>
        </w:rPr>
      </w:pPr>
      <w:r w:rsidRPr="00FD4B15">
        <w:rPr>
          <w:rFonts w:ascii="Arial" w:hAnsi="Arial" w:cs="Arial"/>
          <w:color w:val="222222"/>
          <w:sz w:val="22"/>
          <w:szCs w:val="22"/>
          <w:shd w:val="clear" w:color="auto" w:fill="FFFFFF"/>
        </w:rPr>
        <w:t xml:space="preserve">Bassey, M., (1999). </w:t>
      </w:r>
      <w:r w:rsidRPr="00FD4B15">
        <w:rPr>
          <w:rFonts w:ascii="Arial" w:hAnsi="Arial" w:cs="Arial"/>
          <w:i/>
          <w:iCs/>
          <w:color w:val="222222"/>
          <w:sz w:val="22"/>
          <w:szCs w:val="22"/>
        </w:rPr>
        <w:t>Case study research in educational settings</w:t>
      </w:r>
      <w:r w:rsidRPr="00FD4B15">
        <w:rPr>
          <w:rFonts w:ascii="Arial" w:hAnsi="Arial" w:cs="Arial"/>
          <w:color w:val="222222"/>
          <w:sz w:val="22"/>
          <w:szCs w:val="22"/>
          <w:shd w:val="clear" w:color="auto" w:fill="FFFFFF"/>
        </w:rPr>
        <w:t>. McGraw-Hill Education (UK).</w:t>
      </w:r>
    </w:p>
    <w:p w14:paraId="250A002E" w14:textId="77777777" w:rsidR="00FD4B15" w:rsidRPr="00FD4B15" w:rsidRDefault="00FD4B15" w:rsidP="00FD4B15">
      <w:pPr>
        <w:rPr>
          <w:rFonts w:ascii="Arial" w:hAnsi="Arial" w:cs="Arial"/>
        </w:rPr>
      </w:pPr>
      <w:r w:rsidRPr="00FD4B15">
        <w:rPr>
          <w:rFonts w:ascii="Arial" w:hAnsi="Arial" w:cs="Arial"/>
        </w:rPr>
        <w:t xml:space="preserve">BERA (2018) </w:t>
      </w:r>
      <w:r w:rsidRPr="00FD4B15">
        <w:rPr>
          <w:rFonts w:ascii="Arial" w:hAnsi="Arial" w:cs="Arial"/>
          <w:i/>
          <w:iCs/>
        </w:rPr>
        <w:t>Ethical Guidelines For Educational Research 4</w:t>
      </w:r>
      <w:r w:rsidRPr="00FD4B15">
        <w:rPr>
          <w:rFonts w:ascii="Arial" w:hAnsi="Arial" w:cs="Arial"/>
          <w:i/>
          <w:iCs/>
          <w:vertAlign w:val="superscript"/>
        </w:rPr>
        <w:t>th</w:t>
      </w:r>
      <w:r w:rsidRPr="00FD4B15">
        <w:rPr>
          <w:rFonts w:ascii="Arial" w:hAnsi="Arial" w:cs="Arial"/>
          <w:i/>
          <w:iCs/>
        </w:rPr>
        <w:t xml:space="preserve"> Ed. </w:t>
      </w:r>
      <w:r w:rsidRPr="00FD4B15">
        <w:rPr>
          <w:rFonts w:ascii="Arial" w:hAnsi="Arial" w:cs="Arial"/>
        </w:rPr>
        <w:t xml:space="preserve">Available at: </w:t>
      </w:r>
      <w:hyperlink r:id="rId6" w:history="1">
        <w:r w:rsidRPr="00FD4B15">
          <w:rPr>
            <w:rStyle w:val="Hyperlink"/>
            <w:rFonts w:ascii="Arial" w:hAnsi="Arial" w:cs="Arial"/>
          </w:rPr>
          <w:t>https://www.bera.ac.uk/publication/ethical-guidelines-for-educational-research-2018</w:t>
        </w:r>
      </w:hyperlink>
      <w:r w:rsidRPr="00FD4B15">
        <w:rPr>
          <w:rFonts w:ascii="Arial" w:hAnsi="Arial" w:cs="Arial"/>
        </w:rPr>
        <w:t xml:space="preserve"> (Last accessed 01.02.20)</w:t>
      </w:r>
    </w:p>
    <w:p w14:paraId="0BB5A3BB" w14:textId="77777777" w:rsidR="00FD4B15" w:rsidRPr="00FD4B15" w:rsidRDefault="00FD4B15" w:rsidP="00FD4B15">
      <w:pPr>
        <w:rPr>
          <w:rStyle w:val="eop"/>
          <w:rFonts w:ascii="Arial" w:hAnsi="Arial" w:cs="Arial"/>
          <w:color w:val="000000"/>
          <w:shd w:val="clear" w:color="auto" w:fill="FFFFFF"/>
        </w:rPr>
      </w:pPr>
      <w:r w:rsidRPr="00FD4B15">
        <w:rPr>
          <w:rStyle w:val="findhit"/>
          <w:rFonts w:ascii="Arial" w:hAnsi="Arial" w:cs="Arial"/>
          <w:color w:val="222222"/>
          <w:shd w:val="clear" w:color="auto" w:fill="FFFFFF"/>
        </w:rPr>
        <w:t>Blat</w:t>
      </w:r>
      <w:r w:rsidRPr="00FD4B15">
        <w:rPr>
          <w:rStyle w:val="normaltextrun"/>
          <w:rFonts w:ascii="Arial" w:hAnsi="Arial" w:cs="Arial"/>
          <w:color w:val="222222"/>
          <w:shd w:val="clear" w:color="auto" w:fill="FFFFFF"/>
        </w:rPr>
        <w:t>chford, P., </w:t>
      </w:r>
      <w:proofErr w:type="spellStart"/>
      <w:r w:rsidRPr="00FD4B15">
        <w:rPr>
          <w:rStyle w:val="normaltextrun"/>
          <w:rFonts w:ascii="Arial" w:hAnsi="Arial" w:cs="Arial"/>
          <w:color w:val="222222"/>
          <w:shd w:val="clear" w:color="auto" w:fill="FFFFFF"/>
        </w:rPr>
        <w:t>Kutnick</w:t>
      </w:r>
      <w:proofErr w:type="spellEnd"/>
      <w:r w:rsidRPr="00FD4B15">
        <w:rPr>
          <w:rStyle w:val="normaltextrun"/>
          <w:rFonts w:ascii="Arial" w:hAnsi="Arial" w:cs="Arial"/>
          <w:color w:val="222222"/>
          <w:shd w:val="clear" w:color="auto" w:fill="FFFFFF"/>
        </w:rPr>
        <w:t>, P., Baines, E. and Galton, M., (2003). Toward a social pedagogy of classroom group work. </w:t>
      </w:r>
      <w:r w:rsidRPr="00FD4B15">
        <w:rPr>
          <w:rStyle w:val="normaltextrun"/>
          <w:rFonts w:ascii="Arial" w:hAnsi="Arial" w:cs="Arial"/>
          <w:i/>
          <w:iCs/>
          <w:color w:val="222222"/>
          <w:shd w:val="clear" w:color="auto" w:fill="FFFFFF"/>
        </w:rPr>
        <w:t>International Journal of Educational Research</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39</w:t>
      </w:r>
      <w:r w:rsidRPr="00FD4B15">
        <w:rPr>
          <w:rStyle w:val="normaltextrun"/>
          <w:rFonts w:ascii="Arial" w:hAnsi="Arial" w:cs="Arial"/>
          <w:color w:val="222222"/>
          <w:shd w:val="clear" w:color="auto" w:fill="FFFFFF"/>
        </w:rPr>
        <w:t>(1-2), pp.153-172. </w:t>
      </w:r>
      <w:hyperlink r:id="rId7" w:tgtFrame="_blank" w:history="1">
        <w:r w:rsidRPr="00FD4B15">
          <w:rPr>
            <w:rStyle w:val="normaltextrun"/>
            <w:rFonts w:ascii="Arial" w:hAnsi="Arial" w:cs="Arial"/>
            <w:color w:val="0563C1"/>
            <w:u w:val="single"/>
            <w:shd w:val="clear" w:color="auto" w:fill="FFFFFF"/>
          </w:rPr>
          <w:t>https://www-sciencedirect-com.ezproxy.uwtsd.ac.uk/science/article/pii/S0883035503000788</w:t>
        </w:r>
      </w:hyperlink>
      <w:r w:rsidRPr="00FD4B15">
        <w:rPr>
          <w:rStyle w:val="eop"/>
          <w:rFonts w:ascii="Arial" w:hAnsi="Arial" w:cs="Arial"/>
          <w:color w:val="000000"/>
          <w:shd w:val="clear" w:color="auto" w:fill="FFFFFF"/>
        </w:rPr>
        <w:t> </w:t>
      </w:r>
    </w:p>
    <w:p w14:paraId="5256E731" w14:textId="77777777" w:rsidR="00FD4B15" w:rsidRPr="00FD4B15" w:rsidRDefault="00FD4B15" w:rsidP="00FD4B15">
      <w:pPr>
        <w:rPr>
          <w:rStyle w:val="eop"/>
          <w:rFonts w:ascii="Arial" w:hAnsi="Arial" w:cs="Arial"/>
          <w:color w:val="000000"/>
          <w:shd w:val="clear" w:color="auto" w:fill="FFFFFF"/>
        </w:rPr>
      </w:pPr>
      <w:r w:rsidRPr="00FD4B15">
        <w:rPr>
          <w:rStyle w:val="findhit"/>
          <w:rFonts w:ascii="Arial" w:hAnsi="Arial" w:cs="Arial"/>
          <w:color w:val="222222"/>
          <w:shd w:val="clear" w:color="auto" w:fill="FFFFFF"/>
        </w:rPr>
        <w:t>Brennan</w:t>
      </w:r>
      <w:r w:rsidRPr="00FD4B15">
        <w:rPr>
          <w:rStyle w:val="normaltextrun"/>
          <w:rFonts w:ascii="Arial" w:hAnsi="Arial" w:cs="Arial"/>
          <w:color w:val="222222"/>
          <w:shd w:val="clear" w:color="auto" w:fill="FFFFFF"/>
        </w:rPr>
        <w:t>, S.E. and Williams, M., (1995). The feeling of another′ s knowing: Prosody and filled pauses as cues to listeners about the metacognitive states of speakers. </w:t>
      </w:r>
      <w:r w:rsidRPr="00FD4B15">
        <w:rPr>
          <w:rStyle w:val="normaltextrun"/>
          <w:rFonts w:ascii="Arial" w:hAnsi="Arial" w:cs="Arial"/>
          <w:i/>
          <w:iCs/>
          <w:color w:val="222222"/>
          <w:shd w:val="clear" w:color="auto" w:fill="FFFFFF"/>
        </w:rPr>
        <w:t>Journal of memory and language</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34</w:t>
      </w:r>
      <w:r w:rsidRPr="00FD4B15">
        <w:rPr>
          <w:rStyle w:val="normaltextrun"/>
          <w:rFonts w:ascii="Arial" w:hAnsi="Arial" w:cs="Arial"/>
          <w:color w:val="222222"/>
          <w:shd w:val="clear" w:color="auto" w:fill="FFFFFF"/>
        </w:rPr>
        <w:t>(3), pp.383-398. </w:t>
      </w:r>
      <w:hyperlink r:id="rId8" w:tgtFrame="_blank" w:history="1">
        <w:r w:rsidRPr="00FD4B15">
          <w:rPr>
            <w:rStyle w:val="normaltextrun"/>
            <w:rFonts w:ascii="Arial" w:hAnsi="Arial" w:cs="Arial"/>
            <w:color w:val="0563C1"/>
            <w:u w:val="single"/>
            <w:shd w:val="clear" w:color="auto" w:fill="FFFFFF"/>
          </w:rPr>
          <w:t>https://www-sciencedirect-com.ezproxy.uwtsd.ac.uk/science/article/pii/S0749596X85710170</w:t>
        </w:r>
      </w:hyperlink>
      <w:r w:rsidRPr="00FD4B15">
        <w:rPr>
          <w:rStyle w:val="eop"/>
          <w:rFonts w:ascii="Arial" w:hAnsi="Arial" w:cs="Arial"/>
          <w:color w:val="000000"/>
          <w:shd w:val="clear" w:color="auto" w:fill="FFFFFF"/>
        </w:rPr>
        <w:t> </w:t>
      </w:r>
    </w:p>
    <w:p w14:paraId="6AF02DB9" w14:textId="77777777" w:rsidR="00FD4B15" w:rsidRPr="00FD4B15" w:rsidRDefault="00FD4B15" w:rsidP="00FD4B15">
      <w:pPr>
        <w:rPr>
          <w:rStyle w:val="eop"/>
          <w:rFonts w:ascii="Arial" w:hAnsi="Arial" w:cs="Arial"/>
          <w:color w:val="000000"/>
          <w:shd w:val="clear" w:color="auto" w:fill="FFFFFF"/>
        </w:rPr>
      </w:pPr>
      <w:r w:rsidRPr="00FD4B15">
        <w:rPr>
          <w:rStyle w:val="findhit"/>
          <w:rFonts w:ascii="Arial" w:hAnsi="Arial" w:cs="Arial"/>
          <w:color w:val="222222"/>
          <w:shd w:val="clear" w:color="auto" w:fill="FFFFFF"/>
        </w:rPr>
        <w:t>Brenn</w:t>
      </w:r>
      <w:r w:rsidRPr="00FD4B15">
        <w:rPr>
          <w:rStyle w:val="normaltextrun"/>
          <w:rFonts w:ascii="Arial" w:hAnsi="Arial" w:cs="Arial"/>
          <w:color w:val="222222"/>
          <w:shd w:val="clear" w:color="auto" w:fill="FFFFFF"/>
        </w:rPr>
        <w:t>an, S.E. and Schober, M.F., (2001). How listeners compensate for disfluencies in spontaneous speech. </w:t>
      </w:r>
      <w:r w:rsidRPr="00FD4B15">
        <w:rPr>
          <w:rStyle w:val="normaltextrun"/>
          <w:rFonts w:ascii="Arial" w:hAnsi="Arial" w:cs="Arial"/>
          <w:i/>
          <w:iCs/>
          <w:color w:val="222222"/>
          <w:shd w:val="clear" w:color="auto" w:fill="FFFFFF"/>
        </w:rPr>
        <w:t>Journal of Memory and Language</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44</w:t>
      </w:r>
      <w:r w:rsidRPr="00FD4B15">
        <w:rPr>
          <w:rStyle w:val="normaltextrun"/>
          <w:rFonts w:ascii="Arial" w:hAnsi="Arial" w:cs="Arial"/>
          <w:color w:val="222222"/>
          <w:shd w:val="clear" w:color="auto" w:fill="FFFFFF"/>
        </w:rPr>
        <w:t>(2), pp.274-296. </w:t>
      </w:r>
      <w:hyperlink r:id="rId9" w:tgtFrame="_blank" w:history="1">
        <w:r w:rsidRPr="00FD4B15">
          <w:rPr>
            <w:rStyle w:val="normaltextrun"/>
            <w:rFonts w:ascii="Arial" w:hAnsi="Arial" w:cs="Arial"/>
            <w:color w:val="0563C1"/>
            <w:u w:val="single"/>
            <w:shd w:val="clear" w:color="auto" w:fill="FFFFFF"/>
          </w:rPr>
          <w:t>http://www.psychology.sunysb.edu/s</w:t>
        </w:r>
        <w:r w:rsidRPr="00FD4B15">
          <w:rPr>
            <w:rStyle w:val="findhit"/>
            <w:rFonts w:ascii="Arial" w:hAnsi="Arial" w:cs="Arial"/>
            <w:color w:val="0563C1"/>
            <w:u w:val="single"/>
            <w:shd w:val="clear" w:color="auto" w:fill="FFFFFF"/>
          </w:rPr>
          <w:t>brenn</w:t>
        </w:r>
        <w:r w:rsidRPr="00FD4B15">
          <w:rPr>
            <w:rStyle w:val="normaltextrun"/>
            <w:rFonts w:ascii="Arial" w:hAnsi="Arial" w:cs="Arial"/>
            <w:color w:val="0563C1"/>
            <w:u w:val="single"/>
            <w:shd w:val="clear" w:color="auto" w:fill="FFFFFF"/>
          </w:rPr>
          <w:t>an-/papers/brenscho.pdf</w:t>
        </w:r>
      </w:hyperlink>
      <w:r w:rsidRPr="00FD4B15">
        <w:rPr>
          <w:rStyle w:val="normaltextrun"/>
          <w:rFonts w:ascii="Arial" w:hAnsi="Arial" w:cs="Arial"/>
          <w:color w:val="000000"/>
          <w:shd w:val="clear" w:color="auto" w:fill="FFFFFF"/>
        </w:rPr>
        <w:t> </w:t>
      </w:r>
      <w:r w:rsidRPr="00FD4B15">
        <w:rPr>
          <w:rStyle w:val="eop"/>
          <w:rFonts w:ascii="Arial" w:hAnsi="Arial" w:cs="Arial"/>
          <w:color w:val="000000"/>
          <w:shd w:val="clear" w:color="auto" w:fill="FFFFFF"/>
        </w:rPr>
        <w:t> </w:t>
      </w:r>
    </w:p>
    <w:p w14:paraId="1B16F3C4" w14:textId="77777777" w:rsidR="00FD4B15" w:rsidRPr="00FD4B15" w:rsidRDefault="00FD4B15" w:rsidP="00FD4B15">
      <w:pPr>
        <w:rPr>
          <w:rStyle w:val="eop"/>
          <w:rFonts w:ascii="Arial" w:hAnsi="Arial" w:cs="Arial"/>
          <w:color w:val="000000"/>
          <w:shd w:val="clear" w:color="auto" w:fill="FFFFFF"/>
        </w:rPr>
      </w:pPr>
      <w:proofErr w:type="spellStart"/>
      <w:r w:rsidRPr="00FD4B15">
        <w:rPr>
          <w:rStyle w:val="findhit"/>
          <w:rFonts w:ascii="Arial" w:hAnsi="Arial" w:cs="Arial"/>
          <w:color w:val="222222"/>
          <w:shd w:val="clear" w:color="auto" w:fill="FFFFFF"/>
        </w:rPr>
        <w:t>Caz</w:t>
      </w:r>
      <w:r w:rsidRPr="00FD4B15">
        <w:rPr>
          <w:rStyle w:val="normaltextrun"/>
          <w:rFonts w:ascii="Arial" w:hAnsi="Arial" w:cs="Arial"/>
          <w:color w:val="222222"/>
          <w:shd w:val="clear" w:color="auto" w:fill="FFFFFF"/>
        </w:rPr>
        <w:t>den</w:t>
      </w:r>
      <w:proofErr w:type="spellEnd"/>
      <w:r w:rsidRPr="00FD4B15">
        <w:rPr>
          <w:rStyle w:val="normaltextrun"/>
          <w:rFonts w:ascii="Arial" w:hAnsi="Arial" w:cs="Arial"/>
          <w:color w:val="222222"/>
          <w:shd w:val="clear" w:color="auto" w:fill="FFFFFF"/>
        </w:rPr>
        <w:t>, C.B., (1997). Performance before competence: Assistance to child discourse in the zone of proximal development. </w:t>
      </w:r>
      <w:r w:rsidRPr="00FD4B15">
        <w:rPr>
          <w:rStyle w:val="normaltextrun"/>
          <w:rFonts w:ascii="Arial" w:hAnsi="Arial" w:cs="Arial"/>
          <w:i/>
          <w:iCs/>
          <w:color w:val="222222"/>
          <w:shd w:val="clear" w:color="auto" w:fill="FFFFFF"/>
        </w:rPr>
        <w:t>Mind, culture, and activity: Seminal papers from the Laboratory of Comparative Human Cognition</w:t>
      </w:r>
      <w:r w:rsidRPr="00FD4B15">
        <w:rPr>
          <w:rStyle w:val="normaltextrun"/>
          <w:rFonts w:ascii="Arial" w:hAnsi="Arial" w:cs="Arial"/>
          <w:color w:val="222222"/>
          <w:shd w:val="clear" w:color="auto" w:fill="FFFFFF"/>
        </w:rPr>
        <w:t>, pp.303-310. </w:t>
      </w:r>
      <w:hyperlink r:id="rId10" w:anchor="v=onepage&amp;q=zone%20of%20proximal%20development%20classroom%20discourse&amp;f=false" w:tgtFrame="_blank" w:history="1">
        <w:r w:rsidRPr="00FD4B15">
          <w:rPr>
            <w:rStyle w:val="normaltextrun"/>
            <w:rFonts w:ascii="Arial" w:hAnsi="Arial" w:cs="Arial"/>
            <w:color w:val="0563C1"/>
            <w:u w:val="single"/>
            <w:shd w:val="clear" w:color="auto" w:fill="FFFFFF"/>
          </w:rPr>
          <w:t>https://books.google.co.uk/books?hl=en&amp;lr=&amp;id=Z4WqwWken_kC&amp;oi=fnd&amp;pg=PA303&amp;dq=zone+of+proximal+development+classroom+discourse&amp;ots=jQ-IYEI6aj&amp;sig=47t5zNiMItvf3By3fLJVTefg6Us&amp;redir_esc=y#v=onepage&amp;q=zone%20of%20proximal%20development%20classroom%20discourse&amp;f=false</w:t>
        </w:r>
      </w:hyperlink>
      <w:r w:rsidRPr="00FD4B15">
        <w:rPr>
          <w:rStyle w:val="eop"/>
          <w:rFonts w:ascii="Arial" w:hAnsi="Arial" w:cs="Arial"/>
          <w:color w:val="000000"/>
          <w:shd w:val="clear" w:color="auto" w:fill="FFFFFF"/>
        </w:rPr>
        <w:t> </w:t>
      </w:r>
    </w:p>
    <w:p w14:paraId="5A926CDC" w14:textId="77777777" w:rsidR="00FD4B15" w:rsidRPr="00FD4B15" w:rsidRDefault="00FD4B15" w:rsidP="00FD4B15">
      <w:pPr>
        <w:rPr>
          <w:rStyle w:val="eop"/>
          <w:rFonts w:ascii="Arial" w:hAnsi="Arial" w:cs="Arial"/>
          <w:color w:val="000000"/>
          <w:shd w:val="clear" w:color="auto" w:fill="FFFFFF"/>
        </w:rPr>
      </w:pPr>
      <w:proofErr w:type="spellStart"/>
      <w:r w:rsidRPr="00FD4B15">
        <w:rPr>
          <w:rStyle w:val="findhit"/>
          <w:rFonts w:ascii="Arial" w:hAnsi="Arial" w:cs="Arial"/>
          <w:color w:val="222222"/>
          <w:shd w:val="clear" w:color="auto" w:fill="FFFFFF"/>
        </w:rPr>
        <w:t>Chai</w:t>
      </w:r>
      <w:r w:rsidRPr="00FD4B15">
        <w:rPr>
          <w:rStyle w:val="normaltextrun"/>
          <w:rFonts w:ascii="Arial" w:hAnsi="Arial" w:cs="Arial"/>
          <w:color w:val="222222"/>
          <w:shd w:val="clear" w:color="auto" w:fill="FFFFFF"/>
        </w:rPr>
        <w:t>klin</w:t>
      </w:r>
      <w:proofErr w:type="spellEnd"/>
      <w:r w:rsidRPr="00FD4B15">
        <w:rPr>
          <w:rStyle w:val="normaltextrun"/>
          <w:rFonts w:ascii="Arial" w:hAnsi="Arial" w:cs="Arial"/>
          <w:color w:val="222222"/>
          <w:shd w:val="clear" w:color="auto" w:fill="FFFFFF"/>
        </w:rPr>
        <w:t>, S., (2003). The zone of proximal development in Vygotsky’s analysis of learning and instruction. </w:t>
      </w:r>
      <w:r w:rsidRPr="00FD4B15">
        <w:rPr>
          <w:rStyle w:val="normaltextrun"/>
          <w:rFonts w:ascii="Arial" w:hAnsi="Arial" w:cs="Arial"/>
          <w:i/>
          <w:iCs/>
          <w:color w:val="222222"/>
          <w:shd w:val="clear" w:color="auto" w:fill="FFFFFF"/>
        </w:rPr>
        <w:t>Vygotsky’s educational theory in cultural context</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1</w:t>
      </w:r>
      <w:r w:rsidRPr="00FD4B15">
        <w:rPr>
          <w:rStyle w:val="normaltextrun"/>
          <w:rFonts w:ascii="Arial" w:hAnsi="Arial" w:cs="Arial"/>
          <w:color w:val="222222"/>
          <w:shd w:val="clear" w:color="auto" w:fill="FFFFFF"/>
        </w:rPr>
        <w:t>, pp.39-64. </w:t>
      </w:r>
      <w:hyperlink r:id="rId11" w:anchor="v=onepage&amp;q=vygotsky%20zone%20of%20proximal%20development&amp;f=false" w:tgtFrame="_blank" w:history="1">
        <w:r w:rsidRPr="00FD4B15">
          <w:rPr>
            <w:rStyle w:val="normaltextrun"/>
            <w:rFonts w:ascii="Arial" w:hAnsi="Arial" w:cs="Arial"/>
            <w:color w:val="0563C1"/>
            <w:u w:val="single"/>
            <w:shd w:val="clear" w:color="auto" w:fill="FFFFFF"/>
          </w:rPr>
          <w:t>https://books.google.co.uk/books?hl=en&amp;lr=&amp;id=mfCHutwHT-cC&amp;oi=fnd&amp;pg=PA39&amp;dq=vygotsky+zone+of+proximal+development&amp;ots=uhvQlhnWqC&amp;sig=z2wWY9BuSPJx58qOlWXDP_IqPWE&amp;redir_esc=y#v=onepage&amp;q=vygotsky%20zone%20of%20proximal%20development&amp;f=false</w:t>
        </w:r>
      </w:hyperlink>
      <w:r w:rsidRPr="00FD4B15">
        <w:rPr>
          <w:rStyle w:val="normaltextrun"/>
          <w:rFonts w:ascii="Arial" w:hAnsi="Arial" w:cs="Arial"/>
          <w:color w:val="000000"/>
          <w:shd w:val="clear" w:color="auto" w:fill="FFFFFF"/>
        </w:rPr>
        <w:t> </w:t>
      </w:r>
      <w:r w:rsidRPr="00FD4B15">
        <w:rPr>
          <w:rStyle w:val="eop"/>
          <w:rFonts w:ascii="Arial" w:hAnsi="Arial" w:cs="Arial"/>
          <w:color w:val="000000"/>
          <w:shd w:val="clear" w:color="auto" w:fill="FFFFFF"/>
        </w:rPr>
        <w:t> </w:t>
      </w:r>
    </w:p>
    <w:p w14:paraId="3E6718C7" w14:textId="77777777" w:rsidR="00FD4B15" w:rsidRPr="00FD4B15" w:rsidRDefault="00FD4B15" w:rsidP="00FD4B15">
      <w:pPr>
        <w:rPr>
          <w:rStyle w:val="eop"/>
          <w:rFonts w:ascii="Arial" w:hAnsi="Arial" w:cs="Arial"/>
          <w:color w:val="000000"/>
          <w:shd w:val="clear" w:color="auto" w:fill="FFFFFF"/>
        </w:rPr>
      </w:pPr>
      <w:r w:rsidRPr="00FD4B15">
        <w:rPr>
          <w:rStyle w:val="eop"/>
          <w:rFonts w:ascii="Arial" w:hAnsi="Arial" w:cs="Arial"/>
          <w:color w:val="000000"/>
          <w:shd w:val="clear" w:color="auto" w:fill="FFFFFF"/>
        </w:rPr>
        <w:t xml:space="preserve">Cohen, L., Manion, L., Morrison, K. (2007) </w:t>
      </w:r>
      <w:r w:rsidRPr="00FD4B15">
        <w:rPr>
          <w:rStyle w:val="eop"/>
          <w:rFonts w:ascii="Arial" w:hAnsi="Arial" w:cs="Arial"/>
          <w:i/>
          <w:iCs/>
          <w:color w:val="000000"/>
          <w:shd w:val="clear" w:color="auto" w:fill="FFFFFF"/>
        </w:rPr>
        <w:t xml:space="preserve">Research Methods in Education </w:t>
      </w:r>
      <w:r w:rsidRPr="00FD4B15">
        <w:rPr>
          <w:rStyle w:val="eop"/>
          <w:rFonts w:ascii="Arial" w:hAnsi="Arial" w:cs="Arial"/>
          <w:color w:val="000000"/>
          <w:shd w:val="clear" w:color="auto" w:fill="FFFFFF"/>
        </w:rPr>
        <w:t>6</w:t>
      </w:r>
      <w:r w:rsidRPr="00FD4B15">
        <w:rPr>
          <w:rStyle w:val="eop"/>
          <w:rFonts w:ascii="Arial" w:hAnsi="Arial" w:cs="Arial"/>
          <w:color w:val="000000"/>
          <w:shd w:val="clear" w:color="auto" w:fill="FFFFFF"/>
          <w:vertAlign w:val="superscript"/>
        </w:rPr>
        <w:t>th</w:t>
      </w:r>
      <w:r w:rsidRPr="00FD4B15">
        <w:rPr>
          <w:rStyle w:val="eop"/>
          <w:rFonts w:ascii="Arial" w:hAnsi="Arial" w:cs="Arial"/>
          <w:color w:val="000000"/>
          <w:shd w:val="clear" w:color="auto" w:fill="FFFFFF"/>
        </w:rPr>
        <w:t xml:space="preserve"> Ed. Oxon: Routledge </w:t>
      </w:r>
    </w:p>
    <w:p w14:paraId="142E5081" w14:textId="77777777" w:rsidR="00FD4B15" w:rsidRPr="00FD4B15" w:rsidRDefault="00FD4B15" w:rsidP="00FD4B15">
      <w:pPr>
        <w:rPr>
          <w:rStyle w:val="eop"/>
          <w:rFonts w:ascii="Arial" w:hAnsi="Arial" w:cs="Arial"/>
          <w:color w:val="000000"/>
          <w:shd w:val="clear" w:color="auto" w:fill="FFFFFF"/>
        </w:rPr>
      </w:pPr>
      <w:proofErr w:type="spellStart"/>
      <w:r w:rsidRPr="00FD4B15">
        <w:rPr>
          <w:rStyle w:val="spellingerror"/>
          <w:rFonts w:ascii="Arial" w:hAnsi="Arial" w:cs="Arial"/>
          <w:color w:val="222222"/>
          <w:shd w:val="clear" w:color="auto" w:fill="FFFFFF"/>
        </w:rPr>
        <w:t>Compte</w:t>
      </w:r>
      <w:proofErr w:type="spellEnd"/>
      <w:r w:rsidRPr="00FD4B15">
        <w:rPr>
          <w:rStyle w:val="normaltextrun"/>
          <w:rFonts w:ascii="Arial" w:hAnsi="Arial" w:cs="Arial"/>
          <w:color w:val="222222"/>
          <w:shd w:val="clear" w:color="auto" w:fill="FFFFFF"/>
        </w:rPr>
        <w:t xml:space="preserve">, O. and </w:t>
      </w:r>
      <w:proofErr w:type="spellStart"/>
      <w:r w:rsidRPr="00FD4B15">
        <w:rPr>
          <w:rStyle w:val="normaltextrun"/>
          <w:rFonts w:ascii="Arial" w:hAnsi="Arial" w:cs="Arial"/>
          <w:color w:val="222222"/>
          <w:shd w:val="clear" w:color="auto" w:fill="FFFFFF"/>
        </w:rPr>
        <w:t>Postlewaite</w:t>
      </w:r>
      <w:proofErr w:type="spellEnd"/>
      <w:r w:rsidRPr="00FD4B15">
        <w:rPr>
          <w:rStyle w:val="normaltextrun"/>
          <w:rFonts w:ascii="Arial" w:hAnsi="Arial" w:cs="Arial"/>
          <w:color w:val="222222"/>
          <w:shd w:val="clear" w:color="auto" w:fill="FFFFFF"/>
        </w:rPr>
        <w:t>, A., (2004). Confidence-enhanced performance. </w:t>
      </w:r>
      <w:r w:rsidRPr="00FD4B15">
        <w:rPr>
          <w:rStyle w:val="normaltextrun"/>
          <w:rFonts w:ascii="Arial" w:hAnsi="Arial" w:cs="Arial"/>
          <w:i/>
          <w:iCs/>
          <w:color w:val="222222"/>
          <w:shd w:val="clear" w:color="auto" w:fill="FFFFFF"/>
        </w:rPr>
        <w:t>American Economic Review</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94</w:t>
      </w:r>
      <w:r w:rsidRPr="00FD4B15">
        <w:rPr>
          <w:rStyle w:val="normaltextrun"/>
          <w:rFonts w:ascii="Arial" w:hAnsi="Arial" w:cs="Arial"/>
          <w:color w:val="222222"/>
          <w:shd w:val="clear" w:color="auto" w:fill="FFFFFF"/>
        </w:rPr>
        <w:t>(5), pp.1536-1557. </w:t>
      </w:r>
      <w:hyperlink r:id="rId12" w:anchor="metadata_info_tab_contents" w:tgtFrame="_blank" w:history="1">
        <w:r w:rsidRPr="00FD4B15">
          <w:rPr>
            <w:rStyle w:val="normaltextrun"/>
            <w:rFonts w:ascii="Arial" w:hAnsi="Arial" w:cs="Arial"/>
            <w:color w:val="0563C1"/>
            <w:u w:val="single"/>
            <w:shd w:val="clear" w:color="auto" w:fill="FFFFFF"/>
          </w:rPr>
          <w:t>https://www-jstor-org.ezproxy.uwtsd.ac.uk/stable/3592833?seq=2#metadata_info_tab_contents</w:t>
        </w:r>
      </w:hyperlink>
      <w:r w:rsidRPr="00FD4B15">
        <w:rPr>
          <w:rStyle w:val="eop"/>
          <w:rFonts w:ascii="Arial" w:hAnsi="Arial" w:cs="Arial"/>
          <w:color w:val="000000"/>
          <w:shd w:val="clear" w:color="auto" w:fill="FFFFFF"/>
        </w:rPr>
        <w:t> </w:t>
      </w:r>
    </w:p>
    <w:p w14:paraId="4FD31FE8" w14:textId="77777777" w:rsidR="00FD4B15" w:rsidRPr="00FD4B15" w:rsidRDefault="00FD4B15" w:rsidP="00FD4B15">
      <w:pPr>
        <w:rPr>
          <w:rFonts w:ascii="Arial" w:hAnsi="Arial" w:cs="Arial"/>
          <w:color w:val="222222"/>
          <w:shd w:val="clear" w:color="auto" w:fill="FFFFFF"/>
        </w:rPr>
      </w:pPr>
      <w:r w:rsidRPr="00FD4B15">
        <w:rPr>
          <w:rFonts w:ascii="Arial" w:hAnsi="Arial" w:cs="Arial"/>
          <w:color w:val="222222"/>
          <w:shd w:val="clear" w:color="auto" w:fill="FFFFFF"/>
        </w:rPr>
        <w:lastRenderedPageBreak/>
        <w:t>Donaldson, G., (2015). </w:t>
      </w:r>
      <w:r w:rsidRPr="00FD4B15">
        <w:rPr>
          <w:rFonts w:ascii="Arial" w:hAnsi="Arial" w:cs="Arial"/>
          <w:i/>
          <w:iCs/>
          <w:color w:val="222222"/>
          <w:shd w:val="clear" w:color="auto" w:fill="FFFFFF"/>
        </w:rPr>
        <w:t>Successful futures: Independent review of curriculum and assessment arrangements in Wales</w:t>
      </w:r>
      <w:r w:rsidRPr="00FD4B15">
        <w:rPr>
          <w:rFonts w:ascii="Arial" w:hAnsi="Arial" w:cs="Arial"/>
          <w:color w:val="222222"/>
          <w:shd w:val="clear" w:color="auto" w:fill="FFFFFF"/>
        </w:rPr>
        <w:t xml:space="preserve">. Welsh Government. </w:t>
      </w:r>
      <w:hyperlink r:id="rId13" w:history="1">
        <w:r w:rsidRPr="00FD4B15">
          <w:rPr>
            <w:rStyle w:val="Hyperlink"/>
            <w:rFonts w:ascii="Arial" w:hAnsi="Arial" w:cs="Arial"/>
          </w:rPr>
          <w:t>https://gov.wales/sites/default/files/publications/2018-03/successful-futures.pdf</w:t>
        </w:r>
      </w:hyperlink>
    </w:p>
    <w:p w14:paraId="717BE636" w14:textId="77777777" w:rsidR="00FD4B15" w:rsidRPr="00FD4B15" w:rsidRDefault="00FD4B15" w:rsidP="00FD4B15">
      <w:pPr>
        <w:rPr>
          <w:rStyle w:val="eop"/>
          <w:rFonts w:ascii="Arial" w:hAnsi="Arial" w:cs="Arial"/>
          <w:color w:val="000000"/>
          <w:shd w:val="clear" w:color="auto" w:fill="FFFFFF"/>
        </w:rPr>
      </w:pPr>
      <w:proofErr w:type="spellStart"/>
      <w:r w:rsidRPr="00FD4B15">
        <w:rPr>
          <w:rStyle w:val="eop"/>
          <w:rFonts w:ascii="Arial" w:hAnsi="Arial" w:cs="Arial"/>
          <w:color w:val="000000"/>
          <w:shd w:val="clear" w:color="auto" w:fill="FFFFFF"/>
        </w:rPr>
        <w:t>Drever</w:t>
      </w:r>
      <w:proofErr w:type="spellEnd"/>
      <w:r w:rsidRPr="00FD4B15">
        <w:rPr>
          <w:rStyle w:val="eop"/>
          <w:rFonts w:ascii="Arial" w:hAnsi="Arial" w:cs="Arial"/>
          <w:color w:val="000000"/>
          <w:shd w:val="clear" w:color="auto" w:fill="FFFFFF"/>
        </w:rPr>
        <w:t xml:space="preserve">, E. (2003) </w:t>
      </w:r>
      <w:r w:rsidRPr="00FD4B15">
        <w:rPr>
          <w:rStyle w:val="eop"/>
          <w:rFonts w:ascii="Arial" w:hAnsi="Arial" w:cs="Arial"/>
          <w:i/>
          <w:iCs/>
          <w:color w:val="000000"/>
          <w:shd w:val="clear" w:color="auto" w:fill="FFFFFF"/>
        </w:rPr>
        <w:t xml:space="preserve">Using Semi-Structured Interviews in Small-Scale Research a teacher’s guide. </w:t>
      </w:r>
      <w:r w:rsidRPr="00FD4B15">
        <w:rPr>
          <w:rStyle w:val="eop"/>
          <w:rFonts w:ascii="Arial" w:hAnsi="Arial" w:cs="Arial"/>
          <w:color w:val="000000"/>
          <w:shd w:val="clear" w:color="auto" w:fill="FFFFFF"/>
        </w:rPr>
        <w:t>Glasgow: SCRE Publication 129</w:t>
      </w:r>
    </w:p>
    <w:p w14:paraId="393BAB24" w14:textId="77777777" w:rsidR="00FD4B15" w:rsidRPr="00FD4B15" w:rsidRDefault="00FD4B15" w:rsidP="00FD4B15">
      <w:pPr>
        <w:rPr>
          <w:rFonts w:ascii="Arial" w:hAnsi="Arial" w:cs="Arial"/>
          <w:color w:val="222222"/>
          <w:bdr w:val="none" w:sz="0" w:space="0" w:color="auto" w:frame="1"/>
          <w:shd w:val="clear" w:color="auto" w:fill="FFFFFF"/>
        </w:rPr>
      </w:pPr>
      <w:r w:rsidRPr="00FD4B15">
        <w:rPr>
          <w:rFonts w:ascii="Arial" w:hAnsi="Arial" w:cs="Arial"/>
          <w:color w:val="222222"/>
          <w:bdr w:val="none" w:sz="0" w:space="0" w:color="auto" w:frame="1"/>
          <w:shd w:val="clear" w:color="auto" w:fill="FFFFFF"/>
        </w:rPr>
        <w:t>Dudley, P. (2014). </w:t>
      </w:r>
      <w:r w:rsidRPr="00FD4B15">
        <w:rPr>
          <w:rFonts w:ascii="Arial" w:hAnsi="Arial" w:cs="Arial"/>
          <w:i/>
          <w:iCs/>
          <w:color w:val="222222"/>
          <w:bdr w:val="none" w:sz="0" w:space="0" w:color="auto" w:frame="1"/>
          <w:shd w:val="clear" w:color="auto" w:fill="FFFFFF"/>
        </w:rPr>
        <w:t>Lesson study: a handbook</w:t>
      </w:r>
      <w:r w:rsidRPr="00FD4B15">
        <w:rPr>
          <w:rFonts w:ascii="Arial" w:hAnsi="Arial" w:cs="Arial"/>
          <w:color w:val="222222"/>
          <w:bdr w:val="none" w:sz="0" w:space="0" w:color="auto" w:frame="1"/>
          <w:shd w:val="clear" w:color="auto" w:fill="FFFFFF"/>
        </w:rPr>
        <w:t>. Available at: </w:t>
      </w:r>
      <w:hyperlink r:id="rId14" w:tgtFrame="_blank" w:tooltip="Original URL: http://lessonstudy.co.uk/wp-content/uploads/2012/03/new-handbook-revisedMay14.pdf. Click or tap if you trust this link." w:history="1">
        <w:r w:rsidRPr="00FD4B15">
          <w:rPr>
            <w:rStyle w:val="Hyperlink"/>
            <w:rFonts w:ascii="Arial" w:hAnsi="Arial" w:cs="Arial"/>
            <w:bdr w:val="none" w:sz="0" w:space="0" w:color="auto" w:frame="1"/>
            <w:shd w:val="clear" w:color="auto" w:fill="FFFFFF"/>
          </w:rPr>
          <w:t>http://lessonstudy.co.uk/wp-content/uploads/2012/03/new-handbook-revisedMay14.pdf</w:t>
        </w:r>
      </w:hyperlink>
      <w:r w:rsidRPr="00FD4B15">
        <w:rPr>
          <w:rFonts w:ascii="Arial" w:hAnsi="Arial" w:cs="Arial"/>
          <w:color w:val="222222"/>
          <w:bdr w:val="none" w:sz="0" w:space="0" w:color="auto" w:frame="1"/>
          <w:shd w:val="clear" w:color="auto" w:fill="FFFFFF"/>
        </w:rPr>
        <w:t> (Last accessed: 10.02.20)</w:t>
      </w:r>
    </w:p>
    <w:p w14:paraId="412151EE" w14:textId="77777777" w:rsidR="00FD4B15" w:rsidRPr="00FD4B15" w:rsidRDefault="00FD4B15" w:rsidP="00FD4B15">
      <w:pPr>
        <w:rPr>
          <w:rFonts w:ascii="Arial" w:hAnsi="Arial" w:cs="Arial"/>
        </w:rPr>
      </w:pPr>
      <w:r w:rsidRPr="00FD4B15">
        <w:rPr>
          <w:rFonts w:ascii="Arial" w:hAnsi="Arial" w:cs="Arial"/>
        </w:rPr>
        <w:t xml:space="preserve">Estyn (2017) A report on Chepstow School Welsh Street Chepstow Monmouthshire NP16 5LR. Available at: </w:t>
      </w:r>
      <w:hyperlink r:id="rId15" w:history="1">
        <w:r w:rsidRPr="00FD4B15">
          <w:rPr>
            <w:rStyle w:val="Hyperlink"/>
            <w:rFonts w:ascii="Arial" w:hAnsi="Arial" w:cs="Arial"/>
          </w:rPr>
          <w:t>https://www.estyn.gov.wales/sites/www.estyn.gov.wales/files/documents/Chepstow%20School_2.pdf</w:t>
        </w:r>
      </w:hyperlink>
    </w:p>
    <w:p w14:paraId="3650E6BC" w14:textId="77777777" w:rsidR="00FD4B15" w:rsidRPr="00FD4B15" w:rsidRDefault="00FD4B15" w:rsidP="00FD4B15">
      <w:pPr>
        <w:rPr>
          <w:rFonts w:ascii="Arial" w:hAnsi="Arial" w:cs="Arial"/>
        </w:rPr>
      </w:pPr>
      <w:r w:rsidRPr="00FD4B15">
        <w:rPr>
          <w:rStyle w:val="eop"/>
          <w:rFonts w:ascii="Arial" w:hAnsi="Arial" w:cs="Arial"/>
          <w:color w:val="000000"/>
          <w:shd w:val="clear" w:color="auto" w:fill="FFFFFF"/>
        </w:rPr>
        <w:t xml:space="preserve">Estyn (2017) </w:t>
      </w:r>
      <w:r w:rsidRPr="00FD4B15">
        <w:rPr>
          <w:rFonts w:ascii="Arial" w:hAnsi="Arial" w:cs="Arial"/>
        </w:rPr>
        <w:t xml:space="preserve">A report on </w:t>
      </w:r>
      <w:proofErr w:type="spellStart"/>
      <w:r w:rsidRPr="00FD4B15">
        <w:rPr>
          <w:rFonts w:ascii="Arial" w:hAnsi="Arial" w:cs="Arial"/>
        </w:rPr>
        <w:t>Fitzalan</w:t>
      </w:r>
      <w:proofErr w:type="spellEnd"/>
      <w:r w:rsidRPr="00FD4B15">
        <w:rPr>
          <w:rFonts w:ascii="Arial" w:hAnsi="Arial" w:cs="Arial"/>
        </w:rPr>
        <w:t xml:space="preserve"> High School </w:t>
      </w:r>
      <w:proofErr w:type="spellStart"/>
      <w:r w:rsidRPr="00FD4B15">
        <w:rPr>
          <w:rFonts w:ascii="Arial" w:hAnsi="Arial" w:cs="Arial"/>
        </w:rPr>
        <w:t>Lawrenny</w:t>
      </w:r>
      <w:proofErr w:type="spellEnd"/>
      <w:r w:rsidRPr="00FD4B15">
        <w:rPr>
          <w:rFonts w:ascii="Arial" w:hAnsi="Arial" w:cs="Arial"/>
        </w:rPr>
        <w:t xml:space="preserve"> Avenue </w:t>
      </w:r>
      <w:proofErr w:type="spellStart"/>
      <w:r w:rsidRPr="00FD4B15">
        <w:rPr>
          <w:rFonts w:ascii="Arial" w:hAnsi="Arial" w:cs="Arial"/>
        </w:rPr>
        <w:t>Leckwith</w:t>
      </w:r>
      <w:proofErr w:type="spellEnd"/>
      <w:r w:rsidRPr="00FD4B15">
        <w:rPr>
          <w:rFonts w:ascii="Arial" w:hAnsi="Arial" w:cs="Arial"/>
        </w:rPr>
        <w:t xml:space="preserve"> Cardiff CF11 8XB. Available at:</w:t>
      </w:r>
      <w:hyperlink r:id="rId16" w:history="1">
        <w:r w:rsidRPr="00FD4B15">
          <w:rPr>
            <w:rStyle w:val="Hyperlink"/>
            <w:rFonts w:ascii="Arial" w:hAnsi="Arial" w:cs="Arial"/>
          </w:rPr>
          <w:t>https://www.estyn.gov.wales/sites/www.estyn.gov.wales/files/documents/Fitzalan%20High%20School.pdf</w:t>
        </w:r>
      </w:hyperlink>
    </w:p>
    <w:p w14:paraId="58B09AE1" w14:textId="77777777" w:rsidR="00FD4B15" w:rsidRPr="00FD4B15" w:rsidRDefault="00FD4B15" w:rsidP="00FD4B15">
      <w:pPr>
        <w:rPr>
          <w:rStyle w:val="eop"/>
          <w:rFonts w:ascii="Arial" w:hAnsi="Arial" w:cs="Arial"/>
          <w:color w:val="000000"/>
          <w:shd w:val="clear" w:color="auto" w:fill="FFFFFF"/>
        </w:rPr>
      </w:pPr>
      <w:proofErr w:type="spellStart"/>
      <w:r w:rsidRPr="00FD4B15">
        <w:rPr>
          <w:rStyle w:val="normaltextrun"/>
          <w:rFonts w:ascii="Arial" w:hAnsi="Arial" w:cs="Arial"/>
          <w:color w:val="222222"/>
          <w:shd w:val="clear" w:color="auto" w:fill="FFFFFF"/>
        </w:rPr>
        <w:t>Falchikov</w:t>
      </w:r>
      <w:proofErr w:type="spellEnd"/>
      <w:r w:rsidRPr="00FD4B15">
        <w:rPr>
          <w:rStyle w:val="normaltextrun"/>
          <w:rFonts w:ascii="Arial" w:hAnsi="Arial" w:cs="Arial"/>
          <w:color w:val="222222"/>
          <w:shd w:val="clear" w:color="auto" w:fill="FFFFFF"/>
        </w:rPr>
        <w:t>, N. and </w:t>
      </w:r>
      <w:r w:rsidRPr="00FD4B15">
        <w:rPr>
          <w:rStyle w:val="findhit"/>
          <w:rFonts w:ascii="Arial" w:hAnsi="Arial" w:cs="Arial"/>
          <w:color w:val="222222"/>
          <w:shd w:val="clear" w:color="auto" w:fill="FFFFFF"/>
        </w:rPr>
        <w:t>Gold</w:t>
      </w:r>
      <w:r w:rsidRPr="00FD4B15">
        <w:rPr>
          <w:rStyle w:val="normaltextrun"/>
          <w:rFonts w:ascii="Arial" w:hAnsi="Arial" w:cs="Arial"/>
          <w:color w:val="222222"/>
          <w:shd w:val="clear" w:color="auto" w:fill="FFFFFF"/>
        </w:rPr>
        <w:t>finch, J., (2000). Student peer assessment in higher education: A meta-analysis comparing peer and teacher marks. </w:t>
      </w:r>
      <w:r w:rsidRPr="00FD4B15">
        <w:rPr>
          <w:rStyle w:val="normaltextrun"/>
          <w:rFonts w:ascii="Arial" w:hAnsi="Arial" w:cs="Arial"/>
          <w:i/>
          <w:iCs/>
          <w:color w:val="222222"/>
          <w:shd w:val="clear" w:color="auto" w:fill="FFFFFF"/>
        </w:rPr>
        <w:t>Review of educational research</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70</w:t>
      </w:r>
      <w:r w:rsidRPr="00FD4B15">
        <w:rPr>
          <w:rStyle w:val="normaltextrun"/>
          <w:rFonts w:ascii="Arial" w:hAnsi="Arial" w:cs="Arial"/>
          <w:color w:val="222222"/>
          <w:shd w:val="clear" w:color="auto" w:fill="FFFFFF"/>
        </w:rPr>
        <w:t>(3), pp.287-322. </w:t>
      </w:r>
      <w:hyperlink r:id="rId17" w:tgtFrame="_blank" w:history="1">
        <w:r w:rsidRPr="00FD4B15">
          <w:rPr>
            <w:rStyle w:val="normaltextrun"/>
            <w:rFonts w:ascii="Arial" w:hAnsi="Arial" w:cs="Arial"/>
            <w:color w:val="0563C1"/>
            <w:u w:val="single"/>
            <w:shd w:val="clear" w:color="auto" w:fill="FFFFFF"/>
          </w:rPr>
          <w:t>https://journals.sagepub.com/doi/abs/10.3102/00346543070003287?casa_token=ZeRkFz_NkvIAAAAA:tt49gAcyFcUk5uKROk-e2NqOp-Oe6ea2IV2Jd9Ib-0ckOtvPzjI_XMiNP0JXJZf7_tG4jGFNAFE</w:t>
        </w:r>
      </w:hyperlink>
      <w:r w:rsidRPr="00FD4B15">
        <w:rPr>
          <w:rStyle w:val="eop"/>
          <w:rFonts w:ascii="Arial" w:hAnsi="Arial" w:cs="Arial"/>
          <w:color w:val="000000"/>
          <w:shd w:val="clear" w:color="auto" w:fill="FFFFFF"/>
        </w:rPr>
        <w:t> </w:t>
      </w:r>
    </w:p>
    <w:p w14:paraId="0A3288C0" w14:textId="77777777" w:rsidR="00FD4B15" w:rsidRPr="00FD4B15" w:rsidRDefault="00FD4B15" w:rsidP="00FD4B15">
      <w:pPr>
        <w:rPr>
          <w:rStyle w:val="eop"/>
          <w:rFonts w:ascii="Arial" w:hAnsi="Arial" w:cs="Arial"/>
          <w:color w:val="000000"/>
          <w:shd w:val="clear" w:color="auto" w:fill="FFFFFF"/>
        </w:rPr>
      </w:pPr>
      <w:r w:rsidRPr="00FD4B15">
        <w:rPr>
          <w:rStyle w:val="findhit"/>
          <w:rFonts w:ascii="Arial" w:hAnsi="Arial" w:cs="Arial"/>
          <w:color w:val="222222"/>
          <w:shd w:val="clear" w:color="auto" w:fill="FFFFFF"/>
        </w:rPr>
        <w:t>Foss</w:t>
      </w:r>
      <w:r w:rsidRPr="00FD4B15">
        <w:rPr>
          <w:rStyle w:val="normaltextrun"/>
          <w:rFonts w:ascii="Arial" w:hAnsi="Arial" w:cs="Arial"/>
          <w:color w:val="222222"/>
          <w:shd w:val="clear" w:color="auto" w:fill="FFFFFF"/>
        </w:rPr>
        <w:t>, C. and </w:t>
      </w:r>
      <w:proofErr w:type="spellStart"/>
      <w:r w:rsidRPr="00FD4B15">
        <w:rPr>
          <w:rStyle w:val="spellingerror"/>
          <w:rFonts w:ascii="Arial" w:hAnsi="Arial" w:cs="Arial"/>
          <w:color w:val="222222"/>
          <w:shd w:val="clear" w:color="auto" w:fill="FFFFFF"/>
        </w:rPr>
        <w:t>Ellefsen</w:t>
      </w:r>
      <w:proofErr w:type="spellEnd"/>
      <w:r w:rsidRPr="00FD4B15">
        <w:rPr>
          <w:rStyle w:val="normaltextrun"/>
          <w:rFonts w:ascii="Arial" w:hAnsi="Arial" w:cs="Arial"/>
          <w:color w:val="222222"/>
          <w:shd w:val="clear" w:color="auto" w:fill="FFFFFF"/>
        </w:rPr>
        <w:t>, B., (2002). The value of combining qualitative and quantitative approaches in nursing research by means of method triangulation. </w:t>
      </w:r>
      <w:r w:rsidRPr="00FD4B15">
        <w:rPr>
          <w:rStyle w:val="normaltextrun"/>
          <w:rFonts w:ascii="Arial" w:hAnsi="Arial" w:cs="Arial"/>
          <w:i/>
          <w:iCs/>
          <w:color w:val="222222"/>
          <w:shd w:val="clear" w:color="auto" w:fill="FFFFFF"/>
        </w:rPr>
        <w:t>Journal of advanced nursing</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40</w:t>
      </w:r>
      <w:r w:rsidRPr="00FD4B15">
        <w:rPr>
          <w:rStyle w:val="normaltextrun"/>
          <w:rFonts w:ascii="Arial" w:hAnsi="Arial" w:cs="Arial"/>
          <w:color w:val="222222"/>
          <w:shd w:val="clear" w:color="auto" w:fill="FFFFFF"/>
        </w:rPr>
        <w:t>(2), pp.242-248. </w:t>
      </w:r>
      <w:hyperlink r:id="rId18" w:tgtFrame="_blank" w:history="1">
        <w:r w:rsidRPr="00FD4B15">
          <w:rPr>
            <w:rStyle w:val="normaltextrun"/>
            <w:rFonts w:ascii="Arial" w:hAnsi="Arial" w:cs="Arial"/>
            <w:color w:val="0563C1"/>
            <w:u w:val="single"/>
            <w:shd w:val="clear" w:color="auto" w:fill="FFFFFF"/>
          </w:rPr>
          <w:t>https://onlinelibrary.wiley.com/doi/full/10.1046/j.1365-2648.2002.02366.x?casa_token=wEgMigOS61UAAAAA%3ADHSxq8dWm-PQerFXS7z2rnzH0bmlOk_RAhI_IudHsrir0u5TdGbOap3r089UCzmLSTraQXNYpiYQgg</w:t>
        </w:r>
      </w:hyperlink>
      <w:r w:rsidRPr="00FD4B15">
        <w:rPr>
          <w:rStyle w:val="eop"/>
          <w:rFonts w:ascii="Arial" w:hAnsi="Arial" w:cs="Arial"/>
          <w:color w:val="000000"/>
          <w:shd w:val="clear" w:color="auto" w:fill="FFFFFF"/>
        </w:rPr>
        <w:t> </w:t>
      </w:r>
    </w:p>
    <w:p w14:paraId="4FB4ED83" w14:textId="77777777" w:rsidR="00FD4B15" w:rsidRPr="00FD4B15" w:rsidRDefault="00FD4B15" w:rsidP="00FD4B15">
      <w:pPr>
        <w:rPr>
          <w:rStyle w:val="eop"/>
          <w:rFonts w:ascii="Arial" w:hAnsi="Arial" w:cs="Arial"/>
          <w:color w:val="000000"/>
          <w:shd w:val="clear" w:color="auto" w:fill="FFFFFF"/>
        </w:rPr>
      </w:pPr>
      <w:r w:rsidRPr="00FD4B15">
        <w:rPr>
          <w:rStyle w:val="findhit"/>
          <w:rFonts w:ascii="Arial" w:hAnsi="Arial" w:cs="Arial"/>
          <w:color w:val="000000"/>
          <w:shd w:val="clear" w:color="auto" w:fill="FFFFFF"/>
        </w:rPr>
        <w:t>Gibbs</w:t>
      </w:r>
      <w:r w:rsidRPr="00FD4B15">
        <w:rPr>
          <w:rStyle w:val="normaltextrun"/>
          <w:rFonts w:ascii="Arial" w:hAnsi="Arial" w:cs="Arial"/>
          <w:color w:val="000000"/>
          <w:shd w:val="clear" w:color="auto" w:fill="FFFFFF"/>
        </w:rPr>
        <w:t> (1988) </w:t>
      </w:r>
      <w:hyperlink r:id="rId19" w:tgtFrame="_blank" w:history="1">
        <w:r w:rsidRPr="00FD4B15">
          <w:rPr>
            <w:rStyle w:val="normaltextrun"/>
            <w:rFonts w:ascii="Arial" w:hAnsi="Arial" w:cs="Arial"/>
            <w:color w:val="0563C1"/>
            <w:u w:val="single"/>
            <w:shd w:val="clear" w:color="auto" w:fill="FFFFFF"/>
          </w:rPr>
          <w:t>https://www.ed.ac.uk/reflect</w:t>
        </w:r>
        <w:r w:rsidRPr="00FD4B15">
          <w:rPr>
            <w:rStyle w:val="normaltextrun"/>
            <w:rFonts w:ascii="Arial" w:hAnsi="Arial" w:cs="Arial"/>
            <w:color w:val="0563C1"/>
            <w:u w:val="single"/>
            <w:shd w:val="clear" w:color="auto" w:fill="FFFFFF"/>
          </w:rPr>
          <w:t>i</w:t>
        </w:r>
        <w:r w:rsidRPr="00FD4B15">
          <w:rPr>
            <w:rStyle w:val="normaltextrun"/>
            <w:rFonts w:ascii="Arial" w:hAnsi="Arial" w:cs="Arial"/>
            <w:color w:val="0563C1"/>
            <w:u w:val="single"/>
            <w:shd w:val="clear" w:color="auto" w:fill="FFFFFF"/>
          </w:rPr>
          <w:t>on/reflectors-toolkit/reflecting-on-experience/</w:t>
        </w:r>
        <w:r w:rsidRPr="00FD4B15">
          <w:rPr>
            <w:rStyle w:val="findhit"/>
            <w:rFonts w:ascii="Arial" w:hAnsi="Arial" w:cs="Arial"/>
            <w:color w:val="0563C1"/>
            <w:u w:val="single"/>
            <w:shd w:val="clear" w:color="auto" w:fill="FFFFFF"/>
          </w:rPr>
          <w:t>gibbs</w:t>
        </w:r>
        <w:r w:rsidRPr="00FD4B15">
          <w:rPr>
            <w:rStyle w:val="normaltextrun"/>
            <w:rFonts w:ascii="Arial" w:hAnsi="Arial" w:cs="Arial"/>
            <w:color w:val="0563C1"/>
            <w:u w:val="single"/>
            <w:shd w:val="clear" w:color="auto" w:fill="FFFFFF"/>
          </w:rPr>
          <w:t>-reflective-cycle</w:t>
        </w:r>
      </w:hyperlink>
      <w:r w:rsidRPr="00FD4B15">
        <w:rPr>
          <w:rStyle w:val="eop"/>
          <w:rFonts w:ascii="Arial" w:hAnsi="Arial" w:cs="Arial"/>
          <w:color w:val="000000"/>
          <w:shd w:val="clear" w:color="auto" w:fill="FFFFFF"/>
        </w:rPr>
        <w:t> </w:t>
      </w:r>
    </w:p>
    <w:p w14:paraId="6B08AA88" w14:textId="77777777" w:rsidR="00FD4B15" w:rsidRPr="00FD4B15" w:rsidRDefault="00FD4B15" w:rsidP="00FD4B15">
      <w:pPr>
        <w:pStyle w:val="paragraph"/>
        <w:spacing w:before="0" w:beforeAutospacing="0" w:after="0" w:afterAutospacing="0"/>
        <w:textAlignment w:val="baseline"/>
        <w:rPr>
          <w:rFonts w:ascii="Arial" w:hAnsi="Arial" w:cs="Arial"/>
          <w:sz w:val="22"/>
          <w:szCs w:val="22"/>
        </w:rPr>
      </w:pPr>
      <w:hyperlink r:id="rId20" w:anchor="main" w:tgtFrame="_blank" w:history="1">
        <w:r w:rsidRPr="00FD4B15">
          <w:rPr>
            <w:rStyle w:val="normaltextrun"/>
            <w:rFonts w:ascii="Arial" w:hAnsi="Arial" w:cs="Arial"/>
            <w:color w:val="0563C1"/>
            <w:sz w:val="22"/>
            <w:szCs w:val="22"/>
            <w:u w:val="single"/>
          </w:rPr>
          <w:t>https://w</w:t>
        </w:r>
        <w:r w:rsidRPr="00FD4B15">
          <w:rPr>
            <w:rStyle w:val="normaltextrun"/>
            <w:rFonts w:ascii="Arial" w:hAnsi="Arial" w:cs="Arial"/>
            <w:color w:val="0563C1"/>
            <w:sz w:val="22"/>
            <w:szCs w:val="22"/>
            <w:u w:val="single"/>
          </w:rPr>
          <w:t>w</w:t>
        </w:r>
        <w:r w:rsidRPr="00FD4B15">
          <w:rPr>
            <w:rStyle w:val="normaltextrun"/>
            <w:rFonts w:ascii="Arial" w:hAnsi="Arial" w:cs="Arial"/>
            <w:color w:val="0563C1"/>
            <w:sz w:val="22"/>
            <w:szCs w:val="22"/>
            <w:u w:val="single"/>
          </w:rPr>
          <w:t>w-dawsonera-com.ezproxy.uwtsd.ac.uk/readonline/9780335230624#main</w:t>
        </w:r>
      </w:hyperlink>
      <w:r w:rsidRPr="00FD4B15">
        <w:rPr>
          <w:rStyle w:val="normaltextrun"/>
          <w:rFonts w:ascii="Arial" w:hAnsi="Arial" w:cs="Arial"/>
          <w:sz w:val="22"/>
          <w:szCs w:val="22"/>
        </w:rPr>
        <w:t> pg.58</w:t>
      </w:r>
      <w:r w:rsidRPr="00FD4B15">
        <w:rPr>
          <w:rStyle w:val="eop"/>
          <w:rFonts w:ascii="Arial" w:hAnsi="Arial" w:cs="Arial"/>
          <w:sz w:val="22"/>
          <w:szCs w:val="22"/>
        </w:rPr>
        <w:t> </w:t>
      </w:r>
    </w:p>
    <w:p w14:paraId="46830B7B" w14:textId="77777777" w:rsidR="00FD4B15" w:rsidRPr="00FD4B15" w:rsidRDefault="00FD4B15" w:rsidP="00FD4B15">
      <w:pPr>
        <w:rPr>
          <w:rStyle w:val="eop"/>
          <w:rFonts w:ascii="Arial" w:hAnsi="Arial" w:cs="Arial"/>
          <w:color w:val="000000"/>
          <w:shd w:val="clear" w:color="auto" w:fill="FFFFFF"/>
        </w:rPr>
      </w:pPr>
      <w:proofErr w:type="spellStart"/>
      <w:r w:rsidRPr="00FD4B15">
        <w:rPr>
          <w:rStyle w:val="findhit"/>
          <w:rFonts w:ascii="Arial" w:hAnsi="Arial" w:cs="Arial"/>
          <w:color w:val="222222"/>
          <w:shd w:val="clear" w:color="auto" w:fill="FFFFFF"/>
        </w:rPr>
        <w:t>Kutn</w:t>
      </w:r>
      <w:r w:rsidRPr="00FD4B15">
        <w:rPr>
          <w:rStyle w:val="normaltextrun"/>
          <w:rFonts w:ascii="Arial" w:hAnsi="Arial" w:cs="Arial"/>
          <w:color w:val="222222"/>
          <w:shd w:val="clear" w:color="auto" w:fill="FFFFFF"/>
        </w:rPr>
        <w:t>ick</w:t>
      </w:r>
      <w:proofErr w:type="spellEnd"/>
      <w:r w:rsidRPr="00FD4B15">
        <w:rPr>
          <w:rStyle w:val="normaltextrun"/>
          <w:rFonts w:ascii="Arial" w:hAnsi="Arial" w:cs="Arial"/>
          <w:color w:val="222222"/>
          <w:shd w:val="clear" w:color="auto" w:fill="FFFFFF"/>
        </w:rPr>
        <w:t xml:space="preserve">, P., Ota, C. and </w:t>
      </w:r>
      <w:proofErr w:type="spellStart"/>
      <w:r w:rsidRPr="00FD4B15">
        <w:rPr>
          <w:rStyle w:val="normaltextrun"/>
          <w:rFonts w:ascii="Arial" w:hAnsi="Arial" w:cs="Arial"/>
          <w:color w:val="222222"/>
          <w:shd w:val="clear" w:color="auto" w:fill="FFFFFF"/>
        </w:rPr>
        <w:t>Berdondini</w:t>
      </w:r>
      <w:proofErr w:type="spellEnd"/>
      <w:r w:rsidRPr="00FD4B15">
        <w:rPr>
          <w:rStyle w:val="normaltextrun"/>
          <w:rFonts w:ascii="Arial" w:hAnsi="Arial" w:cs="Arial"/>
          <w:color w:val="222222"/>
          <w:shd w:val="clear" w:color="auto" w:fill="FFFFFF"/>
        </w:rPr>
        <w:t>, L., (2008). Improving the effects of group working in classrooms with young school-aged children: Facilitating attainment, interaction and classroom activity. </w:t>
      </w:r>
      <w:r w:rsidRPr="00FD4B15">
        <w:rPr>
          <w:rStyle w:val="normaltextrun"/>
          <w:rFonts w:ascii="Arial" w:hAnsi="Arial" w:cs="Arial"/>
          <w:i/>
          <w:iCs/>
          <w:color w:val="222222"/>
          <w:shd w:val="clear" w:color="auto" w:fill="FFFFFF"/>
        </w:rPr>
        <w:t>Learning and Instruction</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18</w:t>
      </w:r>
      <w:r w:rsidRPr="00FD4B15">
        <w:rPr>
          <w:rStyle w:val="normaltextrun"/>
          <w:rFonts w:ascii="Arial" w:hAnsi="Arial" w:cs="Arial"/>
          <w:color w:val="222222"/>
          <w:shd w:val="clear" w:color="auto" w:fill="FFFFFF"/>
        </w:rPr>
        <w:t>(1), pp.83-95. </w:t>
      </w:r>
      <w:hyperlink r:id="rId21" w:tgtFrame="_blank" w:history="1">
        <w:r w:rsidRPr="00FD4B15">
          <w:rPr>
            <w:rStyle w:val="normaltextrun"/>
            <w:rFonts w:ascii="Arial" w:hAnsi="Arial" w:cs="Arial"/>
            <w:color w:val="0563C1"/>
            <w:u w:val="single"/>
            <w:shd w:val="clear" w:color="auto" w:fill="FFFFFF"/>
          </w:rPr>
          <w:t>https://www-sciencedirect-com.ezproxy.uwtsd.ac.uk/science/article/pii/S0959475206001241</w:t>
        </w:r>
      </w:hyperlink>
      <w:r w:rsidRPr="00FD4B15">
        <w:rPr>
          <w:rStyle w:val="normaltextrun"/>
          <w:rFonts w:ascii="Arial" w:hAnsi="Arial" w:cs="Arial"/>
          <w:color w:val="000000"/>
          <w:shd w:val="clear" w:color="auto" w:fill="FFFFFF"/>
        </w:rPr>
        <w:t> </w:t>
      </w:r>
      <w:r w:rsidRPr="00FD4B15">
        <w:rPr>
          <w:rStyle w:val="eop"/>
          <w:rFonts w:ascii="Arial" w:hAnsi="Arial" w:cs="Arial"/>
          <w:color w:val="000000"/>
          <w:shd w:val="clear" w:color="auto" w:fill="FFFFFF"/>
        </w:rPr>
        <w:t> </w:t>
      </w:r>
    </w:p>
    <w:p w14:paraId="2C5C5310" w14:textId="77777777" w:rsidR="00FD4B15" w:rsidRPr="00FD4B15" w:rsidRDefault="00FD4B15" w:rsidP="00FD4B15">
      <w:pPr>
        <w:rPr>
          <w:rFonts w:ascii="Arial" w:hAnsi="Arial" w:cs="Arial"/>
        </w:rPr>
      </w:pPr>
      <w:r w:rsidRPr="00FD4B15">
        <w:rPr>
          <w:rStyle w:val="eop"/>
          <w:rFonts w:ascii="Arial" w:hAnsi="Arial" w:cs="Arial"/>
          <w:color w:val="000000"/>
          <w:shd w:val="clear" w:color="auto" w:fill="FFFFFF"/>
        </w:rPr>
        <w:t xml:space="preserve">Mentalhelp.net An American Addiction Centres Resource (2015). </w:t>
      </w:r>
      <w:r w:rsidRPr="00FD4B15">
        <w:rPr>
          <w:rStyle w:val="eop"/>
          <w:rFonts w:ascii="Arial" w:hAnsi="Arial" w:cs="Arial"/>
          <w:i/>
          <w:iCs/>
          <w:color w:val="000000"/>
          <w:shd w:val="clear" w:color="auto" w:fill="FFFFFF"/>
        </w:rPr>
        <w:t xml:space="preserve">Factors Influencing the Development of Self-esteem. </w:t>
      </w:r>
      <w:r w:rsidRPr="00FD4B15">
        <w:rPr>
          <w:rStyle w:val="eop"/>
          <w:rFonts w:ascii="Arial" w:hAnsi="Arial" w:cs="Arial"/>
          <w:color w:val="000000"/>
          <w:shd w:val="clear" w:color="auto" w:fill="FFFFFF"/>
        </w:rPr>
        <w:t xml:space="preserve">Available at: </w:t>
      </w:r>
      <w:hyperlink r:id="rId22" w:history="1">
        <w:r w:rsidRPr="00FD4B15">
          <w:rPr>
            <w:rStyle w:val="Hyperlink"/>
            <w:rFonts w:ascii="Arial" w:hAnsi="Arial" w:cs="Arial"/>
          </w:rPr>
          <w:t>https://www.mentalhelp.net/self-esteem/factors-influencing-development/</w:t>
        </w:r>
      </w:hyperlink>
    </w:p>
    <w:p w14:paraId="6CEB5D6F" w14:textId="77777777" w:rsidR="00FD4B15" w:rsidRPr="00FD4B15" w:rsidRDefault="00FD4B15" w:rsidP="00FD4B15">
      <w:pPr>
        <w:rPr>
          <w:rStyle w:val="eop"/>
          <w:rFonts w:ascii="Arial" w:hAnsi="Arial" w:cs="Arial"/>
          <w:color w:val="000000"/>
          <w:shd w:val="clear" w:color="auto" w:fill="FFFFFF"/>
        </w:rPr>
      </w:pPr>
      <w:r w:rsidRPr="00FD4B15">
        <w:rPr>
          <w:rStyle w:val="normaltextrun"/>
          <w:rFonts w:ascii="Arial" w:hAnsi="Arial" w:cs="Arial"/>
          <w:color w:val="222222"/>
          <w:shd w:val="clear" w:color="auto" w:fill="FFFFFF"/>
        </w:rPr>
        <w:t>Mercer, N. and Littleton, K., (2007). </w:t>
      </w:r>
      <w:r w:rsidRPr="00FD4B15">
        <w:rPr>
          <w:rStyle w:val="normaltextrun"/>
          <w:rFonts w:ascii="Arial" w:hAnsi="Arial" w:cs="Arial"/>
          <w:i/>
          <w:iCs/>
          <w:color w:val="222222"/>
          <w:shd w:val="clear" w:color="auto" w:fill="FFFFFF"/>
        </w:rPr>
        <w:t>Dialogue and the development of children's thinking: A sociocultural approach</w:t>
      </w:r>
      <w:r w:rsidRPr="00FD4B15">
        <w:rPr>
          <w:rStyle w:val="normaltextrun"/>
          <w:rFonts w:ascii="Arial" w:hAnsi="Arial" w:cs="Arial"/>
          <w:color w:val="222222"/>
          <w:shd w:val="clear" w:color="auto" w:fill="FFFFFF"/>
        </w:rPr>
        <w:t>. Routledge. </w:t>
      </w:r>
      <w:hyperlink r:id="rId23" w:tgtFrame="_blank" w:history="1">
        <w:r w:rsidRPr="00FD4B15">
          <w:rPr>
            <w:rStyle w:val="normaltextrun"/>
            <w:rFonts w:ascii="Arial" w:hAnsi="Arial" w:cs="Arial"/>
            <w:color w:val="0563C1"/>
            <w:u w:val="single"/>
            <w:shd w:val="clear" w:color="auto" w:fill="FFFFFF"/>
          </w:rPr>
          <w:t>https://www-dawsonera-com.ezproxy.uwtsd.ac.uk/readonline/9780203946657</w:t>
        </w:r>
      </w:hyperlink>
      <w:r w:rsidRPr="00FD4B15">
        <w:rPr>
          <w:rStyle w:val="eop"/>
          <w:rFonts w:ascii="Arial" w:hAnsi="Arial" w:cs="Arial"/>
          <w:color w:val="000000"/>
          <w:shd w:val="clear" w:color="auto" w:fill="FFFFFF"/>
        </w:rPr>
        <w:t> </w:t>
      </w:r>
    </w:p>
    <w:p w14:paraId="1C6C5640" w14:textId="77777777" w:rsidR="00FD4B15" w:rsidRPr="00FD4B15" w:rsidRDefault="00FD4B15" w:rsidP="00FD4B15">
      <w:pPr>
        <w:pStyle w:val="paragraph"/>
        <w:spacing w:before="0" w:beforeAutospacing="0" w:after="0" w:afterAutospacing="0"/>
        <w:textAlignment w:val="baseline"/>
        <w:rPr>
          <w:rStyle w:val="eop"/>
          <w:rFonts w:ascii="Arial" w:hAnsi="Arial" w:cs="Arial"/>
          <w:sz w:val="22"/>
          <w:szCs w:val="22"/>
        </w:rPr>
      </w:pPr>
      <w:r w:rsidRPr="00FD4B15">
        <w:rPr>
          <w:rFonts w:ascii="Arial" w:hAnsi="Arial" w:cs="Arial"/>
          <w:color w:val="222222"/>
          <w:sz w:val="22"/>
          <w:szCs w:val="22"/>
          <w:shd w:val="clear" w:color="auto" w:fill="FFFFFF"/>
        </w:rPr>
        <w:t>Moon, J.A., (2013). </w:t>
      </w:r>
      <w:r w:rsidRPr="00FD4B15">
        <w:rPr>
          <w:rFonts w:ascii="Arial" w:hAnsi="Arial" w:cs="Arial"/>
          <w:i/>
          <w:iCs/>
          <w:color w:val="222222"/>
          <w:sz w:val="22"/>
          <w:szCs w:val="22"/>
          <w:shd w:val="clear" w:color="auto" w:fill="FFFFFF"/>
        </w:rPr>
        <w:t>Reflection in learning and professional development: Theory and practice</w:t>
      </w:r>
      <w:r w:rsidRPr="00FD4B15">
        <w:rPr>
          <w:rFonts w:ascii="Arial" w:hAnsi="Arial" w:cs="Arial"/>
          <w:color w:val="222222"/>
          <w:sz w:val="22"/>
          <w:szCs w:val="22"/>
          <w:shd w:val="clear" w:color="auto" w:fill="FFFFFF"/>
        </w:rPr>
        <w:t>. Routledge. Available at:</w:t>
      </w:r>
      <w:hyperlink r:id="rId24" w:history="1">
        <w:r w:rsidRPr="00FD4B15">
          <w:rPr>
            <w:rStyle w:val="Hyperlink"/>
            <w:rFonts w:ascii="Arial" w:hAnsi="Arial" w:cs="Arial"/>
            <w:sz w:val="22"/>
            <w:szCs w:val="22"/>
          </w:rPr>
          <w:t>https:/</w:t>
        </w:r>
        <w:r w:rsidRPr="00FD4B15">
          <w:rPr>
            <w:rStyle w:val="Hyperlink"/>
            <w:rFonts w:ascii="Arial" w:hAnsi="Arial" w:cs="Arial"/>
            <w:sz w:val="22"/>
            <w:szCs w:val="22"/>
          </w:rPr>
          <w:t>/</w:t>
        </w:r>
        <w:r w:rsidRPr="00FD4B15">
          <w:rPr>
            <w:rStyle w:val="Hyperlink"/>
            <w:rFonts w:ascii="Arial" w:hAnsi="Arial" w:cs="Arial"/>
            <w:sz w:val="22"/>
            <w:szCs w:val="22"/>
          </w:rPr>
          <w:t>books.google.co.uk/books?id=8y0LwQxZUf4C&amp;q=reflective+models#v=snippet&amp;q=reflective%20models&amp;f=false</w:t>
        </w:r>
      </w:hyperlink>
      <w:r w:rsidRPr="00FD4B15">
        <w:rPr>
          <w:rStyle w:val="normaltextrun"/>
          <w:rFonts w:ascii="Arial" w:hAnsi="Arial" w:cs="Arial"/>
          <w:sz w:val="22"/>
          <w:szCs w:val="22"/>
        </w:rPr>
        <w:t> pg.61-62</w:t>
      </w:r>
      <w:r w:rsidRPr="00FD4B15">
        <w:rPr>
          <w:rStyle w:val="eop"/>
          <w:rFonts w:ascii="Arial" w:hAnsi="Arial" w:cs="Arial"/>
          <w:sz w:val="22"/>
          <w:szCs w:val="22"/>
        </w:rPr>
        <w:t> </w:t>
      </w:r>
    </w:p>
    <w:p w14:paraId="03359086" w14:textId="77777777" w:rsidR="00FD4B15" w:rsidRPr="00FD4B15" w:rsidRDefault="00FD4B15" w:rsidP="00FD4B15">
      <w:pPr>
        <w:pStyle w:val="paragraph"/>
        <w:spacing w:before="0" w:beforeAutospacing="0" w:after="0" w:afterAutospacing="0"/>
        <w:textAlignment w:val="baseline"/>
        <w:rPr>
          <w:rFonts w:ascii="Arial" w:hAnsi="Arial" w:cs="Arial"/>
          <w:sz w:val="22"/>
          <w:szCs w:val="22"/>
        </w:rPr>
      </w:pPr>
    </w:p>
    <w:p w14:paraId="38F60BCB" w14:textId="77777777" w:rsidR="00FD4B15" w:rsidRPr="00FD4B15" w:rsidRDefault="00FD4B15" w:rsidP="00FD4B15">
      <w:pPr>
        <w:rPr>
          <w:rStyle w:val="eop"/>
          <w:rFonts w:ascii="Arial" w:hAnsi="Arial" w:cs="Arial"/>
          <w:color w:val="000000"/>
          <w:shd w:val="clear" w:color="auto" w:fill="FFFFFF"/>
        </w:rPr>
      </w:pPr>
      <w:r w:rsidRPr="00FD4B15">
        <w:rPr>
          <w:rStyle w:val="findhit"/>
          <w:rFonts w:ascii="Arial" w:hAnsi="Arial" w:cs="Arial"/>
          <w:color w:val="222222"/>
          <w:shd w:val="clear" w:color="auto" w:fill="FFFFFF"/>
        </w:rPr>
        <w:lastRenderedPageBreak/>
        <w:t>Niaz</w:t>
      </w:r>
      <w:r w:rsidRPr="00FD4B15">
        <w:rPr>
          <w:rStyle w:val="normaltextrun"/>
          <w:rFonts w:ascii="Arial" w:hAnsi="Arial" w:cs="Arial"/>
          <w:color w:val="222222"/>
          <w:shd w:val="clear" w:color="auto" w:fill="FFFFFF"/>
        </w:rPr>
        <w:t>, M., DE NÚÑEZ, G.S. and DE PINEDA, I.R., (2000). Academic performance of high school students as a function of mental capacity, cognitive style, mobility</w:t>
      </w:r>
      <w:r w:rsidRPr="00FD4B15">
        <w:rPr>
          <w:rStyle w:val="normaltextrun"/>
          <w:rFonts w:ascii="Cambria Math" w:hAnsi="Cambria Math" w:cs="Cambria Math"/>
          <w:color w:val="222222"/>
          <w:shd w:val="clear" w:color="auto" w:fill="FFFFFF"/>
        </w:rPr>
        <w:t>‐</w:t>
      </w:r>
      <w:r w:rsidRPr="00FD4B15">
        <w:rPr>
          <w:rStyle w:val="normaltextrun"/>
          <w:rFonts w:ascii="Arial" w:hAnsi="Arial" w:cs="Arial"/>
          <w:color w:val="222222"/>
          <w:shd w:val="clear" w:color="auto" w:fill="FFFFFF"/>
        </w:rPr>
        <w:t>fixity dimension, and creativity. </w:t>
      </w:r>
      <w:r w:rsidRPr="00FD4B15">
        <w:rPr>
          <w:rStyle w:val="normaltextrun"/>
          <w:rFonts w:ascii="Arial" w:hAnsi="Arial" w:cs="Arial"/>
          <w:i/>
          <w:iCs/>
          <w:color w:val="222222"/>
          <w:shd w:val="clear" w:color="auto" w:fill="FFFFFF"/>
        </w:rPr>
        <w:t xml:space="preserve">The Journal of Creative </w:t>
      </w:r>
      <w:proofErr w:type="spellStart"/>
      <w:r w:rsidRPr="00FD4B15">
        <w:rPr>
          <w:rStyle w:val="normaltextrun"/>
          <w:rFonts w:ascii="Arial" w:hAnsi="Arial" w:cs="Arial"/>
          <w:i/>
          <w:iCs/>
          <w:color w:val="222222"/>
          <w:shd w:val="clear" w:color="auto" w:fill="FFFFFF"/>
        </w:rPr>
        <w:t>Behavior</w:t>
      </w:r>
      <w:proofErr w:type="spellEnd"/>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34</w:t>
      </w:r>
      <w:r w:rsidRPr="00FD4B15">
        <w:rPr>
          <w:rStyle w:val="normaltextrun"/>
          <w:rFonts w:ascii="Arial" w:hAnsi="Arial" w:cs="Arial"/>
          <w:color w:val="222222"/>
          <w:shd w:val="clear" w:color="auto" w:fill="FFFFFF"/>
        </w:rPr>
        <w:t>(1), pp.18-29. </w:t>
      </w:r>
      <w:hyperlink r:id="rId25" w:tgtFrame="_blank" w:history="1">
        <w:r w:rsidRPr="00FD4B15">
          <w:rPr>
            <w:rStyle w:val="normaltextrun"/>
            <w:rFonts w:ascii="Arial" w:hAnsi="Arial" w:cs="Arial"/>
            <w:color w:val="0563C1"/>
            <w:u w:val="single"/>
            <w:shd w:val="clear" w:color="auto" w:fill="FFFFFF"/>
          </w:rPr>
          <w:t>https://onlinelibrary.wiley.com/doi/epdf/10.1002/j.2162-6057.2000.tb01200.x</w:t>
        </w:r>
      </w:hyperlink>
      <w:r w:rsidRPr="00FD4B15">
        <w:rPr>
          <w:rStyle w:val="eop"/>
          <w:rFonts w:ascii="Arial" w:hAnsi="Arial" w:cs="Arial"/>
          <w:color w:val="000000"/>
          <w:shd w:val="clear" w:color="auto" w:fill="FFFFFF"/>
        </w:rPr>
        <w:t> </w:t>
      </w:r>
    </w:p>
    <w:p w14:paraId="522F3D8B" w14:textId="77777777" w:rsidR="00FD4B15" w:rsidRPr="00FD4B15" w:rsidRDefault="00FD4B15" w:rsidP="00FD4B15">
      <w:pPr>
        <w:rPr>
          <w:rStyle w:val="eop"/>
          <w:rFonts w:ascii="Arial" w:hAnsi="Arial" w:cs="Arial"/>
          <w:color w:val="000000"/>
          <w:shd w:val="clear" w:color="auto" w:fill="FFFFFF"/>
        </w:rPr>
      </w:pPr>
      <w:r w:rsidRPr="00FD4B15">
        <w:rPr>
          <w:rStyle w:val="findhit"/>
          <w:rFonts w:ascii="Arial" w:hAnsi="Arial" w:cs="Arial"/>
          <w:color w:val="222222"/>
          <w:shd w:val="clear" w:color="auto" w:fill="FFFFFF"/>
        </w:rPr>
        <w:t>Pal</w:t>
      </w:r>
      <w:r w:rsidRPr="00FD4B15">
        <w:rPr>
          <w:rStyle w:val="normaltextrun"/>
          <w:rFonts w:ascii="Arial" w:hAnsi="Arial" w:cs="Arial"/>
          <w:color w:val="222222"/>
          <w:shd w:val="clear" w:color="auto" w:fill="FFFFFF"/>
        </w:rPr>
        <w:t>mer, S., (2010). </w:t>
      </w:r>
      <w:r w:rsidRPr="00FD4B15">
        <w:rPr>
          <w:rStyle w:val="normaltextrun"/>
          <w:rFonts w:ascii="Arial" w:hAnsi="Arial" w:cs="Arial"/>
          <w:i/>
          <w:iCs/>
          <w:color w:val="222222"/>
          <w:shd w:val="clear" w:color="auto" w:fill="FFFFFF"/>
        </w:rPr>
        <w:t>Speaking Frames: How to Teach Talk for Writing: Ages 10-14</w:t>
      </w:r>
      <w:r w:rsidRPr="00FD4B15">
        <w:rPr>
          <w:rStyle w:val="normaltextrun"/>
          <w:rFonts w:ascii="Arial" w:hAnsi="Arial" w:cs="Arial"/>
          <w:color w:val="222222"/>
          <w:shd w:val="clear" w:color="auto" w:fill="FFFFFF"/>
        </w:rPr>
        <w:t>. Routledge. </w:t>
      </w:r>
      <w:hyperlink r:id="rId26" w:tgtFrame="_blank" w:history="1">
        <w:r w:rsidRPr="00FD4B15">
          <w:rPr>
            <w:rStyle w:val="normaltextrun"/>
            <w:rFonts w:ascii="Arial" w:hAnsi="Arial" w:cs="Arial"/>
            <w:color w:val="222222"/>
            <w:u w:val="single"/>
            <w:shd w:val="clear" w:color="auto" w:fill="FFFFFF"/>
          </w:rPr>
          <w:t>https://content.taylorfrancis.com/books/download?dac=C2009-0-15728-5&amp;isbn=9781136933776&amp;format=googlePreviewPdf</w:t>
        </w:r>
      </w:hyperlink>
      <w:r w:rsidRPr="00FD4B15">
        <w:rPr>
          <w:rStyle w:val="eop"/>
          <w:rFonts w:ascii="Arial" w:hAnsi="Arial" w:cs="Arial"/>
          <w:color w:val="000000"/>
          <w:shd w:val="clear" w:color="auto" w:fill="FFFFFF"/>
        </w:rPr>
        <w:t> </w:t>
      </w:r>
    </w:p>
    <w:p w14:paraId="7958E352" w14:textId="77777777" w:rsidR="00FD4B15" w:rsidRPr="00FD4B15" w:rsidRDefault="00FD4B15" w:rsidP="00FD4B15">
      <w:pPr>
        <w:rPr>
          <w:rStyle w:val="eop"/>
          <w:rFonts w:ascii="Arial" w:hAnsi="Arial" w:cs="Arial"/>
          <w:color w:val="000000"/>
          <w:shd w:val="clear" w:color="auto" w:fill="FFFFFF"/>
        </w:rPr>
      </w:pPr>
      <w:proofErr w:type="spellStart"/>
      <w:r w:rsidRPr="00FD4B15">
        <w:rPr>
          <w:rStyle w:val="normaltextrun"/>
          <w:rFonts w:ascii="Arial" w:hAnsi="Arial" w:cs="Arial"/>
          <w:color w:val="222222"/>
          <w:shd w:val="clear" w:color="auto" w:fill="FFFFFF"/>
        </w:rPr>
        <w:t>Setiawati</w:t>
      </w:r>
      <w:proofErr w:type="spellEnd"/>
      <w:r w:rsidRPr="00FD4B15">
        <w:rPr>
          <w:rStyle w:val="normaltextrun"/>
          <w:rFonts w:ascii="Arial" w:hAnsi="Arial" w:cs="Arial"/>
          <w:color w:val="222222"/>
          <w:shd w:val="clear" w:color="auto" w:fill="FFFFFF"/>
        </w:rPr>
        <w:t>, L., (</w:t>
      </w:r>
      <w:r w:rsidRPr="00FD4B15">
        <w:rPr>
          <w:rStyle w:val="findhit"/>
          <w:rFonts w:ascii="Arial" w:hAnsi="Arial" w:cs="Arial"/>
          <w:color w:val="222222"/>
          <w:shd w:val="clear" w:color="auto" w:fill="FFFFFF"/>
        </w:rPr>
        <w:t>2012)</w:t>
      </w:r>
      <w:r w:rsidRPr="00FD4B15">
        <w:rPr>
          <w:rStyle w:val="normaltextrun"/>
          <w:rFonts w:ascii="Arial" w:hAnsi="Arial" w:cs="Arial"/>
          <w:color w:val="222222"/>
          <w:shd w:val="clear" w:color="auto" w:fill="FFFFFF"/>
        </w:rPr>
        <w:t>. A descriptive study on the teacher talk at EYL classroom. </w:t>
      </w:r>
      <w:r w:rsidRPr="00FD4B15">
        <w:rPr>
          <w:rStyle w:val="normaltextrun"/>
          <w:rFonts w:ascii="Arial" w:hAnsi="Arial" w:cs="Arial"/>
          <w:i/>
          <w:iCs/>
          <w:color w:val="222222"/>
          <w:shd w:val="clear" w:color="auto" w:fill="FFFFFF"/>
        </w:rPr>
        <w:t>Indonesian Journal of Applied Linguistics</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1</w:t>
      </w:r>
      <w:r w:rsidRPr="00FD4B15">
        <w:rPr>
          <w:rStyle w:val="normaltextrun"/>
          <w:rFonts w:ascii="Arial" w:hAnsi="Arial" w:cs="Arial"/>
          <w:color w:val="222222"/>
          <w:shd w:val="clear" w:color="auto" w:fill="FFFFFF"/>
        </w:rPr>
        <w:t>(2), pp.33-48. </w:t>
      </w:r>
      <w:hyperlink r:id="rId27" w:tgtFrame="_blank" w:history="1">
        <w:r w:rsidRPr="00FD4B15">
          <w:rPr>
            <w:rStyle w:val="normaltextrun"/>
            <w:rFonts w:ascii="Arial" w:hAnsi="Arial" w:cs="Arial"/>
            <w:color w:val="0563C1"/>
            <w:u w:val="single"/>
            <w:shd w:val="clear" w:color="auto" w:fill="FFFFFF"/>
          </w:rPr>
          <w:t>http://jurnal.upi.edu/file/Liani_final_33-48.pdf</w:t>
        </w:r>
      </w:hyperlink>
      <w:r w:rsidRPr="00FD4B15">
        <w:rPr>
          <w:rStyle w:val="eop"/>
          <w:rFonts w:ascii="Arial" w:hAnsi="Arial" w:cs="Arial"/>
          <w:color w:val="000000"/>
          <w:shd w:val="clear" w:color="auto" w:fill="FFFFFF"/>
        </w:rPr>
        <w:t> </w:t>
      </w:r>
    </w:p>
    <w:p w14:paraId="6215BB38" w14:textId="77777777" w:rsidR="00FD4B15" w:rsidRPr="00FD4B15" w:rsidRDefault="00FD4B15" w:rsidP="00FD4B15">
      <w:pPr>
        <w:rPr>
          <w:rFonts w:ascii="Arial" w:hAnsi="Arial" w:cs="Arial"/>
          <w:i/>
          <w:iCs/>
        </w:rPr>
      </w:pPr>
      <w:r w:rsidRPr="00FD4B15">
        <w:rPr>
          <w:rFonts w:ascii="Arial" w:hAnsi="Arial" w:cs="Arial"/>
          <w:color w:val="222222"/>
          <w:shd w:val="clear" w:color="auto" w:fill="FFFFFF"/>
        </w:rPr>
        <w:t xml:space="preserve">The Welsh Government (2019) </w:t>
      </w:r>
      <w:r w:rsidRPr="00FD4B15">
        <w:rPr>
          <w:rFonts w:ascii="Arial" w:hAnsi="Arial" w:cs="Arial"/>
          <w:i/>
          <w:iCs/>
          <w:color w:val="222222"/>
          <w:shd w:val="clear" w:color="auto" w:fill="FFFFFF"/>
        </w:rPr>
        <w:t xml:space="preserve">My Local School – Sharing Information about Local Schools: </w:t>
      </w:r>
      <w:proofErr w:type="spellStart"/>
      <w:r w:rsidRPr="00FD4B15">
        <w:rPr>
          <w:rFonts w:ascii="Arial" w:hAnsi="Arial" w:cs="Arial"/>
          <w:i/>
          <w:iCs/>
          <w:color w:val="222222"/>
          <w:shd w:val="clear" w:color="auto" w:fill="FFFFFF"/>
        </w:rPr>
        <w:t>Fitzalan</w:t>
      </w:r>
      <w:proofErr w:type="spellEnd"/>
      <w:r w:rsidRPr="00FD4B15">
        <w:rPr>
          <w:rFonts w:ascii="Arial" w:hAnsi="Arial" w:cs="Arial"/>
          <w:i/>
          <w:iCs/>
          <w:color w:val="222222"/>
          <w:shd w:val="clear" w:color="auto" w:fill="FFFFFF"/>
        </w:rPr>
        <w:t xml:space="preserve"> High School Available at: </w:t>
      </w:r>
      <w:hyperlink r:id="rId28" w:history="1">
        <w:r w:rsidRPr="00FD4B15">
          <w:rPr>
            <w:rStyle w:val="Hyperlink"/>
            <w:rFonts w:ascii="Arial" w:hAnsi="Arial" w:cs="Arial"/>
          </w:rPr>
          <w:t>http://mylocalschool.gov.wales/School/6814042?lang=en</w:t>
        </w:r>
      </w:hyperlink>
    </w:p>
    <w:p w14:paraId="76BC4C0D" w14:textId="77777777" w:rsidR="00FD4B15" w:rsidRPr="00FD4B15" w:rsidRDefault="00FD4B15" w:rsidP="00FD4B15">
      <w:pPr>
        <w:rPr>
          <w:rFonts w:ascii="Arial" w:hAnsi="Arial" w:cs="Arial"/>
        </w:rPr>
      </w:pPr>
      <w:r w:rsidRPr="00FD4B15">
        <w:rPr>
          <w:rFonts w:ascii="Arial" w:hAnsi="Arial" w:cs="Arial"/>
          <w:color w:val="222222"/>
          <w:shd w:val="clear" w:color="auto" w:fill="FFFFFF"/>
        </w:rPr>
        <w:t>Tight, M., (2017). </w:t>
      </w:r>
      <w:r w:rsidRPr="00FD4B15">
        <w:rPr>
          <w:rFonts w:ascii="Arial" w:hAnsi="Arial" w:cs="Arial"/>
          <w:i/>
          <w:iCs/>
          <w:color w:val="222222"/>
          <w:shd w:val="clear" w:color="auto" w:fill="FFFFFF"/>
        </w:rPr>
        <w:t>Understanding case study research: Small-scale research with meaning</w:t>
      </w:r>
      <w:r w:rsidRPr="00FD4B15">
        <w:rPr>
          <w:rFonts w:ascii="Arial" w:hAnsi="Arial" w:cs="Arial"/>
          <w:color w:val="222222"/>
          <w:shd w:val="clear" w:color="auto" w:fill="FFFFFF"/>
        </w:rPr>
        <w:t>. Sage. Available at:</w:t>
      </w:r>
      <w:hyperlink r:id="rId29" w:history="1">
        <w:r w:rsidRPr="00FD4B15">
          <w:rPr>
            <w:rStyle w:val="Hyperlink"/>
            <w:rFonts w:ascii="Arial" w:hAnsi="Arial" w:cs="Arial"/>
          </w:rPr>
          <w:t>https://books.google.co.uk/books?hl=en&amp;lr=&amp;id=fCE9DQAAQBAJ&amp;oi=fnd&amp;pg=PP1&amp;dq=tight+2017&amp;ots=nvqu6XAYkI&amp;sig=n8GhMQRoBgqq3yCuw-zSTRoZKOs&amp;redir_esc=y#v=onepage&amp;q=tight%202017&amp;f=false</w:t>
        </w:r>
      </w:hyperlink>
    </w:p>
    <w:p w14:paraId="30BE8077" w14:textId="77777777" w:rsidR="00FD4B15" w:rsidRPr="00FD4B15" w:rsidRDefault="00FD4B15" w:rsidP="00FD4B15">
      <w:pPr>
        <w:rPr>
          <w:rStyle w:val="eop"/>
          <w:rFonts w:ascii="Arial" w:hAnsi="Arial" w:cs="Arial"/>
          <w:color w:val="000000"/>
          <w:shd w:val="clear" w:color="auto" w:fill="FFFFFF"/>
        </w:rPr>
      </w:pPr>
      <w:r w:rsidRPr="00FD4B15">
        <w:rPr>
          <w:rStyle w:val="findhit"/>
          <w:rFonts w:ascii="Arial" w:hAnsi="Arial" w:cs="Arial"/>
          <w:color w:val="222222"/>
          <w:shd w:val="clear" w:color="auto" w:fill="FFFFFF"/>
        </w:rPr>
        <w:t>Topping</w:t>
      </w:r>
      <w:r w:rsidRPr="00FD4B15">
        <w:rPr>
          <w:rStyle w:val="normaltextrun"/>
          <w:rFonts w:ascii="Arial" w:hAnsi="Arial" w:cs="Arial"/>
          <w:color w:val="222222"/>
          <w:shd w:val="clear" w:color="auto" w:fill="FFFFFF"/>
        </w:rPr>
        <w:t>, K.J., (2009). Peer assessment. </w:t>
      </w:r>
      <w:r w:rsidRPr="00FD4B15">
        <w:rPr>
          <w:rStyle w:val="normaltextrun"/>
          <w:rFonts w:ascii="Arial" w:hAnsi="Arial" w:cs="Arial"/>
          <w:i/>
          <w:iCs/>
          <w:color w:val="222222"/>
          <w:shd w:val="clear" w:color="auto" w:fill="FFFFFF"/>
        </w:rPr>
        <w:t>Theory into practice</w:t>
      </w:r>
      <w:r w:rsidRPr="00FD4B15">
        <w:rPr>
          <w:rStyle w:val="normaltextrun"/>
          <w:rFonts w:ascii="Arial" w:hAnsi="Arial" w:cs="Arial"/>
          <w:color w:val="222222"/>
          <w:shd w:val="clear" w:color="auto" w:fill="FFFFFF"/>
        </w:rPr>
        <w:t>, </w:t>
      </w:r>
      <w:r w:rsidRPr="00FD4B15">
        <w:rPr>
          <w:rStyle w:val="normaltextrun"/>
          <w:rFonts w:ascii="Arial" w:hAnsi="Arial" w:cs="Arial"/>
          <w:i/>
          <w:iCs/>
          <w:color w:val="222222"/>
          <w:shd w:val="clear" w:color="auto" w:fill="FFFFFF"/>
        </w:rPr>
        <w:t>48</w:t>
      </w:r>
      <w:r w:rsidRPr="00FD4B15">
        <w:rPr>
          <w:rStyle w:val="normaltextrun"/>
          <w:rFonts w:ascii="Arial" w:hAnsi="Arial" w:cs="Arial"/>
          <w:color w:val="222222"/>
          <w:shd w:val="clear" w:color="auto" w:fill="FFFFFF"/>
        </w:rPr>
        <w:t>(1), pp.20-27. </w:t>
      </w:r>
      <w:hyperlink r:id="rId30" w:anchor="metadata_info_tab_contents" w:tgtFrame="_blank" w:history="1">
        <w:r w:rsidRPr="00FD4B15">
          <w:rPr>
            <w:rStyle w:val="normaltextrun"/>
            <w:rFonts w:ascii="Arial" w:hAnsi="Arial" w:cs="Arial"/>
            <w:color w:val="0563C1"/>
            <w:u w:val="single"/>
            <w:shd w:val="clear" w:color="auto" w:fill="FFFFFF"/>
          </w:rPr>
          <w:t>https://www-jstor-org.ezproxy.uwtsd.ac.uk/stable/40071572?seq=7#metadata_info_tab_contents</w:t>
        </w:r>
      </w:hyperlink>
      <w:r w:rsidRPr="00FD4B15">
        <w:rPr>
          <w:rStyle w:val="eop"/>
          <w:rFonts w:ascii="Arial" w:hAnsi="Arial" w:cs="Arial"/>
          <w:color w:val="000000"/>
          <w:shd w:val="clear" w:color="auto" w:fill="FFFFFF"/>
        </w:rPr>
        <w:t> </w:t>
      </w:r>
    </w:p>
    <w:p w14:paraId="175324E2" w14:textId="77777777" w:rsidR="00FD4B15" w:rsidRPr="00FD4B15" w:rsidRDefault="00FD4B15" w:rsidP="00FD4B15">
      <w:pPr>
        <w:rPr>
          <w:rFonts w:ascii="Arial" w:hAnsi="Arial" w:cs="Arial"/>
        </w:rPr>
      </w:pPr>
      <w:proofErr w:type="spellStart"/>
      <w:r w:rsidRPr="00FD4B15">
        <w:rPr>
          <w:rFonts w:ascii="Arial" w:hAnsi="Arial" w:cs="Arial"/>
          <w:color w:val="222222"/>
          <w:shd w:val="clear" w:color="auto" w:fill="FFFFFF"/>
        </w:rPr>
        <w:t>Wegerif</w:t>
      </w:r>
      <w:proofErr w:type="spellEnd"/>
      <w:r w:rsidRPr="00FD4B15">
        <w:rPr>
          <w:rFonts w:ascii="Arial" w:hAnsi="Arial" w:cs="Arial"/>
          <w:color w:val="222222"/>
          <w:shd w:val="clear" w:color="auto" w:fill="FFFFFF"/>
        </w:rPr>
        <w:t>, R. and Scrimshaw, P. eds., (1997). </w:t>
      </w:r>
      <w:r w:rsidRPr="00FD4B15">
        <w:rPr>
          <w:rFonts w:ascii="Arial" w:hAnsi="Arial" w:cs="Arial"/>
          <w:i/>
          <w:iCs/>
          <w:color w:val="222222"/>
          <w:shd w:val="clear" w:color="auto" w:fill="FFFFFF"/>
        </w:rPr>
        <w:t>Computers and talk in the primary classroom</w:t>
      </w:r>
      <w:r w:rsidRPr="00FD4B15">
        <w:rPr>
          <w:rFonts w:ascii="Arial" w:hAnsi="Arial" w:cs="Arial"/>
          <w:color w:val="222222"/>
          <w:shd w:val="clear" w:color="auto" w:fill="FFFFFF"/>
        </w:rPr>
        <w:t> (Vol. 12). Multilingual matters. Available at:</w:t>
      </w:r>
      <w:hyperlink r:id="rId31" w:history="1">
        <w:r w:rsidRPr="00FD4B15">
          <w:rPr>
            <w:rStyle w:val="Hyperlink"/>
            <w:rFonts w:ascii="Arial" w:hAnsi="Arial" w:cs="Arial"/>
          </w:rPr>
          <w:t>https://books.google.co.uk/books?hl=en&amp;lr=&amp;id=QS48CIS8yy4C&amp;oi=fnd&amp;pg=PA11&amp;dq=wegerif+and+scrimshaw+1997&amp;ots=0dpHI7S9jL&amp;sig=M9M3TLu8Lvw0KXNMxGQVEgssRtk&amp;redir_esc=y#v=onepage&amp;q=wegerif%20and%20scrimshaw%201997&amp;f=false</w:t>
        </w:r>
      </w:hyperlink>
    </w:p>
    <w:p w14:paraId="6BBAA8CC" w14:textId="77777777" w:rsidR="00FD4B15" w:rsidRPr="00FD4B15" w:rsidRDefault="00FD4B15" w:rsidP="00FD4B15">
      <w:pPr>
        <w:rPr>
          <w:rStyle w:val="eop"/>
          <w:rFonts w:ascii="Arial" w:hAnsi="Arial" w:cs="Arial"/>
          <w:color w:val="000000"/>
          <w:shd w:val="clear" w:color="auto" w:fill="FFFFFF"/>
        </w:rPr>
      </w:pPr>
      <w:r w:rsidRPr="00FD4B15">
        <w:rPr>
          <w:rStyle w:val="normaltextrun"/>
          <w:rFonts w:ascii="Arial" w:hAnsi="Arial" w:cs="Arial"/>
          <w:color w:val="222222"/>
          <w:shd w:val="clear" w:color="auto" w:fill="FFFFFF"/>
        </w:rPr>
        <w:t>Zwiers, J. and </w:t>
      </w:r>
      <w:r w:rsidRPr="00FD4B15">
        <w:rPr>
          <w:rStyle w:val="findhit"/>
          <w:rFonts w:ascii="Arial" w:hAnsi="Arial" w:cs="Arial"/>
          <w:color w:val="222222"/>
          <w:shd w:val="clear" w:color="auto" w:fill="FFFFFF"/>
        </w:rPr>
        <w:t>Crawford</w:t>
      </w:r>
      <w:r w:rsidRPr="00FD4B15">
        <w:rPr>
          <w:rStyle w:val="normaltextrun"/>
          <w:rFonts w:ascii="Arial" w:hAnsi="Arial" w:cs="Arial"/>
          <w:color w:val="222222"/>
          <w:shd w:val="clear" w:color="auto" w:fill="FFFFFF"/>
        </w:rPr>
        <w:t>, M., (2011). </w:t>
      </w:r>
      <w:r w:rsidRPr="00FD4B15">
        <w:rPr>
          <w:rStyle w:val="normaltextrun"/>
          <w:rFonts w:ascii="Arial" w:hAnsi="Arial" w:cs="Arial"/>
          <w:i/>
          <w:iCs/>
          <w:color w:val="222222"/>
          <w:shd w:val="clear" w:color="auto" w:fill="FFFFFF"/>
        </w:rPr>
        <w:t>Academic conversations: Classroom talk that fosters critical thinking and content understandings</w:t>
      </w:r>
      <w:r w:rsidRPr="00FD4B15">
        <w:rPr>
          <w:rStyle w:val="normaltextrun"/>
          <w:rFonts w:ascii="Arial" w:hAnsi="Arial" w:cs="Arial"/>
          <w:color w:val="222222"/>
          <w:shd w:val="clear" w:color="auto" w:fill="FFFFFF"/>
        </w:rPr>
        <w:t>. Stenhouse Publishers. </w:t>
      </w:r>
      <w:hyperlink r:id="rId32" w:anchor="v=onepage&amp;q=classroom%20talk&amp;f=false" w:tgtFrame="_blank" w:history="1">
        <w:r w:rsidRPr="00FD4B15">
          <w:rPr>
            <w:rStyle w:val="normaltextrun"/>
            <w:rFonts w:ascii="Arial" w:hAnsi="Arial" w:cs="Arial"/>
            <w:color w:val="0563C1"/>
            <w:u w:val="single"/>
            <w:shd w:val="clear" w:color="auto" w:fill="FFFFFF"/>
          </w:rPr>
          <w:t>https://books.google.co.uk/books?hl=en&amp;lr=&amp;id=-NcG-5KGfKMC&amp;oi=fnd&amp;pg=PP2&amp;dq=classroom+talk&amp;ots=b-bSAQdeDn&amp;sig=dLi9ZEyghp1fUGbFaEL-uos2YNc&amp;redir_esc=y#v=onepage&amp;q=classroom%20talk&amp;f=false</w:t>
        </w:r>
      </w:hyperlink>
      <w:r w:rsidRPr="00FD4B15">
        <w:rPr>
          <w:rStyle w:val="eop"/>
          <w:rFonts w:ascii="Arial" w:hAnsi="Arial" w:cs="Arial"/>
          <w:color w:val="000000"/>
          <w:shd w:val="clear" w:color="auto" w:fill="FFFFFF"/>
        </w:rPr>
        <w:t> </w:t>
      </w:r>
    </w:p>
    <w:p w14:paraId="5FC08186" w14:textId="77777777" w:rsidR="00FD4B15" w:rsidRPr="00FD4B15" w:rsidRDefault="00FD4B15" w:rsidP="00FD4B15">
      <w:pPr>
        <w:spacing w:line="360" w:lineRule="auto"/>
        <w:rPr>
          <w:rFonts w:ascii="Arial" w:hAnsi="Arial" w:cs="Arial"/>
        </w:rPr>
      </w:pPr>
    </w:p>
    <w:sectPr w:rsidR="00FD4B15" w:rsidRPr="00FD4B15">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AFFCF8" w14:textId="77777777" w:rsidR="00253231" w:rsidRDefault="00253231" w:rsidP="000E10C4">
      <w:pPr>
        <w:spacing w:after="0" w:line="240" w:lineRule="auto"/>
      </w:pPr>
      <w:r>
        <w:separator/>
      </w:r>
    </w:p>
  </w:endnote>
  <w:endnote w:type="continuationSeparator" w:id="0">
    <w:p w14:paraId="6D3A27A8" w14:textId="77777777" w:rsidR="00253231" w:rsidRDefault="00253231" w:rsidP="000E1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31483" w14:textId="77777777" w:rsidR="00253231" w:rsidRDefault="00253231" w:rsidP="000E10C4">
      <w:pPr>
        <w:spacing w:after="0" w:line="240" w:lineRule="auto"/>
      </w:pPr>
      <w:r>
        <w:separator/>
      </w:r>
    </w:p>
  </w:footnote>
  <w:footnote w:type="continuationSeparator" w:id="0">
    <w:p w14:paraId="1560E25A" w14:textId="77777777" w:rsidR="00253231" w:rsidRDefault="00253231" w:rsidP="000E10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90C7D9" w14:textId="6435976D" w:rsidR="000E10C4" w:rsidRDefault="000E10C4">
    <w:pPr>
      <w:pStyle w:val="Header"/>
    </w:pPr>
    <w:r>
      <w:t>ECAD7004                                                                                                                     Jordan Nasser - 1600841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B15"/>
    <w:rsid w:val="000E10C4"/>
    <w:rsid w:val="000F1D3C"/>
    <w:rsid w:val="00253231"/>
    <w:rsid w:val="003A7A3A"/>
    <w:rsid w:val="004F266B"/>
    <w:rsid w:val="00525B74"/>
    <w:rsid w:val="0055359D"/>
    <w:rsid w:val="007A7CB7"/>
    <w:rsid w:val="00C018DB"/>
    <w:rsid w:val="00CD72EC"/>
    <w:rsid w:val="00F26780"/>
    <w:rsid w:val="00FD4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C7D24"/>
  <w15:chartTrackingRefBased/>
  <w15:docId w15:val="{8B47776C-3B30-4088-8CDB-5DCDEE736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0E10C4"/>
    <w:pPr>
      <w:spacing w:after="0" w:line="360" w:lineRule="auto"/>
    </w:pPr>
    <w:rPr>
      <w:rFonts w:ascii="Arial" w:hAnsi="Arial"/>
    </w:rPr>
  </w:style>
  <w:style w:type="character" w:customStyle="1" w:styleId="AssignBodyChar">
    <w:name w:val="AssignBody Char"/>
    <w:basedOn w:val="DefaultParagraphFont"/>
    <w:link w:val="AssignBody"/>
    <w:rsid w:val="000E10C4"/>
    <w:rPr>
      <w:rFonts w:ascii="Arial" w:hAnsi="Arial"/>
    </w:rPr>
  </w:style>
  <w:style w:type="table" w:styleId="TableGrid">
    <w:name w:val="Table Grid"/>
    <w:basedOn w:val="TableNormal"/>
    <w:uiPriority w:val="39"/>
    <w:rsid w:val="000E10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E10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E1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0C4"/>
  </w:style>
  <w:style w:type="paragraph" w:styleId="Footer">
    <w:name w:val="footer"/>
    <w:basedOn w:val="Normal"/>
    <w:link w:val="FooterChar"/>
    <w:uiPriority w:val="99"/>
    <w:unhideWhenUsed/>
    <w:rsid w:val="000E1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0C4"/>
  </w:style>
  <w:style w:type="paragraph" w:customStyle="1" w:styleId="paragraph">
    <w:name w:val="paragraph"/>
    <w:basedOn w:val="Normal"/>
    <w:rsid w:val="00FD4B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D4B15"/>
    <w:rPr>
      <w:color w:val="0000FF"/>
      <w:u w:val="single"/>
    </w:rPr>
  </w:style>
  <w:style w:type="character" w:customStyle="1" w:styleId="findhit">
    <w:name w:val="findhit"/>
    <w:basedOn w:val="DefaultParagraphFont"/>
    <w:rsid w:val="00FD4B15"/>
  </w:style>
  <w:style w:type="character" w:customStyle="1" w:styleId="normaltextrun">
    <w:name w:val="normaltextrun"/>
    <w:basedOn w:val="DefaultParagraphFont"/>
    <w:rsid w:val="00FD4B15"/>
  </w:style>
  <w:style w:type="character" w:customStyle="1" w:styleId="eop">
    <w:name w:val="eop"/>
    <w:basedOn w:val="DefaultParagraphFont"/>
    <w:rsid w:val="00FD4B15"/>
  </w:style>
  <w:style w:type="character" w:customStyle="1" w:styleId="spellingerror">
    <w:name w:val="spellingerror"/>
    <w:basedOn w:val="DefaultParagraphFont"/>
    <w:rsid w:val="00FD4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749596X85710170" TargetMode="Externa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onlinelibrary.wiley.com/doi/full/10.1046/j.1365-2648.2002.02366.x?casa_token=wEgMigOS61UAAAAA%3ADHSxq8dWm-PQerFXS7z2rnzH0bmlOk_RAhI_IudHsrir0u5TdGbOap3r089UCzmLSTraQXNYpiYQgg" TargetMode="External"/><Relationship Id="rId26" Type="http://schemas.openxmlformats.org/officeDocument/2006/relationships/hyperlink" Target="https://content.taylorfrancis.com/books/download?dac=C2009-0-15728-5&amp;isbn=9781136933776&amp;format=googlePreviewPdf" TargetMode="External"/><Relationship Id="rId3" Type="http://schemas.openxmlformats.org/officeDocument/2006/relationships/webSettings" Target="webSettings.xml"/><Relationship Id="rId21" Type="http://schemas.openxmlformats.org/officeDocument/2006/relationships/hyperlink" Target="https://www-sciencedirect-com.ezproxy.uwtsd.ac.uk/science/article/pii/S0959475206001241" TargetMode="External"/><Relationship Id="rId34" Type="http://schemas.openxmlformats.org/officeDocument/2006/relationships/fontTable" Target="fontTable.xml"/><Relationship Id="rId7" Type="http://schemas.openxmlformats.org/officeDocument/2006/relationships/hyperlink" Target="https://www-sciencedirect-com.ezproxy.uwtsd.ac.uk/science/article/pii/S0883035503000788" TargetMode="External"/><Relationship Id="rId12" Type="http://schemas.openxmlformats.org/officeDocument/2006/relationships/hyperlink" Target="https://www-jstor-org.ezproxy.uwtsd.ac.uk/stable/3592833?seq=2" TargetMode="External"/><Relationship Id="rId17" Type="http://schemas.openxmlformats.org/officeDocument/2006/relationships/hyperlink" Target="https://journals.sagepub.com/doi/abs/10.3102/00346543070003287?casa_token=ZeRkFz_NkvIAAAAA:tt49gAcyFcUk5uKROk-e2NqOp-Oe6ea2IV2Jd9Ib-0ckOtvPzjI_XMiNP0JXJZf7_tG4jGFNAFE" TargetMode="External"/><Relationship Id="rId25" Type="http://schemas.openxmlformats.org/officeDocument/2006/relationships/hyperlink" Target="https://onlinelibrary.wiley.com/doi/epdf/10.1002/j.2162-6057.2000.tb01200.x"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estyn.gov.wales/sites/www.estyn.gov.wales/files/documents/Fitzalan%20High%20School.pdf" TargetMode="External"/><Relationship Id="rId20" Type="http://schemas.openxmlformats.org/officeDocument/2006/relationships/hyperlink" Target="https://www-dawsonera-com.ezproxy.uwtsd.ac.uk/readonline/9780335230624" TargetMode="External"/><Relationship Id="rId29" Type="http://schemas.openxmlformats.org/officeDocument/2006/relationships/hyperlink" Target="https://books.google.co.uk/books?hl=en&amp;lr=&amp;id=fCE9DQAAQBAJ&amp;oi=fnd&amp;pg=PP1&amp;dq=tight+2017&amp;ots=nvqu6XAYkI&amp;sig=n8GhMQRoBgqq3yCuw-zSTRoZKOs&amp;redir_esc=y#v=onepage&amp;q=tight%202017&amp;f=false" TargetMode="Externa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books.google.co.uk/books?hl=en&amp;lr=&amp;id=mfCHutwHT-cC&amp;oi=fnd&amp;pg=PA39&amp;dq=vygotsky+zone+of+proximal+development&amp;ots=uhvQlhnWqC&amp;sig=z2wWY9BuSPJx58qOlWXDP_IqPWE&amp;redir_esc=y" TargetMode="External"/><Relationship Id="rId24" Type="http://schemas.openxmlformats.org/officeDocument/2006/relationships/hyperlink" Target="https://books.google.co.uk/books?id=8y0LwQxZUf4C&amp;q=reflective+models#v=snippet&amp;q=reflective%20models&amp;f=false" TargetMode="External"/><Relationship Id="rId32" Type="http://schemas.openxmlformats.org/officeDocument/2006/relationships/hyperlink" Target="https://books.google.co.uk/books?hl=en&amp;lr=&amp;id=-NcG-5KGfKMC&amp;oi=fnd&amp;pg=PP2&amp;dq=classroom+talk&amp;ots=b-bSAQdeDn&amp;sig=dLi9ZEyghp1fUGbFaEL-uos2YNc&amp;redir_esc=y" TargetMode="External"/><Relationship Id="rId5" Type="http://schemas.openxmlformats.org/officeDocument/2006/relationships/endnotes" Target="endnotes.xml"/><Relationship Id="rId15" Type="http://schemas.openxmlformats.org/officeDocument/2006/relationships/hyperlink" Target="https://www.estyn.gov.wales/sites/www.estyn.gov.wales/files/documents/Chepstow%20School_2.pdf" TargetMode="External"/><Relationship Id="rId23" Type="http://schemas.openxmlformats.org/officeDocument/2006/relationships/hyperlink" Target="https://www-dawsonera-com.ezproxy.uwtsd.ac.uk/readonline/9780203946657" TargetMode="External"/><Relationship Id="rId28" Type="http://schemas.openxmlformats.org/officeDocument/2006/relationships/hyperlink" Target="http://mylocalschool.gov.wales/School/6814042?lang=en" TargetMode="External"/><Relationship Id="rId10" Type="http://schemas.openxmlformats.org/officeDocument/2006/relationships/hyperlink" Target="https://books.google.co.uk/books?hl=en&amp;lr=&amp;id=Z4WqwWken_kC&amp;oi=fnd&amp;pg=PA303&amp;dq=zone+of+proximal+development+classroom+discourse&amp;ots=jQ-IYEI6aj&amp;sig=47t5zNiMItvf3By3fLJVTefg6Us&amp;redir_esc=y" TargetMode="External"/><Relationship Id="rId19" Type="http://schemas.openxmlformats.org/officeDocument/2006/relationships/hyperlink" Target="https://www.ed.ac.uk/reflection/reflectors-toolkit/reflecting-on-experience/gibbs-reflective-cycle" TargetMode="External"/><Relationship Id="rId31" Type="http://schemas.openxmlformats.org/officeDocument/2006/relationships/hyperlink" Target="https://books.google.co.uk/books?hl=en&amp;lr=&amp;id=QS48CIS8yy4C&amp;oi=fnd&amp;pg=PA11&amp;dq=wegerif+and+scrimshaw+1997&amp;ots=0dpHI7S9jL&amp;sig=M9M3TLu8Lvw0KXNMxGQVEgssRtk&amp;redir_esc=y#v=onepage&amp;q=wegerif%20and%20scrimshaw%201997&amp;f=false" TargetMode="External"/><Relationship Id="rId4" Type="http://schemas.openxmlformats.org/officeDocument/2006/relationships/footnotes" Target="footnotes.xml"/><Relationship Id="rId9" Type="http://schemas.openxmlformats.org/officeDocument/2006/relationships/hyperlink" Target="http://www.psychology.sunysb.edu/sbrennan-/papers/brenscho.pdf" TargetMode="External"/><Relationship Id="rId14" Type="http://schemas.openxmlformats.org/officeDocument/2006/relationships/hyperlink" Target="https://eur01.safelinks.protection.outlook.com/?url=http%3A%2F%2Flessonstudy.co.uk%2Fwp-content%2Fuploads%2F2012%2F03%2Fnew-handbook-revisedMay14.pdf&amp;data=02%7C01%7C%7Cde8f326e72f3408a81ce08d7b7cad022%7C4e0f11f9046e45059cb8db2152311e21%7C0%7C0%7C637179954014492811&amp;sdata=4luh%2B9aunF6zyyUNKebB2MJYU0UurvpcVdLClI0jWnY%3D&amp;reserved=0" TargetMode="External"/><Relationship Id="rId22" Type="http://schemas.openxmlformats.org/officeDocument/2006/relationships/hyperlink" Target="https://www.mentalhelp.net/self-esteem/factors-influencing-development/" TargetMode="External"/><Relationship Id="rId27" Type="http://schemas.openxmlformats.org/officeDocument/2006/relationships/hyperlink" Target="http://jurnal.upi.edu/file/Liani_final_33-48.pdf" TargetMode="External"/><Relationship Id="rId30" Type="http://schemas.openxmlformats.org/officeDocument/2006/relationships/hyperlink" Target="https://www-jstor-org.ezproxy.uwtsd.ac.uk/stable/40071572?seq=7"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16</Pages>
  <Words>6807</Words>
  <Characters>38800</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Nasser (1600841)</dc:creator>
  <cp:keywords/>
  <dc:description/>
  <cp:lastModifiedBy>Jordan Nasser (1600841)</cp:lastModifiedBy>
  <cp:revision>2</cp:revision>
  <dcterms:created xsi:type="dcterms:W3CDTF">2020-02-23T22:27:00Z</dcterms:created>
  <dcterms:modified xsi:type="dcterms:W3CDTF">2020-02-23T23:31:00Z</dcterms:modified>
</cp:coreProperties>
</file>