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8F70E" w14:textId="77777777" w:rsidR="00C92D56" w:rsidRDefault="00C92D56" w:rsidP="00594A38">
      <w:pPr>
        <w:rPr>
          <w:b/>
          <w:bCs/>
        </w:rPr>
      </w:pPr>
    </w:p>
    <w:p w14:paraId="0AC332E9" w14:textId="6525EDC1" w:rsidR="00C92D56" w:rsidRPr="000973AB" w:rsidRDefault="006F4935" w:rsidP="000973AB">
      <w:pPr>
        <w:jc w:val="center"/>
        <w:rPr>
          <w:sz w:val="36"/>
          <w:szCs w:val="36"/>
        </w:rPr>
      </w:pPr>
      <w:r w:rsidRPr="000973AB">
        <w:rPr>
          <w:b/>
          <w:bCs/>
          <w:sz w:val="36"/>
          <w:szCs w:val="36"/>
        </w:rPr>
        <w:t xml:space="preserve">Student Name: </w:t>
      </w:r>
      <w:r w:rsidRPr="000973AB">
        <w:rPr>
          <w:sz w:val="36"/>
          <w:szCs w:val="36"/>
        </w:rPr>
        <w:t>Zobia Riaz</w:t>
      </w:r>
    </w:p>
    <w:p w14:paraId="6DC30120" w14:textId="3481ECF7" w:rsidR="006F4935" w:rsidRPr="000973AB" w:rsidRDefault="006F4935" w:rsidP="000973AB">
      <w:pPr>
        <w:jc w:val="center"/>
        <w:rPr>
          <w:b/>
          <w:bCs/>
          <w:sz w:val="36"/>
          <w:szCs w:val="36"/>
        </w:rPr>
      </w:pPr>
      <w:r w:rsidRPr="000973AB">
        <w:rPr>
          <w:b/>
          <w:bCs/>
          <w:sz w:val="36"/>
          <w:szCs w:val="36"/>
        </w:rPr>
        <w:t xml:space="preserve">Student ID: </w:t>
      </w:r>
      <w:r w:rsidRPr="000973AB">
        <w:rPr>
          <w:sz w:val="36"/>
          <w:szCs w:val="36"/>
        </w:rPr>
        <w:t>2226851</w:t>
      </w:r>
    </w:p>
    <w:p w14:paraId="6C70C2BD" w14:textId="61BC27A8" w:rsidR="00C92D56" w:rsidRPr="000973AB" w:rsidRDefault="00E07F0C" w:rsidP="000973AB">
      <w:pPr>
        <w:jc w:val="center"/>
        <w:rPr>
          <w:sz w:val="36"/>
          <w:szCs w:val="36"/>
        </w:rPr>
      </w:pPr>
      <w:r w:rsidRPr="000973AB">
        <w:rPr>
          <w:b/>
          <w:bCs/>
          <w:sz w:val="36"/>
          <w:szCs w:val="36"/>
        </w:rPr>
        <w:t>Programme:</w:t>
      </w:r>
      <w:r w:rsidR="00C2264D" w:rsidRPr="000973AB">
        <w:rPr>
          <w:b/>
          <w:bCs/>
          <w:sz w:val="36"/>
          <w:szCs w:val="36"/>
        </w:rPr>
        <w:t xml:space="preserve"> </w:t>
      </w:r>
      <w:r w:rsidR="00C2264D" w:rsidRPr="000973AB">
        <w:rPr>
          <w:sz w:val="36"/>
          <w:szCs w:val="36"/>
        </w:rPr>
        <w:t>MSc Public Health and Social Care in Practice</w:t>
      </w:r>
    </w:p>
    <w:p w14:paraId="5FB4F826" w14:textId="62427A0B" w:rsidR="00C2264D" w:rsidRPr="000973AB" w:rsidRDefault="00E327E2" w:rsidP="000973AB">
      <w:pPr>
        <w:jc w:val="center"/>
        <w:rPr>
          <w:sz w:val="36"/>
          <w:szCs w:val="36"/>
        </w:rPr>
      </w:pPr>
      <w:r w:rsidRPr="000973AB">
        <w:rPr>
          <w:b/>
          <w:bCs/>
          <w:sz w:val="36"/>
          <w:szCs w:val="36"/>
        </w:rPr>
        <w:t>Module:</w:t>
      </w:r>
      <w:r w:rsidR="00335A22" w:rsidRPr="000973AB">
        <w:rPr>
          <w:sz w:val="36"/>
          <w:szCs w:val="36"/>
        </w:rPr>
        <w:t xml:space="preserve"> Social Epidemiology and Public Health Development</w:t>
      </w:r>
    </w:p>
    <w:p w14:paraId="3AA6A87C" w14:textId="1C689BDA" w:rsidR="00C92D56" w:rsidRPr="000973AB" w:rsidRDefault="003549D5" w:rsidP="000973AB">
      <w:pPr>
        <w:jc w:val="center"/>
        <w:rPr>
          <w:sz w:val="36"/>
          <w:szCs w:val="36"/>
        </w:rPr>
      </w:pPr>
      <w:r w:rsidRPr="000973AB">
        <w:rPr>
          <w:b/>
          <w:bCs/>
          <w:sz w:val="36"/>
          <w:szCs w:val="36"/>
        </w:rPr>
        <w:t xml:space="preserve">Module code: </w:t>
      </w:r>
      <w:r w:rsidR="006F4935" w:rsidRPr="000973AB">
        <w:rPr>
          <w:sz w:val="36"/>
          <w:szCs w:val="36"/>
        </w:rPr>
        <w:t>LCHS7000</w:t>
      </w:r>
    </w:p>
    <w:p w14:paraId="6D3DC56E" w14:textId="363F788A" w:rsidR="00A63679" w:rsidRPr="000973AB" w:rsidRDefault="000973AB" w:rsidP="000973AB">
      <w:pPr>
        <w:jc w:val="center"/>
        <w:rPr>
          <w:sz w:val="36"/>
          <w:szCs w:val="36"/>
        </w:rPr>
      </w:pPr>
      <w:r w:rsidRPr="000973AB">
        <w:rPr>
          <w:b/>
          <w:bCs/>
          <w:sz w:val="36"/>
          <w:szCs w:val="36"/>
        </w:rPr>
        <w:t>Assignment Title</w:t>
      </w:r>
      <w:r w:rsidRPr="000973AB">
        <w:rPr>
          <w:sz w:val="36"/>
          <w:szCs w:val="36"/>
        </w:rPr>
        <w:t>: Component 2 Analytical Report</w:t>
      </w:r>
    </w:p>
    <w:p w14:paraId="1C82E542" w14:textId="3C01CB62" w:rsidR="006F4935" w:rsidRPr="000973AB" w:rsidRDefault="00A63679" w:rsidP="000973AB">
      <w:pPr>
        <w:jc w:val="center"/>
        <w:rPr>
          <w:b/>
          <w:bCs/>
          <w:sz w:val="36"/>
          <w:szCs w:val="36"/>
        </w:rPr>
      </w:pPr>
      <w:r w:rsidRPr="000973AB">
        <w:rPr>
          <w:b/>
          <w:bCs/>
          <w:sz w:val="36"/>
          <w:szCs w:val="36"/>
        </w:rPr>
        <w:t xml:space="preserve">Lecturer: </w:t>
      </w:r>
      <w:r w:rsidRPr="000973AB">
        <w:rPr>
          <w:sz w:val="36"/>
          <w:szCs w:val="36"/>
        </w:rPr>
        <w:t>Dr Hamdi Hussain</w:t>
      </w:r>
    </w:p>
    <w:p w14:paraId="0DAD6134" w14:textId="77777777" w:rsidR="00C92D56" w:rsidRDefault="00C92D56" w:rsidP="00594A38">
      <w:pPr>
        <w:rPr>
          <w:b/>
          <w:bCs/>
        </w:rPr>
      </w:pPr>
    </w:p>
    <w:p w14:paraId="1810418F" w14:textId="77777777" w:rsidR="00C92D56" w:rsidRDefault="00C92D56" w:rsidP="00594A38">
      <w:pPr>
        <w:rPr>
          <w:b/>
          <w:bCs/>
        </w:rPr>
      </w:pPr>
    </w:p>
    <w:p w14:paraId="6A9C539B" w14:textId="77777777" w:rsidR="00C92D56" w:rsidRDefault="00C92D56" w:rsidP="00594A38">
      <w:pPr>
        <w:rPr>
          <w:b/>
          <w:bCs/>
        </w:rPr>
      </w:pPr>
    </w:p>
    <w:p w14:paraId="5E9CC1CB" w14:textId="77777777" w:rsidR="00C92D56" w:rsidRDefault="00C92D56" w:rsidP="00594A38">
      <w:pPr>
        <w:rPr>
          <w:b/>
          <w:bCs/>
        </w:rPr>
      </w:pPr>
    </w:p>
    <w:p w14:paraId="696A7D7F" w14:textId="77777777" w:rsidR="00C92D56" w:rsidRDefault="00C92D56" w:rsidP="00594A38">
      <w:pPr>
        <w:rPr>
          <w:b/>
          <w:bCs/>
        </w:rPr>
      </w:pPr>
    </w:p>
    <w:p w14:paraId="5B9E561D" w14:textId="77777777" w:rsidR="00C92D56" w:rsidRDefault="00C92D56" w:rsidP="00594A38">
      <w:pPr>
        <w:rPr>
          <w:b/>
          <w:bCs/>
        </w:rPr>
      </w:pPr>
    </w:p>
    <w:p w14:paraId="7F5BE49A" w14:textId="77777777" w:rsidR="00C92D56" w:rsidRDefault="00C92D56" w:rsidP="00594A38">
      <w:pPr>
        <w:rPr>
          <w:b/>
          <w:bCs/>
        </w:rPr>
      </w:pPr>
    </w:p>
    <w:p w14:paraId="417DCF8F" w14:textId="77777777" w:rsidR="00C92D56" w:rsidRDefault="00C92D56" w:rsidP="00594A38">
      <w:pPr>
        <w:rPr>
          <w:b/>
          <w:bCs/>
        </w:rPr>
      </w:pPr>
    </w:p>
    <w:p w14:paraId="4B870BC5" w14:textId="77777777" w:rsidR="00C92D56" w:rsidRDefault="00C92D56" w:rsidP="00594A38">
      <w:pPr>
        <w:rPr>
          <w:b/>
          <w:bCs/>
        </w:rPr>
      </w:pPr>
    </w:p>
    <w:p w14:paraId="7A28DD49" w14:textId="77777777" w:rsidR="00C92D56" w:rsidRDefault="00C92D56" w:rsidP="00594A38">
      <w:pPr>
        <w:rPr>
          <w:b/>
          <w:bCs/>
        </w:rPr>
      </w:pPr>
    </w:p>
    <w:p w14:paraId="76327D20" w14:textId="77777777" w:rsidR="00C92D56" w:rsidRDefault="00C92D56" w:rsidP="00594A38">
      <w:pPr>
        <w:rPr>
          <w:b/>
          <w:bCs/>
        </w:rPr>
      </w:pPr>
    </w:p>
    <w:p w14:paraId="68F23A85" w14:textId="77777777" w:rsidR="00C92D56" w:rsidRDefault="00C92D56" w:rsidP="00594A38">
      <w:pPr>
        <w:rPr>
          <w:b/>
          <w:bCs/>
        </w:rPr>
      </w:pPr>
    </w:p>
    <w:p w14:paraId="5886F5D8" w14:textId="77777777" w:rsidR="00C92D56" w:rsidRDefault="00C92D56" w:rsidP="00594A38">
      <w:pPr>
        <w:rPr>
          <w:b/>
          <w:bCs/>
        </w:rPr>
      </w:pPr>
    </w:p>
    <w:p w14:paraId="217F33EF" w14:textId="77777777" w:rsidR="00C92D56" w:rsidRDefault="00C92D56" w:rsidP="00594A38">
      <w:pPr>
        <w:rPr>
          <w:b/>
          <w:bCs/>
        </w:rPr>
      </w:pPr>
    </w:p>
    <w:p w14:paraId="72ADF0F1" w14:textId="77777777" w:rsidR="00C92D56" w:rsidRDefault="00C92D56" w:rsidP="00594A38">
      <w:pPr>
        <w:rPr>
          <w:b/>
          <w:bCs/>
        </w:rPr>
      </w:pPr>
    </w:p>
    <w:p w14:paraId="65127223" w14:textId="77777777" w:rsidR="00627CE9" w:rsidRDefault="00627CE9" w:rsidP="00627CE9">
      <w:pPr>
        <w:spacing w:line="360" w:lineRule="auto"/>
        <w:rPr>
          <w:b/>
          <w:bCs/>
        </w:rPr>
      </w:pPr>
    </w:p>
    <w:p w14:paraId="14C48C2B" w14:textId="7D6D4C3B" w:rsidR="00627CE9" w:rsidRPr="00627CE9" w:rsidRDefault="00627CE9" w:rsidP="00627CE9">
      <w:pPr>
        <w:spacing w:line="360" w:lineRule="auto"/>
        <w:rPr>
          <w:rFonts w:ascii="Arial" w:hAnsi="Arial" w:cs="Arial"/>
          <w:b/>
          <w:bCs/>
          <w:sz w:val="22"/>
          <w:szCs w:val="22"/>
        </w:rPr>
      </w:pPr>
      <w:r w:rsidRPr="00627CE9">
        <w:rPr>
          <w:rFonts w:ascii="Arial" w:hAnsi="Arial" w:cs="Arial"/>
          <w:b/>
          <w:bCs/>
          <w:sz w:val="22"/>
          <w:szCs w:val="22"/>
        </w:rPr>
        <w:t>Introduction</w:t>
      </w:r>
    </w:p>
    <w:p w14:paraId="534203CB" w14:textId="63478EE0" w:rsidR="00627CE9" w:rsidRPr="00627CE9" w:rsidRDefault="007609C0" w:rsidP="00627CE9">
      <w:pPr>
        <w:spacing w:line="360" w:lineRule="auto"/>
        <w:rPr>
          <w:rFonts w:ascii="Arial" w:hAnsi="Arial" w:cs="Arial"/>
          <w:sz w:val="22"/>
          <w:szCs w:val="22"/>
        </w:rPr>
      </w:pPr>
      <w:r w:rsidRPr="007609C0">
        <w:rPr>
          <w:rFonts w:ascii="Arial" w:hAnsi="Arial" w:cs="Arial"/>
          <w:sz w:val="22"/>
          <w:szCs w:val="22"/>
        </w:rPr>
        <w:t xml:space="preserve">Systematic, preventable, and unfair variations in health outcomes between various population groups are referred to as health inequalities (Marmot, 2020). The senior population, often defined as those 65 years of age and above, is one of the categories most impacted by health disparities in the UK (World Health Organization, 2021). </w:t>
      </w:r>
      <w:r w:rsidR="00627CE9" w:rsidRPr="00627CE9">
        <w:rPr>
          <w:rFonts w:ascii="Arial" w:hAnsi="Arial" w:cs="Arial"/>
          <w:sz w:val="22"/>
          <w:szCs w:val="22"/>
        </w:rPr>
        <w:t>This population group often experiences poorer health outcomes compared with younger populations due to a combination of biological ageing, chronic disease burden, and social determinants such as poverty, isolation, and inadequate housing (Public Health England, 2018).</w:t>
      </w:r>
    </w:p>
    <w:p w14:paraId="2698691A" w14:textId="77777777" w:rsidR="00627CE9" w:rsidRPr="00627CE9" w:rsidRDefault="00627CE9" w:rsidP="00627CE9">
      <w:pPr>
        <w:spacing w:line="360" w:lineRule="auto"/>
        <w:rPr>
          <w:rFonts w:ascii="Arial" w:hAnsi="Arial" w:cs="Arial"/>
          <w:sz w:val="22"/>
          <w:szCs w:val="22"/>
        </w:rPr>
      </w:pPr>
    </w:p>
    <w:p w14:paraId="4004C291" w14:textId="61D12CA3" w:rsidR="00627CE9" w:rsidRPr="00627CE9" w:rsidRDefault="00DF3F14" w:rsidP="00627CE9">
      <w:pPr>
        <w:spacing w:line="360" w:lineRule="auto"/>
        <w:rPr>
          <w:rFonts w:ascii="Arial" w:hAnsi="Arial" w:cs="Arial"/>
          <w:sz w:val="22"/>
          <w:szCs w:val="22"/>
        </w:rPr>
      </w:pPr>
      <w:r w:rsidRPr="00DF3F14">
        <w:rPr>
          <w:rFonts w:ascii="Arial" w:hAnsi="Arial" w:cs="Arial"/>
          <w:sz w:val="22"/>
          <w:szCs w:val="22"/>
        </w:rPr>
        <w:t xml:space="preserve">Because they are more likely to have chronic illnesses, have less access to healthcare services, and have fewer financial means, older persons are more vulnerable to health disparities (Public Health England, 2018). </w:t>
      </w:r>
      <w:r w:rsidR="00627CE9" w:rsidRPr="00627CE9">
        <w:rPr>
          <w:rFonts w:ascii="Arial" w:hAnsi="Arial" w:cs="Arial"/>
          <w:sz w:val="22"/>
          <w:szCs w:val="22"/>
        </w:rPr>
        <w:t>Ageing also interacts with other determinants such as gender, ethnicity, and socioeconomic status, which further widen disparities in health outcomes (Marmot et al., 2020). In the UK, the proportion of individuals aged over 65 is increasing rapidly, making the issue of age-related health inequality a significant public health concern (Office for National Statistics, 2022).</w:t>
      </w:r>
    </w:p>
    <w:p w14:paraId="11A91064" w14:textId="77777777" w:rsidR="00627CE9" w:rsidRPr="00627CE9" w:rsidRDefault="00627CE9" w:rsidP="00627CE9">
      <w:pPr>
        <w:spacing w:line="360" w:lineRule="auto"/>
        <w:rPr>
          <w:rFonts w:ascii="Arial" w:hAnsi="Arial" w:cs="Arial"/>
          <w:sz w:val="22"/>
          <w:szCs w:val="22"/>
        </w:rPr>
      </w:pPr>
    </w:p>
    <w:p w14:paraId="1DE68C65"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This report explores key health inequality issues affecting older adults in the UK, focusing on three major diseases and three social determinants (Marmot, 2020). It also examines national responses and the role of charities in addressing these inequalities (Age UK, 2023).</w:t>
      </w:r>
    </w:p>
    <w:p w14:paraId="30A4BDC8" w14:textId="77777777" w:rsidR="00627CE9" w:rsidRPr="00627CE9" w:rsidRDefault="00627CE9" w:rsidP="00627CE9">
      <w:pPr>
        <w:spacing w:line="360" w:lineRule="auto"/>
        <w:rPr>
          <w:rFonts w:ascii="Arial" w:hAnsi="Arial" w:cs="Arial"/>
          <w:sz w:val="22"/>
          <w:szCs w:val="22"/>
        </w:rPr>
      </w:pPr>
    </w:p>
    <w:p w14:paraId="3B117940" w14:textId="77777777" w:rsidR="00627CE9" w:rsidRPr="00627CE9" w:rsidRDefault="00627CE9" w:rsidP="00627CE9">
      <w:pPr>
        <w:spacing w:line="360" w:lineRule="auto"/>
        <w:rPr>
          <w:rFonts w:ascii="Arial" w:hAnsi="Arial" w:cs="Arial"/>
          <w:b/>
          <w:bCs/>
          <w:sz w:val="22"/>
          <w:szCs w:val="22"/>
        </w:rPr>
      </w:pPr>
      <w:r w:rsidRPr="00627CE9">
        <w:rPr>
          <w:rFonts w:ascii="Arial" w:hAnsi="Arial" w:cs="Arial"/>
          <w:b/>
          <w:bCs/>
          <w:sz w:val="22"/>
          <w:szCs w:val="22"/>
        </w:rPr>
        <w:t>Contextual Background and Underlying Factors</w:t>
      </w:r>
    </w:p>
    <w:p w14:paraId="28654CB1" w14:textId="77777777" w:rsidR="00627CE9" w:rsidRPr="00627CE9" w:rsidRDefault="00627CE9" w:rsidP="00627CE9">
      <w:pPr>
        <w:spacing w:line="360" w:lineRule="auto"/>
        <w:rPr>
          <w:rFonts w:ascii="Arial" w:hAnsi="Arial" w:cs="Arial"/>
          <w:b/>
          <w:bCs/>
          <w:sz w:val="22"/>
          <w:szCs w:val="22"/>
        </w:rPr>
      </w:pPr>
      <w:r w:rsidRPr="00627CE9">
        <w:rPr>
          <w:rFonts w:ascii="Arial" w:hAnsi="Arial" w:cs="Arial"/>
          <w:b/>
          <w:bCs/>
          <w:sz w:val="22"/>
          <w:szCs w:val="22"/>
        </w:rPr>
        <w:t>Higher Rates of Mental Illness</w:t>
      </w:r>
    </w:p>
    <w:p w14:paraId="513BDDDE" w14:textId="77777777" w:rsidR="00627CE9" w:rsidRPr="00627CE9" w:rsidRDefault="00627CE9" w:rsidP="00627CE9">
      <w:pPr>
        <w:spacing w:line="360" w:lineRule="auto"/>
        <w:rPr>
          <w:rFonts w:ascii="Arial" w:hAnsi="Arial" w:cs="Arial"/>
          <w:sz w:val="22"/>
          <w:szCs w:val="22"/>
        </w:rPr>
      </w:pPr>
    </w:p>
    <w:p w14:paraId="00BB7700" w14:textId="25843554" w:rsidR="00627CE9" w:rsidRPr="00627CE9" w:rsidRDefault="008F540F" w:rsidP="00627CE9">
      <w:pPr>
        <w:spacing w:line="360" w:lineRule="auto"/>
        <w:rPr>
          <w:rFonts w:ascii="Arial" w:hAnsi="Arial" w:cs="Arial"/>
          <w:sz w:val="22"/>
          <w:szCs w:val="22"/>
        </w:rPr>
      </w:pPr>
      <w:r w:rsidRPr="008F540F">
        <w:rPr>
          <w:rFonts w:ascii="Arial" w:hAnsi="Arial" w:cs="Arial"/>
          <w:sz w:val="22"/>
          <w:szCs w:val="22"/>
        </w:rPr>
        <w:t xml:space="preserve">Older persons frequently suffer from mental health conditions, especially anxiety and depression (Mental Health Foundation, 2022). According to studies, depression symptoms affect about 22% of men and 28% of women in the UK who are 65 years of age or older (Age UK, 2023). </w:t>
      </w:r>
      <w:r w:rsidR="00627CE9" w:rsidRPr="00627CE9">
        <w:rPr>
          <w:rFonts w:ascii="Arial" w:hAnsi="Arial" w:cs="Arial"/>
          <w:sz w:val="22"/>
          <w:szCs w:val="22"/>
        </w:rPr>
        <w:t>Mental illness among older adults often remains underdiagnosed because symptoms are frequently mistaken for normal ageing (Mental Health Foundation, 2022).</w:t>
      </w:r>
    </w:p>
    <w:p w14:paraId="32D0FD50" w14:textId="77777777" w:rsidR="00627CE9" w:rsidRPr="00627CE9" w:rsidRDefault="00627CE9" w:rsidP="00627CE9">
      <w:pPr>
        <w:spacing w:line="360" w:lineRule="auto"/>
        <w:rPr>
          <w:rFonts w:ascii="Arial" w:hAnsi="Arial" w:cs="Arial"/>
          <w:sz w:val="22"/>
          <w:szCs w:val="22"/>
        </w:rPr>
      </w:pPr>
    </w:p>
    <w:p w14:paraId="156BCE85" w14:textId="7642E42A" w:rsidR="00627CE9" w:rsidRPr="00627CE9" w:rsidRDefault="0056552C" w:rsidP="00627CE9">
      <w:pPr>
        <w:spacing w:line="360" w:lineRule="auto"/>
        <w:rPr>
          <w:rFonts w:ascii="Arial" w:hAnsi="Arial" w:cs="Arial"/>
          <w:sz w:val="22"/>
          <w:szCs w:val="22"/>
        </w:rPr>
      </w:pPr>
      <w:r w:rsidRPr="0056552C">
        <w:rPr>
          <w:rFonts w:ascii="Arial" w:hAnsi="Arial" w:cs="Arial"/>
          <w:sz w:val="22"/>
          <w:szCs w:val="22"/>
        </w:rPr>
        <w:lastRenderedPageBreak/>
        <w:t>Social isolation, bereavement, and chronic illness all raise the risk of mental illness (Victor et al., 2018). Additionally, stigma and limited mobility may be obstacles for older persons seeking mental health services (Mental Health Foundation, 2022).</w:t>
      </w:r>
    </w:p>
    <w:p w14:paraId="63DE7847"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To reduce these inequalities, healthcare providers should increase access to mental health services specifically tailored to older adults (NHS England, 2021). Community-based mental health programs and early screening in primary care can help identify and treat mental illness earlier (Public Health England, 2018).</w:t>
      </w:r>
    </w:p>
    <w:p w14:paraId="68B92793" w14:textId="77777777" w:rsidR="00627CE9" w:rsidRPr="00627CE9" w:rsidRDefault="00627CE9" w:rsidP="00627CE9">
      <w:pPr>
        <w:spacing w:line="360" w:lineRule="auto"/>
        <w:rPr>
          <w:rFonts w:ascii="Arial" w:hAnsi="Arial" w:cs="Arial"/>
          <w:sz w:val="22"/>
          <w:szCs w:val="22"/>
        </w:rPr>
      </w:pPr>
    </w:p>
    <w:p w14:paraId="2CDEA3D2" w14:textId="06F741D3" w:rsidR="00627CE9" w:rsidRPr="00627CE9" w:rsidRDefault="00627CE9" w:rsidP="00627CE9">
      <w:pPr>
        <w:spacing w:line="360" w:lineRule="auto"/>
        <w:rPr>
          <w:rFonts w:ascii="Arial" w:hAnsi="Arial" w:cs="Arial"/>
          <w:b/>
          <w:bCs/>
          <w:sz w:val="22"/>
          <w:szCs w:val="22"/>
        </w:rPr>
      </w:pPr>
      <w:r w:rsidRPr="00627CE9">
        <w:rPr>
          <w:rFonts w:ascii="Arial" w:hAnsi="Arial" w:cs="Arial"/>
          <w:b/>
          <w:bCs/>
          <w:sz w:val="22"/>
          <w:szCs w:val="22"/>
        </w:rPr>
        <w:t>Low Access to Healthcare Services</w:t>
      </w:r>
    </w:p>
    <w:p w14:paraId="743F7545"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Older adults sometimes face barriers to accessing healthcare services despite having a greater need for them (NHS England, 2021). Research suggests that individuals aged over 75 are more likely to experience difficulties in accessing timely GP appointments and specialist services (NHS England, 2021).</w:t>
      </w:r>
    </w:p>
    <w:p w14:paraId="4182CAEF" w14:textId="77777777" w:rsidR="00627CE9" w:rsidRPr="00627CE9" w:rsidRDefault="00627CE9" w:rsidP="00627CE9">
      <w:pPr>
        <w:spacing w:line="360" w:lineRule="auto"/>
        <w:rPr>
          <w:rFonts w:ascii="Arial" w:hAnsi="Arial" w:cs="Arial"/>
          <w:sz w:val="22"/>
          <w:szCs w:val="22"/>
        </w:rPr>
      </w:pPr>
    </w:p>
    <w:p w14:paraId="51AFF7D5"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Limited mobility, transport difficulties, and digital exclusion contribute to this inequality (Office for National Statistics, 2022). Many healthcare services are increasingly delivered online, which can disadvantage older individuals who may have lower digital literacy (ONS, 2022).</w:t>
      </w:r>
    </w:p>
    <w:p w14:paraId="66C38B61" w14:textId="77777777" w:rsidR="00627CE9" w:rsidRPr="00627CE9" w:rsidRDefault="00627CE9" w:rsidP="00627CE9">
      <w:pPr>
        <w:spacing w:line="360" w:lineRule="auto"/>
        <w:rPr>
          <w:rFonts w:ascii="Arial" w:hAnsi="Arial" w:cs="Arial"/>
          <w:sz w:val="22"/>
          <w:szCs w:val="22"/>
        </w:rPr>
      </w:pPr>
    </w:p>
    <w:p w14:paraId="76C702BE"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Solutions include improving community healthcare outreach programs, providing transport support for medical appointments, and ensuring services remain accessible through traditional channels such as telephone or face-to-face consultations (NHS England, 2019).</w:t>
      </w:r>
    </w:p>
    <w:p w14:paraId="4BC1328D" w14:textId="77777777" w:rsidR="00627CE9" w:rsidRPr="00627CE9" w:rsidRDefault="00627CE9" w:rsidP="00627CE9">
      <w:pPr>
        <w:spacing w:line="360" w:lineRule="auto"/>
        <w:rPr>
          <w:rFonts w:ascii="Arial" w:hAnsi="Arial" w:cs="Arial"/>
          <w:sz w:val="22"/>
          <w:szCs w:val="22"/>
        </w:rPr>
      </w:pPr>
    </w:p>
    <w:p w14:paraId="6D299E23" w14:textId="49CA1DCD" w:rsidR="00627CE9" w:rsidRPr="00627CE9" w:rsidRDefault="00627CE9" w:rsidP="00627CE9">
      <w:pPr>
        <w:spacing w:line="360" w:lineRule="auto"/>
        <w:rPr>
          <w:rFonts w:ascii="Arial" w:hAnsi="Arial" w:cs="Arial"/>
          <w:b/>
          <w:bCs/>
          <w:sz w:val="22"/>
          <w:szCs w:val="22"/>
        </w:rPr>
      </w:pPr>
      <w:r w:rsidRPr="00627CE9">
        <w:rPr>
          <w:rFonts w:ascii="Arial" w:hAnsi="Arial" w:cs="Arial"/>
          <w:b/>
          <w:bCs/>
          <w:sz w:val="22"/>
          <w:szCs w:val="22"/>
        </w:rPr>
        <w:t>Higher Mortality Rates</w:t>
      </w:r>
    </w:p>
    <w:p w14:paraId="73DC8535" w14:textId="1CDCF0B4" w:rsidR="00627CE9" w:rsidRPr="00627CE9" w:rsidRDefault="00C857E7" w:rsidP="00627CE9">
      <w:pPr>
        <w:spacing w:line="360" w:lineRule="auto"/>
        <w:rPr>
          <w:rFonts w:ascii="Arial" w:hAnsi="Arial" w:cs="Arial"/>
          <w:sz w:val="22"/>
          <w:szCs w:val="22"/>
        </w:rPr>
      </w:pPr>
      <w:r w:rsidRPr="00C857E7">
        <w:rPr>
          <w:rFonts w:ascii="Arial" w:hAnsi="Arial" w:cs="Arial"/>
          <w:sz w:val="22"/>
          <w:szCs w:val="22"/>
        </w:rPr>
        <w:t>When compared to younger populations, older persons have much higher mortality rates (Office for National Statistics, 2023). The Office for National Statistics (2023) reports that the majority of deaths in the UK occur among people 65 and older, especially from chronic illnesses like cancer, cardiovascular disease, and respiratory conditions.</w:t>
      </w:r>
    </w:p>
    <w:p w14:paraId="6DEF2E39"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These mortality differences are strongly associated with socioeconomic inequalities (Marmot et al., 2020). Older adults living in deprived areas are more likely to experience premature mortality compared with those in affluent areas (Marmot et al., 2020).</w:t>
      </w:r>
    </w:p>
    <w:p w14:paraId="0BCD372C" w14:textId="77777777" w:rsidR="00627CE9" w:rsidRPr="00627CE9" w:rsidRDefault="00627CE9" w:rsidP="00627CE9">
      <w:pPr>
        <w:spacing w:line="360" w:lineRule="auto"/>
        <w:rPr>
          <w:rFonts w:ascii="Arial" w:hAnsi="Arial" w:cs="Arial"/>
          <w:sz w:val="22"/>
          <w:szCs w:val="22"/>
        </w:rPr>
      </w:pPr>
    </w:p>
    <w:p w14:paraId="5ACA4D34"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lastRenderedPageBreak/>
        <w:t>Public health interventions such as improved chronic disease management, early screening programs, and health promotion campaigns can reduce mortality among older populations (Public Health England, 2018).</w:t>
      </w:r>
    </w:p>
    <w:p w14:paraId="1E00A2E7" w14:textId="77777777" w:rsidR="00627CE9" w:rsidRPr="00627CE9" w:rsidRDefault="00627CE9" w:rsidP="00627CE9">
      <w:pPr>
        <w:spacing w:line="360" w:lineRule="auto"/>
        <w:rPr>
          <w:rFonts w:ascii="Arial" w:hAnsi="Arial" w:cs="Arial"/>
          <w:sz w:val="22"/>
          <w:szCs w:val="22"/>
        </w:rPr>
      </w:pPr>
    </w:p>
    <w:p w14:paraId="197637AF" w14:textId="77777777" w:rsidR="00627CE9" w:rsidRDefault="00627CE9" w:rsidP="00627CE9">
      <w:pPr>
        <w:spacing w:line="360" w:lineRule="auto"/>
        <w:rPr>
          <w:rFonts w:ascii="Arial" w:hAnsi="Arial" w:cs="Arial"/>
          <w:b/>
          <w:bCs/>
          <w:sz w:val="22"/>
          <w:szCs w:val="22"/>
        </w:rPr>
      </w:pPr>
      <w:r w:rsidRPr="00627CE9">
        <w:rPr>
          <w:rFonts w:ascii="Arial" w:hAnsi="Arial" w:cs="Arial"/>
          <w:b/>
          <w:bCs/>
          <w:sz w:val="22"/>
          <w:szCs w:val="22"/>
        </w:rPr>
        <w:t>Social Issues</w:t>
      </w:r>
    </w:p>
    <w:p w14:paraId="4D353E94" w14:textId="77777777" w:rsidR="00627CE9" w:rsidRPr="00627CE9" w:rsidRDefault="00627CE9" w:rsidP="00627CE9">
      <w:pPr>
        <w:spacing w:line="360" w:lineRule="auto"/>
        <w:rPr>
          <w:rFonts w:ascii="Arial" w:hAnsi="Arial" w:cs="Arial"/>
          <w:b/>
          <w:bCs/>
          <w:sz w:val="22"/>
          <w:szCs w:val="22"/>
        </w:rPr>
      </w:pPr>
    </w:p>
    <w:p w14:paraId="101D063F" w14:textId="7FB2D5E9" w:rsidR="00627CE9" w:rsidRPr="00627CE9" w:rsidRDefault="00627CE9" w:rsidP="00627CE9">
      <w:pPr>
        <w:spacing w:line="360" w:lineRule="auto"/>
        <w:rPr>
          <w:rFonts w:ascii="Arial" w:hAnsi="Arial" w:cs="Arial"/>
          <w:b/>
          <w:bCs/>
          <w:sz w:val="22"/>
          <w:szCs w:val="22"/>
        </w:rPr>
      </w:pPr>
      <w:r w:rsidRPr="00627CE9">
        <w:rPr>
          <w:rFonts w:ascii="Arial" w:hAnsi="Arial" w:cs="Arial"/>
          <w:b/>
          <w:bCs/>
          <w:sz w:val="22"/>
          <w:szCs w:val="22"/>
        </w:rPr>
        <w:t>Social Isolation and Loneliness</w:t>
      </w:r>
    </w:p>
    <w:p w14:paraId="4B6D57AB" w14:textId="7D1112B7" w:rsidR="00627CE9" w:rsidRPr="00627CE9" w:rsidRDefault="00502FA7" w:rsidP="00627CE9">
      <w:pPr>
        <w:spacing w:line="360" w:lineRule="auto"/>
        <w:rPr>
          <w:rFonts w:ascii="Arial" w:hAnsi="Arial" w:cs="Arial"/>
          <w:sz w:val="22"/>
          <w:szCs w:val="22"/>
        </w:rPr>
      </w:pPr>
      <w:r w:rsidRPr="00502FA7">
        <w:rPr>
          <w:rFonts w:ascii="Arial" w:hAnsi="Arial" w:cs="Arial"/>
          <w:sz w:val="22"/>
          <w:szCs w:val="22"/>
        </w:rPr>
        <w:t>One of the biggest problems facing senior citizens is loneliness (Victor et al., 2018). In the UK, 1.4 million senior citizens say they experience chronic loneliness (Age UK, 2023). According to Steptoe et al. (2019), loneliness is linked to worse mental health, a higher risk of cardiovascular disease, and a higher death rate.</w:t>
      </w:r>
    </w:p>
    <w:p w14:paraId="0C636E71" w14:textId="607E3478"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Social isolation often occurs due to retirement, bereavement, and reduced social networks (Victor et al., 2018). Limited mobility can also restrict participation in community activities (Public Health England, 2018).</w:t>
      </w:r>
    </w:p>
    <w:p w14:paraId="5D90AF14"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Solutions include community support programs, social clubs, and local initiatives aimed at increasing social engagement (Age UK, 2023). Social prescribing by general practitioners has also been introduced to help older adults connect with community activities (NHS England, 2019).</w:t>
      </w:r>
    </w:p>
    <w:p w14:paraId="12997DCA" w14:textId="77777777" w:rsidR="00627CE9" w:rsidRPr="00627CE9" w:rsidRDefault="00627CE9" w:rsidP="00627CE9">
      <w:pPr>
        <w:spacing w:line="360" w:lineRule="auto"/>
        <w:rPr>
          <w:rFonts w:ascii="Arial" w:hAnsi="Arial" w:cs="Arial"/>
          <w:sz w:val="22"/>
          <w:szCs w:val="22"/>
        </w:rPr>
      </w:pPr>
    </w:p>
    <w:p w14:paraId="0D28FB46" w14:textId="5989FB9E" w:rsidR="00627CE9" w:rsidRPr="00627CE9" w:rsidRDefault="00627CE9" w:rsidP="00627CE9">
      <w:pPr>
        <w:spacing w:line="360" w:lineRule="auto"/>
        <w:rPr>
          <w:rFonts w:ascii="Arial" w:hAnsi="Arial" w:cs="Arial"/>
          <w:b/>
          <w:bCs/>
          <w:sz w:val="22"/>
          <w:szCs w:val="22"/>
        </w:rPr>
      </w:pPr>
      <w:r w:rsidRPr="00627CE9">
        <w:rPr>
          <w:rFonts w:ascii="Arial" w:hAnsi="Arial" w:cs="Arial"/>
          <w:b/>
          <w:bCs/>
          <w:sz w:val="22"/>
          <w:szCs w:val="22"/>
        </w:rPr>
        <w:t>Poverty</w:t>
      </w:r>
    </w:p>
    <w:p w14:paraId="783C5FFA"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Poverty remains a significant issue among the elderly population (Age UK, 2023). Although pensions provide financial support, many older adults still struggle with rising living costs (Office for National Statistics, 2022). According to Age UK (2023), around 2 million pensioners in the UK live in poverty.</w:t>
      </w:r>
    </w:p>
    <w:p w14:paraId="3F3AF8D3" w14:textId="77777777" w:rsidR="00627CE9" w:rsidRPr="00627CE9" w:rsidRDefault="00627CE9" w:rsidP="00627CE9">
      <w:pPr>
        <w:spacing w:line="360" w:lineRule="auto"/>
        <w:rPr>
          <w:rFonts w:ascii="Arial" w:hAnsi="Arial" w:cs="Arial"/>
          <w:sz w:val="22"/>
          <w:szCs w:val="22"/>
        </w:rPr>
      </w:pPr>
    </w:p>
    <w:p w14:paraId="54688BFF"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Financial hardship can limit access to healthy food, heating, and healthcare services, leading to poorer health outcomes (Marmot, 2020). Fuel poverty is particularly concerning, as older individuals are more vulnerable to cold-related illnesses (Public Health England, 2018).</w:t>
      </w:r>
    </w:p>
    <w:p w14:paraId="49CF8B34" w14:textId="77777777" w:rsidR="00627CE9" w:rsidRPr="00627CE9" w:rsidRDefault="00627CE9" w:rsidP="00627CE9">
      <w:pPr>
        <w:spacing w:line="360" w:lineRule="auto"/>
        <w:rPr>
          <w:rFonts w:ascii="Arial" w:hAnsi="Arial" w:cs="Arial"/>
          <w:sz w:val="22"/>
          <w:szCs w:val="22"/>
        </w:rPr>
      </w:pPr>
    </w:p>
    <w:p w14:paraId="3A1C345D"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 xml:space="preserve">Government benefits such as Pension Credit and Winter Fuel Payments help reduce poverty among older adults (Department of Health and Social Care, 2021). Increasing awareness of </w:t>
      </w:r>
      <w:r w:rsidRPr="00627CE9">
        <w:rPr>
          <w:rFonts w:ascii="Arial" w:hAnsi="Arial" w:cs="Arial"/>
          <w:sz w:val="22"/>
          <w:szCs w:val="22"/>
        </w:rPr>
        <w:lastRenderedPageBreak/>
        <w:t>these benefits and improving access to financial advice services can further address this inequality (Age UK, 2023).</w:t>
      </w:r>
    </w:p>
    <w:p w14:paraId="6711B1E5" w14:textId="77777777" w:rsidR="00627CE9" w:rsidRPr="00627CE9" w:rsidRDefault="00627CE9" w:rsidP="00627CE9">
      <w:pPr>
        <w:spacing w:line="360" w:lineRule="auto"/>
        <w:rPr>
          <w:rFonts w:ascii="Arial" w:hAnsi="Arial" w:cs="Arial"/>
          <w:sz w:val="22"/>
          <w:szCs w:val="22"/>
        </w:rPr>
      </w:pPr>
    </w:p>
    <w:p w14:paraId="07F29345" w14:textId="4EC0AE2B" w:rsidR="00627CE9" w:rsidRPr="00627CE9" w:rsidRDefault="00627CE9" w:rsidP="00627CE9">
      <w:pPr>
        <w:spacing w:line="360" w:lineRule="auto"/>
        <w:rPr>
          <w:rFonts w:ascii="Arial" w:hAnsi="Arial" w:cs="Arial"/>
          <w:b/>
          <w:bCs/>
          <w:sz w:val="22"/>
          <w:szCs w:val="22"/>
        </w:rPr>
      </w:pPr>
      <w:r w:rsidRPr="00627CE9">
        <w:rPr>
          <w:rFonts w:ascii="Arial" w:hAnsi="Arial" w:cs="Arial"/>
          <w:b/>
          <w:bCs/>
          <w:sz w:val="22"/>
          <w:szCs w:val="22"/>
        </w:rPr>
        <w:t>Housing Issues</w:t>
      </w:r>
    </w:p>
    <w:p w14:paraId="00087B49"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Poor housing conditions can significantly impact the health of older adults (Public Health England, 2018). Many elderly individuals live in homes that are not adapted to their physical needs, increasing the risk of falls and injuries (Public Health England, 2018).</w:t>
      </w:r>
    </w:p>
    <w:p w14:paraId="606E625B" w14:textId="77777777" w:rsidR="00627CE9" w:rsidRPr="00627CE9" w:rsidRDefault="00627CE9" w:rsidP="00627CE9">
      <w:pPr>
        <w:spacing w:line="360" w:lineRule="auto"/>
        <w:rPr>
          <w:rFonts w:ascii="Arial" w:hAnsi="Arial" w:cs="Arial"/>
          <w:sz w:val="22"/>
          <w:szCs w:val="22"/>
        </w:rPr>
      </w:pPr>
    </w:p>
    <w:p w14:paraId="355DD350" w14:textId="54192A28"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Cold and damp housing can also worsen respiratory conditions and cardiovascular disease (Marmot et al., 2020). Older housing stock in deprived areas often lacks adequate insulation and safety adaptations (Public Health England, 2018).</w:t>
      </w:r>
    </w:p>
    <w:p w14:paraId="653C36AE" w14:textId="6F3C5669" w:rsidR="00627CE9" w:rsidRDefault="00627CE9" w:rsidP="00627CE9">
      <w:pPr>
        <w:spacing w:line="360" w:lineRule="auto"/>
        <w:rPr>
          <w:rFonts w:ascii="Arial" w:hAnsi="Arial" w:cs="Arial"/>
          <w:sz w:val="22"/>
          <w:szCs w:val="22"/>
        </w:rPr>
      </w:pPr>
      <w:r w:rsidRPr="00627CE9">
        <w:rPr>
          <w:rFonts w:ascii="Arial" w:hAnsi="Arial" w:cs="Arial"/>
          <w:sz w:val="22"/>
          <w:szCs w:val="22"/>
        </w:rPr>
        <w:t>Solutions include government-funded home improvement programs, housing adaptations, and the development of age-friendly housing environments (Department of Health and Social Care, 2021).</w:t>
      </w:r>
    </w:p>
    <w:p w14:paraId="40C3A2F2" w14:textId="77777777" w:rsidR="00627CE9" w:rsidRPr="00627CE9" w:rsidRDefault="00627CE9" w:rsidP="00627CE9">
      <w:pPr>
        <w:spacing w:line="360" w:lineRule="auto"/>
        <w:rPr>
          <w:rFonts w:ascii="Arial" w:hAnsi="Arial" w:cs="Arial"/>
          <w:sz w:val="22"/>
          <w:szCs w:val="22"/>
        </w:rPr>
      </w:pPr>
    </w:p>
    <w:p w14:paraId="52800FB6" w14:textId="0CE917A1" w:rsidR="00627CE9" w:rsidRPr="00627CE9" w:rsidRDefault="00627CE9" w:rsidP="00627CE9">
      <w:pPr>
        <w:spacing w:line="360" w:lineRule="auto"/>
        <w:rPr>
          <w:rFonts w:ascii="Arial" w:hAnsi="Arial" w:cs="Arial"/>
          <w:b/>
          <w:bCs/>
          <w:sz w:val="22"/>
          <w:szCs w:val="22"/>
        </w:rPr>
      </w:pPr>
      <w:r w:rsidRPr="00627CE9">
        <w:rPr>
          <w:rFonts w:ascii="Arial" w:hAnsi="Arial" w:cs="Arial"/>
          <w:b/>
          <w:bCs/>
          <w:sz w:val="22"/>
          <w:szCs w:val="22"/>
        </w:rPr>
        <w:t>National Response to Reduce Health Inequalities</w:t>
      </w:r>
    </w:p>
    <w:p w14:paraId="15E78B51"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The UK government has implemented several policies aimed at reducing health inequalities among older adults (Marmot, 2020).</w:t>
      </w:r>
    </w:p>
    <w:p w14:paraId="6ED85FDD" w14:textId="77777777" w:rsidR="00627CE9" w:rsidRPr="00627CE9" w:rsidRDefault="00627CE9" w:rsidP="00627CE9">
      <w:pPr>
        <w:spacing w:line="360" w:lineRule="auto"/>
        <w:rPr>
          <w:rFonts w:ascii="Arial" w:hAnsi="Arial" w:cs="Arial"/>
          <w:sz w:val="22"/>
          <w:szCs w:val="22"/>
        </w:rPr>
      </w:pPr>
    </w:p>
    <w:p w14:paraId="7A098DC6" w14:textId="633E61D9"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One example is the NHS Long Term Plan, which focuses on improving integrated care services and providing better support for individuals with long-term conditions (NHS England, 2019). The plan emphasises preventative healthcare and community-based services for older populations (NHS England, 2019). Another initiative is the Healthy Ageing Programme, which aims to improve the health and wellbeing of older adults through prevention strategies, research, and community engagement (Department of Health and Social Care, 2021).</w:t>
      </w:r>
    </w:p>
    <w:p w14:paraId="5B90EC06"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These initiatives demonstrate a national commitment to reducing health disparities and promoting healthy ageing (Public Health England, 2018).</w:t>
      </w:r>
    </w:p>
    <w:p w14:paraId="61BB8F33" w14:textId="77777777" w:rsidR="00627CE9" w:rsidRPr="00627CE9" w:rsidRDefault="00627CE9" w:rsidP="00627CE9">
      <w:pPr>
        <w:spacing w:line="360" w:lineRule="auto"/>
        <w:rPr>
          <w:rFonts w:ascii="Arial" w:hAnsi="Arial" w:cs="Arial"/>
          <w:sz w:val="22"/>
          <w:szCs w:val="22"/>
        </w:rPr>
      </w:pPr>
    </w:p>
    <w:p w14:paraId="41B77343" w14:textId="77777777" w:rsidR="009D24A1" w:rsidRDefault="009D24A1" w:rsidP="00627CE9">
      <w:pPr>
        <w:spacing w:line="360" w:lineRule="auto"/>
        <w:rPr>
          <w:rFonts w:ascii="Arial" w:hAnsi="Arial" w:cs="Arial"/>
          <w:b/>
          <w:bCs/>
          <w:sz w:val="22"/>
          <w:szCs w:val="22"/>
        </w:rPr>
      </w:pPr>
    </w:p>
    <w:p w14:paraId="73717C61" w14:textId="6CC44C7E" w:rsidR="00627CE9" w:rsidRPr="00627CE9" w:rsidRDefault="00627CE9" w:rsidP="00627CE9">
      <w:pPr>
        <w:spacing w:line="360" w:lineRule="auto"/>
        <w:rPr>
          <w:rFonts w:ascii="Arial" w:hAnsi="Arial" w:cs="Arial"/>
          <w:b/>
          <w:bCs/>
          <w:sz w:val="22"/>
          <w:szCs w:val="22"/>
        </w:rPr>
      </w:pPr>
      <w:r w:rsidRPr="00627CE9">
        <w:rPr>
          <w:rFonts w:ascii="Arial" w:hAnsi="Arial" w:cs="Arial"/>
          <w:b/>
          <w:bCs/>
          <w:sz w:val="22"/>
          <w:szCs w:val="22"/>
        </w:rPr>
        <w:lastRenderedPageBreak/>
        <w:t>Organisation Supporting the Elderly Population</w:t>
      </w:r>
    </w:p>
    <w:p w14:paraId="7544D01C" w14:textId="02AF73C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One key organisation supporting older adults in the UK is Age UK.</w:t>
      </w:r>
    </w:p>
    <w:p w14:paraId="6BF0C392"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Age UK is a national charity dedicated to improving the lives of older individuals (Age UK, 2023). The organisation provides services such as information and advice, health and wellbeing support, and community programs aimed at reducing loneliness (Age UK, 2023).</w:t>
      </w:r>
    </w:p>
    <w:p w14:paraId="0E8BAC8E" w14:textId="77777777" w:rsidR="00627CE9" w:rsidRPr="00627CE9" w:rsidRDefault="00627CE9" w:rsidP="00627CE9">
      <w:pPr>
        <w:spacing w:line="360" w:lineRule="auto"/>
        <w:rPr>
          <w:rFonts w:ascii="Arial" w:hAnsi="Arial" w:cs="Arial"/>
          <w:sz w:val="22"/>
          <w:szCs w:val="22"/>
        </w:rPr>
      </w:pPr>
    </w:p>
    <w:p w14:paraId="1F678873"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Age UK also conducts research on ageing and health inequalities, which helps inform policy development and public awareness campaigns (Age UK, 2023). For example, the charity regularly publishes reports highlighting issues such as pensioner poverty, loneliness, and healthcare access (Marmot et al., 2020).</w:t>
      </w:r>
    </w:p>
    <w:p w14:paraId="61EA547B" w14:textId="77777777" w:rsidR="00627CE9" w:rsidRPr="00627CE9" w:rsidRDefault="00627CE9" w:rsidP="00627CE9">
      <w:pPr>
        <w:spacing w:line="360" w:lineRule="auto"/>
        <w:rPr>
          <w:rFonts w:ascii="Arial" w:hAnsi="Arial" w:cs="Arial"/>
          <w:sz w:val="22"/>
          <w:szCs w:val="22"/>
        </w:rPr>
      </w:pPr>
    </w:p>
    <w:p w14:paraId="75B7CF11"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The organisation’s main goal is to ensure that older people can live independently, maintain good health, and participate fully in society (Age UK, 2023). Through advocacy and direct support services, Age UK plays an important role in addressing social injustice and improving health outcomes among older adults (Public Health England, 2018).</w:t>
      </w:r>
    </w:p>
    <w:p w14:paraId="278FBDF5" w14:textId="77777777" w:rsidR="00627CE9" w:rsidRPr="00627CE9" w:rsidRDefault="00627CE9" w:rsidP="00627CE9">
      <w:pPr>
        <w:spacing w:line="360" w:lineRule="auto"/>
        <w:rPr>
          <w:rFonts w:ascii="Arial" w:hAnsi="Arial" w:cs="Arial"/>
          <w:sz w:val="22"/>
          <w:szCs w:val="22"/>
        </w:rPr>
      </w:pPr>
    </w:p>
    <w:p w14:paraId="3C3939C4" w14:textId="77777777" w:rsidR="00627CE9" w:rsidRDefault="00627CE9" w:rsidP="00627CE9">
      <w:pPr>
        <w:spacing w:line="360" w:lineRule="auto"/>
        <w:rPr>
          <w:rFonts w:ascii="Arial" w:hAnsi="Arial" w:cs="Arial"/>
          <w:b/>
          <w:bCs/>
          <w:sz w:val="22"/>
          <w:szCs w:val="22"/>
        </w:rPr>
      </w:pPr>
    </w:p>
    <w:p w14:paraId="0521911E" w14:textId="1FF95B88" w:rsidR="00627CE9" w:rsidRPr="00627CE9" w:rsidRDefault="00627CE9" w:rsidP="00627CE9">
      <w:pPr>
        <w:spacing w:line="360" w:lineRule="auto"/>
        <w:rPr>
          <w:rFonts w:ascii="Arial" w:hAnsi="Arial" w:cs="Arial"/>
          <w:b/>
          <w:bCs/>
          <w:sz w:val="22"/>
          <w:szCs w:val="22"/>
        </w:rPr>
      </w:pPr>
      <w:r w:rsidRPr="00627CE9">
        <w:rPr>
          <w:rFonts w:ascii="Arial" w:hAnsi="Arial" w:cs="Arial"/>
          <w:b/>
          <w:bCs/>
          <w:sz w:val="22"/>
          <w:szCs w:val="22"/>
        </w:rPr>
        <w:t>Conclusion</w:t>
      </w:r>
    </w:p>
    <w:p w14:paraId="73C8CCA4" w14:textId="77777777" w:rsidR="00627CE9" w:rsidRPr="00627CE9" w:rsidRDefault="00627CE9" w:rsidP="00627CE9">
      <w:pPr>
        <w:spacing w:line="360" w:lineRule="auto"/>
        <w:rPr>
          <w:rFonts w:ascii="Arial" w:hAnsi="Arial" w:cs="Arial"/>
          <w:sz w:val="22"/>
          <w:szCs w:val="22"/>
        </w:rPr>
      </w:pPr>
      <w:r w:rsidRPr="00627CE9">
        <w:rPr>
          <w:rFonts w:ascii="Arial" w:hAnsi="Arial" w:cs="Arial"/>
          <w:sz w:val="22"/>
          <w:szCs w:val="22"/>
        </w:rPr>
        <w:t>Health inequalities among older adults in the UK remain a significant public health concern (Marmot, 2020). Older individuals face a range of challenges including higher rates of mental illness, limited access to healthcare services, and increased mortality from chronic diseases (Public Health England, 2018). Social determinants such as loneliness, poverty, and poor housing conditions further contribute to these inequalities (Age UK, 2023).</w:t>
      </w:r>
    </w:p>
    <w:p w14:paraId="795F97E0" w14:textId="77777777" w:rsidR="00627CE9" w:rsidRPr="00627CE9" w:rsidRDefault="00627CE9" w:rsidP="00627CE9">
      <w:pPr>
        <w:spacing w:line="360" w:lineRule="auto"/>
        <w:rPr>
          <w:rFonts w:ascii="Arial" w:hAnsi="Arial" w:cs="Arial"/>
          <w:sz w:val="22"/>
          <w:szCs w:val="22"/>
        </w:rPr>
      </w:pPr>
    </w:p>
    <w:p w14:paraId="7D380801" w14:textId="63526695" w:rsidR="00DB1956" w:rsidRDefault="00627CE9" w:rsidP="00627CE9">
      <w:pPr>
        <w:spacing w:line="360" w:lineRule="auto"/>
        <w:rPr>
          <w:rFonts w:ascii="Arial" w:hAnsi="Arial" w:cs="Arial"/>
          <w:sz w:val="22"/>
          <w:szCs w:val="22"/>
        </w:rPr>
      </w:pPr>
      <w:r w:rsidRPr="00627CE9">
        <w:rPr>
          <w:rFonts w:ascii="Arial" w:hAnsi="Arial" w:cs="Arial"/>
          <w:sz w:val="22"/>
          <w:szCs w:val="22"/>
        </w:rPr>
        <w:t>Although national policies and support organisations such as Age UK are working to address these issues, continued efforts are needed to reduce disparities and promote healthy ageing (Department of Health and Social Care, 2021). Improving healthcare accessibility, strengthening community support systems, and addressing socioeconomic inequalities will be essential in ensuring better health outcomes for the ageing population (Marmot et al., 2020).</w:t>
      </w:r>
    </w:p>
    <w:p w14:paraId="05DA5BEA" w14:textId="77777777" w:rsidR="00DB1956" w:rsidRDefault="00DB1956" w:rsidP="009C4EEC">
      <w:pPr>
        <w:spacing w:line="360" w:lineRule="auto"/>
        <w:rPr>
          <w:rFonts w:ascii="Arial" w:hAnsi="Arial" w:cs="Arial"/>
          <w:sz w:val="22"/>
          <w:szCs w:val="22"/>
        </w:rPr>
      </w:pPr>
    </w:p>
    <w:p w14:paraId="4AE137F5" w14:textId="77777777" w:rsidR="008E7301" w:rsidRPr="008E7301" w:rsidRDefault="008E7301" w:rsidP="008E7301">
      <w:pPr>
        <w:spacing w:line="360" w:lineRule="auto"/>
        <w:rPr>
          <w:rFonts w:ascii="Arial" w:hAnsi="Arial" w:cs="Arial"/>
          <w:b/>
          <w:bCs/>
          <w:sz w:val="22"/>
          <w:szCs w:val="22"/>
        </w:rPr>
      </w:pPr>
      <w:r w:rsidRPr="008E7301">
        <w:rPr>
          <w:rFonts w:ascii="Arial" w:hAnsi="Arial" w:cs="Arial"/>
          <w:b/>
          <w:bCs/>
          <w:sz w:val="22"/>
          <w:szCs w:val="22"/>
        </w:rPr>
        <w:lastRenderedPageBreak/>
        <w:t>Task 2: Epidemiological Analysis</w:t>
      </w:r>
    </w:p>
    <w:p w14:paraId="3D2C8D0B" w14:textId="77777777" w:rsidR="008E7301" w:rsidRPr="008E7301" w:rsidRDefault="008E7301" w:rsidP="008E7301">
      <w:pPr>
        <w:spacing w:line="360" w:lineRule="auto"/>
        <w:rPr>
          <w:rFonts w:ascii="Arial" w:hAnsi="Arial" w:cs="Arial"/>
          <w:b/>
          <w:bCs/>
          <w:sz w:val="22"/>
          <w:szCs w:val="22"/>
        </w:rPr>
      </w:pPr>
      <w:r w:rsidRPr="008E7301">
        <w:rPr>
          <w:rFonts w:ascii="Arial" w:hAnsi="Arial" w:cs="Arial"/>
          <w:b/>
          <w:bCs/>
          <w:sz w:val="22"/>
          <w:szCs w:val="22"/>
        </w:rPr>
        <w:t>Public Health Epidemiological Report: Type 2 Diabetes Among the Elderly</w:t>
      </w:r>
    </w:p>
    <w:p w14:paraId="58B79345" w14:textId="77777777" w:rsidR="008E7301" w:rsidRPr="008E7301" w:rsidRDefault="008E7301" w:rsidP="008E7301">
      <w:pPr>
        <w:spacing w:line="360" w:lineRule="auto"/>
        <w:rPr>
          <w:rFonts w:ascii="Arial" w:hAnsi="Arial" w:cs="Arial"/>
          <w:b/>
          <w:bCs/>
          <w:sz w:val="22"/>
          <w:szCs w:val="22"/>
        </w:rPr>
      </w:pPr>
    </w:p>
    <w:p w14:paraId="339B6FB8" w14:textId="5F10AB9A" w:rsidR="008E7301" w:rsidRPr="008E7301" w:rsidRDefault="008E7301" w:rsidP="008E7301">
      <w:pPr>
        <w:spacing w:line="360" w:lineRule="auto"/>
        <w:rPr>
          <w:rFonts w:ascii="Arial" w:hAnsi="Arial" w:cs="Arial"/>
          <w:b/>
          <w:bCs/>
          <w:sz w:val="22"/>
          <w:szCs w:val="22"/>
        </w:rPr>
      </w:pPr>
      <w:r w:rsidRPr="008E7301">
        <w:rPr>
          <w:rFonts w:ascii="Arial" w:hAnsi="Arial" w:cs="Arial"/>
          <w:b/>
          <w:bCs/>
          <w:sz w:val="22"/>
          <w:szCs w:val="22"/>
        </w:rPr>
        <w:t>Introduction</w:t>
      </w:r>
    </w:p>
    <w:p w14:paraId="0F06B7D2" w14:textId="019F2F23" w:rsidR="008E7301" w:rsidRPr="008E7301" w:rsidRDefault="00DD6A71" w:rsidP="008E7301">
      <w:pPr>
        <w:spacing w:line="360" w:lineRule="auto"/>
        <w:rPr>
          <w:rFonts w:ascii="Arial" w:hAnsi="Arial" w:cs="Arial"/>
          <w:sz w:val="22"/>
          <w:szCs w:val="22"/>
        </w:rPr>
      </w:pPr>
      <w:r w:rsidRPr="00DD6A71">
        <w:rPr>
          <w:rFonts w:ascii="Arial" w:hAnsi="Arial" w:cs="Arial"/>
          <w:sz w:val="22"/>
          <w:szCs w:val="22"/>
        </w:rPr>
        <w:t xml:space="preserve">Persistent </w:t>
      </w:r>
      <w:proofErr w:type="spellStart"/>
      <w:r w:rsidRPr="00DD6A71">
        <w:rPr>
          <w:rFonts w:ascii="Arial" w:hAnsi="Arial" w:cs="Arial"/>
          <w:sz w:val="22"/>
          <w:szCs w:val="22"/>
        </w:rPr>
        <w:t>hyperglycemia</w:t>
      </w:r>
      <w:proofErr w:type="spellEnd"/>
      <w:r w:rsidRPr="00DD6A71">
        <w:rPr>
          <w:rFonts w:ascii="Arial" w:hAnsi="Arial" w:cs="Arial"/>
          <w:sz w:val="22"/>
          <w:szCs w:val="22"/>
        </w:rPr>
        <w:t xml:space="preserve"> brought on by insulin resistance and/or decreased insulin production is the hallmark of type 2 diabetes mellitus, a chronic, non-communicable disease (International Diabetes Federation, 2021). Because of its high prevalence, long-term problems, and growing financial impact on healthcare systems, it is one of the biggest worldwide public health issues (World Health Organization, 2021). Cardiovascular disease, neuropathy, nephropathy, and retinopathy are among the major problems linked to the illness that can greatly lower quality of life and raise the chance of death (Stratton et al., 2000; WHO, 2021).</w:t>
      </w:r>
    </w:p>
    <w:p w14:paraId="529C8303" w14:textId="783E9791" w:rsidR="008E7301" w:rsidRPr="008E7301" w:rsidRDefault="00886EB5" w:rsidP="008E7301">
      <w:pPr>
        <w:spacing w:line="360" w:lineRule="auto"/>
        <w:rPr>
          <w:rFonts w:ascii="Arial" w:hAnsi="Arial" w:cs="Arial"/>
          <w:sz w:val="22"/>
          <w:szCs w:val="22"/>
        </w:rPr>
      </w:pPr>
      <w:r w:rsidRPr="00886EB5">
        <w:rPr>
          <w:rFonts w:ascii="Arial" w:hAnsi="Arial" w:cs="Arial"/>
          <w:sz w:val="22"/>
          <w:szCs w:val="22"/>
        </w:rPr>
        <w:t>It is estimated that 537 million persons worldwide have diabetes, and by 2030, that number is expected to increase to 643 million (International Diabetes Federation, 2021). An estimated 4.3 million people in the UK have been diagnosed with diabetes, with Type 2 diabetes accounting for about 90% of cases (Diabetes UK, 2023). Older persons are especially vulnerable because the disease's prevalence rises dramatically with age (Kirkman et al., 2012).</w:t>
      </w:r>
    </w:p>
    <w:p w14:paraId="595AF443"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In the West Midlands region, the burden of Type 2 diabetes is higher than the national average, largely due to higher levels of socioeconomic deprivation and a greater proportion of high-risk ethnic populations (Public Health England, 2022; Noble et al., 2015). The elderly population in this region faces additional challenges such as comorbidities, reduced mobility, and barriers to accessing healthcare, which further exacerbate the impact of the disease (Kirkman et al., 2012; Diabetes UK, 2023).</w:t>
      </w:r>
    </w:p>
    <w:p w14:paraId="350064E8"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This report provides a detailed epidemiological analysis of Type 2 diabetes among older adults in the West Midlands, focusing on its determinants, distribution, surveillance, and public health management strategies (Public Health England, 2022).</w:t>
      </w:r>
    </w:p>
    <w:p w14:paraId="6B2BEB73" w14:textId="77777777" w:rsidR="008E7301" w:rsidRPr="008E7301" w:rsidRDefault="008E7301" w:rsidP="008E7301">
      <w:pPr>
        <w:spacing w:line="360" w:lineRule="auto"/>
        <w:rPr>
          <w:rFonts w:ascii="Arial" w:hAnsi="Arial" w:cs="Arial"/>
          <w:sz w:val="22"/>
          <w:szCs w:val="22"/>
        </w:rPr>
      </w:pPr>
    </w:p>
    <w:p w14:paraId="0EF48C72" w14:textId="77777777" w:rsidR="008E7301" w:rsidRPr="008E7301" w:rsidRDefault="008E7301" w:rsidP="008E7301">
      <w:pPr>
        <w:spacing w:line="360" w:lineRule="auto"/>
        <w:rPr>
          <w:rFonts w:ascii="Arial" w:hAnsi="Arial" w:cs="Arial"/>
          <w:b/>
          <w:bCs/>
          <w:sz w:val="22"/>
          <w:szCs w:val="22"/>
        </w:rPr>
      </w:pPr>
      <w:r w:rsidRPr="008E7301">
        <w:rPr>
          <w:rFonts w:ascii="Arial" w:hAnsi="Arial" w:cs="Arial"/>
          <w:b/>
          <w:bCs/>
          <w:sz w:val="22"/>
          <w:szCs w:val="22"/>
        </w:rPr>
        <w:t>Public Health Measures: Prevention, Protection and Promotion</w:t>
      </w:r>
    </w:p>
    <w:p w14:paraId="21392C08"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Public health strategies for managing Type 2 diabetes are commonly structured around the three core principles of prevention, protection, and health promotion (NHS England, 2022).</w:t>
      </w:r>
    </w:p>
    <w:p w14:paraId="295AFD0F" w14:textId="77777777" w:rsidR="008E7301" w:rsidRPr="008E7301" w:rsidRDefault="008E7301" w:rsidP="008E7301">
      <w:pPr>
        <w:spacing w:line="360" w:lineRule="auto"/>
        <w:rPr>
          <w:rFonts w:ascii="Arial" w:hAnsi="Arial" w:cs="Arial"/>
          <w:sz w:val="22"/>
          <w:szCs w:val="22"/>
        </w:rPr>
      </w:pPr>
    </w:p>
    <w:p w14:paraId="125BE6E6" w14:textId="4C11384D" w:rsidR="008E7301" w:rsidRPr="008E7301" w:rsidRDefault="009A26B6" w:rsidP="008E7301">
      <w:pPr>
        <w:spacing w:line="360" w:lineRule="auto"/>
        <w:rPr>
          <w:rFonts w:ascii="Arial" w:hAnsi="Arial" w:cs="Arial"/>
          <w:sz w:val="22"/>
          <w:szCs w:val="22"/>
        </w:rPr>
      </w:pPr>
      <w:r w:rsidRPr="009A26B6">
        <w:rPr>
          <w:rFonts w:ascii="Arial" w:hAnsi="Arial" w:cs="Arial"/>
          <w:sz w:val="22"/>
          <w:szCs w:val="22"/>
        </w:rPr>
        <w:lastRenderedPageBreak/>
        <w:t xml:space="preserve">By targeting modifiable risk factors prior to start, prevention techniques seek to lower the disease's occurrence (Hu, 2011). The NHS Diabetes Prevention Programme is a significant project in the UK that offers systematic lifestyle interventions </w:t>
      </w:r>
      <w:proofErr w:type="spellStart"/>
      <w:r w:rsidRPr="009A26B6">
        <w:rPr>
          <w:rFonts w:ascii="Arial" w:hAnsi="Arial" w:cs="Arial"/>
          <w:sz w:val="22"/>
          <w:szCs w:val="22"/>
        </w:rPr>
        <w:t>centered</w:t>
      </w:r>
      <w:proofErr w:type="spellEnd"/>
      <w:r w:rsidRPr="009A26B6">
        <w:rPr>
          <w:rFonts w:ascii="Arial" w:hAnsi="Arial" w:cs="Arial"/>
          <w:sz w:val="22"/>
          <w:szCs w:val="22"/>
        </w:rPr>
        <w:t xml:space="preserve"> on nutrition, exercise, and weight control to those who are at high risk of acquiring diabetes (NHS England, 2022). Lifestyle modifications can dramatically lower the occurrence of Type 2 diabetes in high-risk patients, according to data from extensive research (Knowler et al., 2002; </w:t>
      </w:r>
      <w:proofErr w:type="spellStart"/>
      <w:r w:rsidRPr="009A26B6">
        <w:rPr>
          <w:rFonts w:ascii="Arial" w:hAnsi="Arial" w:cs="Arial"/>
          <w:sz w:val="22"/>
          <w:szCs w:val="22"/>
        </w:rPr>
        <w:t>Tuomilehto</w:t>
      </w:r>
      <w:proofErr w:type="spellEnd"/>
      <w:r w:rsidRPr="009A26B6">
        <w:rPr>
          <w:rFonts w:ascii="Arial" w:hAnsi="Arial" w:cs="Arial"/>
          <w:sz w:val="22"/>
          <w:szCs w:val="22"/>
        </w:rPr>
        <w:t xml:space="preserve"> et al., 2001).</w:t>
      </w:r>
    </w:p>
    <w:p w14:paraId="59880E11" w14:textId="18523F68" w:rsidR="008E7301" w:rsidRPr="008E7301" w:rsidRDefault="007227B5" w:rsidP="008E7301">
      <w:pPr>
        <w:spacing w:line="360" w:lineRule="auto"/>
        <w:rPr>
          <w:rFonts w:ascii="Arial" w:hAnsi="Arial" w:cs="Arial"/>
          <w:sz w:val="22"/>
          <w:szCs w:val="22"/>
        </w:rPr>
      </w:pPr>
      <w:r w:rsidRPr="007227B5">
        <w:rPr>
          <w:rFonts w:ascii="Arial" w:hAnsi="Arial" w:cs="Arial"/>
          <w:sz w:val="22"/>
          <w:szCs w:val="22"/>
        </w:rPr>
        <w:t>The goal of protection methods is to lessen complications in people who have already received a diabetes diagnosis (Stratton et al., 2000). This entails keeping an eye on blood glucose levels on a regular basis, checking for consequences including kidney disease and retinopathy, and making sure the right medications are being taken (NICE, 2022). These actions are intended to stop the progression of the illness and lower the number of hospital admissions (Hex et al., 2012).</w:t>
      </w:r>
    </w:p>
    <w:p w14:paraId="3BB72AC1" w14:textId="3AF5D4D8" w:rsidR="008E7301" w:rsidRDefault="006C2C49" w:rsidP="008E7301">
      <w:pPr>
        <w:spacing w:line="360" w:lineRule="auto"/>
        <w:rPr>
          <w:rFonts w:ascii="Arial" w:hAnsi="Arial" w:cs="Arial"/>
          <w:sz w:val="22"/>
          <w:szCs w:val="22"/>
        </w:rPr>
      </w:pPr>
      <w:r w:rsidRPr="006C2C49">
        <w:rPr>
          <w:rFonts w:ascii="Arial" w:hAnsi="Arial" w:cs="Arial"/>
          <w:sz w:val="22"/>
          <w:szCs w:val="22"/>
        </w:rPr>
        <w:t xml:space="preserve">Increasing public knowledge and promoting </w:t>
      </w:r>
      <w:proofErr w:type="spellStart"/>
      <w:r w:rsidRPr="006C2C49">
        <w:rPr>
          <w:rFonts w:ascii="Arial" w:hAnsi="Arial" w:cs="Arial"/>
          <w:sz w:val="22"/>
          <w:szCs w:val="22"/>
        </w:rPr>
        <w:t>behavioral</w:t>
      </w:r>
      <w:proofErr w:type="spellEnd"/>
      <w:r w:rsidRPr="006C2C49">
        <w:rPr>
          <w:rFonts w:ascii="Arial" w:hAnsi="Arial" w:cs="Arial"/>
          <w:sz w:val="22"/>
          <w:szCs w:val="22"/>
        </w:rPr>
        <w:t xml:space="preserve"> changes are key components of health promotion (WHO, 2021). In order to lower the prevalence of diabetes, public campaigns that encourage a healthier diet, more exercise, and weight control are essential (Hu, 2011). In underprivileged </w:t>
      </w:r>
      <w:proofErr w:type="spellStart"/>
      <w:r w:rsidRPr="006C2C49">
        <w:rPr>
          <w:rFonts w:ascii="Arial" w:hAnsi="Arial" w:cs="Arial"/>
          <w:sz w:val="22"/>
          <w:szCs w:val="22"/>
        </w:rPr>
        <w:t>neighborhoods</w:t>
      </w:r>
      <w:proofErr w:type="spellEnd"/>
      <w:r w:rsidRPr="006C2C49">
        <w:rPr>
          <w:rFonts w:ascii="Arial" w:hAnsi="Arial" w:cs="Arial"/>
          <w:sz w:val="22"/>
          <w:szCs w:val="22"/>
        </w:rPr>
        <w:t>, where risk factors are more common, health promotion initiatives are especially crucial (Noble et al., 2015).</w:t>
      </w:r>
    </w:p>
    <w:p w14:paraId="4C33AAC3" w14:textId="77777777" w:rsidR="006C2C49" w:rsidRDefault="006C2C49" w:rsidP="008E7301">
      <w:pPr>
        <w:spacing w:line="360" w:lineRule="auto"/>
        <w:rPr>
          <w:rFonts w:ascii="Arial" w:hAnsi="Arial" w:cs="Arial"/>
          <w:sz w:val="22"/>
          <w:szCs w:val="22"/>
        </w:rPr>
      </w:pPr>
    </w:p>
    <w:p w14:paraId="12776416" w14:textId="49E5B328" w:rsidR="008E7301" w:rsidRPr="008E7301" w:rsidRDefault="008E7301" w:rsidP="008E7301">
      <w:pPr>
        <w:spacing w:line="360" w:lineRule="auto"/>
        <w:rPr>
          <w:rFonts w:ascii="Arial" w:hAnsi="Arial" w:cs="Arial"/>
          <w:b/>
          <w:bCs/>
          <w:sz w:val="22"/>
          <w:szCs w:val="22"/>
        </w:rPr>
      </w:pPr>
      <w:r w:rsidRPr="008E7301">
        <w:rPr>
          <w:rFonts w:ascii="Arial" w:hAnsi="Arial" w:cs="Arial"/>
          <w:b/>
          <w:bCs/>
          <w:sz w:val="22"/>
          <w:szCs w:val="22"/>
        </w:rPr>
        <w:t>Determinants and Risk Factors</w:t>
      </w:r>
    </w:p>
    <w:p w14:paraId="1364F139" w14:textId="613F8CAC" w:rsidR="008E7301" w:rsidRPr="008E7301" w:rsidRDefault="0017488F" w:rsidP="008E7301">
      <w:pPr>
        <w:spacing w:line="360" w:lineRule="auto"/>
        <w:rPr>
          <w:rFonts w:ascii="Arial" w:hAnsi="Arial" w:cs="Arial"/>
          <w:sz w:val="22"/>
          <w:szCs w:val="22"/>
        </w:rPr>
      </w:pPr>
      <w:r w:rsidRPr="0017488F">
        <w:rPr>
          <w:rFonts w:ascii="Arial" w:hAnsi="Arial" w:cs="Arial"/>
          <w:sz w:val="22"/>
          <w:szCs w:val="22"/>
        </w:rPr>
        <w:t xml:space="preserve">A complex interplay of biological, </w:t>
      </w:r>
      <w:proofErr w:type="spellStart"/>
      <w:r w:rsidRPr="0017488F">
        <w:rPr>
          <w:rFonts w:ascii="Arial" w:hAnsi="Arial" w:cs="Arial"/>
          <w:sz w:val="22"/>
          <w:szCs w:val="22"/>
        </w:rPr>
        <w:t>behavioral</w:t>
      </w:r>
      <w:proofErr w:type="spellEnd"/>
      <w:r w:rsidRPr="0017488F">
        <w:rPr>
          <w:rFonts w:ascii="Arial" w:hAnsi="Arial" w:cs="Arial"/>
          <w:sz w:val="22"/>
          <w:szCs w:val="22"/>
        </w:rPr>
        <w:t>, and environmental variables influences the development of Type 2 diabetes (</w:t>
      </w:r>
      <w:proofErr w:type="spellStart"/>
      <w:r w:rsidRPr="0017488F">
        <w:rPr>
          <w:rFonts w:ascii="Arial" w:hAnsi="Arial" w:cs="Arial"/>
          <w:sz w:val="22"/>
          <w:szCs w:val="22"/>
        </w:rPr>
        <w:t>Forouhi</w:t>
      </w:r>
      <w:proofErr w:type="spellEnd"/>
      <w:r w:rsidRPr="0017488F">
        <w:rPr>
          <w:rFonts w:ascii="Arial" w:hAnsi="Arial" w:cs="Arial"/>
          <w:sz w:val="22"/>
          <w:szCs w:val="22"/>
        </w:rPr>
        <w:t xml:space="preserve"> and Wareham, 2014).</w:t>
      </w:r>
    </w:p>
    <w:p w14:paraId="2286C677"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Age is a major determinant, as insulin sensitivity declines with ageing and pancreatic function deteriorates over time (Kirkman et al., 2012). This makes older adults more susceptible to developing the condition (Pierce and Keen, 2009).</w:t>
      </w:r>
    </w:p>
    <w:p w14:paraId="277883E5" w14:textId="77777777" w:rsidR="008E7301" w:rsidRPr="008E7301" w:rsidRDefault="008E7301" w:rsidP="008E7301">
      <w:pPr>
        <w:spacing w:line="360" w:lineRule="auto"/>
        <w:rPr>
          <w:rFonts w:ascii="Arial" w:hAnsi="Arial" w:cs="Arial"/>
          <w:sz w:val="22"/>
          <w:szCs w:val="22"/>
        </w:rPr>
      </w:pPr>
    </w:p>
    <w:p w14:paraId="2D812EBF" w14:textId="2CD2CB29" w:rsidR="008E7301" w:rsidRDefault="007B23BE" w:rsidP="008E7301">
      <w:pPr>
        <w:spacing w:line="360" w:lineRule="auto"/>
        <w:rPr>
          <w:rFonts w:ascii="Arial" w:hAnsi="Arial" w:cs="Arial"/>
          <w:sz w:val="22"/>
          <w:szCs w:val="22"/>
        </w:rPr>
      </w:pPr>
      <w:r w:rsidRPr="007B23BE">
        <w:rPr>
          <w:rFonts w:ascii="Arial" w:hAnsi="Arial" w:cs="Arial"/>
          <w:sz w:val="22"/>
          <w:szCs w:val="22"/>
        </w:rPr>
        <w:t>One of the most important modifiable risk factors is obesity (Hu, 2011). Excess body fat, especially central obesity, raises the risk of developing diabetes and leads to insulin resistance (Hill et al., 2013). Poor eating habits and sedentary lifestyles increase this risk (Walker, 2018).</w:t>
      </w:r>
    </w:p>
    <w:p w14:paraId="74CFDE47" w14:textId="77777777" w:rsidR="007B23BE" w:rsidRPr="008E7301" w:rsidRDefault="007B23BE" w:rsidP="008E7301">
      <w:pPr>
        <w:spacing w:line="360" w:lineRule="auto"/>
        <w:rPr>
          <w:rFonts w:ascii="Arial" w:hAnsi="Arial" w:cs="Arial"/>
          <w:sz w:val="22"/>
          <w:szCs w:val="22"/>
        </w:rPr>
      </w:pPr>
    </w:p>
    <w:p w14:paraId="54D7FDBF" w14:textId="77777777" w:rsidR="00E10772" w:rsidRDefault="00E10772" w:rsidP="008E7301">
      <w:pPr>
        <w:spacing w:line="360" w:lineRule="auto"/>
        <w:rPr>
          <w:rFonts w:ascii="Arial" w:hAnsi="Arial" w:cs="Arial"/>
          <w:sz w:val="22"/>
          <w:szCs w:val="22"/>
        </w:rPr>
      </w:pPr>
      <w:r w:rsidRPr="00E10772">
        <w:rPr>
          <w:rFonts w:ascii="Arial" w:hAnsi="Arial" w:cs="Arial"/>
          <w:sz w:val="22"/>
          <w:szCs w:val="22"/>
        </w:rPr>
        <w:lastRenderedPageBreak/>
        <w:t>Another significant impact is ethnicity (Goff, 2019). South Asian, African, and Caribbean people in the UK are more likely than white people to get Type 2 diabetes (Diabetes UK, 2023). Given the heterogeneous population of the West Midlands, this is especially important (Public Health England, 2022).</w:t>
      </w:r>
    </w:p>
    <w:p w14:paraId="6D56CB1A" w14:textId="502A0203" w:rsidR="008E7301" w:rsidRDefault="00BA1597" w:rsidP="008E7301">
      <w:pPr>
        <w:spacing w:line="360" w:lineRule="auto"/>
        <w:rPr>
          <w:rFonts w:ascii="Arial" w:hAnsi="Arial" w:cs="Arial"/>
          <w:sz w:val="22"/>
          <w:szCs w:val="22"/>
        </w:rPr>
      </w:pPr>
      <w:r w:rsidRPr="00BA1597">
        <w:rPr>
          <w:rFonts w:ascii="Arial" w:hAnsi="Arial" w:cs="Arial"/>
          <w:sz w:val="22"/>
          <w:szCs w:val="22"/>
        </w:rPr>
        <w:t>Another important factor is socioeconomic deprivation (Noble et al., 2015). According to Brown et al. (2019) and Noble et al. (2015), people who live in impoverished areas are more likely to have restricted access to healthcare services, safe spaces for physical activity, and nutritious food, all of which raise the risk of diabetes.</w:t>
      </w:r>
    </w:p>
    <w:p w14:paraId="51292DEF" w14:textId="77777777" w:rsidR="00BA1597" w:rsidRPr="008E7301" w:rsidRDefault="00BA1597" w:rsidP="008E7301">
      <w:pPr>
        <w:spacing w:line="360" w:lineRule="auto"/>
        <w:rPr>
          <w:rFonts w:ascii="Arial" w:hAnsi="Arial" w:cs="Arial"/>
          <w:sz w:val="22"/>
          <w:szCs w:val="22"/>
        </w:rPr>
      </w:pPr>
    </w:p>
    <w:p w14:paraId="54C120AC" w14:textId="67736DAF" w:rsidR="008E7301" w:rsidRPr="008E7301" w:rsidRDefault="008E7301" w:rsidP="008E7301">
      <w:pPr>
        <w:spacing w:line="360" w:lineRule="auto"/>
        <w:rPr>
          <w:rFonts w:ascii="Arial" w:hAnsi="Arial" w:cs="Arial"/>
          <w:b/>
          <w:bCs/>
          <w:sz w:val="22"/>
          <w:szCs w:val="22"/>
        </w:rPr>
      </w:pPr>
      <w:r w:rsidRPr="008E7301">
        <w:rPr>
          <w:rFonts w:ascii="Arial" w:hAnsi="Arial" w:cs="Arial"/>
          <w:b/>
          <w:bCs/>
          <w:sz w:val="22"/>
          <w:szCs w:val="22"/>
        </w:rPr>
        <w:t>Identification of At-Risk Populations in the West Midlands</w:t>
      </w:r>
    </w:p>
    <w:p w14:paraId="100F56BB"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Epidemiological studies and health needs assessments are essential for identifying populations at risk of Type 2 diabetes (Greenhalgh, 2015). In the West Midlands, data from Public Health England indicate that diabetes prevalence is approximately 8–9%, compared to the national average of around 7% (Public Health England, 2022; Diabetes UK, 2023).</w:t>
      </w:r>
    </w:p>
    <w:p w14:paraId="377EFB28" w14:textId="77777777" w:rsidR="008E7301" w:rsidRPr="008E7301" w:rsidRDefault="008E7301" w:rsidP="008E7301">
      <w:pPr>
        <w:spacing w:line="360" w:lineRule="auto"/>
        <w:rPr>
          <w:rFonts w:ascii="Arial" w:hAnsi="Arial" w:cs="Arial"/>
          <w:sz w:val="22"/>
          <w:szCs w:val="22"/>
        </w:rPr>
      </w:pPr>
    </w:p>
    <w:p w14:paraId="1D76025A"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Older adults aged 65 and over represent a significant proportion of individuals diagnosed with diabetes in the region (Kirkman et al., 2012). In addition, higher prevalence rates are observed in urban areas with greater levels of deprivation, such as Birmingham and Wolverhampton (Noble et al., 2015).</w:t>
      </w:r>
    </w:p>
    <w:p w14:paraId="534501D9" w14:textId="77777777" w:rsidR="008E7301" w:rsidRPr="008E7301" w:rsidRDefault="008E7301" w:rsidP="008E7301">
      <w:pPr>
        <w:spacing w:line="360" w:lineRule="auto"/>
        <w:rPr>
          <w:rFonts w:ascii="Arial" w:hAnsi="Arial" w:cs="Arial"/>
          <w:sz w:val="22"/>
          <w:szCs w:val="22"/>
        </w:rPr>
      </w:pPr>
    </w:p>
    <w:p w14:paraId="49919ADF" w14:textId="34FDA82B"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Cohort and cross-sectional studies have shown strong associations between obesity, ethnicity, and socioeconomic status and the prevalence of diabetes (</w:t>
      </w:r>
      <w:proofErr w:type="spellStart"/>
      <w:r w:rsidRPr="008E7301">
        <w:rPr>
          <w:rFonts w:ascii="Arial" w:hAnsi="Arial" w:cs="Arial"/>
          <w:sz w:val="22"/>
          <w:szCs w:val="22"/>
        </w:rPr>
        <w:t>Forouhi</w:t>
      </w:r>
      <w:proofErr w:type="spellEnd"/>
      <w:r w:rsidRPr="008E7301">
        <w:rPr>
          <w:rFonts w:ascii="Arial" w:hAnsi="Arial" w:cs="Arial"/>
          <w:sz w:val="22"/>
          <w:szCs w:val="22"/>
        </w:rPr>
        <w:t xml:space="preserve"> and Wareham, 2014; Goff, 2019). These findings highlight the importance of targeted interventions aimed at high-risk populations (Public Health England, 2022).</w:t>
      </w:r>
    </w:p>
    <w:p w14:paraId="71EF2E88"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Health needs assessments conducted by local authorities also provide valuable insights into the distribution of diabetes and help inform public health planning (Greenhalgh, 2015).</w:t>
      </w:r>
    </w:p>
    <w:p w14:paraId="7FD90938" w14:textId="77777777" w:rsidR="008E7301" w:rsidRPr="008E7301" w:rsidRDefault="008E7301" w:rsidP="008E7301">
      <w:pPr>
        <w:spacing w:line="360" w:lineRule="auto"/>
        <w:rPr>
          <w:rFonts w:ascii="Arial" w:hAnsi="Arial" w:cs="Arial"/>
          <w:sz w:val="22"/>
          <w:szCs w:val="22"/>
        </w:rPr>
      </w:pPr>
    </w:p>
    <w:p w14:paraId="724DB74B" w14:textId="286A8FB3" w:rsidR="008E7301" w:rsidRPr="008E7301" w:rsidRDefault="008E7301" w:rsidP="008E7301">
      <w:pPr>
        <w:spacing w:line="360" w:lineRule="auto"/>
        <w:rPr>
          <w:rFonts w:ascii="Arial" w:hAnsi="Arial" w:cs="Arial"/>
          <w:b/>
          <w:bCs/>
          <w:sz w:val="22"/>
          <w:szCs w:val="22"/>
        </w:rPr>
      </w:pPr>
      <w:r w:rsidRPr="008E7301">
        <w:rPr>
          <w:rFonts w:ascii="Arial" w:hAnsi="Arial" w:cs="Arial"/>
          <w:b/>
          <w:bCs/>
          <w:sz w:val="22"/>
          <w:szCs w:val="22"/>
        </w:rPr>
        <w:t>Monitoring and Surveillance Systems</w:t>
      </w:r>
    </w:p>
    <w:p w14:paraId="2A7DB47B"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Effective monitoring and surveillance systems are essential for tracking the incidence and prevalence of Type 2 diabetes and evaluating public health interventions (WHO, 2021).</w:t>
      </w:r>
    </w:p>
    <w:p w14:paraId="33818C74" w14:textId="77777777" w:rsidR="008E7301" w:rsidRPr="008E7301" w:rsidRDefault="008E7301" w:rsidP="008E7301">
      <w:pPr>
        <w:spacing w:line="360" w:lineRule="auto"/>
        <w:rPr>
          <w:rFonts w:ascii="Arial" w:hAnsi="Arial" w:cs="Arial"/>
          <w:sz w:val="22"/>
          <w:szCs w:val="22"/>
        </w:rPr>
      </w:pPr>
    </w:p>
    <w:p w14:paraId="0BF619B5"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lastRenderedPageBreak/>
        <w:t>In the UK, several key surveillance systems are used. The National Diabetes Audit collects data on the quality of care provided to individuals with diabetes and identifies areas for improvement (NHS England, 2022). The Quality and Outcomes Framework provides information on diabetes management in primary care settings (NICE, 2022).</w:t>
      </w:r>
    </w:p>
    <w:p w14:paraId="7B44E6E1" w14:textId="77777777" w:rsidR="008E7301" w:rsidRPr="008E7301" w:rsidRDefault="008E7301" w:rsidP="008E7301">
      <w:pPr>
        <w:spacing w:line="360" w:lineRule="auto"/>
        <w:rPr>
          <w:rFonts w:ascii="Arial" w:hAnsi="Arial" w:cs="Arial"/>
          <w:sz w:val="22"/>
          <w:szCs w:val="22"/>
        </w:rPr>
      </w:pPr>
    </w:p>
    <w:p w14:paraId="2874002B" w14:textId="76D810E5" w:rsidR="008E7301" w:rsidRDefault="008E7301" w:rsidP="008E7301">
      <w:pPr>
        <w:spacing w:line="360" w:lineRule="auto"/>
        <w:rPr>
          <w:rFonts w:ascii="Arial" w:hAnsi="Arial" w:cs="Arial"/>
          <w:sz w:val="22"/>
          <w:szCs w:val="22"/>
        </w:rPr>
      </w:pPr>
      <w:r w:rsidRPr="008E7301">
        <w:rPr>
          <w:rFonts w:ascii="Arial" w:hAnsi="Arial" w:cs="Arial"/>
          <w:sz w:val="22"/>
          <w:szCs w:val="22"/>
        </w:rPr>
        <w:t>Hospital Episode Statistics provide data on hospital admissions related to diabetes and its complications (Hex et al., 2012). Local authority health profiles also offer detailed information on disease prevalence at a regional level (Public Health England, 2022).</w:t>
      </w:r>
    </w:p>
    <w:p w14:paraId="7778F858" w14:textId="77777777" w:rsidR="008E7301" w:rsidRPr="008E7301" w:rsidRDefault="008E7301" w:rsidP="008E7301">
      <w:pPr>
        <w:spacing w:line="360" w:lineRule="auto"/>
        <w:rPr>
          <w:rFonts w:ascii="Arial" w:hAnsi="Arial" w:cs="Arial"/>
          <w:sz w:val="22"/>
          <w:szCs w:val="22"/>
        </w:rPr>
      </w:pPr>
    </w:p>
    <w:p w14:paraId="0537391B"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These systems enable public health professionals to monitor trends over time, identify disparities in care, and evaluate the effectiveness of interventions (WHO, 2021). However, limitations such as incomplete data and reporting bias must be considered when interpreting the findings (Greenhalgh, 2015).</w:t>
      </w:r>
    </w:p>
    <w:p w14:paraId="32967F3A" w14:textId="77777777" w:rsidR="008E7301" w:rsidRPr="008E7301" w:rsidRDefault="008E7301" w:rsidP="008E7301">
      <w:pPr>
        <w:spacing w:line="360" w:lineRule="auto"/>
        <w:rPr>
          <w:rFonts w:ascii="Arial" w:hAnsi="Arial" w:cs="Arial"/>
          <w:sz w:val="22"/>
          <w:szCs w:val="22"/>
        </w:rPr>
      </w:pPr>
    </w:p>
    <w:p w14:paraId="42208FF6" w14:textId="77777777" w:rsidR="008E7301" w:rsidRDefault="008E7301" w:rsidP="008E7301">
      <w:pPr>
        <w:spacing w:line="360" w:lineRule="auto"/>
        <w:rPr>
          <w:rFonts w:ascii="Arial" w:hAnsi="Arial" w:cs="Arial"/>
          <w:sz w:val="22"/>
          <w:szCs w:val="22"/>
        </w:rPr>
      </w:pPr>
    </w:p>
    <w:p w14:paraId="529B934F" w14:textId="183F972C" w:rsidR="008E7301" w:rsidRPr="008E7301" w:rsidRDefault="008E7301" w:rsidP="008E7301">
      <w:pPr>
        <w:spacing w:line="360" w:lineRule="auto"/>
        <w:rPr>
          <w:rFonts w:ascii="Arial" w:hAnsi="Arial" w:cs="Arial"/>
          <w:b/>
          <w:bCs/>
          <w:sz w:val="22"/>
          <w:szCs w:val="22"/>
        </w:rPr>
      </w:pPr>
      <w:r w:rsidRPr="008E7301">
        <w:rPr>
          <w:rFonts w:ascii="Arial" w:hAnsi="Arial" w:cs="Arial"/>
          <w:b/>
          <w:bCs/>
          <w:sz w:val="22"/>
          <w:szCs w:val="22"/>
        </w:rPr>
        <w:t>Public Health Impact and Consequences</w:t>
      </w:r>
    </w:p>
    <w:p w14:paraId="03A746A2"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Type 2 diabetes has significant short-term and long-term consequences for individuals and healthcare systems (WHO, 2021).</w:t>
      </w:r>
    </w:p>
    <w:p w14:paraId="0CFB60EE"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In the short term, individuals with diabetes may experience symptoms such as fatigue, increased thirst, and frequent urination (Diabetes UK, 2023). Poorly managed diabetes can lead to acute complications such as hyperglycaemia (Stratton et al., 2000).</w:t>
      </w:r>
    </w:p>
    <w:p w14:paraId="22C249ED" w14:textId="77777777" w:rsidR="008E7301" w:rsidRPr="008E7301" w:rsidRDefault="008E7301" w:rsidP="008E7301">
      <w:pPr>
        <w:spacing w:line="360" w:lineRule="auto"/>
        <w:rPr>
          <w:rFonts w:ascii="Arial" w:hAnsi="Arial" w:cs="Arial"/>
          <w:sz w:val="22"/>
          <w:szCs w:val="22"/>
        </w:rPr>
      </w:pPr>
    </w:p>
    <w:p w14:paraId="5A238CD1" w14:textId="5949684E" w:rsidR="008E7301" w:rsidRDefault="00987B04" w:rsidP="008E7301">
      <w:pPr>
        <w:spacing w:line="360" w:lineRule="auto"/>
        <w:rPr>
          <w:rFonts w:ascii="Arial" w:hAnsi="Arial" w:cs="Arial"/>
          <w:sz w:val="22"/>
          <w:szCs w:val="22"/>
        </w:rPr>
      </w:pPr>
      <w:r w:rsidRPr="00987B04">
        <w:rPr>
          <w:rFonts w:ascii="Arial" w:hAnsi="Arial" w:cs="Arial"/>
          <w:sz w:val="22"/>
          <w:szCs w:val="22"/>
        </w:rPr>
        <w:t>Diabetes is linked to major long-term consequences such as kidney failure, cardiovascular disease, nerve damage, and eyesight loss (Stratton et al., 2000; Harding et al., 2019). These issues can raise the risk of death and drastically lower quality of life (WHO, 2021).</w:t>
      </w:r>
    </w:p>
    <w:p w14:paraId="46A310F0" w14:textId="77777777" w:rsidR="00987B04" w:rsidRPr="008E7301" w:rsidRDefault="00987B04" w:rsidP="008E7301">
      <w:pPr>
        <w:spacing w:line="360" w:lineRule="auto"/>
        <w:rPr>
          <w:rFonts w:ascii="Arial" w:hAnsi="Arial" w:cs="Arial"/>
          <w:sz w:val="22"/>
          <w:szCs w:val="22"/>
        </w:rPr>
      </w:pPr>
    </w:p>
    <w:p w14:paraId="20DE11BC"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In the West Midlands, diabetes contributes to higher rates of hospital admissions and increased healthcare costs (Public Health England, 2022). The economic burden of diabetes in the UK is substantial, with billions of pounds spent annually on treatment and management (Hex et al., 2012).</w:t>
      </w:r>
    </w:p>
    <w:p w14:paraId="025B0AAE" w14:textId="77777777" w:rsidR="008E7301" w:rsidRPr="008E7301" w:rsidRDefault="008E7301" w:rsidP="008E7301">
      <w:pPr>
        <w:spacing w:line="360" w:lineRule="auto"/>
        <w:rPr>
          <w:rFonts w:ascii="Arial" w:hAnsi="Arial" w:cs="Arial"/>
          <w:b/>
          <w:bCs/>
          <w:sz w:val="22"/>
          <w:szCs w:val="22"/>
        </w:rPr>
      </w:pPr>
    </w:p>
    <w:p w14:paraId="3DC62D66" w14:textId="030532A6" w:rsidR="008E7301" w:rsidRPr="008E7301" w:rsidRDefault="008E7301" w:rsidP="008E7301">
      <w:pPr>
        <w:spacing w:line="360" w:lineRule="auto"/>
        <w:rPr>
          <w:rFonts w:ascii="Arial" w:hAnsi="Arial" w:cs="Arial"/>
          <w:b/>
          <w:bCs/>
          <w:sz w:val="22"/>
          <w:szCs w:val="22"/>
        </w:rPr>
      </w:pPr>
      <w:r w:rsidRPr="008E7301">
        <w:rPr>
          <w:rFonts w:ascii="Arial" w:hAnsi="Arial" w:cs="Arial"/>
          <w:b/>
          <w:bCs/>
          <w:sz w:val="22"/>
          <w:szCs w:val="22"/>
        </w:rPr>
        <w:lastRenderedPageBreak/>
        <w:t>Designing an Intervention Programme</w:t>
      </w:r>
    </w:p>
    <w:p w14:paraId="76C87CCA"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An effective intervention programme for Type 2 diabetes should be evidence-based and tailored to the needs of the target population (NICE, 2022).</w:t>
      </w:r>
    </w:p>
    <w:p w14:paraId="30DDDB84"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Key components of a successful programme may include community-based health education initiatives, weight management support, and increased screening for high-risk individuals (NHS England, 2022). Culturally appropriate interventions are particularly important in ethnically diverse regions such as the West Midlands (Goff, 2019).</w:t>
      </w:r>
    </w:p>
    <w:p w14:paraId="4A3B113F" w14:textId="77777777" w:rsidR="008E7301" w:rsidRPr="008E7301" w:rsidRDefault="008E7301" w:rsidP="008E7301">
      <w:pPr>
        <w:spacing w:line="360" w:lineRule="auto"/>
        <w:rPr>
          <w:rFonts w:ascii="Arial" w:hAnsi="Arial" w:cs="Arial"/>
          <w:sz w:val="22"/>
          <w:szCs w:val="22"/>
        </w:rPr>
      </w:pPr>
    </w:p>
    <w:p w14:paraId="55FC974A" w14:textId="38967901"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The effectiveness of interventions can be evaluated using epidemiological indicators such as reductions in disease incidence, improvements in glycaemic control, and decreases in hospital admissions (Knowler et al., 2002).</w:t>
      </w:r>
    </w:p>
    <w:p w14:paraId="5644E233"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Long-term evaluation is essential to ensure that interventions are sustainable and continue to produce positive health outcomes (Greenhalgh, 2015).</w:t>
      </w:r>
    </w:p>
    <w:p w14:paraId="0A1C6F05" w14:textId="77777777" w:rsidR="00627CE9" w:rsidRDefault="00627CE9" w:rsidP="008E7301">
      <w:pPr>
        <w:spacing w:line="360" w:lineRule="auto"/>
        <w:rPr>
          <w:rFonts w:ascii="Arial" w:hAnsi="Arial" w:cs="Arial"/>
          <w:b/>
          <w:bCs/>
          <w:sz w:val="22"/>
          <w:szCs w:val="22"/>
        </w:rPr>
      </w:pPr>
    </w:p>
    <w:p w14:paraId="3796BB0B" w14:textId="49BD9C27" w:rsidR="008E7301" w:rsidRPr="008E7301" w:rsidRDefault="008E7301" w:rsidP="008E7301">
      <w:pPr>
        <w:spacing w:line="360" w:lineRule="auto"/>
        <w:rPr>
          <w:rFonts w:ascii="Arial" w:hAnsi="Arial" w:cs="Arial"/>
          <w:b/>
          <w:bCs/>
          <w:sz w:val="22"/>
          <w:szCs w:val="22"/>
        </w:rPr>
      </w:pPr>
      <w:r w:rsidRPr="008E7301">
        <w:rPr>
          <w:rFonts w:ascii="Arial" w:hAnsi="Arial" w:cs="Arial"/>
          <w:b/>
          <w:bCs/>
          <w:sz w:val="22"/>
          <w:szCs w:val="22"/>
        </w:rPr>
        <w:t>Strengths and Weaknesses of Epidemiological Approaches</w:t>
      </w:r>
    </w:p>
    <w:p w14:paraId="2C92726F"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Epidemiological approaches provide valuable insights into disease patterns and determinants, allowing for evidence-based public health decision-making (</w:t>
      </w:r>
      <w:proofErr w:type="spellStart"/>
      <w:r w:rsidRPr="008E7301">
        <w:rPr>
          <w:rFonts w:ascii="Arial" w:hAnsi="Arial" w:cs="Arial"/>
          <w:sz w:val="22"/>
          <w:szCs w:val="22"/>
        </w:rPr>
        <w:t>Forouhi</w:t>
      </w:r>
      <w:proofErr w:type="spellEnd"/>
      <w:r w:rsidRPr="008E7301">
        <w:rPr>
          <w:rFonts w:ascii="Arial" w:hAnsi="Arial" w:cs="Arial"/>
          <w:sz w:val="22"/>
          <w:szCs w:val="22"/>
        </w:rPr>
        <w:t xml:space="preserve"> and Wareham, 2014).</w:t>
      </w:r>
    </w:p>
    <w:p w14:paraId="093CD336" w14:textId="77777777" w:rsidR="008E7301" w:rsidRPr="008E7301" w:rsidRDefault="008E7301" w:rsidP="008E7301">
      <w:pPr>
        <w:spacing w:line="360" w:lineRule="auto"/>
        <w:rPr>
          <w:rFonts w:ascii="Arial" w:hAnsi="Arial" w:cs="Arial"/>
          <w:sz w:val="22"/>
          <w:szCs w:val="22"/>
        </w:rPr>
      </w:pPr>
    </w:p>
    <w:p w14:paraId="7D7F6BA5"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One major strength is the ability to analyse large populations and identify trends over time (WHO, 2021). Epidemiological studies also enable the evaluation of interventions and the identification of high-risk groups (Greenhalgh, 2015).</w:t>
      </w:r>
    </w:p>
    <w:p w14:paraId="1C519F84" w14:textId="77777777" w:rsidR="008E7301" w:rsidRPr="008E7301" w:rsidRDefault="008E7301" w:rsidP="008E7301">
      <w:pPr>
        <w:spacing w:line="360" w:lineRule="auto"/>
        <w:rPr>
          <w:rFonts w:ascii="Arial" w:hAnsi="Arial" w:cs="Arial"/>
          <w:sz w:val="22"/>
          <w:szCs w:val="22"/>
        </w:rPr>
      </w:pPr>
    </w:p>
    <w:p w14:paraId="02614720"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However, there are limitations (Brown et al., 2019). Observational studies cannot establish causality, and data may be affected by bias or inaccuracies (Greenhalgh, 2015). Additionally, some populations may be underrepresented in data collection, which can limit the generalisability of findings (Noble et al., 2015).</w:t>
      </w:r>
    </w:p>
    <w:p w14:paraId="313FC290"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Despite these limitations, epidemiology remains a fundamental tool in public health for understanding and addressing diseases such as Type 2 diabetes (WHO, 2021).</w:t>
      </w:r>
    </w:p>
    <w:p w14:paraId="7617D245" w14:textId="77777777" w:rsidR="008E7301" w:rsidRPr="008E7301" w:rsidRDefault="008E7301" w:rsidP="008E7301">
      <w:pPr>
        <w:spacing w:line="360" w:lineRule="auto"/>
        <w:rPr>
          <w:rFonts w:ascii="Arial" w:hAnsi="Arial" w:cs="Arial"/>
          <w:sz w:val="22"/>
          <w:szCs w:val="22"/>
        </w:rPr>
      </w:pPr>
    </w:p>
    <w:p w14:paraId="64C6D692" w14:textId="1E7CE4EF" w:rsidR="008E7301" w:rsidRPr="008E7301" w:rsidRDefault="008E7301" w:rsidP="008E7301">
      <w:pPr>
        <w:spacing w:line="360" w:lineRule="auto"/>
        <w:rPr>
          <w:rFonts w:ascii="Arial" w:hAnsi="Arial" w:cs="Arial"/>
          <w:b/>
          <w:bCs/>
          <w:sz w:val="22"/>
          <w:szCs w:val="22"/>
        </w:rPr>
      </w:pPr>
      <w:r w:rsidRPr="008E7301">
        <w:rPr>
          <w:rFonts w:ascii="Arial" w:hAnsi="Arial" w:cs="Arial"/>
          <w:b/>
          <w:bCs/>
          <w:sz w:val="22"/>
          <w:szCs w:val="22"/>
        </w:rPr>
        <w:lastRenderedPageBreak/>
        <w:t>Conclusion</w:t>
      </w:r>
    </w:p>
    <w:p w14:paraId="35B7B393" w14:textId="1DA968D9" w:rsidR="008E7301" w:rsidRDefault="008B3F3E" w:rsidP="008E7301">
      <w:pPr>
        <w:spacing w:line="360" w:lineRule="auto"/>
        <w:rPr>
          <w:rFonts w:ascii="Arial" w:hAnsi="Arial" w:cs="Arial"/>
          <w:sz w:val="22"/>
          <w:szCs w:val="22"/>
        </w:rPr>
      </w:pPr>
      <w:r w:rsidRPr="008B3F3E">
        <w:rPr>
          <w:rFonts w:ascii="Arial" w:hAnsi="Arial" w:cs="Arial"/>
          <w:sz w:val="22"/>
          <w:szCs w:val="22"/>
        </w:rPr>
        <w:t>In the West Midlands, type 2 diabetes in older persons is a serious and expanding public health concern (Public Health England, 2022). According to epidemiological data, the condition's incidence rises with age and is significantly impacted by socioeconomic variables, lifestyle choices, and broader social determinants of health (Kirkman et al., 2012; Noble et al., 2015). In the UK, elderly people are more susceptible to Type 2 diabetes and its complications, especially in areas with higher levels of deprivation like the West Midlands</w:t>
      </w:r>
    </w:p>
    <w:p w14:paraId="29CC8BE4" w14:textId="77777777" w:rsidR="008B3F3E" w:rsidRPr="008E7301" w:rsidRDefault="008B3F3E" w:rsidP="008E7301">
      <w:pPr>
        <w:spacing w:line="360" w:lineRule="auto"/>
        <w:rPr>
          <w:rFonts w:ascii="Arial" w:hAnsi="Arial" w:cs="Arial"/>
          <w:sz w:val="22"/>
          <w:szCs w:val="22"/>
        </w:rPr>
      </w:pPr>
    </w:p>
    <w:p w14:paraId="6370D4D5" w14:textId="77777777" w:rsidR="008E7301" w:rsidRPr="008E7301" w:rsidRDefault="008E7301" w:rsidP="008E7301">
      <w:pPr>
        <w:spacing w:line="360" w:lineRule="auto"/>
        <w:rPr>
          <w:rFonts w:ascii="Arial" w:hAnsi="Arial" w:cs="Arial"/>
          <w:sz w:val="22"/>
          <w:szCs w:val="22"/>
        </w:rPr>
      </w:pPr>
      <w:r w:rsidRPr="008E7301">
        <w:rPr>
          <w:rFonts w:ascii="Arial" w:hAnsi="Arial" w:cs="Arial"/>
          <w:sz w:val="22"/>
          <w:szCs w:val="22"/>
        </w:rPr>
        <w:t>Epidemiological analysis plays a vital role in identifying populations at greater risk, understanding the determinants of the disease, and guiding effective public health responses (</w:t>
      </w:r>
      <w:proofErr w:type="spellStart"/>
      <w:r w:rsidRPr="008E7301">
        <w:rPr>
          <w:rFonts w:ascii="Arial" w:hAnsi="Arial" w:cs="Arial"/>
          <w:sz w:val="22"/>
          <w:szCs w:val="22"/>
        </w:rPr>
        <w:t>Forouhi</w:t>
      </w:r>
      <w:proofErr w:type="spellEnd"/>
      <w:r w:rsidRPr="008E7301">
        <w:rPr>
          <w:rFonts w:ascii="Arial" w:hAnsi="Arial" w:cs="Arial"/>
          <w:sz w:val="22"/>
          <w:szCs w:val="22"/>
        </w:rPr>
        <w:t xml:space="preserve"> and Wareham, 2014). Through the use of surveillance systems, population health data, and health needs assessments, public health professionals can monitor trends in diabetes prevalence and evaluate the effectiveness of interventions (WHO, 2021).</w:t>
      </w:r>
    </w:p>
    <w:p w14:paraId="7AA1E5B0" w14:textId="77777777" w:rsidR="008E7301" w:rsidRPr="008E7301" w:rsidRDefault="008E7301" w:rsidP="008E7301">
      <w:pPr>
        <w:spacing w:line="360" w:lineRule="auto"/>
        <w:rPr>
          <w:rFonts w:ascii="Arial" w:hAnsi="Arial" w:cs="Arial"/>
          <w:sz w:val="22"/>
          <w:szCs w:val="22"/>
        </w:rPr>
      </w:pPr>
    </w:p>
    <w:p w14:paraId="2519D275" w14:textId="58B0F12B" w:rsidR="00E57ED4" w:rsidRPr="008E7301" w:rsidRDefault="008E7301" w:rsidP="008E7301">
      <w:pPr>
        <w:spacing w:line="360" w:lineRule="auto"/>
        <w:rPr>
          <w:rFonts w:ascii="Arial" w:hAnsi="Arial" w:cs="Arial"/>
          <w:sz w:val="22"/>
          <w:szCs w:val="22"/>
        </w:rPr>
      </w:pPr>
      <w:r w:rsidRPr="008E7301">
        <w:rPr>
          <w:rFonts w:ascii="Arial" w:hAnsi="Arial" w:cs="Arial"/>
          <w:sz w:val="22"/>
          <w:szCs w:val="22"/>
        </w:rPr>
        <w:t>Overall, strengthened surveillance systems, early screening programmes, and targeted health promotion initiatives are essential to reduce the burden of diabetes (NHS England, 2022). By focusing on prevention, protection, and health promotion strategies, it is possible to improve disease management and achieve better long-term health outcomes for elderly populations in the West Midlands (NICE, 2022).</w:t>
      </w:r>
    </w:p>
    <w:p w14:paraId="527911C2" w14:textId="77777777" w:rsidR="00E57ED4" w:rsidRDefault="00E57ED4" w:rsidP="00B877CA"/>
    <w:p w14:paraId="0592179C" w14:textId="77777777" w:rsidR="00E57ED4" w:rsidRDefault="00E57ED4" w:rsidP="00B877CA"/>
    <w:p w14:paraId="33AFCF2E" w14:textId="77777777" w:rsidR="00E57ED4" w:rsidRDefault="00E57ED4" w:rsidP="00B877CA"/>
    <w:p w14:paraId="2E87409E" w14:textId="77777777" w:rsidR="00E57ED4" w:rsidRDefault="00E57ED4" w:rsidP="00B877CA"/>
    <w:p w14:paraId="010DB7EE" w14:textId="77777777" w:rsidR="00E57ED4" w:rsidRDefault="00E57ED4" w:rsidP="00B877CA"/>
    <w:p w14:paraId="2500516B" w14:textId="77777777" w:rsidR="00E57ED4" w:rsidRDefault="00E57ED4" w:rsidP="00B877CA"/>
    <w:p w14:paraId="70B6EC79" w14:textId="77777777" w:rsidR="00E57ED4" w:rsidRDefault="00E57ED4" w:rsidP="00B877CA"/>
    <w:p w14:paraId="3384B58A" w14:textId="77777777" w:rsidR="00E57ED4" w:rsidRDefault="00E57ED4" w:rsidP="00B877CA"/>
    <w:p w14:paraId="660CC358" w14:textId="77777777" w:rsidR="00E57ED4" w:rsidRDefault="00E57ED4" w:rsidP="00B877CA"/>
    <w:p w14:paraId="5F5418EC" w14:textId="77777777" w:rsidR="00E57ED4" w:rsidRDefault="00E57ED4" w:rsidP="00B877CA"/>
    <w:p w14:paraId="7DA068C4" w14:textId="77777777" w:rsidR="00E57ED4" w:rsidRDefault="00E57ED4" w:rsidP="00B877CA"/>
    <w:p w14:paraId="696348F9" w14:textId="77777777" w:rsidR="00E57ED4" w:rsidRDefault="00E57ED4" w:rsidP="00B877CA"/>
    <w:p w14:paraId="3709E156" w14:textId="77777777" w:rsidR="00E57ED4" w:rsidRDefault="00E57ED4" w:rsidP="00B877CA"/>
    <w:p w14:paraId="23A74836" w14:textId="77777777" w:rsidR="00E57ED4" w:rsidRDefault="00E57ED4" w:rsidP="00B877CA"/>
    <w:p w14:paraId="420E258D" w14:textId="77777777" w:rsidR="00E57ED4" w:rsidRDefault="00E57ED4" w:rsidP="00B877CA"/>
    <w:p w14:paraId="689FEFCE" w14:textId="77777777" w:rsidR="00E57ED4" w:rsidRDefault="00E57ED4" w:rsidP="00B877CA"/>
    <w:p w14:paraId="04523B83" w14:textId="77777777" w:rsidR="00E57ED4" w:rsidRDefault="00E57ED4" w:rsidP="00B877CA"/>
    <w:p w14:paraId="71CFBB54" w14:textId="77777777" w:rsidR="008E7301" w:rsidRDefault="008E7301" w:rsidP="00B877CA"/>
    <w:p w14:paraId="7CB0034C" w14:textId="77777777" w:rsidR="008E7301" w:rsidRDefault="008E7301" w:rsidP="00B877CA"/>
    <w:p w14:paraId="2D6FBBA0" w14:textId="77777777" w:rsidR="00627CE9" w:rsidRDefault="00627CE9" w:rsidP="00B877CA"/>
    <w:p w14:paraId="1D2ED518" w14:textId="77777777" w:rsidR="00627CE9" w:rsidRDefault="00627CE9" w:rsidP="00B877CA"/>
    <w:p w14:paraId="476A3981" w14:textId="77777777" w:rsidR="00627CE9" w:rsidRDefault="00627CE9" w:rsidP="00B877CA"/>
    <w:p w14:paraId="404557CA" w14:textId="77777777" w:rsidR="00627CE9" w:rsidRDefault="00627CE9" w:rsidP="00B877CA"/>
    <w:p w14:paraId="002AF089" w14:textId="512CD71D" w:rsidR="00B877CA" w:rsidRPr="005C4B14" w:rsidRDefault="00B877CA" w:rsidP="00B877CA">
      <w:pPr>
        <w:rPr>
          <w:b/>
          <w:bCs/>
        </w:rPr>
      </w:pPr>
      <w:r w:rsidRPr="005C4B14">
        <w:rPr>
          <w:b/>
          <w:bCs/>
        </w:rPr>
        <w:t xml:space="preserve">Task 1 Reference List </w:t>
      </w:r>
    </w:p>
    <w:p w14:paraId="0A5A59DE" w14:textId="77777777" w:rsidR="00B877CA" w:rsidRPr="005C4B14" w:rsidRDefault="00B877CA" w:rsidP="00B877CA"/>
    <w:p w14:paraId="07315C16" w14:textId="218311A5" w:rsidR="00B877CA" w:rsidRPr="005C4B14" w:rsidRDefault="00B877CA" w:rsidP="00B877CA">
      <w:r w:rsidRPr="005C4B14">
        <w:t xml:space="preserve">Age UK (2023) Later Life in the United Kingdom 2023. London: Age UK. Available at: </w:t>
      </w:r>
      <w:hyperlink r:id="rId6" w:history="1">
        <w:r w:rsidR="00B342A0" w:rsidRPr="005C4B14">
          <w:rPr>
            <w:rStyle w:val="Hyperlink"/>
          </w:rPr>
          <w:t>https://www.ageuk.org.uk/information-advice/work-learning/</w:t>
        </w:r>
      </w:hyperlink>
      <w:r w:rsidR="00B342A0" w:rsidRPr="005C4B14">
        <w:t xml:space="preserve"> </w:t>
      </w:r>
      <w:r w:rsidRPr="005C4B14">
        <w:t xml:space="preserve"> (Accessed: </w:t>
      </w:r>
      <w:r w:rsidR="00131C24" w:rsidRPr="005C4B14">
        <w:t>20</w:t>
      </w:r>
      <w:r w:rsidRPr="005C4B14">
        <w:t xml:space="preserve"> March 2026).</w:t>
      </w:r>
    </w:p>
    <w:p w14:paraId="0BA667F3" w14:textId="77777777" w:rsidR="00B877CA" w:rsidRPr="005C4B14" w:rsidRDefault="00B877CA" w:rsidP="00B877CA"/>
    <w:p w14:paraId="09EE9259" w14:textId="77777777" w:rsidR="00B877CA" w:rsidRPr="005C4B14" w:rsidRDefault="00B877CA" w:rsidP="00B877CA">
      <w:r w:rsidRPr="005C4B14">
        <w:t>Bambra, C. (2016) Health Divides: Where You Live Can Kill You. Bristol: Policy Press.</w:t>
      </w:r>
    </w:p>
    <w:p w14:paraId="2071153C" w14:textId="77777777" w:rsidR="00B877CA" w:rsidRPr="005C4B14" w:rsidRDefault="00B877CA" w:rsidP="00B877CA"/>
    <w:p w14:paraId="4BE7C953" w14:textId="74A62C04" w:rsidR="00B877CA" w:rsidRPr="005C4B14" w:rsidRDefault="00B877CA" w:rsidP="00B877CA">
      <w:r w:rsidRPr="005C4B14">
        <w:t xml:space="preserve">Banks, J., Karlsen, S. and Oldfield, Z. (2019) Health, Wealth and Lifestyles of the Older Population in England. London: Institute for Fiscal Studies. Available at: </w:t>
      </w:r>
      <w:hyperlink r:id="rId7" w:history="1">
        <w:r w:rsidR="00B342A0" w:rsidRPr="005C4B14">
          <w:rPr>
            <w:rStyle w:val="Hyperlink"/>
          </w:rPr>
          <w:t>https://ifs.org.uk/publications</w:t>
        </w:r>
      </w:hyperlink>
      <w:r w:rsidR="00B342A0" w:rsidRPr="005C4B14">
        <w:t xml:space="preserve"> </w:t>
      </w:r>
      <w:r w:rsidRPr="005C4B14">
        <w:t xml:space="preserve"> (Accessed: </w:t>
      </w:r>
      <w:r w:rsidR="00131C24" w:rsidRPr="005C4B14">
        <w:t>19</w:t>
      </w:r>
      <w:r w:rsidRPr="005C4B14">
        <w:t xml:space="preserve"> March 2026).</w:t>
      </w:r>
    </w:p>
    <w:p w14:paraId="16234A80" w14:textId="77777777" w:rsidR="00B877CA" w:rsidRPr="005C4B14" w:rsidRDefault="00B877CA" w:rsidP="00B877CA"/>
    <w:p w14:paraId="62EDBFB4" w14:textId="77777777" w:rsidR="00B877CA" w:rsidRPr="005C4B14" w:rsidRDefault="00B877CA" w:rsidP="00B877CA">
      <w:r w:rsidRPr="005C4B14">
        <w:t>Dahlgren, G. and Whitehead, M. (2007) Policies and Strategies to Promote Social Equity in Health. Stockholm: Institute for Futures Studies.</w:t>
      </w:r>
    </w:p>
    <w:p w14:paraId="55E046DD" w14:textId="77777777" w:rsidR="00B877CA" w:rsidRPr="005C4B14" w:rsidRDefault="00B877CA" w:rsidP="00B877CA"/>
    <w:p w14:paraId="08FD83EE" w14:textId="0AD4B58C" w:rsidR="00B877CA" w:rsidRPr="005C4B14" w:rsidRDefault="00B877CA" w:rsidP="00B877CA">
      <w:r w:rsidRPr="005C4B14">
        <w:t xml:space="preserve">Department of Health and Social Care (2021) Healthy Ageing Programme. London: DHSC. Available at: </w:t>
      </w:r>
      <w:hyperlink r:id="rId8" w:history="1">
        <w:r w:rsidR="00B342A0" w:rsidRPr="005C4B14">
          <w:rPr>
            <w:rStyle w:val="Hyperlink"/>
          </w:rPr>
          <w:t>https://www.gov.uk/government/organisations/department-of-health-and-social-care</w:t>
        </w:r>
      </w:hyperlink>
      <w:r w:rsidR="00B342A0" w:rsidRPr="005C4B14">
        <w:t xml:space="preserve"> </w:t>
      </w:r>
      <w:r w:rsidRPr="005C4B14">
        <w:t xml:space="preserve"> (Accessed: </w:t>
      </w:r>
      <w:r w:rsidR="00131C24" w:rsidRPr="005C4B14">
        <w:t>15</w:t>
      </w:r>
      <w:r w:rsidRPr="005C4B14">
        <w:t xml:space="preserve"> March 2026).</w:t>
      </w:r>
    </w:p>
    <w:p w14:paraId="00BAEFC5" w14:textId="77777777" w:rsidR="00B877CA" w:rsidRPr="005C4B14" w:rsidRDefault="00B877CA" w:rsidP="00B877CA"/>
    <w:p w14:paraId="258982DC" w14:textId="6252D0DB" w:rsidR="00B877CA" w:rsidRPr="005C4B14" w:rsidRDefault="00B877CA" w:rsidP="00B877CA">
      <w:r w:rsidRPr="005C4B14">
        <w:t xml:space="preserve">Kingston, A., Comas-Herrera, A. and Jagger, C. (2018) ‘Forecasting the care needs of the older population in England over the next 20 years’, The Lancet Public Health, 3(9), pp. e447–e455. Available at: </w:t>
      </w:r>
      <w:hyperlink r:id="rId9" w:history="1">
        <w:r w:rsidR="00B342A0" w:rsidRPr="005C4B14">
          <w:rPr>
            <w:rStyle w:val="Hyperlink"/>
          </w:rPr>
          <w:t>https://www.thelancet.com</w:t>
        </w:r>
      </w:hyperlink>
      <w:r w:rsidR="00B342A0" w:rsidRPr="005C4B14">
        <w:t xml:space="preserve"> </w:t>
      </w:r>
      <w:r w:rsidRPr="005C4B14">
        <w:t xml:space="preserve"> (Accessed: 16 March 2026).</w:t>
      </w:r>
    </w:p>
    <w:p w14:paraId="276DF1CD" w14:textId="77777777" w:rsidR="00B877CA" w:rsidRPr="005C4B14" w:rsidRDefault="00B877CA" w:rsidP="00B877CA"/>
    <w:p w14:paraId="5D196CDD" w14:textId="56AA3EF2" w:rsidR="00B877CA" w:rsidRPr="005C4B14" w:rsidRDefault="00B877CA" w:rsidP="00B877CA">
      <w:r w:rsidRPr="005C4B14">
        <w:t xml:space="preserve">Marmot, M. (2020) Health Equity in England: The Marmot Review 10 Years On. London: Institute of Health Equity. Available at: </w:t>
      </w:r>
      <w:hyperlink r:id="rId10" w:history="1">
        <w:r w:rsidR="00B342A0" w:rsidRPr="005C4B14">
          <w:rPr>
            <w:rStyle w:val="Hyperlink"/>
          </w:rPr>
          <w:t>https://www.instituteofhealthequity.org/resources-reports/marmot-review-10-years-on</w:t>
        </w:r>
      </w:hyperlink>
      <w:r w:rsidR="00B342A0" w:rsidRPr="005C4B14">
        <w:t xml:space="preserve"> </w:t>
      </w:r>
      <w:r w:rsidRPr="005C4B14">
        <w:t xml:space="preserve"> (Accessed: </w:t>
      </w:r>
      <w:r w:rsidR="00131C24" w:rsidRPr="005C4B14">
        <w:t>20</w:t>
      </w:r>
      <w:r w:rsidRPr="005C4B14">
        <w:t xml:space="preserve"> March 2026).</w:t>
      </w:r>
    </w:p>
    <w:p w14:paraId="33724030" w14:textId="77777777" w:rsidR="00B877CA" w:rsidRPr="005C4B14" w:rsidRDefault="00B877CA" w:rsidP="00B877CA"/>
    <w:p w14:paraId="6923B265" w14:textId="7AB8483F" w:rsidR="00B877CA" w:rsidRPr="005C4B14" w:rsidRDefault="00B877CA" w:rsidP="00B877CA">
      <w:r w:rsidRPr="005C4B14">
        <w:t xml:space="preserve">McCartney, G., Collins, C. and Mackenzie, M. (2019) ‘What (or who) causes health inequalities: theories, evidence and implications?’, Health Policy, 123(1), pp. 1–6. Available at: </w:t>
      </w:r>
      <w:hyperlink r:id="rId11" w:history="1">
        <w:r w:rsidR="00B342A0" w:rsidRPr="005C4B14">
          <w:rPr>
            <w:rStyle w:val="Hyperlink"/>
          </w:rPr>
          <w:t>https://www.sciencedirect.com</w:t>
        </w:r>
      </w:hyperlink>
      <w:r w:rsidR="00B342A0" w:rsidRPr="005C4B14">
        <w:t xml:space="preserve"> </w:t>
      </w:r>
      <w:r w:rsidRPr="005C4B14">
        <w:t xml:space="preserve"> (Accessed: </w:t>
      </w:r>
      <w:r w:rsidR="00131C24" w:rsidRPr="005C4B14">
        <w:t>12</w:t>
      </w:r>
      <w:r w:rsidRPr="005C4B14">
        <w:t xml:space="preserve"> March 2026).</w:t>
      </w:r>
    </w:p>
    <w:p w14:paraId="197FB0E0" w14:textId="77777777" w:rsidR="00B877CA" w:rsidRPr="005C4B14" w:rsidRDefault="00B877CA" w:rsidP="00B877CA"/>
    <w:p w14:paraId="726DCA90" w14:textId="495DC036" w:rsidR="00B877CA" w:rsidRPr="005C4B14" w:rsidRDefault="00B877CA" w:rsidP="00B877CA">
      <w:r w:rsidRPr="005C4B14">
        <w:t xml:space="preserve">Mental Health Foundation (2022) Mental Health in Older People. London: Mental Health Foundation. Available at: </w:t>
      </w:r>
      <w:hyperlink r:id="rId12" w:history="1">
        <w:r w:rsidR="00B342A0" w:rsidRPr="005C4B14">
          <w:rPr>
            <w:rStyle w:val="Hyperlink"/>
          </w:rPr>
          <w:t>https://www.mentalhealth.org.uk/explore-mental-health/a-z-topics/older-people</w:t>
        </w:r>
      </w:hyperlink>
      <w:r w:rsidR="00B342A0" w:rsidRPr="005C4B14">
        <w:t xml:space="preserve"> </w:t>
      </w:r>
      <w:r w:rsidRPr="005C4B14">
        <w:t xml:space="preserve"> (Accessed: </w:t>
      </w:r>
      <w:r w:rsidR="00131C24" w:rsidRPr="005C4B14">
        <w:t>13</w:t>
      </w:r>
      <w:r w:rsidRPr="005C4B14">
        <w:t xml:space="preserve"> March 2026).</w:t>
      </w:r>
    </w:p>
    <w:p w14:paraId="7900F83C" w14:textId="77777777" w:rsidR="00B877CA" w:rsidRPr="005C4B14" w:rsidRDefault="00B877CA" w:rsidP="00B877CA"/>
    <w:p w14:paraId="354014CD" w14:textId="77777777" w:rsidR="00B877CA" w:rsidRPr="005C4B14" w:rsidRDefault="00B877CA" w:rsidP="00B877CA">
      <w:proofErr w:type="spellStart"/>
      <w:r w:rsidRPr="005C4B14">
        <w:t>Nazroo</w:t>
      </w:r>
      <w:proofErr w:type="spellEnd"/>
      <w:r w:rsidRPr="005C4B14">
        <w:t>, J. (2015) ‘Inequalities in later life: the role of socioeconomic position’, Ageing and Society, 35(2), pp. 231–245.</w:t>
      </w:r>
    </w:p>
    <w:p w14:paraId="766AD1D0" w14:textId="77777777" w:rsidR="00B877CA" w:rsidRPr="005C4B14" w:rsidRDefault="00B877CA" w:rsidP="00B877CA"/>
    <w:p w14:paraId="4D1F1065" w14:textId="2054363C" w:rsidR="00B877CA" w:rsidRPr="005C4B14" w:rsidRDefault="00B877CA" w:rsidP="00B877CA">
      <w:r w:rsidRPr="005C4B14">
        <w:t xml:space="preserve">NHS England (2019) The NHS Long Term Plan. London: NHS England. Available at: </w:t>
      </w:r>
      <w:hyperlink r:id="rId13" w:history="1">
        <w:r w:rsidR="00B342A0" w:rsidRPr="005C4B14">
          <w:rPr>
            <w:rStyle w:val="Hyperlink"/>
          </w:rPr>
          <w:t>https://www.longtermplan.nhs.uk</w:t>
        </w:r>
      </w:hyperlink>
      <w:r w:rsidR="00B342A0" w:rsidRPr="005C4B14">
        <w:t xml:space="preserve"> </w:t>
      </w:r>
      <w:r w:rsidRPr="005C4B14">
        <w:t xml:space="preserve"> (Accessed: 1</w:t>
      </w:r>
      <w:r w:rsidR="00131C24" w:rsidRPr="005C4B14">
        <w:t>3</w:t>
      </w:r>
      <w:r w:rsidRPr="005C4B14">
        <w:t xml:space="preserve"> March 2026).</w:t>
      </w:r>
    </w:p>
    <w:p w14:paraId="3BC4DED0" w14:textId="77777777" w:rsidR="00B877CA" w:rsidRPr="005C4B14" w:rsidRDefault="00B877CA" w:rsidP="00B877CA"/>
    <w:p w14:paraId="6AEE78F9" w14:textId="31A442E2" w:rsidR="00B877CA" w:rsidRPr="005C4B14" w:rsidRDefault="00B877CA" w:rsidP="00B877CA">
      <w:r w:rsidRPr="005C4B14">
        <w:t xml:space="preserve">NHS England (2021) Improving Access to Primary Care Services. London: NHS England. Available at: </w:t>
      </w:r>
      <w:hyperlink r:id="rId14" w:history="1">
        <w:r w:rsidR="00B342A0" w:rsidRPr="005C4B14">
          <w:rPr>
            <w:rStyle w:val="Hyperlink"/>
          </w:rPr>
          <w:t>https://www.england.nhs.uk</w:t>
        </w:r>
      </w:hyperlink>
      <w:r w:rsidR="00B342A0" w:rsidRPr="005C4B14">
        <w:t xml:space="preserve"> </w:t>
      </w:r>
      <w:r w:rsidRPr="005C4B14">
        <w:t xml:space="preserve"> (Accessed: 16 March 2026).</w:t>
      </w:r>
    </w:p>
    <w:p w14:paraId="59A3EBBB" w14:textId="77777777" w:rsidR="00B877CA" w:rsidRPr="005C4B14" w:rsidRDefault="00B877CA" w:rsidP="00B877CA"/>
    <w:p w14:paraId="46A8F415" w14:textId="077F2574" w:rsidR="00B877CA" w:rsidRPr="005C4B14" w:rsidRDefault="00B877CA" w:rsidP="00B877CA">
      <w:r w:rsidRPr="005C4B14">
        <w:t xml:space="preserve">Office for National Statistics (2022) Living Longer: Ageing in the UK. London: ONS. Available at: </w:t>
      </w:r>
      <w:hyperlink r:id="rId15" w:history="1">
        <w:r w:rsidR="00B342A0" w:rsidRPr="005C4B14">
          <w:rPr>
            <w:rStyle w:val="Hyperlink"/>
          </w:rPr>
          <w:t>https://www.ons.gov.uk</w:t>
        </w:r>
      </w:hyperlink>
      <w:r w:rsidR="00B342A0" w:rsidRPr="005C4B14">
        <w:t xml:space="preserve"> </w:t>
      </w:r>
      <w:r w:rsidRPr="005C4B14">
        <w:t xml:space="preserve"> (Accessed: 1</w:t>
      </w:r>
      <w:r w:rsidR="00131C24" w:rsidRPr="005C4B14">
        <w:t>5</w:t>
      </w:r>
      <w:r w:rsidRPr="005C4B14">
        <w:t xml:space="preserve"> March 2026).</w:t>
      </w:r>
    </w:p>
    <w:p w14:paraId="5AA8A737" w14:textId="77777777" w:rsidR="00B877CA" w:rsidRPr="005C4B14" w:rsidRDefault="00B877CA" w:rsidP="00B877CA"/>
    <w:p w14:paraId="5EECF8D6" w14:textId="67A653EE" w:rsidR="00B877CA" w:rsidRPr="005C4B14" w:rsidRDefault="00B877CA" w:rsidP="00B877CA">
      <w:r w:rsidRPr="005C4B14">
        <w:t xml:space="preserve">Office for National Statistics (2023) Mortality Statistics in England and Wales. London: ONS. Available at: </w:t>
      </w:r>
      <w:hyperlink r:id="rId16" w:history="1">
        <w:r w:rsidR="00FA0993" w:rsidRPr="005C4B14">
          <w:rPr>
            <w:rStyle w:val="Hyperlink"/>
          </w:rPr>
          <w:t>https://www.ons.gov.uk/peoplepopulationandcommunity</w:t>
        </w:r>
      </w:hyperlink>
      <w:r w:rsidR="00FA0993" w:rsidRPr="005C4B14">
        <w:t xml:space="preserve"> </w:t>
      </w:r>
      <w:r w:rsidRPr="005C4B14">
        <w:t xml:space="preserve"> (Accessed: </w:t>
      </w:r>
      <w:r w:rsidR="00131C24" w:rsidRPr="005C4B14">
        <w:t>21</w:t>
      </w:r>
      <w:r w:rsidRPr="005C4B14">
        <w:t xml:space="preserve"> March 2026).</w:t>
      </w:r>
    </w:p>
    <w:p w14:paraId="4413205B" w14:textId="77777777" w:rsidR="00B877CA" w:rsidRPr="005C4B14" w:rsidRDefault="00B877CA" w:rsidP="00B877CA"/>
    <w:p w14:paraId="6007834E" w14:textId="77777777" w:rsidR="00E57ED4" w:rsidRPr="005C4B14" w:rsidRDefault="00E57ED4" w:rsidP="00B877CA"/>
    <w:p w14:paraId="513133E0" w14:textId="684544C4" w:rsidR="00B877CA" w:rsidRPr="005C4B14" w:rsidRDefault="00B877CA" w:rsidP="00B877CA">
      <w:r w:rsidRPr="005C4B14">
        <w:t xml:space="preserve">Public Health England (2018) Health Profile for England. London: PHE. Available at: </w:t>
      </w:r>
      <w:hyperlink r:id="rId17" w:history="1">
        <w:r w:rsidR="00FA0993" w:rsidRPr="005C4B14">
          <w:rPr>
            <w:rStyle w:val="Hyperlink"/>
          </w:rPr>
          <w:t>https://fingertips.phe.org.uk/profile/health-profile-england</w:t>
        </w:r>
      </w:hyperlink>
      <w:r w:rsidR="00FA0993" w:rsidRPr="005C4B14">
        <w:t xml:space="preserve"> </w:t>
      </w:r>
      <w:r w:rsidRPr="005C4B14">
        <w:t xml:space="preserve"> (Accessed: </w:t>
      </w:r>
      <w:r w:rsidR="00131C24" w:rsidRPr="005C4B14">
        <w:t>22</w:t>
      </w:r>
      <w:r w:rsidRPr="005C4B14">
        <w:t xml:space="preserve"> March 2026).</w:t>
      </w:r>
    </w:p>
    <w:p w14:paraId="67A0035F" w14:textId="77777777" w:rsidR="00B877CA" w:rsidRPr="005C4B14" w:rsidRDefault="00B877CA" w:rsidP="00B877CA"/>
    <w:p w14:paraId="00AE3C0A" w14:textId="77777777" w:rsidR="00B877CA" w:rsidRPr="005C4B14" w:rsidRDefault="00B877CA" w:rsidP="00B877CA">
      <w:r w:rsidRPr="005C4B14">
        <w:t>Smith, J. (2017) ‘Socioeconomic inequalities in health among older adults’, Public Health, 143, pp. 15–20.</w:t>
      </w:r>
    </w:p>
    <w:p w14:paraId="37420E05" w14:textId="77777777" w:rsidR="00B877CA" w:rsidRPr="005C4B14" w:rsidRDefault="00B877CA" w:rsidP="00B877CA"/>
    <w:p w14:paraId="7C20AD1B" w14:textId="77777777" w:rsidR="00B877CA" w:rsidRPr="005C4B14" w:rsidRDefault="00B877CA" w:rsidP="00B877CA">
      <w:r w:rsidRPr="005C4B14">
        <w:t>Steptoe, A., Deaton, A. and Stone, A. (2019) ‘Subjective wellbeing, health, and ageing’, The Lancet, 385(9968), pp. 640–648.</w:t>
      </w:r>
    </w:p>
    <w:p w14:paraId="0C9DE191" w14:textId="77777777" w:rsidR="00B877CA" w:rsidRPr="005C4B14" w:rsidRDefault="00B877CA" w:rsidP="00B877CA"/>
    <w:p w14:paraId="1FE33BCA" w14:textId="77777777" w:rsidR="00B877CA" w:rsidRPr="005C4B14" w:rsidRDefault="00B877CA" w:rsidP="00B877CA">
      <w:r w:rsidRPr="005C4B14">
        <w:t>Victor, C., Scambler, S., Bowling, A. and Bond, J. (2018) ‘Loneliness in later life’, Social Science &amp; Medicine, 66(9), pp. 2032–2041.</w:t>
      </w:r>
    </w:p>
    <w:p w14:paraId="6B796C21" w14:textId="77777777" w:rsidR="00B877CA" w:rsidRPr="005C4B14" w:rsidRDefault="00B877CA" w:rsidP="00B877CA"/>
    <w:p w14:paraId="30A61874" w14:textId="728CD698" w:rsidR="00B877CA" w:rsidRPr="005C4B14" w:rsidRDefault="00B877CA" w:rsidP="00B877CA">
      <w:r w:rsidRPr="005C4B14">
        <w:t xml:space="preserve">World Health Organization (2021) Ageing and Health. Geneva: WHO. Available at: </w:t>
      </w:r>
      <w:hyperlink r:id="rId18" w:history="1">
        <w:r w:rsidR="00563F3D" w:rsidRPr="005C4B14">
          <w:rPr>
            <w:rStyle w:val="Hyperlink"/>
          </w:rPr>
          <w:t>https://www.who.int/news-room/fact-sheets/detail/ageing-and-health</w:t>
        </w:r>
      </w:hyperlink>
      <w:r w:rsidR="00563F3D" w:rsidRPr="005C4B14">
        <w:t xml:space="preserve"> </w:t>
      </w:r>
      <w:r w:rsidRPr="005C4B14">
        <w:t xml:space="preserve"> (Accessed: 16 March 2026).</w:t>
      </w:r>
    </w:p>
    <w:p w14:paraId="6F04DE53" w14:textId="77777777" w:rsidR="00B877CA" w:rsidRPr="005C4B14" w:rsidRDefault="00B877CA" w:rsidP="00B877CA"/>
    <w:p w14:paraId="28D1FB3B" w14:textId="40CEDD13" w:rsidR="00B877CA" w:rsidRPr="005C4B14" w:rsidRDefault="00B877CA" w:rsidP="00B877CA">
      <w:pPr>
        <w:rPr>
          <w:b/>
          <w:bCs/>
        </w:rPr>
      </w:pPr>
      <w:r w:rsidRPr="005C4B14">
        <w:rPr>
          <w:b/>
          <w:bCs/>
        </w:rPr>
        <w:t>Task 2 Reference List</w:t>
      </w:r>
    </w:p>
    <w:p w14:paraId="1A9FE1A0" w14:textId="77777777" w:rsidR="00B877CA" w:rsidRPr="005C4B14" w:rsidRDefault="00B877CA" w:rsidP="00B877CA"/>
    <w:p w14:paraId="029F6CC7" w14:textId="61AA4508" w:rsidR="00B877CA" w:rsidRPr="005C4B14" w:rsidRDefault="00B877CA" w:rsidP="00B877CA">
      <w:r w:rsidRPr="005C4B14">
        <w:t xml:space="preserve">Brown, A., Guess, N., </w:t>
      </w:r>
      <w:proofErr w:type="spellStart"/>
      <w:r w:rsidRPr="005C4B14">
        <w:t>Dornhorst</w:t>
      </w:r>
      <w:proofErr w:type="spellEnd"/>
      <w:r w:rsidRPr="005C4B14">
        <w:t xml:space="preserve">, A., Taheri, S., Frost, G. and Thomas, E. (2019) ‘Insulin resistance and type 2 diabetes’, BMJ, 365, pp. 1–8. Available at: </w:t>
      </w:r>
      <w:hyperlink r:id="rId19" w:history="1">
        <w:r w:rsidRPr="005C4B14">
          <w:rPr>
            <w:rStyle w:val="Hyperlink"/>
          </w:rPr>
          <w:t>https://www.bmj.com</w:t>
        </w:r>
      </w:hyperlink>
      <w:r w:rsidRPr="005C4B14">
        <w:t xml:space="preserve"> </w:t>
      </w:r>
    </w:p>
    <w:p w14:paraId="391CC3DE" w14:textId="7D9F3793" w:rsidR="00B877CA" w:rsidRPr="005C4B14" w:rsidRDefault="00B877CA" w:rsidP="00B877CA">
      <w:r w:rsidRPr="005C4B14">
        <w:t xml:space="preserve"> (Accessed: 1</w:t>
      </w:r>
      <w:r w:rsidR="00131C24" w:rsidRPr="005C4B14">
        <w:t>7</w:t>
      </w:r>
      <w:r w:rsidRPr="005C4B14">
        <w:t xml:space="preserve"> March 2026).</w:t>
      </w:r>
    </w:p>
    <w:p w14:paraId="1F92F09F" w14:textId="77777777" w:rsidR="00B877CA" w:rsidRPr="005C4B14" w:rsidRDefault="00B877CA" w:rsidP="00B877CA"/>
    <w:p w14:paraId="3C492A6C" w14:textId="615F3C3A" w:rsidR="00B877CA" w:rsidRPr="005C4B14" w:rsidRDefault="00B877CA" w:rsidP="00B877CA">
      <w:r w:rsidRPr="005C4B14">
        <w:t xml:space="preserve">Cho, N., Shaw, J., </w:t>
      </w:r>
      <w:proofErr w:type="spellStart"/>
      <w:r w:rsidRPr="005C4B14">
        <w:t>Karuranga</w:t>
      </w:r>
      <w:proofErr w:type="spellEnd"/>
      <w:r w:rsidRPr="005C4B14">
        <w:t xml:space="preserve">, S., Huang, Y., da Rocha Fernandes, J., Ohlrogge, A. and Malanda, B. (2018) ‘IDF Diabetes Atlas: Global estimates of diabetes prevalence’, Diabetes Research and Clinical Practice, 138, pp. 271–281. Available at: </w:t>
      </w:r>
      <w:hyperlink r:id="rId20" w:history="1">
        <w:r w:rsidRPr="005C4B14">
          <w:rPr>
            <w:rStyle w:val="Hyperlink"/>
          </w:rPr>
          <w:t>https://www.sciencedirect.com</w:t>
        </w:r>
      </w:hyperlink>
      <w:r w:rsidRPr="005C4B14">
        <w:t xml:space="preserve">  (Accessed: 1</w:t>
      </w:r>
      <w:r w:rsidR="00131C24" w:rsidRPr="005C4B14">
        <w:t>5</w:t>
      </w:r>
      <w:r w:rsidRPr="005C4B14">
        <w:t xml:space="preserve"> March 2026).</w:t>
      </w:r>
    </w:p>
    <w:p w14:paraId="105BAC60" w14:textId="77777777" w:rsidR="00E57ED4" w:rsidRPr="005C4B14" w:rsidRDefault="00E57ED4" w:rsidP="00B877CA"/>
    <w:p w14:paraId="73E18403" w14:textId="0936A4C4" w:rsidR="00B877CA" w:rsidRPr="005C4B14" w:rsidRDefault="00B877CA" w:rsidP="00B877CA">
      <w:r w:rsidRPr="005C4B14">
        <w:t xml:space="preserve">Diabetes UK (2023) Diabetes Statistics in the UK. London: Diabetes UK. Available at: </w:t>
      </w:r>
      <w:hyperlink r:id="rId21" w:history="1">
        <w:r w:rsidRPr="005C4B14">
          <w:rPr>
            <w:rStyle w:val="Hyperlink"/>
          </w:rPr>
          <w:t>https://www.diabetes.org.uk/professionals/position-statements-reports/statistics</w:t>
        </w:r>
      </w:hyperlink>
      <w:r w:rsidRPr="005C4B14">
        <w:t xml:space="preserve"> </w:t>
      </w:r>
    </w:p>
    <w:p w14:paraId="2D924F17" w14:textId="75F2E6C2" w:rsidR="00B877CA" w:rsidRPr="005C4B14" w:rsidRDefault="00B877CA" w:rsidP="00B877CA">
      <w:r w:rsidRPr="005C4B14">
        <w:lastRenderedPageBreak/>
        <w:t xml:space="preserve"> (Accessed: </w:t>
      </w:r>
      <w:r w:rsidR="00131C24" w:rsidRPr="005C4B14">
        <w:t>20</w:t>
      </w:r>
      <w:r w:rsidRPr="005C4B14">
        <w:t xml:space="preserve"> March 2026).</w:t>
      </w:r>
    </w:p>
    <w:p w14:paraId="60F103B0" w14:textId="77777777" w:rsidR="00B877CA" w:rsidRPr="005C4B14" w:rsidRDefault="00B877CA" w:rsidP="00B877CA"/>
    <w:p w14:paraId="19276B14" w14:textId="77777777" w:rsidR="00B877CA" w:rsidRPr="005C4B14" w:rsidRDefault="00B877CA" w:rsidP="00B877CA">
      <w:proofErr w:type="spellStart"/>
      <w:r w:rsidRPr="005C4B14">
        <w:t>Forouhi</w:t>
      </w:r>
      <w:proofErr w:type="spellEnd"/>
      <w:r w:rsidRPr="005C4B14">
        <w:t>, N. and Wareham, N. (2014) ‘Epidemiology of diabetes’, Medicine, 42(12), pp. 698–702.</w:t>
      </w:r>
    </w:p>
    <w:p w14:paraId="1843A693" w14:textId="77777777" w:rsidR="00B877CA" w:rsidRPr="005C4B14" w:rsidRDefault="00B877CA" w:rsidP="00B877CA"/>
    <w:p w14:paraId="765A13BD" w14:textId="77777777" w:rsidR="00B877CA" w:rsidRPr="005C4B14" w:rsidRDefault="00B877CA" w:rsidP="00B877CA">
      <w:r w:rsidRPr="005C4B14">
        <w:t xml:space="preserve">Gillies, C., Abrams, K., Lambert, P., Cooper, N., Sutton, A., Hsu, R. and </w:t>
      </w:r>
      <w:proofErr w:type="spellStart"/>
      <w:r w:rsidRPr="005C4B14">
        <w:t>Khunti</w:t>
      </w:r>
      <w:proofErr w:type="spellEnd"/>
      <w:r w:rsidRPr="005C4B14">
        <w:t>, K. (2007) ‘Pharmacological and lifestyle interventions to prevent type 2 diabetes’, BMJ, 334(7588), pp. 299–302.</w:t>
      </w:r>
    </w:p>
    <w:p w14:paraId="78B43EA8" w14:textId="77777777" w:rsidR="00B877CA" w:rsidRPr="005C4B14" w:rsidRDefault="00B877CA" w:rsidP="00B877CA"/>
    <w:p w14:paraId="35D49CC2" w14:textId="77777777" w:rsidR="00B877CA" w:rsidRPr="005C4B14" w:rsidRDefault="00B877CA" w:rsidP="00B877CA">
      <w:r w:rsidRPr="005C4B14">
        <w:t>Goff, L. (2019) ‘Ethnicity and type 2 diabetes in the UK’, Nutrition Bulletin, 44(3), pp. 293–297.</w:t>
      </w:r>
    </w:p>
    <w:p w14:paraId="388E7D58" w14:textId="77777777" w:rsidR="00B877CA" w:rsidRPr="005C4B14" w:rsidRDefault="00B877CA" w:rsidP="00B877CA"/>
    <w:p w14:paraId="4D6B5BA8" w14:textId="77777777" w:rsidR="00B877CA" w:rsidRPr="005C4B14" w:rsidRDefault="00B877CA" w:rsidP="00B877CA">
      <w:r w:rsidRPr="005C4B14">
        <w:t xml:space="preserve">Greenhalgh, T. (2015) How to Read a Paper: The Basics of Evidence-Based Medicine. 5th </w:t>
      </w:r>
      <w:proofErr w:type="spellStart"/>
      <w:r w:rsidRPr="005C4B14">
        <w:t>edn</w:t>
      </w:r>
      <w:proofErr w:type="spellEnd"/>
      <w:r w:rsidRPr="005C4B14">
        <w:t>. Oxford: Wiley-Blackwell.</w:t>
      </w:r>
    </w:p>
    <w:p w14:paraId="2AA808D6" w14:textId="77777777" w:rsidR="00B877CA" w:rsidRPr="005C4B14" w:rsidRDefault="00B877CA" w:rsidP="00B877CA"/>
    <w:p w14:paraId="0B67B431" w14:textId="77777777" w:rsidR="00B877CA" w:rsidRPr="005C4B14" w:rsidRDefault="00B877CA" w:rsidP="00B877CA">
      <w:r w:rsidRPr="005C4B14">
        <w:t xml:space="preserve">Harding, J., Pavkov, M., Magliano, D., Shaw, J. and Gregg, E. (2019) ‘Global trends in diabetes complications’, </w:t>
      </w:r>
      <w:proofErr w:type="spellStart"/>
      <w:r w:rsidRPr="005C4B14">
        <w:t>Diabetologia</w:t>
      </w:r>
      <w:proofErr w:type="spellEnd"/>
      <w:r w:rsidRPr="005C4B14">
        <w:t>, 62(1), pp. 3–16.</w:t>
      </w:r>
    </w:p>
    <w:p w14:paraId="247862FE" w14:textId="77777777" w:rsidR="00B877CA" w:rsidRPr="005C4B14" w:rsidRDefault="00B877CA" w:rsidP="00B877CA"/>
    <w:p w14:paraId="397A5DAD" w14:textId="77777777" w:rsidR="00B877CA" w:rsidRPr="005C4B14" w:rsidRDefault="00B877CA" w:rsidP="00B877CA">
      <w:r w:rsidRPr="005C4B14">
        <w:t>Hex, N., Bartlett, C., Wright, D., Taylor, M. and Varley, D. (2012) ‘Estimating the current and future costs of Type 1 and Type 2 diabetes in the UK’, Diabetic Medicine, 29(7), pp. 855–862.</w:t>
      </w:r>
    </w:p>
    <w:p w14:paraId="2668808E" w14:textId="77777777" w:rsidR="00B877CA" w:rsidRPr="005C4B14" w:rsidRDefault="00B877CA" w:rsidP="00B877CA"/>
    <w:p w14:paraId="12187EBC" w14:textId="77777777" w:rsidR="00B877CA" w:rsidRPr="005C4B14" w:rsidRDefault="00B877CA" w:rsidP="00B877CA">
      <w:r w:rsidRPr="005C4B14">
        <w:t>Holman, R., Paul, S., Bethel, M., Matthews, D. and Neil, H. (2008) ‘10-year follow-up of intensive glucose control in Type 2 diabetes’, New England Journal of Medicine, 359(15), pp. 1577–1589.</w:t>
      </w:r>
    </w:p>
    <w:p w14:paraId="50C2C026" w14:textId="77777777" w:rsidR="00B877CA" w:rsidRPr="005C4B14" w:rsidRDefault="00B877CA" w:rsidP="00B877CA"/>
    <w:p w14:paraId="5A524114" w14:textId="77777777" w:rsidR="00B877CA" w:rsidRPr="005C4B14" w:rsidRDefault="00B877CA" w:rsidP="00B877CA">
      <w:r w:rsidRPr="005C4B14">
        <w:t>Hu, F. (2011) ‘Globalization of diabetes: the role of diet, lifestyle and genes’, Diabetes Care, 34(6), pp. 1249–1257.</w:t>
      </w:r>
    </w:p>
    <w:p w14:paraId="20977CDA" w14:textId="77777777" w:rsidR="00B877CA" w:rsidRPr="005C4B14" w:rsidRDefault="00B877CA" w:rsidP="00B877CA"/>
    <w:p w14:paraId="28D8713C" w14:textId="7ED4BACB" w:rsidR="00B877CA" w:rsidRPr="005C4B14" w:rsidRDefault="00B877CA" w:rsidP="00B877CA">
      <w:r w:rsidRPr="005C4B14">
        <w:t xml:space="preserve">International Diabetes Federation (2021) IDF Diabetes Atlas. Brussels: IDF. Available at: </w:t>
      </w:r>
      <w:hyperlink r:id="rId22" w:history="1">
        <w:r w:rsidRPr="005C4B14">
          <w:rPr>
            <w:rStyle w:val="Hyperlink"/>
          </w:rPr>
          <w:t>https://diabetesatlas.org</w:t>
        </w:r>
      </w:hyperlink>
      <w:r w:rsidRPr="005C4B14">
        <w:t xml:space="preserve">  (Accessed: 16 March 2026).</w:t>
      </w:r>
    </w:p>
    <w:p w14:paraId="127CD474" w14:textId="77777777" w:rsidR="00B877CA" w:rsidRPr="005C4B14" w:rsidRDefault="00B877CA" w:rsidP="00B877CA"/>
    <w:p w14:paraId="59EF2ED2" w14:textId="77777777" w:rsidR="00B877CA" w:rsidRPr="005C4B14" w:rsidRDefault="00B877CA" w:rsidP="00B877CA">
      <w:r w:rsidRPr="005C4B14">
        <w:lastRenderedPageBreak/>
        <w:t>Kirkman, M., Briscoe, V., Clark, N., Florez, H., Haas, L., Halter, J. and Swift, C. (2012) ‘Diabetes in older adults’, Diabetes Care, 35(12), pp. 2650–2664.</w:t>
      </w:r>
    </w:p>
    <w:p w14:paraId="47E40F79" w14:textId="77777777" w:rsidR="00B877CA" w:rsidRPr="005C4B14" w:rsidRDefault="00B877CA" w:rsidP="00B877CA"/>
    <w:p w14:paraId="13325EFD" w14:textId="77777777" w:rsidR="00B877CA" w:rsidRPr="005C4B14" w:rsidRDefault="00B877CA" w:rsidP="00B877CA">
      <w:r w:rsidRPr="005C4B14">
        <w:t>Knowler, W., Barrett-Connor, E., Fowler, S., Hamman, R., Lachin, J., Walker, E. and Nathan, D. (2002) ‘Reduction in the incidence of Type 2 diabetes with lifestyle intervention’, New England Journal of Medicine, 346(6), pp. 393–403.</w:t>
      </w:r>
    </w:p>
    <w:p w14:paraId="0E72D513" w14:textId="77777777" w:rsidR="00B877CA" w:rsidRPr="005C4B14" w:rsidRDefault="00B877CA" w:rsidP="00B877CA"/>
    <w:p w14:paraId="061CD92C" w14:textId="0EA5964D" w:rsidR="00B877CA" w:rsidRPr="005C4B14" w:rsidRDefault="00B877CA" w:rsidP="00B877CA">
      <w:r w:rsidRPr="005C4B14">
        <w:t xml:space="preserve">NICE (2022) Type 2 Diabetes Prevention: Population and Community-Level Interventions. London: NICE. Available at: </w:t>
      </w:r>
      <w:hyperlink r:id="rId23" w:history="1">
        <w:r w:rsidRPr="005C4B14">
          <w:rPr>
            <w:rStyle w:val="Hyperlink"/>
          </w:rPr>
          <w:t>https://www.nice.org.uk/guidance/ph38</w:t>
        </w:r>
      </w:hyperlink>
      <w:r w:rsidRPr="005C4B14">
        <w:t xml:space="preserve"> </w:t>
      </w:r>
    </w:p>
    <w:p w14:paraId="46F6AACD" w14:textId="3DEE4F95" w:rsidR="00B877CA" w:rsidRPr="005C4B14" w:rsidRDefault="00B877CA" w:rsidP="00B877CA">
      <w:r w:rsidRPr="005C4B14">
        <w:t xml:space="preserve"> (Accessed: 1</w:t>
      </w:r>
      <w:r w:rsidR="00131C24" w:rsidRPr="005C4B14">
        <w:t>5</w:t>
      </w:r>
      <w:r w:rsidRPr="005C4B14">
        <w:t xml:space="preserve"> March 2026).</w:t>
      </w:r>
    </w:p>
    <w:p w14:paraId="00035464" w14:textId="77777777" w:rsidR="00B877CA" w:rsidRPr="005C4B14" w:rsidRDefault="00B877CA" w:rsidP="00B877CA"/>
    <w:p w14:paraId="33A73994" w14:textId="2A442893" w:rsidR="00B877CA" w:rsidRPr="005C4B14" w:rsidRDefault="00B877CA" w:rsidP="00B877CA">
      <w:r w:rsidRPr="005C4B14">
        <w:t xml:space="preserve">NHS England (2022) NHS Diabetes Prevention Programme. London: NHS England. Available at: </w:t>
      </w:r>
      <w:hyperlink r:id="rId24" w:history="1">
        <w:r w:rsidRPr="005C4B14">
          <w:rPr>
            <w:rStyle w:val="Hyperlink"/>
          </w:rPr>
          <w:t>https://www.england.nhs.uk/diabetes/diabetes-prevention</w:t>
        </w:r>
      </w:hyperlink>
      <w:r w:rsidRPr="005C4B14">
        <w:t xml:space="preserve">  (Accessed: 1</w:t>
      </w:r>
      <w:r w:rsidR="00131C24" w:rsidRPr="005C4B14">
        <w:t>2</w:t>
      </w:r>
      <w:r w:rsidRPr="005C4B14">
        <w:t xml:space="preserve"> March 2026).</w:t>
      </w:r>
    </w:p>
    <w:p w14:paraId="3158BF31" w14:textId="77777777" w:rsidR="00B877CA" w:rsidRPr="005C4B14" w:rsidRDefault="00B877CA" w:rsidP="00B877CA"/>
    <w:p w14:paraId="34AB8385" w14:textId="77777777" w:rsidR="00B877CA" w:rsidRPr="005C4B14" w:rsidRDefault="00B877CA" w:rsidP="00B877CA">
      <w:r w:rsidRPr="005C4B14">
        <w:t>Noble, M. et al. (2015) The English Indices of Deprivation. London: Department for Communities and Local Government.</w:t>
      </w:r>
    </w:p>
    <w:p w14:paraId="32E156CD" w14:textId="77777777" w:rsidR="00B877CA" w:rsidRPr="005C4B14" w:rsidRDefault="00B877CA" w:rsidP="00B877CA"/>
    <w:p w14:paraId="09CBD1A0" w14:textId="77777777" w:rsidR="00B877CA" w:rsidRPr="005C4B14" w:rsidRDefault="00B877CA" w:rsidP="00B877CA">
      <w:r w:rsidRPr="005C4B14">
        <w:t>O’Neill, S. and O’Driscoll, L. (2015) ‘Metabolic syndrome and Type 2 diabetes’, Journal of Public Health, 37(1), pp. 1–7.</w:t>
      </w:r>
    </w:p>
    <w:p w14:paraId="6B35AC78" w14:textId="77777777" w:rsidR="00B877CA" w:rsidRPr="005C4B14" w:rsidRDefault="00B877CA" w:rsidP="00B877CA"/>
    <w:p w14:paraId="052668C7" w14:textId="77777777" w:rsidR="00B877CA" w:rsidRPr="005C4B14" w:rsidRDefault="00B877CA" w:rsidP="00B877CA">
      <w:r w:rsidRPr="005C4B14">
        <w:t>Pierce, M. and Keen, H. (2009) ‘Diabetes in the elderly population’, Age and Ageing, 38(1), pp. 15–19.</w:t>
      </w:r>
    </w:p>
    <w:p w14:paraId="2D8E48D3" w14:textId="77777777" w:rsidR="00B877CA" w:rsidRPr="005C4B14" w:rsidRDefault="00B877CA" w:rsidP="00B877CA"/>
    <w:p w14:paraId="1ACDC0C5" w14:textId="320C8E6C" w:rsidR="00B877CA" w:rsidRPr="005C4B14" w:rsidRDefault="00B877CA" w:rsidP="00B877CA">
      <w:r w:rsidRPr="005C4B14">
        <w:t xml:space="preserve">Public Health England (2022) Diabetes Prevalence Model for England. London: PHE. Available at: </w:t>
      </w:r>
      <w:hyperlink r:id="rId25" w:history="1">
        <w:r w:rsidRPr="005C4B14">
          <w:rPr>
            <w:rStyle w:val="Hyperlink"/>
          </w:rPr>
          <w:t>https://fingertips.phe.org.uk/profile/diabetes-ft</w:t>
        </w:r>
      </w:hyperlink>
      <w:r w:rsidRPr="005C4B14">
        <w:t xml:space="preserve">  (Accessed: 16 March 2026).</w:t>
      </w:r>
    </w:p>
    <w:p w14:paraId="6268FB10" w14:textId="77777777" w:rsidR="00B877CA" w:rsidRPr="005C4B14" w:rsidRDefault="00B877CA" w:rsidP="00B877CA"/>
    <w:p w14:paraId="7074892C" w14:textId="77777777" w:rsidR="00B877CA" w:rsidRPr="005C4B14" w:rsidRDefault="00B877CA" w:rsidP="00B877CA">
      <w:r w:rsidRPr="005C4B14">
        <w:t>Stratton, I. et al. (2000) ‘Association of glycaemia with macrovascular and microvascular complications’, BMJ, 321(7258), pp. 405–412.</w:t>
      </w:r>
    </w:p>
    <w:p w14:paraId="41BF608F" w14:textId="77777777" w:rsidR="00B877CA" w:rsidRPr="005C4B14" w:rsidRDefault="00B877CA" w:rsidP="00B877CA"/>
    <w:p w14:paraId="65E8264A" w14:textId="77777777" w:rsidR="00B877CA" w:rsidRPr="005C4B14" w:rsidRDefault="00B877CA" w:rsidP="00B877CA">
      <w:proofErr w:type="spellStart"/>
      <w:r w:rsidRPr="005C4B14">
        <w:lastRenderedPageBreak/>
        <w:t>Tuomilehto</w:t>
      </w:r>
      <w:proofErr w:type="spellEnd"/>
      <w:r w:rsidRPr="005C4B14">
        <w:t>, J. et al. (2001) ‘Prevention of Type 2 diabetes by lifestyle changes’, New England Journal of Medicine, 344(18), pp. 1343–1350.</w:t>
      </w:r>
    </w:p>
    <w:p w14:paraId="1611C4A5" w14:textId="77777777" w:rsidR="00B877CA" w:rsidRPr="005C4B14" w:rsidRDefault="00B877CA" w:rsidP="00B877CA"/>
    <w:p w14:paraId="42B1A6AA" w14:textId="77777777" w:rsidR="00B877CA" w:rsidRPr="005C4B14" w:rsidRDefault="00B877CA" w:rsidP="00B877CA">
      <w:r w:rsidRPr="005C4B14">
        <w:t>Walker, M. (2018) ‘Obesity and diabetes risk’, Public Health, 158, pp. 14–20.</w:t>
      </w:r>
    </w:p>
    <w:p w14:paraId="34538E7E" w14:textId="77777777" w:rsidR="00B877CA" w:rsidRPr="005C4B14" w:rsidRDefault="00B877CA" w:rsidP="00B877CA"/>
    <w:p w14:paraId="048E3D3C" w14:textId="77777777" w:rsidR="00B877CA" w:rsidRPr="005C4B14" w:rsidRDefault="00B877CA" w:rsidP="00B877CA">
      <w:r w:rsidRPr="005C4B14">
        <w:t xml:space="preserve">Wild, S., </w:t>
      </w:r>
      <w:proofErr w:type="spellStart"/>
      <w:r w:rsidRPr="005C4B14">
        <w:t>Roglic</w:t>
      </w:r>
      <w:proofErr w:type="spellEnd"/>
      <w:r w:rsidRPr="005C4B14">
        <w:t xml:space="preserve">, G., Green, A., </w:t>
      </w:r>
      <w:proofErr w:type="spellStart"/>
      <w:r w:rsidRPr="005C4B14">
        <w:t>Sicree</w:t>
      </w:r>
      <w:proofErr w:type="spellEnd"/>
      <w:r w:rsidRPr="005C4B14">
        <w:t>, R. and King, H. (2004) ‘Global prevalence of diabetes’, Diabetes Care, 27(5), pp. 1047–1053.</w:t>
      </w:r>
    </w:p>
    <w:p w14:paraId="5FCFE8E2" w14:textId="77777777" w:rsidR="00B877CA" w:rsidRPr="005C4B14" w:rsidRDefault="00B877CA" w:rsidP="00B877CA"/>
    <w:p w14:paraId="3C094484" w14:textId="79732C63" w:rsidR="00B877CA" w:rsidRPr="005C4B14" w:rsidRDefault="00B877CA" w:rsidP="00B877CA">
      <w:r w:rsidRPr="005C4B14">
        <w:t xml:space="preserve">World Health Organization (2021) Global Report on Diabetes. Geneva: WHO. Available at: </w:t>
      </w:r>
      <w:hyperlink r:id="rId26" w:history="1">
        <w:r w:rsidRPr="005C4B14">
          <w:rPr>
            <w:rStyle w:val="Hyperlink"/>
          </w:rPr>
          <w:t>https://www.who.int/publications/i/item/9789241565257</w:t>
        </w:r>
      </w:hyperlink>
      <w:r w:rsidRPr="005C4B14">
        <w:t xml:space="preserve">  (Accessed: 1</w:t>
      </w:r>
      <w:r w:rsidR="00131C24" w:rsidRPr="005C4B14">
        <w:t>9</w:t>
      </w:r>
      <w:r w:rsidRPr="005C4B14">
        <w:t xml:space="preserve"> March 2026).</w:t>
      </w:r>
    </w:p>
    <w:p w14:paraId="4A964682" w14:textId="77777777" w:rsidR="00B877CA" w:rsidRPr="005C4B14" w:rsidRDefault="00B877CA" w:rsidP="00B877CA"/>
    <w:p w14:paraId="4F125B5A" w14:textId="021BB8CE" w:rsidR="00594A38" w:rsidRDefault="00B877CA" w:rsidP="00B877CA">
      <w:r w:rsidRPr="005C4B14">
        <w:t>Zaccardi, F., Webb, D., Yates, T. and Davies, M. (2016) ‘Pathophysiology of Type 2 diabetes’, The Lancet, 388(10055), pp. 2019–2031.</w:t>
      </w:r>
    </w:p>
    <w:sectPr w:rsidR="00594A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64674" w14:textId="77777777" w:rsidR="00B22981" w:rsidRDefault="00B22981" w:rsidP="00B8120C">
      <w:pPr>
        <w:spacing w:after="0" w:line="240" w:lineRule="auto"/>
      </w:pPr>
      <w:r>
        <w:separator/>
      </w:r>
    </w:p>
  </w:endnote>
  <w:endnote w:type="continuationSeparator" w:id="0">
    <w:p w14:paraId="4AD5B19A" w14:textId="77777777" w:rsidR="00B22981" w:rsidRDefault="00B22981" w:rsidP="00B81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030A5" w14:textId="77777777" w:rsidR="00B22981" w:rsidRDefault="00B22981" w:rsidP="00B8120C">
      <w:pPr>
        <w:spacing w:after="0" w:line="240" w:lineRule="auto"/>
      </w:pPr>
      <w:r>
        <w:separator/>
      </w:r>
    </w:p>
  </w:footnote>
  <w:footnote w:type="continuationSeparator" w:id="0">
    <w:p w14:paraId="54EF27DA" w14:textId="77777777" w:rsidR="00B22981" w:rsidRDefault="00B22981" w:rsidP="00B812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A38"/>
    <w:rsid w:val="000973AB"/>
    <w:rsid w:val="00103DFB"/>
    <w:rsid w:val="00127C54"/>
    <w:rsid w:val="00130DBA"/>
    <w:rsid w:val="00131C24"/>
    <w:rsid w:val="0017488F"/>
    <w:rsid w:val="002608DB"/>
    <w:rsid w:val="00303D9E"/>
    <w:rsid w:val="00335A22"/>
    <w:rsid w:val="003549D5"/>
    <w:rsid w:val="00422AFA"/>
    <w:rsid w:val="00502FA7"/>
    <w:rsid w:val="00563F3D"/>
    <w:rsid w:val="0056552C"/>
    <w:rsid w:val="00594A38"/>
    <w:rsid w:val="005C4B14"/>
    <w:rsid w:val="00627CE9"/>
    <w:rsid w:val="0066736B"/>
    <w:rsid w:val="006C2C49"/>
    <w:rsid w:val="006F4935"/>
    <w:rsid w:val="007227B5"/>
    <w:rsid w:val="007609C0"/>
    <w:rsid w:val="007B23BE"/>
    <w:rsid w:val="0082234E"/>
    <w:rsid w:val="00886EB5"/>
    <w:rsid w:val="008B3F3E"/>
    <w:rsid w:val="008E7301"/>
    <w:rsid w:val="008F540F"/>
    <w:rsid w:val="00987B04"/>
    <w:rsid w:val="009A26B6"/>
    <w:rsid w:val="009C4EEC"/>
    <w:rsid w:val="009D24A1"/>
    <w:rsid w:val="00A63679"/>
    <w:rsid w:val="00A65C54"/>
    <w:rsid w:val="00B1033F"/>
    <w:rsid w:val="00B22981"/>
    <w:rsid w:val="00B342A0"/>
    <w:rsid w:val="00B8120C"/>
    <w:rsid w:val="00B877CA"/>
    <w:rsid w:val="00BA1597"/>
    <w:rsid w:val="00C2264D"/>
    <w:rsid w:val="00C279BB"/>
    <w:rsid w:val="00C716FC"/>
    <w:rsid w:val="00C857E7"/>
    <w:rsid w:val="00C92D56"/>
    <w:rsid w:val="00DB1956"/>
    <w:rsid w:val="00DD3F62"/>
    <w:rsid w:val="00DD6A71"/>
    <w:rsid w:val="00DF3F14"/>
    <w:rsid w:val="00E07F0C"/>
    <w:rsid w:val="00E10772"/>
    <w:rsid w:val="00E327E2"/>
    <w:rsid w:val="00E57ED4"/>
    <w:rsid w:val="00FA0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A09DC"/>
  <w15:chartTrackingRefBased/>
  <w15:docId w15:val="{FA82D061-8D2E-4BAA-9F78-C5A060511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A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4A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4A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4A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4A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4A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A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A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A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A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4A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4A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4A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4A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4A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4A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A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A38"/>
    <w:rPr>
      <w:rFonts w:eastAsiaTheme="majorEastAsia" w:cstheme="majorBidi"/>
      <w:color w:val="272727" w:themeColor="text1" w:themeTint="D8"/>
    </w:rPr>
  </w:style>
  <w:style w:type="paragraph" w:styleId="Title">
    <w:name w:val="Title"/>
    <w:basedOn w:val="Normal"/>
    <w:next w:val="Normal"/>
    <w:link w:val="TitleChar"/>
    <w:uiPriority w:val="10"/>
    <w:qFormat/>
    <w:rsid w:val="00594A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A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A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4A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A38"/>
    <w:pPr>
      <w:spacing w:before="160"/>
      <w:jc w:val="center"/>
    </w:pPr>
    <w:rPr>
      <w:i/>
      <w:iCs/>
      <w:color w:val="404040" w:themeColor="text1" w:themeTint="BF"/>
    </w:rPr>
  </w:style>
  <w:style w:type="character" w:customStyle="1" w:styleId="QuoteChar">
    <w:name w:val="Quote Char"/>
    <w:basedOn w:val="DefaultParagraphFont"/>
    <w:link w:val="Quote"/>
    <w:uiPriority w:val="29"/>
    <w:rsid w:val="00594A38"/>
    <w:rPr>
      <w:i/>
      <w:iCs/>
      <w:color w:val="404040" w:themeColor="text1" w:themeTint="BF"/>
    </w:rPr>
  </w:style>
  <w:style w:type="paragraph" w:styleId="ListParagraph">
    <w:name w:val="List Paragraph"/>
    <w:basedOn w:val="Normal"/>
    <w:uiPriority w:val="34"/>
    <w:qFormat/>
    <w:rsid w:val="00594A38"/>
    <w:pPr>
      <w:ind w:left="720"/>
      <w:contextualSpacing/>
    </w:pPr>
  </w:style>
  <w:style w:type="character" w:styleId="IntenseEmphasis">
    <w:name w:val="Intense Emphasis"/>
    <w:basedOn w:val="DefaultParagraphFont"/>
    <w:uiPriority w:val="21"/>
    <w:qFormat/>
    <w:rsid w:val="00594A38"/>
    <w:rPr>
      <w:i/>
      <w:iCs/>
      <w:color w:val="0F4761" w:themeColor="accent1" w:themeShade="BF"/>
    </w:rPr>
  </w:style>
  <w:style w:type="paragraph" w:styleId="IntenseQuote">
    <w:name w:val="Intense Quote"/>
    <w:basedOn w:val="Normal"/>
    <w:next w:val="Normal"/>
    <w:link w:val="IntenseQuoteChar"/>
    <w:uiPriority w:val="30"/>
    <w:qFormat/>
    <w:rsid w:val="00594A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4A38"/>
    <w:rPr>
      <w:i/>
      <w:iCs/>
      <w:color w:val="0F4761" w:themeColor="accent1" w:themeShade="BF"/>
    </w:rPr>
  </w:style>
  <w:style w:type="character" w:styleId="IntenseReference">
    <w:name w:val="Intense Reference"/>
    <w:basedOn w:val="DefaultParagraphFont"/>
    <w:uiPriority w:val="32"/>
    <w:qFormat/>
    <w:rsid w:val="00594A38"/>
    <w:rPr>
      <w:b/>
      <w:bCs/>
      <w:smallCaps/>
      <w:color w:val="0F4761" w:themeColor="accent1" w:themeShade="BF"/>
      <w:spacing w:val="5"/>
    </w:rPr>
  </w:style>
  <w:style w:type="character" w:styleId="Hyperlink">
    <w:name w:val="Hyperlink"/>
    <w:basedOn w:val="DefaultParagraphFont"/>
    <w:uiPriority w:val="99"/>
    <w:unhideWhenUsed/>
    <w:rsid w:val="00B877CA"/>
    <w:rPr>
      <w:color w:val="467886" w:themeColor="hyperlink"/>
      <w:u w:val="single"/>
    </w:rPr>
  </w:style>
  <w:style w:type="character" w:styleId="UnresolvedMention">
    <w:name w:val="Unresolved Mention"/>
    <w:basedOn w:val="DefaultParagraphFont"/>
    <w:uiPriority w:val="99"/>
    <w:semiHidden/>
    <w:unhideWhenUsed/>
    <w:rsid w:val="00B877CA"/>
    <w:rPr>
      <w:color w:val="605E5C"/>
      <w:shd w:val="clear" w:color="auto" w:fill="E1DFDD"/>
    </w:rPr>
  </w:style>
  <w:style w:type="paragraph" w:styleId="Header">
    <w:name w:val="header"/>
    <w:basedOn w:val="Normal"/>
    <w:link w:val="HeaderChar"/>
    <w:uiPriority w:val="99"/>
    <w:unhideWhenUsed/>
    <w:rsid w:val="00B812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120C"/>
  </w:style>
  <w:style w:type="paragraph" w:styleId="Footer">
    <w:name w:val="footer"/>
    <w:basedOn w:val="Normal"/>
    <w:link w:val="FooterChar"/>
    <w:uiPriority w:val="99"/>
    <w:unhideWhenUsed/>
    <w:rsid w:val="00B812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12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epartment-of-health-and-social-care" TargetMode="External"/><Relationship Id="rId13" Type="http://schemas.openxmlformats.org/officeDocument/2006/relationships/hyperlink" Target="https://www.longtermplan.nhs.uk" TargetMode="External"/><Relationship Id="rId18" Type="http://schemas.openxmlformats.org/officeDocument/2006/relationships/hyperlink" Target="https://www.who.int/news-room/fact-sheets/detail/ageing-and-health" TargetMode="External"/><Relationship Id="rId26" Type="http://schemas.openxmlformats.org/officeDocument/2006/relationships/hyperlink" Target="https://www.who.int/publications/i/item/9789241565257" TargetMode="External"/><Relationship Id="rId3" Type="http://schemas.openxmlformats.org/officeDocument/2006/relationships/webSettings" Target="webSettings.xml"/><Relationship Id="rId21" Type="http://schemas.openxmlformats.org/officeDocument/2006/relationships/hyperlink" Target="https://www.diabetes.org.uk/professionals/position-statements-reports/statistics" TargetMode="External"/><Relationship Id="rId7" Type="http://schemas.openxmlformats.org/officeDocument/2006/relationships/hyperlink" Target="https://ifs.org.uk/publications" TargetMode="External"/><Relationship Id="rId12" Type="http://schemas.openxmlformats.org/officeDocument/2006/relationships/hyperlink" Target="https://www.mentalhealth.org.uk/explore-mental-health/a-z-topics/older-people" TargetMode="External"/><Relationship Id="rId17" Type="http://schemas.openxmlformats.org/officeDocument/2006/relationships/hyperlink" Target="https://fingertips.phe.org.uk/profile/health-profile-england" TargetMode="External"/><Relationship Id="rId25" Type="http://schemas.openxmlformats.org/officeDocument/2006/relationships/hyperlink" Target="https://fingertips.phe.org.uk/profile/diabetes-ft" TargetMode="External"/><Relationship Id="rId2" Type="http://schemas.openxmlformats.org/officeDocument/2006/relationships/settings" Target="settings.xml"/><Relationship Id="rId16" Type="http://schemas.openxmlformats.org/officeDocument/2006/relationships/hyperlink" Target="https://www.ons.gov.uk/peoplepopulationandcommunity" TargetMode="External"/><Relationship Id="rId20" Type="http://schemas.openxmlformats.org/officeDocument/2006/relationships/hyperlink" Target="https://www.sciencedirect.com" TargetMode="External"/><Relationship Id="rId1" Type="http://schemas.openxmlformats.org/officeDocument/2006/relationships/styles" Target="styles.xml"/><Relationship Id="rId6" Type="http://schemas.openxmlformats.org/officeDocument/2006/relationships/hyperlink" Target="https://www.ageuk.org.uk/information-advice/work-learning/" TargetMode="External"/><Relationship Id="rId11" Type="http://schemas.openxmlformats.org/officeDocument/2006/relationships/hyperlink" Target="https://www.sciencedirect.com" TargetMode="External"/><Relationship Id="rId24" Type="http://schemas.openxmlformats.org/officeDocument/2006/relationships/hyperlink" Target="https://www.england.nhs.uk/diabetes/diabetes-prevention" TargetMode="External"/><Relationship Id="rId5" Type="http://schemas.openxmlformats.org/officeDocument/2006/relationships/endnotes" Target="endnotes.xml"/><Relationship Id="rId15" Type="http://schemas.openxmlformats.org/officeDocument/2006/relationships/hyperlink" Target="https://www.ons.gov.uk" TargetMode="External"/><Relationship Id="rId23" Type="http://schemas.openxmlformats.org/officeDocument/2006/relationships/hyperlink" Target="https://www.nice.org.uk/guidance/ph38" TargetMode="External"/><Relationship Id="rId28" Type="http://schemas.openxmlformats.org/officeDocument/2006/relationships/theme" Target="theme/theme1.xml"/><Relationship Id="rId10" Type="http://schemas.openxmlformats.org/officeDocument/2006/relationships/hyperlink" Target="https://www.instituteofhealthequity.org/resources-reports/marmot-review-10-years-on" TargetMode="External"/><Relationship Id="rId19" Type="http://schemas.openxmlformats.org/officeDocument/2006/relationships/hyperlink" Target="https://www.bmj.com" TargetMode="External"/><Relationship Id="rId4" Type="http://schemas.openxmlformats.org/officeDocument/2006/relationships/footnotes" Target="footnotes.xml"/><Relationship Id="rId9" Type="http://schemas.openxmlformats.org/officeDocument/2006/relationships/hyperlink" Target="https://www.thelancet.com" TargetMode="External"/><Relationship Id="rId14" Type="http://schemas.openxmlformats.org/officeDocument/2006/relationships/hyperlink" Target="https://www.england.nhs.uk" TargetMode="External"/><Relationship Id="rId22" Type="http://schemas.openxmlformats.org/officeDocument/2006/relationships/hyperlink" Target="https://diabetesatlas.or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93</TotalTime>
  <Pages>18</Pages>
  <Words>4485</Words>
  <Characters>25570</Characters>
  <Application>Microsoft Office Word</Application>
  <DocSecurity>0</DocSecurity>
  <Lines>213</Lines>
  <Paragraphs>59</Paragraphs>
  <ScaleCrop>false</ScaleCrop>
  <Company/>
  <LinksUpToDate>false</LinksUpToDate>
  <CharactersWithSpaces>29996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Zobia Riaz (2226851)</dc:creator>
  <cp:keywords/>
  <dc:description/>
  <cp:lastModifiedBy>Zobia Riaz (2226851)</cp:lastModifiedBy>
  <cp:revision>52</cp:revision>
  <dcterms:created xsi:type="dcterms:W3CDTF">2026-03-16T09:33:00Z</dcterms:created>
  <dcterms:modified xsi:type="dcterms:W3CDTF">2026-03-22T15:45:00Z</dcterms:modified>
</cp:coreProperties>
</file>