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0667" w:rsidRDefault="00AC0667" w:rsidP="00AC0667">
      <w:pPr>
        <w:jc w:val="center"/>
        <w:rPr>
          <w:b/>
          <w:bCs/>
          <w:sz w:val="52"/>
          <w:szCs w:val="44"/>
        </w:rPr>
      </w:pPr>
    </w:p>
    <w:p w:rsidR="00AC0667" w:rsidRDefault="00AC0667" w:rsidP="00AC0667">
      <w:pPr>
        <w:jc w:val="center"/>
        <w:rPr>
          <w:b/>
          <w:bCs/>
          <w:sz w:val="52"/>
          <w:szCs w:val="44"/>
        </w:rPr>
      </w:pPr>
    </w:p>
    <w:p w:rsidR="00B9159D" w:rsidRDefault="00AC0667" w:rsidP="00AC0667">
      <w:pPr>
        <w:jc w:val="center"/>
        <w:rPr>
          <w:b/>
          <w:bCs/>
          <w:sz w:val="52"/>
          <w:szCs w:val="44"/>
        </w:rPr>
      </w:pPr>
      <w:r w:rsidRPr="00AC0667">
        <w:rPr>
          <w:b/>
          <w:bCs/>
          <w:sz w:val="52"/>
          <w:szCs w:val="44"/>
        </w:rPr>
        <w:t>Module</w:t>
      </w:r>
      <w:r>
        <w:rPr>
          <w:b/>
          <w:bCs/>
          <w:sz w:val="52"/>
          <w:szCs w:val="44"/>
        </w:rPr>
        <w:t xml:space="preserve">: </w:t>
      </w:r>
      <w:r w:rsidRPr="00AC0667">
        <w:rPr>
          <w:b/>
          <w:bCs/>
          <w:sz w:val="52"/>
          <w:szCs w:val="44"/>
        </w:rPr>
        <w:t>Marketing Management</w:t>
      </w:r>
    </w:p>
    <w:p w:rsidR="00AC0667" w:rsidRDefault="00AC0667" w:rsidP="00AC0667">
      <w:pPr>
        <w:jc w:val="center"/>
        <w:rPr>
          <w:b/>
          <w:bCs/>
          <w:sz w:val="52"/>
          <w:szCs w:val="44"/>
        </w:rPr>
      </w:pPr>
      <w:r w:rsidRPr="00AC0667">
        <w:rPr>
          <w:b/>
          <w:bCs/>
          <w:sz w:val="52"/>
          <w:szCs w:val="44"/>
        </w:rPr>
        <w:t>Module code: LCMB7024</w:t>
      </w:r>
    </w:p>
    <w:p w:rsidR="00AC0667" w:rsidRPr="00AC0667" w:rsidRDefault="00AC0667" w:rsidP="00AC0667">
      <w:pPr>
        <w:rPr>
          <w:b/>
          <w:bCs/>
          <w:sz w:val="52"/>
          <w:szCs w:val="44"/>
        </w:rPr>
      </w:pPr>
    </w:p>
    <w:p w:rsidR="00AC0667" w:rsidRDefault="00AC0667" w:rsidP="00AC0667">
      <w:pPr>
        <w:jc w:val="center"/>
        <w:rPr>
          <w:b/>
          <w:bCs/>
          <w:sz w:val="44"/>
          <w:szCs w:val="36"/>
        </w:rPr>
      </w:pPr>
      <w:r w:rsidRPr="00AC0667">
        <w:rPr>
          <w:b/>
          <w:bCs/>
          <w:sz w:val="44"/>
          <w:szCs w:val="36"/>
        </w:rPr>
        <w:t>Assignment Title:</w:t>
      </w:r>
      <w:r>
        <w:rPr>
          <w:b/>
          <w:bCs/>
          <w:sz w:val="44"/>
          <w:szCs w:val="36"/>
        </w:rPr>
        <w:t xml:space="preserve"> </w:t>
      </w:r>
      <w:r w:rsidRPr="00AC0667">
        <w:rPr>
          <w:b/>
          <w:bCs/>
          <w:sz w:val="44"/>
          <w:szCs w:val="36"/>
        </w:rPr>
        <w:t>Marketing Environment Analysis</w:t>
      </w:r>
    </w:p>
    <w:p w:rsidR="00AC0667" w:rsidRDefault="00AC0667" w:rsidP="00AC0667">
      <w:pPr>
        <w:jc w:val="center"/>
        <w:rPr>
          <w:b/>
          <w:bCs/>
          <w:sz w:val="44"/>
          <w:szCs w:val="36"/>
        </w:rPr>
      </w:pPr>
    </w:p>
    <w:p w:rsidR="00AC0667" w:rsidRDefault="00AC0667" w:rsidP="00AC0667">
      <w:pPr>
        <w:jc w:val="center"/>
        <w:rPr>
          <w:b/>
          <w:bCs/>
          <w:sz w:val="32"/>
          <w:szCs w:val="24"/>
        </w:rPr>
      </w:pPr>
      <w:r w:rsidRPr="00AC0667">
        <w:rPr>
          <w:b/>
          <w:bCs/>
          <w:sz w:val="32"/>
          <w:szCs w:val="24"/>
        </w:rPr>
        <w:t>Student name:</w:t>
      </w:r>
      <w:r w:rsidR="00073EC9">
        <w:rPr>
          <w:b/>
          <w:bCs/>
          <w:sz w:val="32"/>
          <w:szCs w:val="24"/>
        </w:rPr>
        <w:t xml:space="preserve"> FAIYAZ FARUK MALEK</w:t>
      </w:r>
    </w:p>
    <w:p w:rsidR="00AC0667" w:rsidRDefault="00AC0667" w:rsidP="00AC0667">
      <w:pPr>
        <w:jc w:val="center"/>
        <w:rPr>
          <w:b/>
          <w:bCs/>
          <w:sz w:val="32"/>
          <w:szCs w:val="24"/>
        </w:rPr>
      </w:pPr>
      <w:r w:rsidRPr="00AC0667">
        <w:rPr>
          <w:b/>
          <w:bCs/>
          <w:sz w:val="32"/>
          <w:szCs w:val="24"/>
        </w:rPr>
        <w:t>Student ID</w:t>
      </w:r>
      <w:r>
        <w:rPr>
          <w:b/>
          <w:bCs/>
          <w:sz w:val="32"/>
          <w:szCs w:val="24"/>
        </w:rPr>
        <w:t>:</w:t>
      </w:r>
      <w:r w:rsidR="00073EC9">
        <w:rPr>
          <w:b/>
          <w:bCs/>
          <w:sz w:val="32"/>
          <w:szCs w:val="24"/>
        </w:rPr>
        <w:t>2544436</w:t>
      </w:r>
    </w:p>
    <w:p w:rsidR="00AC0667" w:rsidRPr="00AC0667" w:rsidRDefault="00AC0667" w:rsidP="00AC0667">
      <w:pPr>
        <w:jc w:val="center"/>
        <w:rPr>
          <w:b/>
          <w:bCs/>
          <w:sz w:val="32"/>
          <w:szCs w:val="24"/>
        </w:rPr>
      </w:pPr>
    </w:p>
    <w:p w:rsidR="00AC0667" w:rsidRDefault="00AC0667">
      <w:pPr>
        <w:rPr>
          <w:lang w:val="en-US"/>
        </w:rPr>
      </w:pPr>
    </w:p>
    <w:p w:rsidR="00AC0667" w:rsidRDefault="000E0B28">
      <w:pPr>
        <w:rPr>
          <w:lang w:val="en-US"/>
        </w:rPr>
      </w:pPr>
      <w:r>
        <w:rPr>
          <w:lang w:val="en-US"/>
        </w:rPr>
        <w:br w:type="column"/>
      </w:r>
    </w:p>
    <w:sdt>
      <w:sdtPr>
        <w:rPr>
          <w:rFonts w:ascii="Times New Roman" w:eastAsiaTheme="minorHAnsi" w:hAnsi="Times New Roman" w:cstheme="minorBidi"/>
          <w:color w:val="auto"/>
          <w:sz w:val="24"/>
          <w:szCs w:val="20"/>
          <w:lang w:val="en-GB" w:bidi="hi-IN"/>
        </w:rPr>
        <w:id w:val="-324052716"/>
        <w:docPartObj>
          <w:docPartGallery w:val="Table of Contents"/>
          <w:docPartUnique/>
        </w:docPartObj>
      </w:sdtPr>
      <w:sdtEndPr>
        <w:rPr>
          <w:b/>
          <w:bCs/>
          <w:noProof/>
        </w:rPr>
      </w:sdtEndPr>
      <w:sdtContent>
        <w:p w:rsidR="00AC0667" w:rsidRDefault="00AC0667">
          <w:pPr>
            <w:pStyle w:val="TOCHeading"/>
          </w:pPr>
          <w:r>
            <w:t>Table of Contents</w:t>
          </w:r>
        </w:p>
        <w:p w:rsidR="00AC0667" w:rsidRDefault="00D25B4A">
          <w:pPr>
            <w:pStyle w:val="TOC1"/>
            <w:tabs>
              <w:tab w:val="right" w:leader="dot" w:pos="9016"/>
            </w:tabs>
            <w:rPr>
              <w:noProof/>
            </w:rPr>
          </w:pPr>
          <w:r w:rsidRPr="00D25B4A">
            <w:fldChar w:fldCharType="begin"/>
          </w:r>
          <w:r w:rsidR="00AC0667">
            <w:instrText xml:space="preserve"> TOC \o "1-3" \h \z \u </w:instrText>
          </w:r>
          <w:r w:rsidRPr="00D25B4A">
            <w:fldChar w:fldCharType="separate"/>
          </w:r>
          <w:hyperlink w:anchor="_Toc235183361" w:history="1">
            <w:r w:rsidR="00AC0667" w:rsidRPr="003F495E">
              <w:rPr>
                <w:rStyle w:val="Hyperlink"/>
                <w:rFonts w:eastAsia="Times New Roman"/>
                <w:noProof/>
                <w:lang w:eastAsia="en-GB"/>
              </w:rPr>
              <w:t>Introduction</w:t>
            </w:r>
            <w:r w:rsidR="00AC0667">
              <w:rPr>
                <w:noProof/>
                <w:webHidden/>
              </w:rPr>
              <w:tab/>
            </w:r>
            <w:r>
              <w:rPr>
                <w:noProof/>
                <w:webHidden/>
              </w:rPr>
              <w:fldChar w:fldCharType="begin"/>
            </w:r>
            <w:r w:rsidR="00AC0667">
              <w:rPr>
                <w:noProof/>
                <w:webHidden/>
              </w:rPr>
              <w:instrText xml:space="preserve"> PAGEREF _Toc235183361 \h </w:instrText>
            </w:r>
            <w:r>
              <w:rPr>
                <w:noProof/>
                <w:webHidden/>
              </w:rPr>
            </w:r>
            <w:r>
              <w:rPr>
                <w:noProof/>
                <w:webHidden/>
              </w:rPr>
              <w:fldChar w:fldCharType="separate"/>
            </w:r>
            <w:r w:rsidR="00AC0667">
              <w:rPr>
                <w:noProof/>
                <w:webHidden/>
              </w:rPr>
              <w:t>3</w:t>
            </w:r>
            <w:r>
              <w:rPr>
                <w:noProof/>
                <w:webHidden/>
              </w:rPr>
              <w:fldChar w:fldCharType="end"/>
            </w:r>
          </w:hyperlink>
        </w:p>
        <w:p w:rsidR="00AC0667" w:rsidRDefault="00D25B4A">
          <w:pPr>
            <w:pStyle w:val="TOC1"/>
            <w:tabs>
              <w:tab w:val="right" w:leader="dot" w:pos="9016"/>
            </w:tabs>
            <w:rPr>
              <w:noProof/>
            </w:rPr>
          </w:pPr>
          <w:hyperlink w:anchor="_Toc235183362" w:history="1">
            <w:r w:rsidR="00AC0667" w:rsidRPr="003F495E">
              <w:rPr>
                <w:rStyle w:val="Hyperlink"/>
                <w:rFonts w:eastAsia="Times New Roman"/>
                <w:noProof/>
                <w:lang w:eastAsia="en-GB"/>
              </w:rPr>
              <w:t>Task 1: Marketing Environment Analysis</w:t>
            </w:r>
            <w:r w:rsidR="00AC0667">
              <w:rPr>
                <w:noProof/>
                <w:webHidden/>
              </w:rPr>
              <w:tab/>
            </w:r>
            <w:r>
              <w:rPr>
                <w:noProof/>
                <w:webHidden/>
              </w:rPr>
              <w:fldChar w:fldCharType="begin"/>
            </w:r>
            <w:r w:rsidR="00AC0667">
              <w:rPr>
                <w:noProof/>
                <w:webHidden/>
              </w:rPr>
              <w:instrText xml:space="preserve"> PAGEREF _Toc235183362 \h </w:instrText>
            </w:r>
            <w:r>
              <w:rPr>
                <w:noProof/>
                <w:webHidden/>
              </w:rPr>
            </w:r>
            <w:r>
              <w:rPr>
                <w:noProof/>
                <w:webHidden/>
              </w:rPr>
              <w:fldChar w:fldCharType="separate"/>
            </w:r>
            <w:r w:rsidR="00AC0667">
              <w:rPr>
                <w:noProof/>
                <w:webHidden/>
              </w:rPr>
              <w:t>3</w:t>
            </w:r>
            <w:r>
              <w:rPr>
                <w:noProof/>
                <w:webHidden/>
              </w:rPr>
              <w:fldChar w:fldCharType="end"/>
            </w:r>
          </w:hyperlink>
        </w:p>
        <w:p w:rsidR="00AC0667" w:rsidRDefault="00D25B4A">
          <w:pPr>
            <w:pStyle w:val="TOC2"/>
            <w:tabs>
              <w:tab w:val="right" w:leader="dot" w:pos="9016"/>
            </w:tabs>
            <w:rPr>
              <w:noProof/>
            </w:rPr>
          </w:pPr>
          <w:hyperlink w:anchor="_Toc235183363" w:history="1">
            <w:r w:rsidR="00AC0667" w:rsidRPr="003F495E">
              <w:rPr>
                <w:rStyle w:val="Hyperlink"/>
                <w:noProof/>
              </w:rPr>
              <w:t>Company Background</w:t>
            </w:r>
            <w:r w:rsidR="00AC0667">
              <w:rPr>
                <w:noProof/>
                <w:webHidden/>
              </w:rPr>
              <w:tab/>
            </w:r>
            <w:r>
              <w:rPr>
                <w:noProof/>
                <w:webHidden/>
              </w:rPr>
              <w:fldChar w:fldCharType="begin"/>
            </w:r>
            <w:r w:rsidR="00AC0667">
              <w:rPr>
                <w:noProof/>
                <w:webHidden/>
              </w:rPr>
              <w:instrText xml:space="preserve"> PAGEREF _Toc235183363 \h </w:instrText>
            </w:r>
            <w:r>
              <w:rPr>
                <w:noProof/>
                <w:webHidden/>
              </w:rPr>
            </w:r>
            <w:r>
              <w:rPr>
                <w:noProof/>
                <w:webHidden/>
              </w:rPr>
              <w:fldChar w:fldCharType="separate"/>
            </w:r>
            <w:r w:rsidR="00AC0667">
              <w:rPr>
                <w:noProof/>
                <w:webHidden/>
              </w:rPr>
              <w:t>3</w:t>
            </w:r>
            <w:r>
              <w:rPr>
                <w:noProof/>
                <w:webHidden/>
              </w:rPr>
              <w:fldChar w:fldCharType="end"/>
            </w:r>
          </w:hyperlink>
        </w:p>
        <w:p w:rsidR="00AC0667" w:rsidRDefault="00D25B4A">
          <w:pPr>
            <w:pStyle w:val="TOC2"/>
            <w:tabs>
              <w:tab w:val="right" w:leader="dot" w:pos="9016"/>
            </w:tabs>
            <w:rPr>
              <w:noProof/>
            </w:rPr>
          </w:pPr>
          <w:hyperlink w:anchor="_Toc235183364" w:history="1">
            <w:r w:rsidR="00AC0667" w:rsidRPr="003F495E">
              <w:rPr>
                <w:rStyle w:val="Hyperlink"/>
                <w:noProof/>
              </w:rPr>
              <w:t>Marketing Environment Analysis</w:t>
            </w:r>
            <w:r w:rsidR="00AC0667">
              <w:rPr>
                <w:noProof/>
                <w:webHidden/>
              </w:rPr>
              <w:tab/>
            </w:r>
            <w:r>
              <w:rPr>
                <w:noProof/>
                <w:webHidden/>
              </w:rPr>
              <w:fldChar w:fldCharType="begin"/>
            </w:r>
            <w:r w:rsidR="00AC0667">
              <w:rPr>
                <w:noProof/>
                <w:webHidden/>
              </w:rPr>
              <w:instrText xml:space="preserve"> PAGEREF _Toc235183364 \h </w:instrText>
            </w:r>
            <w:r>
              <w:rPr>
                <w:noProof/>
                <w:webHidden/>
              </w:rPr>
            </w:r>
            <w:r>
              <w:rPr>
                <w:noProof/>
                <w:webHidden/>
              </w:rPr>
              <w:fldChar w:fldCharType="separate"/>
            </w:r>
            <w:r w:rsidR="00AC0667">
              <w:rPr>
                <w:noProof/>
                <w:webHidden/>
              </w:rPr>
              <w:t>3</w:t>
            </w:r>
            <w:r>
              <w:rPr>
                <w:noProof/>
                <w:webHidden/>
              </w:rPr>
              <w:fldChar w:fldCharType="end"/>
            </w:r>
          </w:hyperlink>
        </w:p>
        <w:p w:rsidR="00AC0667" w:rsidRDefault="00D25B4A">
          <w:pPr>
            <w:pStyle w:val="TOC3"/>
            <w:tabs>
              <w:tab w:val="right" w:leader="dot" w:pos="9016"/>
            </w:tabs>
            <w:rPr>
              <w:noProof/>
            </w:rPr>
          </w:pPr>
          <w:hyperlink w:anchor="_Toc235183365" w:history="1">
            <w:r w:rsidR="00AC0667" w:rsidRPr="003F495E">
              <w:rPr>
                <w:rStyle w:val="Hyperlink"/>
                <w:noProof/>
              </w:rPr>
              <w:t>Natural Environment</w:t>
            </w:r>
            <w:r w:rsidR="00AC0667">
              <w:rPr>
                <w:noProof/>
                <w:webHidden/>
              </w:rPr>
              <w:tab/>
            </w:r>
            <w:r>
              <w:rPr>
                <w:noProof/>
                <w:webHidden/>
              </w:rPr>
              <w:fldChar w:fldCharType="begin"/>
            </w:r>
            <w:r w:rsidR="00AC0667">
              <w:rPr>
                <w:noProof/>
                <w:webHidden/>
              </w:rPr>
              <w:instrText xml:space="preserve"> PAGEREF _Toc235183365 \h </w:instrText>
            </w:r>
            <w:r>
              <w:rPr>
                <w:noProof/>
                <w:webHidden/>
              </w:rPr>
            </w:r>
            <w:r>
              <w:rPr>
                <w:noProof/>
                <w:webHidden/>
              </w:rPr>
              <w:fldChar w:fldCharType="separate"/>
            </w:r>
            <w:r w:rsidR="00AC0667">
              <w:rPr>
                <w:noProof/>
                <w:webHidden/>
              </w:rPr>
              <w:t>3</w:t>
            </w:r>
            <w:r>
              <w:rPr>
                <w:noProof/>
                <w:webHidden/>
              </w:rPr>
              <w:fldChar w:fldCharType="end"/>
            </w:r>
          </w:hyperlink>
        </w:p>
        <w:p w:rsidR="00AC0667" w:rsidRDefault="00D25B4A">
          <w:pPr>
            <w:pStyle w:val="TOC3"/>
            <w:tabs>
              <w:tab w:val="right" w:leader="dot" w:pos="9016"/>
            </w:tabs>
            <w:rPr>
              <w:noProof/>
            </w:rPr>
          </w:pPr>
          <w:hyperlink w:anchor="_Toc235183366" w:history="1">
            <w:r w:rsidR="00AC0667" w:rsidRPr="003F495E">
              <w:rPr>
                <w:rStyle w:val="Hyperlink"/>
                <w:noProof/>
              </w:rPr>
              <w:t>Technological Environment</w:t>
            </w:r>
            <w:r w:rsidR="00AC0667">
              <w:rPr>
                <w:noProof/>
                <w:webHidden/>
              </w:rPr>
              <w:tab/>
            </w:r>
            <w:r>
              <w:rPr>
                <w:noProof/>
                <w:webHidden/>
              </w:rPr>
              <w:fldChar w:fldCharType="begin"/>
            </w:r>
            <w:r w:rsidR="00AC0667">
              <w:rPr>
                <w:noProof/>
                <w:webHidden/>
              </w:rPr>
              <w:instrText xml:space="preserve"> PAGEREF _Toc235183366 \h </w:instrText>
            </w:r>
            <w:r>
              <w:rPr>
                <w:noProof/>
                <w:webHidden/>
              </w:rPr>
            </w:r>
            <w:r>
              <w:rPr>
                <w:noProof/>
                <w:webHidden/>
              </w:rPr>
              <w:fldChar w:fldCharType="separate"/>
            </w:r>
            <w:r w:rsidR="00AC0667">
              <w:rPr>
                <w:noProof/>
                <w:webHidden/>
              </w:rPr>
              <w:t>5</w:t>
            </w:r>
            <w:r>
              <w:rPr>
                <w:noProof/>
                <w:webHidden/>
              </w:rPr>
              <w:fldChar w:fldCharType="end"/>
            </w:r>
          </w:hyperlink>
        </w:p>
        <w:p w:rsidR="00AC0667" w:rsidRDefault="00D25B4A">
          <w:pPr>
            <w:pStyle w:val="TOC1"/>
            <w:tabs>
              <w:tab w:val="right" w:leader="dot" w:pos="9016"/>
            </w:tabs>
            <w:rPr>
              <w:noProof/>
            </w:rPr>
          </w:pPr>
          <w:hyperlink w:anchor="_Toc235183367" w:history="1">
            <w:r w:rsidR="00AC0667" w:rsidRPr="003F495E">
              <w:rPr>
                <w:rStyle w:val="Hyperlink"/>
                <w:noProof/>
              </w:rPr>
              <w:t>Task 2: Strategic Growth and Competitive Positioning</w:t>
            </w:r>
            <w:r w:rsidR="00AC0667">
              <w:rPr>
                <w:noProof/>
                <w:webHidden/>
              </w:rPr>
              <w:tab/>
            </w:r>
            <w:r>
              <w:rPr>
                <w:noProof/>
                <w:webHidden/>
              </w:rPr>
              <w:fldChar w:fldCharType="begin"/>
            </w:r>
            <w:r w:rsidR="00AC0667">
              <w:rPr>
                <w:noProof/>
                <w:webHidden/>
              </w:rPr>
              <w:instrText xml:space="preserve"> PAGEREF _Toc235183367 \h </w:instrText>
            </w:r>
            <w:r>
              <w:rPr>
                <w:noProof/>
                <w:webHidden/>
              </w:rPr>
            </w:r>
            <w:r>
              <w:rPr>
                <w:noProof/>
                <w:webHidden/>
              </w:rPr>
              <w:fldChar w:fldCharType="separate"/>
            </w:r>
            <w:r w:rsidR="00AC0667">
              <w:rPr>
                <w:noProof/>
                <w:webHidden/>
              </w:rPr>
              <w:t>7</w:t>
            </w:r>
            <w:r>
              <w:rPr>
                <w:noProof/>
                <w:webHidden/>
              </w:rPr>
              <w:fldChar w:fldCharType="end"/>
            </w:r>
          </w:hyperlink>
        </w:p>
        <w:p w:rsidR="00AC0667" w:rsidRDefault="00D25B4A">
          <w:pPr>
            <w:pStyle w:val="TOC2"/>
            <w:tabs>
              <w:tab w:val="right" w:leader="dot" w:pos="9016"/>
            </w:tabs>
            <w:rPr>
              <w:noProof/>
            </w:rPr>
          </w:pPr>
          <w:hyperlink w:anchor="_Toc235183368" w:history="1">
            <w:r w:rsidR="00AC0667" w:rsidRPr="003F495E">
              <w:rPr>
                <w:rStyle w:val="Hyperlink"/>
                <w:noProof/>
              </w:rPr>
              <w:t>Strategic Implications</w:t>
            </w:r>
            <w:r w:rsidR="00AC0667">
              <w:rPr>
                <w:noProof/>
                <w:webHidden/>
              </w:rPr>
              <w:tab/>
            </w:r>
            <w:r>
              <w:rPr>
                <w:noProof/>
                <w:webHidden/>
              </w:rPr>
              <w:fldChar w:fldCharType="begin"/>
            </w:r>
            <w:r w:rsidR="00AC0667">
              <w:rPr>
                <w:noProof/>
                <w:webHidden/>
              </w:rPr>
              <w:instrText xml:space="preserve"> PAGEREF _Toc235183368 \h </w:instrText>
            </w:r>
            <w:r>
              <w:rPr>
                <w:noProof/>
                <w:webHidden/>
              </w:rPr>
            </w:r>
            <w:r>
              <w:rPr>
                <w:noProof/>
                <w:webHidden/>
              </w:rPr>
              <w:fldChar w:fldCharType="separate"/>
            </w:r>
            <w:r w:rsidR="00AC0667">
              <w:rPr>
                <w:noProof/>
                <w:webHidden/>
              </w:rPr>
              <w:t>7</w:t>
            </w:r>
            <w:r>
              <w:rPr>
                <w:noProof/>
                <w:webHidden/>
              </w:rPr>
              <w:fldChar w:fldCharType="end"/>
            </w:r>
          </w:hyperlink>
        </w:p>
        <w:p w:rsidR="00AC0667" w:rsidRDefault="00D25B4A">
          <w:pPr>
            <w:pStyle w:val="TOC2"/>
            <w:tabs>
              <w:tab w:val="right" w:leader="dot" w:pos="9016"/>
            </w:tabs>
            <w:rPr>
              <w:noProof/>
            </w:rPr>
          </w:pPr>
          <w:hyperlink w:anchor="_Toc235183369" w:history="1">
            <w:r w:rsidR="00AC0667" w:rsidRPr="003F495E">
              <w:rPr>
                <w:rStyle w:val="Hyperlink"/>
                <w:noProof/>
              </w:rPr>
              <w:t>Growth Strategy (Ansoff Matrix)</w:t>
            </w:r>
            <w:r w:rsidR="00AC0667">
              <w:rPr>
                <w:noProof/>
                <w:webHidden/>
              </w:rPr>
              <w:tab/>
            </w:r>
            <w:r>
              <w:rPr>
                <w:noProof/>
                <w:webHidden/>
              </w:rPr>
              <w:fldChar w:fldCharType="begin"/>
            </w:r>
            <w:r w:rsidR="00AC0667">
              <w:rPr>
                <w:noProof/>
                <w:webHidden/>
              </w:rPr>
              <w:instrText xml:space="preserve"> PAGEREF _Toc235183369 \h </w:instrText>
            </w:r>
            <w:r>
              <w:rPr>
                <w:noProof/>
                <w:webHidden/>
              </w:rPr>
            </w:r>
            <w:r>
              <w:rPr>
                <w:noProof/>
                <w:webHidden/>
              </w:rPr>
              <w:fldChar w:fldCharType="separate"/>
            </w:r>
            <w:r w:rsidR="00AC0667">
              <w:rPr>
                <w:noProof/>
                <w:webHidden/>
              </w:rPr>
              <w:t>7</w:t>
            </w:r>
            <w:r>
              <w:rPr>
                <w:noProof/>
                <w:webHidden/>
              </w:rPr>
              <w:fldChar w:fldCharType="end"/>
            </w:r>
          </w:hyperlink>
        </w:p>
        <w:p w:rsidR="00AC0667" w:rsidRDefault="00D25B4A">
          <w:pPr>
            <w:pStyle w:val="TOC2"/>
            <w:tabs>
              <w:tab w:val="right" w:leader="dot" w:pos="9016"/>
            </w:tabs>
            <w:rPr>
              <w:noProof/>
            </w:rPr>
          </w:pPr>
          <w:hyperlink w:anchor="_Toc235183370" w:history="1">
            <w:r w:rsidR="00AC0667" w:rsidRPr="003F495E">
              <w:rPr>
                <w:rStyle w:val="Hyperlink"/>
                <w:noProof/>
              </w:rPr>
              <w:t>Competitive Positioning (Porter's Generic Strategy)</w:t>
            </w:r>
            <w:r w:rsidR="00AC0667">
              <w:rPr>
                <w:noProof/>
                <w:webHidden/>
              </w:rPr>
              <w:tab/>
            </w:r>
            <w:r>
              <w:rPr>
                <w:noProof/>
                <w:webHidden/>
              </w:rPr>
              <w:fldChar w:fldCharType="begin"/>
            </w:r>
            <w:r w:rsidR="00AC0667">
              <w:rPr>
                <w:noProof/>
                <w:webHidden/>
              </w:rPr>
              <w:instrText xml:space="preserve"> PAGEREF _Toc235183370 \h </w:instrText>
            </w:r>
            <w:r>
              <w:rPr>
                <w:noProof/>
                <w:webHidden/>
              </w:rPr>
            </w:r>
            <w:r>
              <w:rPr>
                <w:noProof/>
                <w:webHidden/>
              </w:rPr>
              <w:fldChar w:fldCharType="separate"/>
            </w:r>
            <w:r w:rsidR="00AC0667">
              <w:rPr>
                <w:noProof/>
                <w:webHidden/>
              </w:rPr>
              <w:t>9</w:t>
            </w:r>
            <w:r>
              <w:rPr>
                <w:noProof/>
                <w:webHidden/>
              </w:rPr>
              <w:fldChar w:fldCharType="end"/>
            </w:r>
          </w:hyperlink>
        </w:p>
        <w:p w:rsidR="00AC0667" w:rsidRDefault="00D25B4A">
          <w:pPr>
            <w:pStyle w:val="TOC2"/>
            <w:tabs>
              <w:tab w:val="right" w:leader="dot" w:pos="9016"/>
            </w:tabs>
            <w:rPr>
              <w:noProof/>
            </w:rPr>
          </w:pPr>
          <w:hyperlink w:anchor="_Toc235183371" w:history="1">
            <w:r w:rsidR="00AC0667" w:rsidRPr="003F495E">
              <w:rPr>
                <w:rStyle w:val="Hyperlink"/>
                <w:noProof/>
              </w:rPr>
              <w:t>Strategic Recommendations</w:t>
            </w:r>
            <w:r w:rsidR="00AC0667">
              <w:rPr>
                <w:noProof/>
                <w:webHidden/>
              </w:rPr>
              <w:tab/>
            </w:r>
            <w:r>
              <w:rPr>
                <w:noProof/>
                <w:webHidden/>
              </w:rPr>
              <w:fldChar w:fldCharType="begin"/>
            </w:r>
            <w:r w:rsidR="00AC0667">
              <w:rPr>
                <w:noProof/>
                <w:webHidden/>
              </w:rPr>
              <w:instrText xml:space="preserve"> PAGEREF _Toc235183371 \h </w:instrText>
            </w:r>
            <w:r>
              <w:rPr>
                <w:noProof/>
                <w:webHidden/>
              </w:rPr>
            </w:r>
            <w:r>
              <w:rPr>
                <w:noProof/>
                <w:webHidden/>
              </w:rPr>
              <w:fldChar w:fldCharType="separate"/>
            </w:r>
            <w:r w:rsidR="00AC0667">
              <w:rPr>
                <w:noProof/>
                <w:webHidden/>
              </w:rPr>
              <w:t>10</w:t>
            </w:r>
            <w:r>
              <w:rPr>
                <w:noProof/>
                <w:webHidden/>
              </w:rPr>
              <w:fldChar w:fldCharType="end"/>
            </w:r>
          </w:hyperlink>
        </w:p>
        <w:p w:rsidR="00AC0667" w:rsidRDefault="00D25B4A">
          <w:pPr>
            <w:pStyle w:val="TOC1"/>
            <w:tabs>
              <w:tab w:val="right" w:leader="dot" w:pos="9016"/>
            </w:tabs>
            <w:rPr>
              <w:noProof/>
            </w:rPr>
          </w:pPr>
          <w:hyperlink w:anchor="_Toc235183372" w:history="1">
            <w:r w:rsidR="00AC0667" w:rsidRPr="003F495E">
              <w:rPr>
                <w:rStyle w:val="Hyperlink"/>
                <w:noProof/>
              </w:rPr>
              <w:t>Task 3: Critical Reflection on AI Usage</w:t>
            </w:r>
            <w:r w:rsidR="00AC0667">
              <w:rPr>
                <w:noProof/>
                <w:webHidden/>
              </w:rPr>
              <w:tab/>
            </w:r>
            <w:r>
              <w:rPr>
                <w:noProof/>
                <w:webHidden/>
              </w:rPr>
              <w:fldChar w:fldCharType="begin"/>
            </w:r>
            <w:r w:rsidR="00AC0667">
              <w:rPr>
                <w:noProof/>
                <w:webHidden/>
              </w:rPr>
              <w:instrText xml:space="preserve"> PAGEREF _Toc235183372 \h </w:instrText>
            </w:r>
            <w:r>
              <w:rPr>
                <w:noProof/>
                <w:webHidden/>
              </w:rPr>
            </w:r>
            <w:r>
              <w:rPr>
                <w:noProof/>
                <w:webHidden/>
              </w:rPr>
              <w:fldChar w:fldCharType="separate"/>
            </w:r>
            <w:r w:rsidR="00AC0667">
              <w:rPr>
                <w:noProof/>
                <w:webHidden/>
              </w:rPr>
              <w:t>11</w:t>
            </w:r>
            <w:r>
              <w:rPr>
                <w:noProof/>
                <w:webHidden/>
              </w:rPr>
              <w:fldChar w:fldCharType="end"/>
            </w:r>
          </w:hyperlink>
        </w:p>
        <w:p w:rsidR="00AC0667" w:rsidRDefault="00D25B4A">
          <w:pPr>
            <w:pStyle w:val="TOC1"/>
            <w:tabs>
              <w:tab w:val="right" w:leader="dot" w:pos="9016"/>
            </w:tabs>
            <w:rPr>
              <w:noProof/>
            </w:rPr>
          </w:pPr>
          <w:hyperlink w:anchor="_Toc235183373" w:history="1">
            <w:r w:rsidR="00AC0667" w:rsidRPr="003F495E">
              <w:rPr>
                <w:rStyle w:val="Hyperlink"/>
                <w:noProof/>
              </w:rPr>
              <w:t>Conclusion</w:t>
            </w:r>
            <w:r w:rsidR="00AC0667">
              <w:rPr>
                <w:noProof/>
                <w:webHidden/>
              </w:rPr>
              <w:tab/>
            </w:r>
            <w:r>
              <w:rPr>
                <w:noProof/>
                <w:webHidden/>
              </w:rPr>
              <w:fldChar w:fldCharType="begin"/>
            </w:r>
            <w:r w:rsidR="00AC0667">
              <w:rPr>
                <w:noProof/>
                <w:webHidden/>
              </w:rPr>
              <w:instrText xml:space="preserve"> PAGEREF _Toc235183373 \h </w:instrText>
            </w:r>
            <w:r>
              <w:rPr>
                <w:noProof/>
                <w:webHidden/>
              </w:rPr>
            </w:r>
            <w:r>
              <w:rPr>
                <w:noProof/>
                <w:webHidden/>
              </w:rPr>
              <w:fldChar w:fldCharType="separate"/>
            </w:r>
            <w:r w:rsidR="00AC0667">
              <w:rPr>
                <w:noProof/>
                <w:webHidden/>
              </w:rPr>
              <w:t>12</w:t>
            </w:r>
            <w:r>
              <w:rPr>
                <w:noProof/>
                <w:webHidden/>
              </w:rPr>
              <w:fldChar w:fldCharType="end"/>
            </w:r>
          </w:hyperlink>
        </w:p>
        <w:p w:rsidR="00AC0667" w:rsidRDefault="00D25B4A">
          <w:pPr>
            <w:pStyle w:val="TOC1"/>
            <w:tabs>
              <w:tab w:val="right" w:leader="dot" w:pos="9016"/>
            </w:tabs>
            <w:rPr>
              <w:noProof/>
            </w:rPr>
          </w:pPr>
          <w:hyperlink w:anchor="_Toc235183374" w:history="1">
            <w:r w:rsidR="00AC0667" w:rsidRPr="003F495E">
              <w:rPr>
                <w:rStyle w:val="Hyperlink"/>
                <w:noProof/>
              </w:rPr>
              <w:t>References</w:t>
            </w:r>
            <w:r w:rsidR="00AC0667">
              <w:rPr>
                <w:noProof/>
                <w:webHidden/>
              </w:rPr>
              <w:tab/>
            </w:r>
            <w:r>
              <w:rPr>
                <w:noProof/>
                <w:webHidden/>
              </w:rPr>
              <w:fldChar w:fldCharType="begin"/>
            </w:r>
            <w:r w:rsidR="00AC0667">
              <w:rPr>
                <w:noProof/>
                <w:webHidden/>
              </w:rPr>
              <w:instrText xml:space="preserve"> PAGEREF _Toc235183374 \h </w:instrText>
            </w:r>
            <w:r>
              <w:rPr>
                <w:noProof/>
                <w:webHidden/>
              </w:rPr>
            </w:r>
            <w:r>
              <w:rPr>
                <w:noProof/>
                <w:webHidden/>
              </w:rPr>
              <w:fldChar w:fldCharType="separate"/>
            </w:r>
            <w:r w:rsidR="00AC0667">
              <w:rPr>
                <w:noProof/>
                <w:webHidden/>
              </w:rPr>
              <w:t>13</w:t>
            </w:r>
            <w:r>
              <w:rPr>
                <w:noProof/>
                <w:webHidden/>
              </w:rPr>
              <w:fldChar w:fldCharType="end"/>
            </w:r>
          </w:hyperlink>
        </w:p>
        <w:p w:rsidR="00AC0667" w:rsidRDefault="00D25B4A">
          <w:r>
            <w:rPr>
              <w:b/>
              <w:bCs/>
              <w:noProof/>
            </w:rPr>
            <w:fldChar w:fldCharType="end"/>
          </w:r>
        </w:p>
      </w:sdtContent>
    </w:sdt>
    <w:p w:rsidR="000E0B28" w:rsidRDefault="000E0B28">
      <w:pPr>
        <w:rPr>
          <w:lang w:val="en-US"/>
        </w:rPr>
      </w:pPr>
    </w:p>
    <w:p w:rsidR="000E0B28" w:rsidRPr="000E0B28" w:rsidRDefault="000E0B28" w:rsidP="000E0B28">
      <w:pPr>
        <w:pStyle w:val="Heading1"/>
        <w:rPr>
          <w:rFonts w:eastAsia="Times New Roman"/>
          <w:lang w:eastAsia="en-GB"/>
        </w:rPr>
      </w:pPr>
      <w:r>
        <w:rPr>
          <w:lang w:val="en-US"/>
        </w:rPr>
        <w:br w:type="column"/>
      </w:r>
      <w:bookmarkStart w:id="0" w:name="_Toc235183361"/>
      <w:r w:rsidRPr="000E0B28">
        <w:rPr>
          <w:rFonts w:eastAsia="Times New Roman"/>
          <w:lang w:eastAsia="en-GB"/>
        </w:rPr>
        <w:lastRenderedPageBreak/>
        <w:t>Introduction</w:t>
      </w:r>
      <w:bookmarkEnd w:id="0"/>
    </w:p>
    <w:p w:rsidR="000E0B28" w:rsidRPr="000E0B28" w:rsidRDefault="00E84F92" w:rsidP="000E0B28">
      <w:pPr>
        <w:rPr>
          <w:szCs w:val="24"/>
          <w:lang w:eastAsia="en-GB"/>
        </w:rPr>
      </w:pPr>
      <w:r w:rsidRPr="00E84F92">
        <w:t>Sustainability is no longer just an environmental issue, but a marketing necessity for the global metals and mining industry as it endures the biggest challenge to reduce carbon emissions while still being competitively viable. BHP Group plc is a leading global mining group in the world and strives to reduce carbon footprint of its products and technologies for its production processes to meet the changing expectations of its stakeholders, regulatory requirements and market opportunities. The report critically examines the impact of the two broad categories of the marketing environment which are the Natural Environment and the Technological Environment on BHP's sustainability transition and marketing environment</w:t>
      </w:r>
      <w:r w:rsidR="00C51182">
        <w:t xml:space="preserve"> </w:t>
      </w:r>
      <w:r w:rsidR="00C51182" w:rsidRPr="00C51182">
        <w:t>(Pant, 2025)</w:t>
      </w:r>
      <w:r w:rsidRPr="00E84F92">
        <w:t>. Based on this assessment, it proposes a suitable growth approach and competitive position to enhance BHP's long-term competitive edge in the evolving world of low carbon economy.</w:t>
      </w:r>
    </w:p>
    <w:p w:rsidR="000E0B28" w:rsidRPr="000E0B28" w:rsidRDefault="000E0B28" w:rsidP="000E0B28">
      <w:pPr>
        <w:spacing w:after="0" w:line="240" w:lineRule="auto"/>
        <w:jc w:val="left"/>
        <w:rPr>
          <w:rFonts w:eastAsia="Times New Roman" w:cs="Times New Roman"/>
          <w:szCs w:val="24"/>
          <w:lang w:eastAsia="en-GB"/>
        </w:rPr>
      </w:pPr>
    </w:p>
    <w:p w:rsidR="000E0B28" w:rsidRPr="000E0B28" w:rsidRDefault="000E0B28" w:rsidP="00AC0667">
      <w:pPr>
        <w:pStyle w:val="Heading1"/>
        <w:rPr>
          <w:rFonts w:eastAsia="Times New Roman"/>
          <w:lang w:eastAsia="en-GB"/>
        </w:rPr>
      </w:pPr>
      <w:bookmarkStart w:id="1" w:name="_Toc235183362"/>
      <w:r w:rsidRPr="000E0B28">
        <w:rPr>
          <w:rFonts w:eastAsia="Times New Roman"/>
          <w:lang w:eastAsia="en-GB"/>
        </w:rPr>
        <w:t>Task 1</w:t>
      </w:r>
      <w:r w:rsidR="00AC0667">
        <w:rPr>
          <w:rFonts w:eastAsia="Times New Roman"/>
          <w:lang w:eastAsia="en-GB"/>
        </w:rPr>
        <w:t>:</w:t>
      </w:r>
      <w:r w:rsidRPr="000E0B28">
        <w:rPr>
          <w:rFonts w:eastAsia="Times New Roman"/>
          <w:lang w:eastAsia="en-GB"/>
        </w:rPr>
        <w:t xml:space="preserve"> Marketing Environment Analysis</w:t>
      </w:r>
      <w:bookmarkEnd w:id="1"/>
    </w:p>
    <w:p w:rsidR="000E0B28" w:rsidRDefault="000E0B28" w:rsidP="00AC0667">
      <w:pPr>
        <w:pStyle w:val="Heading2"/>
        <w:rPr>
          <w:sz w:val="48"/>
        </w:rPr>
      </w:pPr>
      <w:bookmarkStart w:id="2" w:name="_Toc235183363"/>
      <w:r>
        <w:t>Company Background</w:t>
      </w:r>
      <w:bookmarkEnd w:id="2"/>
    </w:p>
    <w:p w:rsidR="000E0B28" w:rsidRDefault="00E84F92" w:rsidP="000E0B28">
      <w:r w:rsidRPr="00E84F92">
        <w:t>BHP Group plc is one of the world's biggest diversified mining companies, providing the world vital natural resources that are critical for industrial development and the shift towards a low carbon economy. It is one of the few companies in the world to have a core portfolio of iron ore, copper, metallurgical coal, nickel and potash for which it serves as customers in Asia, Europe and the Americas</w:t>
      </w:r>
      <w:r w:rsidR="00C51182">
        <w:t xml:space="preserve"> </w:t>
      </w:r>
      <w:r w:rsidR="00C51182" w:rsidRPr="00C51182">
        <w:t>(Wilczyński, 2022)</w:t>
      </w:r>
      <w:r w:rsidRPr="00E84F92">
        <w:t>. Understanding the growing pressure for sustainability from the environment and stakeholders, BHP has integrated sustainability into its corporate strategy by committing to decarbonisation, responsible resource extraction and emissions reductions. Such programs position the company to produce a more environmentally friendly product and allow it to be more competitive in the long run and address market expectations.</w:t>
      </w:r>
    </w:p>
    <w:p w:rsidR="000E0B28" w:rsidRDefault="000E0B28" w:rsidP="000E0B28"/>
    <w:p w:rsidR="000E0B28" w:rsidRDefault="000E0B28" w:rsidP="00AC0667">
      <w:pPr>
        <w:pStyle w:val="Heading2"/>
      </w:pPr>
      <w:bookmarkStart w:id="3" w:name="_Toc235183364"/>
      <w:r>
        <w:t>Marketing Environment Analysis</w:t>
      </w:r>
      <w:bookmarkEnd w:id="3"/>
    </w:p>
    <w:p w:rsidR="000E0B28" w:rsidRDefault="000E0B28" w:rsidP="00AC0667">
      <w:pPr>
        <w:pStyle w:val="Heading3"/>
      </w:pPr>
      <w:bookmarkStart w:id="4" w:name="_Toc235183365"/>
      <w:r>
        <w:t>Natural Environment</w:t>
      </w:r>
      <w:bookmarkEnd w:id="4"/>
    </w:p>
    <w:p w:rsidR="000E0B28" w:rsidRPr="000E0B28" w:rsidRDefault="00E84F92" w:rsidP="00AC0667">
      <w:pPr>
        <w:rPr>
          <w:rFonts w:eastAsia="Times New Roman" w:cs="Times New Roman"/>
          <w:szCs w:val="24"/>
          <w:lang w:eastAsia="en-GB"/>
        </w:rPr>
      </w:pPr>
      <w:r w:rsidRPr="00E84F92">
        <w:rPr>
          <w:lang w:eastAsia="en-GB"/>
        </w:rPr>
        <w:t xml:space="preserve">Climate change, resource scarcity and the increasing expectations of stakeholders have made the natural environment the most influential external factor influencing BHP's marketing environment, turning the nature of the demand for its mining products and the assessment of </w:t>
      </w:r>
      <w:r w:rsidRPr="00E84F92">
        <w:rPr>
          <w:lang w:eastAsia="en-GB"/>
        </w:rPr>
        <w:lastRenderedPageBreak/>
        <w:t>the mining companies into a fundamental change. Mining operations are still carbon-intensive and disruptive for renewable energy technologies and electrification, despite being a necessary element for technologies that rely on these metals</w:t>
      </w:r>
      <w:r w:rsidR="00C51182">
        <w:rPr>
          <w:lang w:eastAsia="en-GB"/>
        </w:rPr>
        <w:t xml:space="preserve"> </w:t>
      </w:r>
      <w:r w:rsidR="00C51182" w:rsidRPr="00C51182">
        <w:rPr>
          <w:lang w:eastAsia="en-GB"/>
        </w:rPr>
        <w:t>(De Donno, 2024)</w:t>
      </w:r>
      <w:r w:rsidRPr="00E84F92">
        <w:rPr>
          <w:lang w:eastAsia="en-GB"/>
        </w:rPr>
        <w:t>. As a result, BHP is under growing pressure to prove that growth and sustainability can go hand-in-hand. In marketing terms it is not longer about corporate social responsibility, it's about the potential of sustainability as a source of brand credibility, customer value and competitiveness.</w:t>
      </w:r>
    </w:p>
    <w:p w:rsidR="00AC0667" w:rsidRDefault="00AC0667" w:rsidP="00AC0667">
      <w:pPr>
        <w:pStyle w:val="Caption"/>
        <w:keepNext/>
        <w:jc w:val="center"/>
      </w:pPr>
      <w:r>
        <w:t xml:space="preserve">Table </w:t>
      </w:r>
      <w:fldSimple w:instr=" SEQ Table \* ARABIC ">
        <w:r>
          <w:rPr>
            <w:noProof/>
          </w:rPr>
          <w:t>1</w:t>
        </w:r>
      </w:fldSimple>
      <w:r>
        <w:rPr>
          <w:lang w:val="en-US"/>
        </w:rPr>
        <w:t xml:space="preserve">: </w:t>
      </w:r>
      <w:r w:rsidRPr="00B35447">
        <w:rPr>
          <w:lang w:val="en-US"/>
        </w:rPr>
        <w:t>PESTLE Analysis – Natural Environment Influencing BHP</w:t>
      </w:r>
    </w:p>
    <w:tbl>
      <w:tblPr>
        <w:tblStyle w:val="TableGrid"/>
        <w:tblW w:w="0" w:type="auto"/>
        <w:tblLook w:val="04A0"/>
      </w:tblPr>
      <w:tblGrid>
        <w:gridCol w:w="1703"/>
        <w:gridCol w:w="3474"/>
        <w:gridCol w:w="4065"/>
      </w:tblGrid>
      <w:tr w:rsidR="000E0B28" w:rsidRPr="000E0B28" w:rsidTr="000E0B28">
        <w:tc>
          <w:tcPr>
            <w:tcW w:w="0" w:type="auto"/>
            <w:hideMark/>
          </w:tcPr>
          <w:p w:rsidR="000E0B28" w:rsidRPr="000E0B28" w:rsidRDefault="000E0B28" w:rsidP="000E0B28">
            <w:pPr>
              <w:rPr>
                <w:b/>
                <w:bCs/>
              </w:rPr>
            </w:pPr>
            <w:r w:rsidRPr="000E0B28">
              <w:rPr>
                <w:b/>
                <w:bCs/>
              </w:rPr>
              <w:t>PESTLE Factor</w:t>
            </w:r>
          </w:p>
        </w:tc>
        <w:tc>
          <w:tcPr>
            <w:tcW w:w="0" w:type="auto"/>
            <w:hideMark/>
          </w:tcPr>
          <w:p w:rsidR="000E0B28" w:rsidRPr="000E0B28" w:rsidRDefault="000E0B28" w:rsidP="000E0B28">
            <w:pPr>
              <w:rPr>
                <w:b/>
                <w:bCs/>
              </w:rPr>
            </w:pPr>
            <w:r w:rsidRPr="000E0B28">
              <w:rPr>
                <w:b/>
                <w:bCs/>
              </w:rPr>
              <w:t>Key Environmental Issue</w:t>
            </w:r>
          </w:p>
        </w:tc>
        <w:tc>
          <w:tcPr>
            <w:tcW w:w="0" w:type="auto"/>
            <w:hideMark/>
          </w:tcPr>
          <w:p w:rsidR="000E0B28" w:rsidRPr="000E0B28" w:rsidRDefault="000E0B28" w:rsidP="000E0B28">
            <w:pPr>
              <w:rPr>
                <w:b/>
                <w:bCs/>
              </w:rPr>
            </w:pPr>
            <w:r w:rsidRPr="000E0B28">
              <w:rPr>
                <w:b/>
                <w:bCs/>
              </w:rPr>
              <w:t>Marketing Implication</w:t>
            </w:r>
          </w:p>
        </w:tc>
      </w:tr>
      <w:tr w:rsidR="000E0B28" w:rsidRPr="000E0B28" w:rsidTr="000E0B28">
        <w:tc>
          <w:tcPr>
            <w:tcW w:w="0" w:type="auto"/>
            <w:hideMark/>
          </w:tcPr>
          <w:p w:rsidR="000E0B28" w:rsidRPr="000E0B28" w:rsidRDefault="000E0B28" w:rsidP="000E0B28">
            <w:pPr>
              <w:rPr>
                <w:rFonts w:eastAsia="Times New Roman" w:cs="Times New Roman"/>
                <w:b/>
                <w:bCs/>
                <w:szCs w:val="24"/>
                <w:lang w:eastAsia="en-GB"/>
              </w:rPr>
            </w:pPr>
            <w:r w:rsidRPr="000E0B28">
              <w:rPr>
                <w:rFonts w:eastAsia="Times New Roman" w:cs="Times New Roman"/>
                <w:b/>
                <w:bCs/>
                <w:szCs w:val="24"/>
                <w:lang w:eastAsia="en-GB"/>
              </w:rPr>
              <w:t>Political</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Climate and mining policies</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Greater demand for sustainable operations</w:t>
            </w:r>
          </w:p>
        </w:tc>
      </w:tr>
      <w:tr w:rsidR="000E0B28" w:rsidRPr="000E0B28" w:rsidTr="000E0B28">
        <w:tc>
          <w:tcPr>
            <w:tcW w:w="0" w:type="auto"/>
            <w:hideMark/>
          </w:tcPr>
          <w:p w:rsidR="000E0B28" w:rsidRPr="000E0B28" w:rsidRDefault="000E0B28" w:rsidP="000E0B28">
            <w:pPr>
              <w:rPr>
                <w:rFonts w:eastAsia="Times New Roman" w:cs="Times New Roman"/>
                <w:b/>
                <w:bCs/>
                <w:szCs w:val="24"/>
                <w:lang w:eastAsia="en-GB"/>
              </w:rPr>
            </w:pPr>
            <w:r w:rsidRPr="000E0B28">
              <w:rPr>
                <w:rFonts w:eastAsia="Times New Roman" w:cs="Times New Roman"/>
                <w:b/>
                <w:bCs/>
                <w:szCs w:val="24"/>
                <w:lang w:eastAsia="en-GB"/>
              </w:rPr>
              <w:t>Economic</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Rising cost of carbon and energy</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Increased importance of efficient, lower-carbon production</w:t>
            </w:r>
          </w:p>
        </w:tc>
      </w:tr>
      <w:tr w:rsidR="000E0B28" w:rsidRPr="000E0B28" w:rsidTr="000E0B28">
        <w:tc>
          <w:tcPr>
            <w:tcW w:w="0" w:type="auto"/>
            <w:hideMark/>
          </w:tcPr>
          <w:p w:rsidR="000E0B28" w:rsidRPr="000E0B28" w:rsidRDefault="000E0B28" w:rsidP="000E0B28">
            <w:pPr>
              <w:rPr>
                <w:rFonts w:eastAsia="Times New Roman" w:cs="Times New Roman"/>
                <w:b/>
                <w:bCs/>
                <w:szCs w:val="24"/>
                <w:lang w:eastAsia="en-GB"/>
              </w:rPr>
            </w:pPr>
            <w:r w:rsidRPr="000E0B28">
              <w:rPr>
                <w:rFonts w:eastAsia="Times New Roman" w:cs="Times New Roman"/>
                <w:b/>
                <w:bCs/>
                <w:szCs w:val="24"/>
                <w:lang w:eastAsia="en-GB"/>
              </w:rPr>
              <w:t>Social</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Growing ESG awareness</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Preference for responsibly sourced minerals</w:t>
            </w:r>
          </w:p>
        </w:tc>
      </w:tr>
      <w:tr w:rsidR="000E0B28" w:rsidRPr="000E0B28" w:rsidTr="000E0B28">
        <w:tc>
          <w:tcPr>
            <w:tcW w:w="0" w:type="auto"/>
            <w:hideMark/>
          </w:tcPr>
          <w:p w:rsidR="000E0B28" w:rsidRPr="000E0B28" w:rsidRDefault="000E0B28" w:rsidP="000E0B28">
            <w:pPr>
              <w:rPr>
                <w:rFonts w:eastAsia="Times New Roman" w:cs="Times New Roman"/>
                <w:b/>
                <w:bCs/>
                <w:szCs w:val="24"/>
                <w:lang w:eastAsia="en-GB"/>
              </w:rPr>
            </w:pPr>
            <w:r w:rsidRPr="000E0B28">
              <w:rPr>
                <w:rFonts w:eastAsia="Times New Roman" w:cs="Times New Roman"/>
                <w:b/>
                <w:bCs/>
                <w:szCs w:val="24"/>
                <w:lang w:eastAsia="en-GB"/>
              </w:rPr>
              <w:t>Technological</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Clean mining technologies</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Opportunity to strengthen sustainability positioning</w:t>
            </w:r>
          </w:p>
        </w:tc>
      </w:tr>
      <w:tr w:rsidR="000E0B28" w:rsidRPr="000E0B28" w:rsidTr="000E0B28">
        <w:tc>
          <w:tcPr>
            <w:tcW w:w="0" w:type="auto"/>
            <w:hideMark/>
          </w:tcPr>
          <w:p w:rsidR="000E0B28" w:rsidRPr="000E0B28" w:rsidRDefault="000E0B28" w:rsidP="000E0B28">
            <w:pPr>
              <w:rPr>
                <w:rFonts w:eastAsia="Times New Roman" w:cs="Times New Roman"/>
                <w:b/>
                <w:bCs/>
                <w:szCs w:val="24"/>
                <w:lang w:eastAsia="en-GB"/>
              </w:rPr>
            </w:pPr>
            <w:r w:rsidRPr="000E0B28">
              <w:rPr>
                <w:rFonts w:eastAsia="Times New Roman" w:cs="Times New Roman"/>
                <w:b/>
                <w:bCs/>
                <w:szCs w:val="24"/>
                <w:lang w:eastAsia="en-GB"/>
              </w:rPr>
              <w:t>Legal</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Emissions and environmental regulations</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Need for regulatory compliance and transparent reporting</w:t>
            </w:r>
          </w:p>
        </w:tc>
      </w:tr>
      <w:tr w:rsidR="000E0B28" w:rsidRPr="000E0B28" w:rsidTr="000E0B28">
        <w:tc>
          <w:tcPr>
            <w:tcW w:w="0" w:type="auto"/>
            <w:hideMark/>
          </w:tcPr>
          <w:p w:rsidR="000E0B28" w:rsidRPr="000E0B28" w:rsidRDefault="000E0B28" w:rsidP="000E0B28">
            <w:pPr>
              <w:rPr>
                <w:rFonts w:eastAsia="Times New Roman" w:cs="Times New Roman"/>
                <w:b/>
                <w:bCs/>
                <w:szCs w:val="24"/>
                <w:lang w:eastAsia="en-GB"/>
              </w:rPr>
            </w:pPr>
            <w:r w:rsidRPr="000E0B28">
              <w:rPr>
                <w:rFonts w:eastAsia="Times New Roman" w:cs="Times New Roman"/>
                <w:b/>
                <w:bCs/>
                <w:szCs w:val="24"/>
                <w:lang w:eastAsia="en-GB"/>
              </w:rPr>
              <w:t>Environmental</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Climate change, biodiversity and water scarcity</w:t>
            </w:r>
          </w:p>
        </w:tc>
        <w:tc>
          <w:tcPr>
            <w:tcW w:w="0" w:type="auto"/>
            <w:hideMark/>
          </w:tcPr>
          <w:p w:rsidR="000E0B28" w:rsidRPr="000E0B28" w:rsidRDefault="000E0B28" w:rsidP="000E0B28">
            <w:pPr>
              <w:rPr>
                <w:rFonts w:eastAsia="Times New Roman" w:cs="Times New Roman"/>
                <w:szCs w:val="24"/>
                <w:lang w:eastAsia="en-GB"/>
              </w:rPr>
            </w:pPr>
            <w:r w:rsidRPr="000E0B28">
              <w:rPr>
                <w:rFonts w:eastAsia="Times New Roman" w:cs="Times New Roman"/>
                <w:szCs w:val="24"/>
                <w:lang w:eastAsia="en-GB"/>
              </w:rPr>
              <w:t>Accelerates transition towards lower-carbon products</w:t>
            </w:r>
          </w:p>
        </w:tc>
      </w:tr>
    </w:tbl>
    <w:p w:rsidR="000E0B28" w:rsidRDefault="000E0B28" w:rsidP="000E0B28"/>
    <w:p w:rsidR="00E84F92" w:rsidRDefault="00E84F92" w:rsidP="00E84F92">
      <w:r>
        <w:t>Climate change is the biggest environmental challenge as it adds regulatory demands and is changing the demand of customers. As the automotive sector, construction, renewable energy and other industries become increasingly looking for suppliers to reduce emissions throughout the value chain, the country must evolve to meet these demands.</w:t>
      </w:r>
      <w:r w:rsidR="00C51182">
        <w:t xml:space="preserve"> </w:t>
      </w:r>
      <w:r>
        <w:t>As companies in sectors like automotive, construction and renewable energy enterprises are increasingly looking for suppliers that can reduce emissions throughout the value chain, the country needs to evolve to meet those demands. This change requires BHP to be far more efficient in their operations and be able to prove measurable environmental performance if they are to be able to sell lower-carbon commodities</w:t>
      </w:r>
      <w:r w:rsidR="00C51182">
        <w:t xml:space="preserve"> </w:t>
      </w:r>
      <w:r w:rsidR="00C51182" w:rsidRPr="00C51182">
        <w:t>(Krüger, 2025)</w:t>
      </w:r>
      <w:r>
        <w:t>. Thus, sustainability credentials have emerged as an integral part of value creation and not simply a compliance.</w:t>
      </w:r>
    </w:p>
    <w:p w:rsidR="00E84F92" w:rsidRDefault="00E84F92" w:rsidP="00E84F92">
      <w:r>
        <w:lastRenderedPageBreak/>
        <w:t>There are also significant commercial opportunities due to environmental pressures. As global investment in transition minerals infrastructure, EV and energy storage surges to meet growing demand, BHP is able to diversify its product mix to better serve the transition markets. The opportunities will need to be sustained with ongoing investments in emissions reduction, water stewardship and biodiversity protection, however, if the reputation is damaged as a result of an environmental failure, even though the market conditions are great, it can create a lack of trust from stakeholders.</w:t>
      </w:r>
    </w:p>
    <w:p w:rsidR="00E84F92" w:rsidRDefault="00E84F92" w:rsidP="00E84F92">
      <w:r>
        <w:t>At the same time, the rising demands of investors, governments and the local community demand more information on the environmental performance. Good governance of the environment can help BHP's corporate image and position access to sustainable finance, as well as long-term partnerships with industrial customers looking for sustainable suppliers in line with their ESG criteria</w:t>
      </w:r>
      <w:r w:rsidR="00C51182">
        <w:t xml:space="preserve"> </w:t>
      </w:r>
      <w:r w:rsidR="00C51182" w:rsidRPr="00C51182">
        <w:t>(Yang, 2024)</w:t>
      </w:r>
      <w:r>
        <w:t>. However, these expectations also make the company more vulnerable to higher levels of attention, leading to possible antagonisms between their sustainability pledges and their operations, which might affect brand credibility and competitiveness.</w:t>
      </w:r>
    </w:p>
    <w:p w:rsidR="000E0B28" w:rsidRDefault="00E84F92" w:rsidP="00E84F92">
      <w:r>
        <w:t>Essentially, the natural environment should not only be seen as a barrier but also a key component to marketing transformation. It enables BHP to be more competitive in an increasingly low carbon economy, communicate with its stakeholders and position itself more effectively in the market, and to create long term-value for customers and investors.</w:t>
      </w:r>
    </w:p>
    <w:p w:rsidR="000E0B28" w:rsidRDefault="000E0B28" w:rsidP="000E0B28"/>
    <w:p w:rsidR="00AC0667" w:rsidRDefault="00AC0667" w:rsidP="00AC0667">
      <w:pPr>
        <w:pStyle w:val="Heading3"/>
        <w:rPr>
          <w:sz w:val="36"/>
        </w:rPr>
      </w:pPr>
      <w:bookmarkStart w:id="5" w:name="_Toc235183366"/>
      <w:r>
        <w:t>Technological Environment</w:t>
      </w:r>
      <w:bookmarkEnd w:id="5"/>
    </w:p>
    <w:p w:rsidR="00AC0667" w:rsidRDefault="00E84F92" w:rsidP="00AC0667">
      <w:r w:rsidRPr="00E84F92">
        <w:t>The mining industry has been transformed by technological developments, which have become an important source of competitive advantage, not only in making mining operations more efficient, but also in the way mining firms design and deliver the value to customers. Automation, artificial intelligence (AI), digitalisation and low-carbon technologies are being invested in to become a key enabler for BHP's strategy to continue to provide responsibly produced resources to industries that are decarbonising</w:t>
      </w:r>
      <w:r w:rsidR="00C51182">
        <w:t xml:space="preserve"> </w:t>
      </w:r>
      <w:r w:rsidR="00C51182" w:rsidRPr="00C51182">
        <w:t>(Mishra et al., 2025)</w:t>
      </w:r>
      <w:r w:rsidRPr="00E84F92">
        <w:t>. Technological innovation has, accordingly, become more than an operative solution, and has become a key part of the company's marketing environment and market positioning in the long-term.</w:t>
      </w:r>
    </w:p>
    <w:p w:rsidR="00AC0667" w:rsidRPr="00AC0667" w:rsidRDefault="00AC0667" w:rsidP="00AC0667"/>
    <w:p w:rsidR="00AC0667" w:rsidRDefault="00AC0667" w:rsidP="00AC0667">
      <w:pPr>
        <w:pStyle w:val="Caption"/>
        <w:keepNext/>
        <w:jc w:val="center"/>
      </w:pPr>
      <w:r>
        <w:lastRenderedPageBreak/>
        <w:t xml:space="preserve">Table </w:t>
      </w:r>
      <w:fldSimple w:instr=" SEQ Table \* ARABIC ">
        <w:r>
          <w:rPr>
            <w:noProof/>
          </w:rPr>
          <w:t>2</w:t>
        </w:r>
      </w:fldSimple>
      <w:r>
        <w:rPr>
          <w:lang w:val="en-US"/>
        </w:rPr>
        <w:t xml:space="preserve">: </w:t>
      </w:r>
      <w:r w:rsidRPr="00AA54FB">
        <w:rPr>
          <w:lang w:val="en-US"/>
        </w:rPr>
        <w:t>Technological Developments Influencing BHP's Marketing Strategy</w:t>
      </w:r>
    </w:p>
    <w:tbl>
      <w:tblPr>
        <w:tblStyle w:val="TableGrid"/>
        <w:tblW w:w="0" w:type="auto"/>
        <w:tblLook w:val="04A0"/>
      </w:tblPr>
      <w:tblGrid>
        <w:gridCol w:w="1892"/>
        <w:gridCol w:w="2468"/>
        <w:gridCol w:w="2415"/>
        <w:gridCol w:w="2467"/>
      </w:tblGrid>
      <w:tr w:rsidR="00AC0667" w:rsidRPr="00AC0667" w:rsidTr="00AC0667">
        <w:tc>
          <w:tcPr>
            <w:tcW w:w="0" w:type="auto"/>
            <w:hideMark/>
          </w:tcPr>
          <w:p w:rsidR="00AC0667" w:rsidRPr="00AC0667" w:rsidRDefault="00AC0667" w:rsidP="00AC0667">
            <w:pPr>
              <w:rPr>
                <w:b/>
                <w:bCs/>
              </w:rPr>
            </w:pPr>
            <w:r w:rsidRPr="00AC0667">
              <w:rPr>
                <w:b/>
                <w:bCs/>
              </w:rPr>
              <w:t>Technology</w:t>
            </w:r>
          </w:p>
        </w:tc>
        <w:tc>
          <w:tcPr>
            <w:tcW w:w="0" w:type="auto"/>
            <w:hideMark/>
          </w:tcPr>
          <w:p w:rsidR="00AC0667" w:rsidRPr="00AC0667" w:rsidRDefault="00AC0667" w:rsidP="00AC0667">
            <w:pPr>
              <w:rPr>
                <w:b/>
                <w:bCs/>
              </w:rPr>
            </w:pPr>
            <w:r w:rsidRPr="00AC0667">
              <w:rPr>
                <w:b/>
                <w:bCs/>
              </w:rPr>
              <w:t>Business Impact</w:t>
            </w:r>
          </w:p>
        </w:tc>
        <w:tc>
          <w:tcPr>
            <w:tcW w:w="0" w:type="auto"/>
            <w:hideMark/>
          </w:tcPr>
          <w:p w:rsidR="00AC0667" w:rsidRPr="00AC0667" w:rsidRDefault="00AC0667" w:rsidP="00AC0667">
            <w:pPr>
              <w:rPr>
                <w:b/>
                <w:bCs/>
              </w:rPr>
            </w:pPr>
            <w:r w:rsidRPr="00AC0667">
              <w:rPr>
                <w:b/>
                <w:bCs/>
              </w:rPr>
              <w:t>Marketing Impact</w:t>
            </w:r>
          </w:p>
        </w:tc>
        <w:tc>
          <w:tcPr>
            <w:tcW w:w="0" w:type="auto"/>
            <w:hideMark/>
          </w:tcPr>
          <w:p w:rsidR="00AC0667" w:rsidRPr="00AC0667" w:rsidRDefault="00AC0667" w:rsidP="00AC0667">
            <w:pPr>
              <w:rPr>
                <w:b/>
                <w:bCs/>
              </w:rPr>
            </w:pPr>
            <w:r w:rsidRPr="00AC0667">
              <w:rPr>
                <w:b/>
                <w:bCs/>
              </w:rPr>
              <w:t>Strategic Significance</w:t>
            </w:r>
          </w:p>
        </w:tc>
      </w:tr>
      <w:tr w:rsidR="00AC0667" w:rsidRPr="00AC0667" w:rsidTr="00AC0667">
        <w:tc>
          <w:tcPr>
            <w:tcW w:w="0" w:type="auto"/>
            <w:hideMark/>
          </w:tcPr>
          <w:p w:rsidR="00AC0667" w:rsidRPr="00AC0667" w:rsidRDefault="00AC0667" w:rsidP="00AC0667">
            <w:pPr>
              <w:rPr>
                <w:b/>
                <w:bCs/>
              </w:rPr>
            </w:pPr>
            <w:r w:rsidRPr="00AC0667">
              <w:rPr>
                <w:b/>
                <w:bCs/>
              </w:rPr>
              <w:t>Automation</w:t>
            </w:r>
          </w:p>
        </w:tc>
        <w:tc>
          <w:tcPr>
            <w:tcW w:w="0" w:type="auto"/>
            <w:hideMark/>
          </w:tcPr>
          <w:p w:rsidR="00AC0667" w:rsidRPr="00AC0667" w:rsidRDefault="00AC0667" w:rsidP="00AC0667">
            <w:r w:rsidRPr="00AC0667">
              <w:t>Improved productivity and safety</w:t>
            </w:r>
          </w:p>
        </w:tc>
        <w:tc>
          <w:tcPr>
            <w:tcW w:w="0" w:type="auto"/>
            <w:hideMark/>
          </w:tcPr>
          <w:p w:rsidR="00AC0667" w:rsidRPr="00AC0667" w:rsidRDefault="00AC0667" w:rsidP="00AC0667">
            <w:r w:rsidRPr="00AC0667">
              <w:t>Enhances operational reliability</w:t>
            </w:r>
          </w:p>
        </w:tc>
        <w:tc>
          <w:tcPr>
            <w:tcW w:w="0" w:type="auto"/>
            <w:hideMark/>
          </w:tcPr>
          <w:p w:rsidR="00AC0667" w:rsidRPr="00AC0667" w:rsidRDefault="00AC0667" w:rsidP="00AC0667">
            <w:r w:rsidRPr="00AC0667">
              <w:t>Strengthens competitiveness</w:t>
            </w:r>
          </w:p>
        </w:tc>
      </w:tr>
      <w:tr w:rsidR="00AC0667" w:rsidRPr="00AC0667" w:rsidTr="00AC0667">
        <w:tc>
          <w:tcPr>
            <w:tcW w:w="0" w:type="auto"/>
            <w:hideMark/>
          </w:tcPr>
          <w:p w:rsidR="00AC0667" w:rsidRPr="00AC0667" w:rsidRDefault="00AC0667" w:rsidP="00AC0667">
            <w:pPr>
              <w:rPr>
                <w:b/>
                <w:bCs/>
              </w:rPr>
            </w:pPr>
            <w:r w:rsidRPr="00AC0667">
              <w:rPr>
                <w:b/>
                <w:bCs/>
              </w:rPr>
              <w:t>Artificial Intelligence</w:t>
            </w:r>
          </w:p>
        </w:tc>
        <w:tc>
          <w:tcPr>
            <w:tcW w:w="0" w:type="auto"/>
            <w:hideMark/>
          </w:tcPr>
          <w:p w:rsidR="00AC0667" w:rsidRPr="00AC0667" w:rsidRDefault="00AC0667" w:rsidP="00AC0667">
            <w:r w:rsidRPr="00AC0667">
              <w:t>Data-driven decision-making</w:t>
            </w:r>
          </w:p>
        </w:tc>
        <w:tc>
          <w:tcPr>
            <w:tcW w:w="0" w:type="auto"/>
            <w:hideMark/>
          </w:tcPr>
          <w:p w:rsidR="00AC0667" w:rsidRPr="00AC0667" w:rsidRDefault="00AC0667" w:rsidP="00AC0667">
            <w:r w:rsidRPr="00AC0667">
              <w:t>Improves customer confidence</w:t>
            </w:r>
          </w:p>
        </w:tc>
        <w:tc>
          <w:tcPr>
            <w:tcW w:w="0" w:type="auto"/>
            <w:hideMark/>
          </w:tcPr>
          <w:p w:rsidR="00AC0667" w:rsidRPr="00AC0667" w:rsidRDefault="00AC0667" w:rsidP="00AC0667">
            <w:r w:rsidRPr="00AC0667">
              <w:t>Supports innovation leadership</w:t>
            </w:r>
          </w:p>
        </w:tc>
      </w:tr>
      <w:tr w:rsidR="00AC0667" w:rsidRPr="00AC0667" w:rsidTr="00AC0667">
        <w:tc>
          <w:tcPr>
            <w:tcW w:w="0" w:type="auto"/>
            <w:hideMark/>
          </w:tcPr>
          <w:p w:rsidR="00AC0667" w:rsidRPr="00AC0667" w:rsidRDefault="00AC0667" w:rsidP="00AC0667">
            <w:pPr>
              <w:rPr>
                <w:b/>
                <w:bCs/>
              </w:rPr>
            </w:pPr>
            <w:r w:rsidRPr="00AC0667">
              <w:rPr>
                <w:b/>
                <w:bCs/>
              </w:rPr>
              <w:t>Renewable Energy</w:t>
            </w:r>
          </w:p>
        </w:tc>
        <w:tc>
          <w:tcPr>
            <w:tcW w:w="0" w:type="auto"/>
            <w:hideMark/>
          </w:tcPr>
          <w:p w:rsidR="00AC0667" w:rsidRPr="00AC0667" w:rsidRDefault="00AC0667" w:rsidP="00AC0667">
            <w:r w:rsidRPr="00AC0667">
              <w:t>Lower operational emissions</w:t>
            </w:r>
          </w:p>
        </w:tc>
        <w:tc>
          <w:tcPr>
            <w:tcW w:w="0" w:type="auto"/>
            <w:hideMark/>
          </w:tcPr>
          <w:p w:rsidR="00AC0667" w:rsidRPr="00AC0667" w:rsidRDefault="00AC0667" w:rsidP="00AC0667">
            <w:r w:rsidRPr="00AC0667">
              <w:t>Reinforces sustainability image</w:t>
            </w:r>
          </w:p>
        </w:tc>
        <w:tc>
          <w:tcPr>
            <w:tcW w:w="0" w:type="auto"/>
            <w:hideMark/>
          </w:tcPr>
          <w:p w:rsidR="00AC0667" w:rsidRPr="00AC0667" w:rsidRDefault="00AC0667" w:rsidP="00AC0667">
            <w:r w:rsidRPr="00AC0667">
              <w:t>Supports low-carbon transition</w:t>
            </w:r>
          </w:p>
        </w:tc>
      </w:tr>
    </w:tbl>
    <w:p w:rsidR="00AC0667" w:rsidRDefault="00AC0667" w:rsidP="00AC0667"/>
    <w:p w:rsidR="00E84F92" w:rsidRDefault="00E84F92" w:rsidP="00E84F92">
      <w:r>
        <w:t>Automation and AI have had a positive impact on mining productivity, maximising equipment usage, predictive maintenance and operational safety, while minimising downtime and operating costs. These technologies will help BHP to remain efficient throughout its value chain, to ensure reliable supply to its industrial customers</w:t>
      </w:r>
      <w:r w:rsidR="00C51182">
        <w:t xml:space="preserve"> </w:t>
      </w:r>
      <w:r w:rsidR="00C51182" w:rsidRPr="00C51182">
        <w:t>(Olusegun Samuel Ojuekaiye, 2024)</w:t>
      </w:r>
      <w:r>
        <w:t>. From a marketing standpoint, reliable operations boost confidence in the company and its reputation among its customers as a reliable supplier in highly competitive global commodity markets.</w:t>
      </w:r>
    </w:p>
    <w:p w:rsidR="00E84F92" w:rsidRDefault="00E84F92" w:rsidP="00E84F92">
      <w:r>
        <w:t>Real-time Data Analytics, remote monitoring and Integrated Supply Chain Management are further advantages of the Digitalisation in the organizational capabilities. These digital technologies enhance transparency of the production processes, and environmental impacts, allowing BHP to deliver credible sustainability information to customers and investors</w:t>
      </w:r>
      <w:r w:rsidR="00C51182">
        <w:t xml:space="preserve"> </w:t>
      </w:r>
      <w:r w:rsidR="00C51182" w:rsidRPr="00C51182">
        <w:t>(Haroon et al., 2025)</w:t>
      </w:r>
      <w:r>
        <w:t>. This increased visibility throughout operations also fosters the trust of stakeholders which has become even more critical as environmental, social and governance (ESG) factors are becoming a factor in procurement and investment.</w:t>
      </w:r>
    </w:p>
    <w:p w:rsidR="00E84F92" w:rsidRDefault="00E84F92" w:rsidP="00E84F92">
      <w:r>
        <w:t>BHP is also investing in renewable energy, hydrogen technologies and carbon capture projects to further lower operational emissions as they strive to progress towards a low carbon mining industry, in addition to digital transformation. These technologies contribute to meeting the increasingly stringent environmental regulations, but also help to improve the company's capacity to provide commodities that are in line with global decarbonisation targets</w:t>
      </w:r>
      <w:r w:rsidR="00C51182">
        <w:t xml:space="preserve"> </w:t>
      </w:r>
      <w:r w:rsidR="00C51182" w:rsidRPr="00C51182">
        <w:t>(Singh, Anipeddi Manjusha and Lal, 2024)</w:t>
      </w:r>
      <w:r>
        <w:t>. Sustainable sourcing is becoming a key consideration for customers, delivering additional value to BHP with these investments showing it is not only operating at its best, but doing so in an environmentally responsible way.</w:t>
      </w:r>
    </w:p>
    <w:p w:rsidR="00AC0667" w:rsidRDefault="00E84F92" w:rsidP="00E84F92">
      <w:pPr>
        <w:rPr>
          <w:lang w:eastAsia="en-GB"/>
        </w:rPr>
      </w:pPr>
      <w:r>
        <w:lastRenderedPageBreak/>
        <w:t>But there are strategic difficulties when it comes to technological leadership, too. Implementation challenges and slow ROI may be due to significant capital investment, cyber security issues and the rate of technology evolution</w:t>
      </w:r>
      <w:r w:rsidR="00C51182">
        <w:t xml:space="preserve"> </w:t>
      </w:r>
      <w:r w:rsidR="00C51182" w:rsidRPr="00C51182">
        <w:t>(Burton and White, 2023)</w:t>
      </w:r>
      <w:r>
        <w:t>. In addition, there is a tendency for competitors to quickly follow suit with new comparable innovations, so technology-based benefits must be matched with constant innovation and effective communication to the stakeholders. So, ability to technologically do better isn't enough to create sustainable differentiation. BHP's ability to remain competitive relies on technology and sustainability initiatives, and the effective sharing of these with customers, investors and other stakeholders, further strengthening their reputation as innovative and sustainable mining company globally.</w:t>
      </w:r>
    </w:p>
    <w:p w:rsidR="00AC0667" w:rsidRPr="00AC0667" w:rsidRDefault="00AC0667" w:rsidP="00AC0667">
      <w:pPr>
        <w:rPr>
          <w:lang w:eastAsia="en-GB"/>
        </w:rPr>
      </w:pPr>
    </w:p>
    <w:p w:rsidR="000E0B28" w:rsidRDefault="000E0B28" w:rsidP="00AC0667">
      <w:pPr>
        <w:pStyle w:val="Heading1"/>
      </w:pPr>
      <w:bookmarkStart w:id="6" w:name="_Toc235183367"/>
      <w:r>
        <w:t>Task 2</w:t>
      </w:r>
      <w:r w:rsidR="00AC0667">
        <w:t>:</w:t>
      </w:r>
      <w:r>
        <w:t xml:space="preserve"> Strategic Growth and Competitive Positioning</w:t>
      </w:r>
      <w:bookmarkEnd w:id="6"/>
    </w:p>
    <w:p w:rsidR="000E0B28" w:rsidRDefault="000E0B28" w:rsidP="00AC0667">
      <w:pPr>
        <w:pStyle w:val="Heading2"/>
      </w:pPr>
      <w:bookmarkStart w:id="7" w:name="_Toc235183368"/>
      <w:r>
        <w:t>Strategic Implications</w:t>
      </w:r>
      <w:bookmarkEnd w:id="7"/>
    </w:p>
    <w:p w:rsidR="000E0B28" w:rsidRDefault="00E84F92" w:rsidP="00AC0667">
      <w:r w:rsidRPr="00E84F92">
        <w:t>The analysis shows that the sustainability of the environment and technological innovations are becoming increasingly intertwined with BHP's competitiveness. The growing interest, and availability, of responsibly sourced minerals and new digital and low carbon technologies offers great potential to improve market positioning and meet new stakeholder expectations</w:t>
      </w:r>
      <w:r w:rsidR="00C51182">
        <w:t xml:space="preserve"> </w:t>
      </w:r>
      <w:r w:rsidR="00C51182" w:rsidRPr="00C51182">
        <w:t>(M. Shestakov, 2025)</w:t>
      </w:r>
      <w:r w:rsidRPr="00E84F92">
        <w:t>. Rising regulation, growing investment demands and heightened competition are part of these opportunities, though. Thus, BHP must develop a strategy which maximises its sustainability capacity and technological know-how to support sustainable growth and ensure that it remains a key differentiator and has competitive advantage in the international mining sector.</w:t>
      </w:r>
    </w:p>
    <w:p w:rsidR="000E0B28" w:rsidRDefault="000E0B28" w:rsidP="000E0B28"/>
    <w:p w:rsidR="000E0B28" w:rsidRDefault="000E0B28" w:rsidP="00AC0667">
      <w:pPr>
        <w:pStyle w:val="Heading2"/>
      </w:pPr>
      <w:bookmarkStart w:id="8" w:name="_Toc235183369"/>
      <w:r>
        <w:t>Growth Strategy (Ansoff Matrix)</w:t>
      </w:r>
      <w:bookmarkEnd w:id="8"/>
    </w:p>
    <w:p w:rsidR="00AC0667" w:rsidRDefault="00E84F92" w:rsidP="00AC0667">
      <w:r w:rsidRPr="00E84F92">
        <w:t>The results of the environmental analysis suggest that BHP should adopt a Product Development course in Ansoff's Matrix to capitalize on the growing global trend towards sustainable mining products. Product development is not only about expanding current products and markets, but also about taking advantage of existing operation capabilities and adapting to changing customer needs due to decarbonisation and technological developments</w:t>
      </w:r>
      <w:r w:rsidR="00C51182">
        <w:t xml:space="preserve"> </w:t>
      </w:r>
      <w:r w:rsidR="00C51182" w:rsidRPr="00C51182">
        <w:t>(Wan et al., 2022)</w:t>
      </w:r>
      <w:r w:rsidRPr="00E84F92">
        <w:t>.</w:t>
      </w:r>
    </w:p>
    <w:p w:rsidR="00AC0667" w:rsidRPr="00AC0667" w:rsidRDefault="00AC0667" w:rsidP="00AC0667"/>
    <w:p w:rsidR="00AC0667" w:rsidRDefault="00AC0667" w:rsidP="00AC0667">
      <w:pPr>
        <w:pStyle w:val="Caption"/>
        <w:keepNext/>
        <w:jc w:val="center"/>
      </w:pPr>
      <w:r>
        <w:lastRenderedPageBreak/>
        <w:t xml:space="preserve">Table </w:t>
      </w:r>
      <w:fldSimple w:instr=" SEQ Table \* ARABIC ">
        <w:r>
          <w:rPr>
            <w:noProof/>
          </w:rPr>
          <w:t>3</w:t>
        </w:r>
      </w:fldSimple>
      <w:r>
        <w:rPr>
          <w:lang w:val="en-US"/>
        </w:rPr>
        <w:t xml:space="preserve">: </w:t>
      </w:r>
      <w:r w:rsidRPr="00CC6DD1">
        <w:rPr>
          <w:lang w:val="en-US"/>
        </w:rPr>
        <w:t>Evaluation of Ansoff Matrix for BHP</w:t>
      </w:r>
    </w:p>
    <w:tbl>
      <w:tblPr>
        <w:tblStyle w:val="TableGrid"/>
        <w:tblW w:w="0" w:type="auto"/>
        <w:tblLook w:val="04A0"/>
      </w:tblPr>
      <w:tblGrid>
        <w:gridCol w:w="2028"/>
        <w:gridCol w:w="1195"/>
        <w:gridCol w:w="6019"/>
      </w:tblGrid>
      <w:tr w:rsidR="00AC0667" w:rsidRPr="00AC0667" w:rsidTr="00AC0667">
        <w:tc>
          <w:tcPr>
            <w:tcW w:w="0" w:type="auto"/>
            <w:hideMark/>
          </w:tcPr>
          <w:p w:rsidR="00AC0667" w:rsidRPr="00AC0667" w:rsidRDefault="00AC0667" w:rsidP="00AC0667">
            <w:pPr>
              <w:jc w:val="center"/>
              <w:rPr>
                <w:b/>
                <w:bCs/>
              </w:rPr>
            </w:pPr>
            <w:r w:rsidRPr="00AC0667">
              <w:rPr>
                <w:b/>
                <w:bCs/>
              </w:rPr>
              <w:t>Strategy</w:t>
            </w:r>
          </w:p>
        </w:tc>
        <w:tc>
          <w:tcPr>
            <w:tcW w:w="0" w:type="auto"/>
            <w:hideMark/>
          </w:tcPr>
          <w:p w:rsidR="00AC0667" w:rsidRPr="00AC0667" w:rsidRDefault="00AC0667" w:rsidP="00AC0667">
            <w:pPr>
              <w:jc w:val="center"/>
              <w:rPr>
                <w:b/>
                <w:bCs/>
              </w:rPr>
            </w:pPr>
            <w:r w:rsidRPr="00AC0667">
              <w:rPr>
                <w:b/>
                <w:bCs/>
              </w:rPr>
              <w:t>Suitability</w:t>
            </w:r>
          </w:p>
        </w:tc>
        <w:tc>
          <w:tcPr>
            <w:tcW w:w="0" w:type="auto"/>
            <w:hideMark/>
          </w:tcPr>
          <w:p w:rsidR="00AC0667" w:rsidRPr="00AC0667" w:rsidRDefault="00AC0667" w:rsidP="00AC0667">
            <w:pPr>
              <w:jc w:val="center"/>
              <w:rPr>
                <w:b/>
                <w:bCs/>
              </w:rPr>
            </w:pPr>
            <w:r w:rsidRPr="00AC0667">
              <w:rPr>
                <w:b/>
                <w:bCs/>
              </w:rPr>
              <w:t>Key Justification</w:t>
            </w:r>
          </w:p>
        </w:tc>
      </w:tr>
      <w:tr w:rsidR="00AC0667" w:rsidRPr="00AC0667" w:rsidTr="00AC0667">
        <w:tc>
          <w:tcPr>
            <w:tcW w:w="0" w:type="auto"/>
            <w:hideMark/>
          </w:tcPr>
          <w:p w:rsidR="00AC0667" w:rsidRPr="00AC0667" w:rsidRDefault="00AC0667" w:rsidP="00AC0667">
            <w:pPr>
              <w:jc w:val="center"/>
              <w:rPr>
                <w:b/>
                <w:bCs/>
              </w:rPr>
            </w:pPr>
            <w:r w:rsidRPr="00AC0667">
              <w:rPr>
                <w:b/>
                <w:bCs/>
              </w:rPr>
              <w:t>Market Penetration</w:t>
            </w:r>
          </w:p>
        </w:tc>
        <w:tc>
          <w:tcPr>
            <w:tcW w:w="0" w:type="auto"/>
            <w:hideMark/>
          </w:tcPr>
          <w:p w:rsidR="00AC0667" w:rsidRPr="00AC0667" w:rsidRDefault="00AC0667" w:rsidP="00AC0667">
            <w:r w:rsidRPr="00AC0667">
              <w:t>Moderate</w:t>
            </w:r>
          </w:p>
        </w:tc>
        <w:tc>
          <w:tcPr>
            <w:tcW w:w="0" w:type="auto"/>
            <w:hideMark/>
          </w:tcPr>
          <w:p w:rsidR="00AC0667" w:rsidRPr="00AC0667" w:rsidRDefault="00AC0667" w:rsidP="00AC0667">
            <w:r w:rsidRPr="00AC0667">
              <w:t>Limited growth in mature commodity markets</w:t>
            </w:r>
          </w:p>
        </w:tc>
      </w:tr>
      <w:tr w:rsidR="00AC0667" w:rsidRPr="00AC0667" w:rsidTr="00AC0667">
        <w:tc>
          <w:tcPr>
            <w:tcW w:w="0" w:type="auto"/>
            <w:hideMark/>
          </w:tcPr>
          <w:p w:rsidR="00AC0667" w:rsidRPr="00AC0667" w:rsidRDefault="00AC0667" w:rsidP="00AC0667">
            <w:pPr>
              <w:jc w:val="center"/>
              <w:rPr>
                <w:b/>
                <w:bCs/>
              </w:rPr>
            </w:pPr>
            <w:r w:rsidRPr="00AC0667">
              <w:rPr>
                <w:b/>
                <w:bCs/>
              </w:rPr>
              <w:t>Market Development</w:t>
            </w:r>
          </w:p>
        </w:tc>
        <w:tc>
          <w:tcPr>
            <w:tcW w:w="0" w:type="auto"/>
            <w:hideMark/>
          </w:tcPr>
          <w:p w:rsidR="00AC0667" w:rsidRPr="00AC0667" w:rsidRDefault="00AC0667" w:rsidP="00AC0667">
            <w:r w:rsidRPr="00AC0667">
              <w:t>Moderate</w:t>
            </w:r>
          </w:p>
        </w:tc>
        <w:tc>
          <w:tcPr>
            <w:tcW w:w="0" w:type="auto"/>
            <w:hideMark/>
          </w:tcPr>
          <w:p w:rsidR="00AC0667" w:rsidRPr="00AC0667" w:rsidRDefault="00AC0667" w:rsidP="00AC0667">
            <w:r w:rsidRPr="00AC0667">
              <w:t>Geographic expansion opportunities remain available but involve regulatory and political risks</w:t>
            </w:r>
          </w:p>
        </w:tc>
      </w:tr>
      <w:tr w:rsidR="00AC0667" w:rsidRPr="00AC0667" w:rsidTr="00AC0667">
        <w:tc>
          <w:tcPr>
            <w:tcW w:w="0" w:type="auto"/>
            <w:hideMark/>
          </w:tcPr>
          <w:p w:rsidR="00AC0667" w:rsidRPr="00AC0667" w:rsidRDefault="00AC0667" w:rsidP="00AC0667">
            <w:pPr>
              <w:jc w:val="center"/>
              <w:rPr>
                <w:b/>
                <w:bCs/>
              </w:rPr>
            </w:pPr>
            <w:r w:rsidRPr="00AC0667">
              <w:rPr>
                <w:b/>
                <w:bCs/>
              </w:rPr>
              <w:t>Product Development</w:t>
            </w:r>
          </w:p>
        </w:tc>
        <w:tc>
          <w:tcPr>
            <w:tcW w:w="0" w:type="auto"/>
            <w:hideMark/>
          </w:tcPr>
          <w:p w:rsidR="00AC0667" w:rsidRPr="00AC0667" w:rsidRDefault="00AC0667" w:rsidP="00AC0667">
            <w:r w:rsidRPr="00AC0667">
              <w:t>High</w:t>
            </w:r>
          </w:p>
        </w:tc>
        <w:tc>
          <w:tcPr>
            <w:tcW w:w="0" w:type="auto"/>
            <w:hideMark/>
          </w:tcPr>
          <w:p w:rsidR="00AC0667" w:rsidRPr="00AC0667" w:rsidRDefault="00AC0667" w:rsidP="00AC0667">
            <w:r w:rsidRPr="00AC0667">
              <w:t>Supports lower-carbon products and strengthens competitive advantage</w:t>
            </w:r>
          </w:p>
        </w:tc>
      </w:tr>
      <w:tr w:rsidR="00AC0667" w:rsidRPr="00AC0667" w:rsidTr="00AC0667">
        <w:tc>
          <w:tcPr>
            <w:tcW w:w="0" w:type="auto"/>
            <w:hideMark/>
          </w:tcPr>
          <w:p w:rsidR="00AC0667" w:rsidRPr="00AC0667" w:rsidRDefault="00AC0667" w:rsidP="00AC0667">
            <w:pPr>
              <w:jc w:val="center"/>
              <w:rPr>
                <w:b/>
                <w:bCs/>
              </w:rPr>
            </w:pPr>
            <w:r w:rsidRPr="00AC0667">
              <w:rPr>
                <w:b/>
                <w:bCs/>
              </w:rPr>
              <w:t>Diversification</w:t>
            </w:r>
          </w:p>
        </w:tc>
        <w:tc>
          <w:tcPr>
            <w:tcW w:w="0" w:type="auto"/>
            <w:hideMark/>
          </w:tcPr>
          <w:p w:rsidR="00AC0667" w:rsidRPr="00AC0667" w:rsidRDefault="00AC0667" w:rsidP="00AC0667">
            <w:r w:rsidRPr="00AC0667">
              <w:t>Low</w:t>
            </w:r>
          </w:p>
        </w:tc>
        <w:tc>
          <w:tcPr>
            <w:tcW w:w="0" w:type="auto"/>
            <w:hideMark/>
          </w:tcPr>
          <w:p w:rsidR="00AC0667" w:rsidRPr="00AC0667" w:rsidRDefault="00AC0667" w:rsidP="00AC0667">
            <w:r w:rsidRPr="00AC0667">
              <w:t>High investment and greater strategic uncertainty</w:t>
            </w:r>
          </w:p>
        </w:tc>
      </w:tr>
    </w:tbl>
    <w:p w:rsidR="00AC0667" w:rsidRDefault="00AC0667" w:rsidP="00AC0667">
      <w:pPr>
        <w:keepNext/>
        <w:spacing w:before="100" w:beforeAutospacing="1" w:after="100" w:afterAutospacing="1" w:line="240" w:lineRule="auto"/>
        <w:jc w:val="center"/>
      </w:pPr>
      <w:r w:rsidRPr="00AC0667">
        <w:rPr>
          <w:rFonts w:eastAsia="Times New Roman" w:cs="Times New Roman"/>
          <w:i/>
          <w:iCs/>
          <w:noProof/>
          <w:szCs w:val="24"/>
          <w:lang w:val="en-US" w:bidi="gu-IN"/>
        </w:rPr>
        <w:drawing>
          <wp:inline distT="0" distB="0" distL="0" distR="0">
            <wp:extent cx="3536527" cy="29848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3560802" cy="3005339"/>
                    </a:xfrm>
                    <a:prstGeom prst="rect">
                      <a:avLst/>
                    </a:prstGeom>
                  </pic:spPr>
                </pic:pic>
              </a:graphicData>
            </a:graphic>
          </wp:inline>
        </w:drawing>
      </w:r>
    </w:p>
    <w:p w:rsidR="00AC0667" w:rsidRDefault="00AC0667" w:rsidP="00AC0667">
      <w:pPr>
        <w:pStyle w:val="Caption"/>
        <w:jc w:val="center"/>
        <w:rPr>
          <w:rFonts w:eastAsia="Times New Roman" w:cs="Times New Roman"/>
          <w:i w:val="0"/>
          <w:iCs w:val="0"/>
          <w:szCs w:val="24"/>
          <w:lang w:eastAsia="en-GB"/>
        </w:rPr>
      </w:pPr>
      <w:r>
        <w:t xml:space="preserve">Figure </w:t>
      </w:r>
      <w:fldSimple w:instr=" SEQ Figure \* ARABIC ">
        <w:r>
          <w:rPr>
            <w:noProof/>
          </w:rPr>
          <w:t>1</w:t>
        </w:r>
      </w:fldSimple>
      <w:r>
        <w:rPr>
          <w:lang w:val="en-US"/>
        </w:rPr>
        <w:t>:</w:t>
      </w:r>
      <w:r w:rsidRPr="00AC0667">
        <w:rPr>
          <w:rFonts w:eastAsia="Times New Roman" w:cs="Times New Roman"/>
          <w:szCs w:val="24"/>
          <w:lang w:eastAsia="en-GB"/>
        </w:rPr>
        <w:t xml:space="preserve"> Ansoff Matrix</w:t>
      </w:r>
    </w:p>
    <w:p w:rsidR="00E84F92" w:rsidRDefault="00E84F92" w:rsidP="00E84F92">
      <w:r>
        <w:t>Market penetration has limited potential for the long term, due to BHP's current strong presence in existing mining markets around the world. Operational efficiency and customer relationship management approaches to sales and sustainability will help to achieve profitability, but are not necessarily sufficient to overcome the structural change to sustainability and low carbon resource use. Likewise, geographical expansion has the potential to boost revenue for business development, but it can also present the business with geopolitical risks, regulatory obstacles, and a significant capital investment.</w:t>
      </w:r>
    </w:p>
    <w:p w:rsidR="00E84F92" w:rsidRDefault="00E84F92" w:rsidP="00E84F92">
      <w:r>
        <w:t>Product development is more closely related to market demand and BHP's skills, however. An increased demand for transition minerals (copper, nickel), and rising consumer expectations for responsibly sourced products and production processes, drive opportunities to reduce carbon use and develop environmentally-friendly products and processes</w:t>
      </w:r>
      <w:r w:rsidR="00C51182">
        <w:t xml:space="preserve"> </w:t>
      </w:r>
      <w:r w:rsidR="00C51182" w:rsidRPr="00C51182">
        <w:t xml:space="preserve">(Song et </w:t>
      </w:r>
      <w:r w:rsidR="00C51182" w:rsidRPr="00C51182">
        <w:lastRenderedPageBreak/>
        <w:t>al., 2025)</w:t>
      </w:r>
      <w:r>
        <w:t>. The industry's sustainable energy, emissions reduction, and digital mining investments help BHP deliver improved value in its products and stand out from the competition. This approach enables the organisation to better align with industrial customers that want to establish more close ties with suppliers that can help them achieve their sustainability goals.</w:t>
      </w:r>
    </w:p>
    <w:p w:rsidR="00E84F92" w:rsidRDefault="00E84F92" w:rsidP="00E84F92">
      <w:r>
        <w:t>Diversification is the least desirable, as spreading the company into unrelated business would demand the financial investment of the company, and would carry with it a strategic risk. Diversification might also pull resources away from BHP's main skills and knowledge of mining and resource development, leading to a decrease in the extent to which the organisation focuses on its business</w:t>
      </w:r>
      <w:r w:rsidR="00C51182">
        <w:t xml:space="preserve"> </w:t>
      </w:r>
      <w:r w:rsidR="00C51182" w:rsidRPr="00C51182">
        <w:t>(Amoah and Eweje, 2023)</w:t>
      </w:r>
      <w:r>
        <w:t>. Also, in an age where technology and environmental impact are increasingly the drivers of competitive success, it may be a diversion of resources from BHP's core capabilities.</w:t>
      </w:r>
    </w:p>
    <w:p w:rsidR="00AC0667" w:rsidRPr="00AC0667" w:rsidRDefault="00E84F92" w:rsidP="00E84F92">
      <w:r>
        <w:t>The strategic fit, in general, is best for Product Development, as it relates directly to the environmental and technological drivers found in the previous analysis. The Company's commitment to developing lower carbon commodities, and leveraging sustainable production processes into its current product mix, can deliver value to customers and cement its reputation as an innovative and sustainable mining company</w:t>
      </w:r>
      <w:r w:rsidR="00C51182">
        <w:t xml:space="preserve"> </w:t>
      </w:r>
      <w:r w:rsidR="00C51182" w:rsidRPr="00C51182">
        <w:t>(Sharma et al., 2023)</w:t>
      </w:r>
      <w:r>
        <w:t>. Thus, Product Development is the best means of ensuring sustained long-term development, and maintaining competitiveness in the changing global mining industry.</w:t>
      </w:r>
    </w:p>
    <w:p w:rsidR="000E0B28" w:rsidRDefault="000E0B28" w:rsidP="000E0B28"/>
    <w:p w:rsidR="000E0B28" w:rsidRDefault="000E0B28" w:rsidP="00AC0667">
      <w:pPr>
        <w:pStyle w:val="Heading2"/>
      </w:pPr>
      <w:bookmarkStart w:id="9" w:name="_Toc235183370"/>
      <w:r>
        <w:t>Competitive Positioning (Porter's Generic Strategy)</w:t>
      </w:r>
      <w:bookmarkEnd w:id="9"/>
    </w:p>
    <w:p w:rsidR="00AC0667" w:rsidRDefault="00E84F92" w:rsidP="00AC0667">
      <w:r w:rsidRPr="00E84F92">
        <w:t>Organisations that strive for sustainable competitive advantage can do so by pursuing the strategies of cost leadership, differentiation or focus which can be identified by using Porter's Generic Strategies. With a growing focus on environmental performance and technological innovation in the mining sector, BHP's ability to remain competitive over the long term relies on the generation of value in areas other than price</w:t>
      </w:r>
      <w:r w:rsidR="00C51182">
        <w:t xml:space="preserve"> </w:t>
      </w:r>
      <w:r w:rsidR="00C51182" w:rsidRPr="00C51182">
        <w:t>(Adomako and Tran, 2022)</w:t>
      </w:r>
      <w:r w:rsidRPr="00E84F92">
        <w:t>. Thus, differentiation is the most suitable competitive stance that the company can adopt.</w:t>
      </w:r>
    </w:p>
    <w:p w:rsidR="00AC0667" w:rsidRDefault="00AC0667" w:rsidP="00AC0667"/>
    <w:p w:rsidR="00AC0667" w:rsidRDefault="00AC0667" w:rsidP="00AC0667">
      <w:pPr>
        <w:pStyle w:val="Caption"/>
        <w:keepNext/>
        <w:jc w:val="center"/>
      </w:pPr>
      <w:r>
        <w:t xml:space="preserve">Table </w:t>
      </w:r>
      <w:fldSimple w:instr=" SEQ Table \* ARABIC ">
        <w:r>
          <w:rPr>
            <w:noProof/>
          </w:rPr>
          <w:t>4</w:t>
        </w:r>
      </w:fldSimple>
      <w:r>
        <w:rPr>
          <w:lang w:val="en-US"/>
        </w:rPr>
        <w:t xml:space="preserve">: </w:t>
      </w:r>
      <w:r w:rsidRPr="006E4E3C">
        <w:rPr>
          <w:lang w:val="en-US"/>
        </w:rPr>
        <w:t>Evaluation of Porter's Generic Strategies for BHP</w:t>
      </w:r>
    </w:p>
    <w:tbl>
      <w:tblPr>
        <w:tblStyle w:val="TableGrid"/>
        <w:tblW w:w="0" w:type="auto"/>
        <w:tblLook w:val="04A0"/>
      </w:tblPr>
      <w:tblGrid>
        <w:gridCol w:w="2178"/>
        <w:gridCol w:w="1440"/>
        <w:gridCol w:w="5624"/>
      </w:tblGrid>
      <w:tr w:rsidR="00AC0667" w:rsidRPr="00AC0667" w:rsidTr="00AC0667">
        <w:tc>
          <w:tcPr>
            <w:tcW w:w="2178" w:type="dxa"/>
          </w:tcPr>
          <w:p w:rsidR="00AC0667" w:rsidRPr="00AC0667" w:rsidRDefault="00AC0667" w:rsidP="00622D6F">
            <w:pPr>
              <w:rPr>
                <w:b/>
                <w:bCs/>
              </w:rPr>
            </w:pPr>
            <w:r w:rsidRPr="00AC0667">
              <w:rPr>
                <w:b/>
                <w:bCs/>
              </w:rPr>
              <w:t>Strategy</w:t>
            </w:r>
          </w:p>
        </w:tc>
        <w:tc>
          <w:tcPr>
            <w:tcW w:w="1440" w:type="dxa"/>
          </w:tcPr>
          <w:p w:rsidR="00AC0667" w:rsidRPr="00AC0667" w:rsidRDefault="00AC0667" w:rsidP="00622D6F">
            <w:pPr>
              <w:rPr>
                <w:b/>
                <w:bCs/>
              </w:rPr>
            </w:pPr>
            <w:r w:rsidRPr="00AC0667">
              <w:rPr>
                <w:b/>
                <w:bCs/>
              </w:rPr>
              <w:t>Suitability</w:t>
            </w:r>
          </w:p>
        </w:tc>
        <w:tc>
          <w:tcPr>
            <w:tcW w:w="5624" w:type="dxa"/>
          </w:tcPr>
          <w:p w:rsidR="00AC0667" w:rsidRPr="00AC0667" w:rsidRDefault="00AC0667" w:rsidP="00622D6F">
            <w:pPr>
              <w:rPr>
                <w:b/>
                <w:bCs/>
              </w:rPr>
            </w:pPr>
            <w:r w:rsidRPr="00AC0667">
              <w:rPr>
                <w:b/>
                <w:bCs/>
              </w:rPr>
              <w:t>Justification</w:t>
            </w:r>
          </w:p>
        </w:tc>
      </w:tr>
      <w:tr w:rsidR="00AC0667" w:rsidRPr="00AC0667" w:rsidTr="00AC0667">
        <w:tc>
          <w:tcPr>
            <w:tcW w:w="2178" w:type="dxa"/>
          </w:tcPr>
          <w:p w:rsidR="00AC0667" w:rsidRPr="00AC0667" w:rsidRDefault="00AC0667" w:rsidP="00622D6F">
            <w:pPr>
              <w:rPr>
                <w:b/>
                <w:bCs/>
              </w:rPr>
            </w:pPr>
            <w:r w:rsidRPr="00AC0667">
              <w:rPr>
                <w:b/>
                <w:bCs/>
              </w:rPr>
              <w:t>Cost Leadership</w:t>
            </w:r>
          </w:p>
        </w:tc>
        <w:tc>
          <w:tcPr>
            <w:tcW w:w="1440" w:type="dxa"/>
          </w:tcPr>
          <w:p w:rsidR="00AC0667" w:rsidRPr="00AC0667" w:rsidRDefault="00AC0667" w:rsidP="00622D6F">
            <w:r w:rsidRPr="00AC0667">
              <w:t>Moderate</w:t>
            </w:r>
          </w:p>
        </w:tc>
        <w:tc>
          <w:tcPr>
            <w:tcW w:w="5624" w:type="dxa"/>
          </w:tcPr>
          <w:p w:rsidR="00AC0667" w:rsidRPr="00AC0667" w:rsidRDefault="00AC0667" w:rsidP="00622D6F">
            <w:r w:rsidRPr="00AC0667">
              <w:t xml:space="preserve">Large-scale operations reduce costs but commodity price </w:t>
            </w:r>
            <w:r w:rsidRPr="00AC0667">
              <w:lastRenderedPageBreak/>
              <w:t>competition limits sustainable advantage.</w:t>
            </w:r>
          </w:p>
        </w:tc>
      </w:tr>
      <w:tr w:rsidR="00AC0667" w:rsidRPr="00AC0667" w:rsidTr="00AC0667">
        <w:tc>
          <w:tcPr>
            <w:tcW w:w="2178" w:type="dxa"/>
          </w:tcPr>
          <w:p w:rsidR="00AC0667" w:rsidRPr="00AC0667" w:rsidRDefault="00AC0667" w:rsidP="00622D6F">
            <w:pPr>
              <w:rPr>
                <w:b/>
                <w:bCs/>
              </w:rPr>
            </w:pPr>
            <w:r w:rsidRPr="00AC0667">
              <w:rPr>
                <w:b/>
                <w:bCs/>
              </w:rPr>
              <w:lastRenderedPageBreak/>
              <w:t>Differentiation</w:t>
            </w:r>
          </w:p>
        </w:tc>
        <w:tc>
          <w:tcPr>
            <w:tcW w:w="1440" w:type="dxa"/>
          </w:tcPr>
          <w:p w:rsidR="00AC0667" w:rsidRPr="00AC0667" w:rsidRDefault="00AC0667" w:rsidP="00622D6F">
            <w:r w:rsidRPr="00AC0667">
              <w:t>High</w:t>
            </w:r>
          </w:p>
        </w:tc>
        <w:tc>
          <w:tcPr>
            <w:tcW w:w="5624" w:type="dxa"/>
          </w:tcPr>
          <w:p w:rsidR="00AC0667" w:rsidRPr="00AC0667" w:rsidRDefault="00AC0667" w:rsidP="00622D6F">
            <w:r w:rsidRPr="00AC0667">
              <w:t>Supports lower-carbon products, sustainability leadership and technological innovation.</w:t>
            </w:r>
          </w:p>
        </w:tc>
      </w:tr>
      <w:tr w:rsidR="00AC0667" w:rsidTr="00AC0667">
        <w:tc>
          <w:tcPr>
            <w:tcW w:w="2178" w:type="dxa"/>
          </w:tcPr>
          <w:p w:rsidR="00AC0667" w:rsidRPr="00AC0667" w:rsidRDefault="00AC0667" w:rsidP="00622D6F">
            <w:pPr>
              <w:rPr>
                <w:b/>
                <w:bCs/>
              </w:rPr>
            </w:pPr>
            <w:r w:rsidRPr="00AC0667">
              <w:rPr>
                <w:b/>
                <w:bCs/>
              </w:rPr>
              <w:t>Focus</w:t>
            </w:r>
          </w:p>
        </w:tc>
        <w:tc>
          <w:tcPr>
            <w:tcW w:w="1440" w:type="dxa"/>
          </w:tcPr>
          <w:p w:rsidR="00AC0667" w:rsidRPr="00AC0667" w:rsidRDefault="00AC0667" w:rsidP="00622D6F">
            <w:r w:rsidRPr="00AC0667">
              <w:t>Low</w:t>
            </w:r>
          </w:p>
        </w:tc>
        <w:tc>
          <w:tcPr>
            <w:tcW w:w="5624" w:type="dxa"/>
          </w:tcPr>
          <w:p w:rsidR="00AC0667" w:rsidRDefault="00AC0667" w:rsidP="00622D6F">
            <w:r w:rsidRPr="00AC0667">
              <w:t>BHP serves diverse global markets rather than a narrow customer segment.</w:t>
            </w:r>
          </w:p>
        </w:tc>
      </w:tr>
    </w:tbl>
    <w:p w:rsidR="00AC0667" w:rsidRDefault="00AC0667" w:rsidP="00AC0667"/>
    <w:p w:rsidR="00E84F92" w:rsidRDefault="00E84F92" w:rsidP="00E84F92">
      <w:r>
        <w:t>While BHP is able to achieve economies of scale and good efficiencies in mining, a pure cost leadership strategy is not likely to secure long-term differentiation as other companies could seek similar efficiencies. In addition, a primary focus on cost competitiveness can be incompatible with the significant investments needed to be environmentally sustainable and technologically innovative and emissions reducing.</w:t>
      </w:r>
    </w:p>
    <w:p w:rsidR="00E84F92" w:rsidRDefault="00E84F92" w:rsidP="00E84F92">
      <w:r>
        <w:t>A focus strategy is also unlikely to be appropriate as BHP is involved in a number of commodities and international markets. Operating within a niche market or customer segment would potentially lead to lower gains for the company on expanding global demand for transition minerals as well as lower potential for revenue diversification</w:t>
      </w:r>
      <w:r w:rsidR="00C51182">
        <w:t xml:space="preserve"> </w:t>
      </w:r>
      <w:r w:rsidR="00C51182" w:rsidRPr="00C51182">
        <w:t>(Nygaard, 2022)</w:t>
      </w:r>
      <w:r>
        <w:t>.</w:t>
      </w:r>
    </w:p>
    <w:p w:rsidR="00E84F92" w:rsidRDefault="00E84F92" w:rsidP="00E84F92">
      <w:r>
        <w:t>Differentiation is the best strategic fit, as BHP is able to stand out by delivering products that are less carbon intensive, innovative technologies and publishing sustainability reporting in a transparent way, while focusing on responsible mining. The company's green initiatives and innovative solutions become a competitive advantage as it is becoming increasingly important for industrial customers to consider ESG metrics in their procurement processes</w:t>
      </w:r>
      <w:r w:rsidR="00C51182">
        <w:t xml:space="preserve"> </w:t>
      </w:r>
      <w:r w:rsidR="00C51182" w:rsidRPr="00C51182">
        <w:t>(Kumar et al., 2024)</w:t>
      </w:r>
      <w:r>
        <w:t>. This positioning also builds stakeholder confidence, fortifies corporate image and fosters high value relationships with customers in the long-term.</w:t>
      </w:r>
    </w:p>
    <w:p w:rsidR="000E0B28" w:rsidRDefault="00E84F92" w:rsidP="00E84F92">
      <w:r>
        <w:t>There is a high degree of alignment between the opportunities for differentiation identified in previous analyses and the opportunities that are recommended in the Product Development strategy, and also close alignment with those identified in the environmental and technological opportunities analysis. All of these strategies place BHP in a good position to provide superior customer value, enhance market leadership and ensure it has sustainable competitive advantage in the changing global mining industry.</w:t>
      </w:r>
    </w:p>
    <w:p w:rsidR="000E0B28" w:rsidRDefault="000E0B28" w:rsidP="000E0B28"/>
    <w:p w:rsidR="000E0B28" w:rsidRDefault="000E0B28" w:rsidP="00AC0667">
      <w:pPr>
        <w:pStyle w:val="Heading2"/>
      </w:pPr>
      <w:bookmarkStart w:id="10" w:name="_Toc235183371"/>
      <w:r>
        <w:t>Strategic Recommendations</w:t>
      </w:r>
      <w:bookmarkEnd w:id="10"/>
    </w:p>
    <w:p w:rsidR="000E0B28" w:rsidRDefault="00E84F92" w:rsidP="00AC0667">
      <w:r w:rsidRPr="00E84F92">
        <w:t>BHP needs to further boost investment in lower carbon mining technologies and product innovation to enhance competitiveness in the long term</w:t>
      </w:r>
      <w:r w:rsidR="00C51182">
        <w:t xml:space="preserve"> </w:t>
      </w:r>
      <w:r w:rsidR="00C51182" w:rsidRPr="00C51182">
        <w:t>(Sun, 2025)</w:t>
      </w:r>
      <w:r w:rsidRPr="00E84F92">
        <w:t xml:space="preserve">. There should be </w:t>
      </w:r>
      <w:r w:rsidRPr="00E84F92">
        <w:lastRenderedPageBreak/>
        <w:t>increased production of transition minerals, especially copper and nickel, to support the global demand for transition minerals due to decarbonisation. In addition, BHP should improve the communication with its stakeholders by making it available to the public in a transparent way, giving an account of its environmental performance and technological achievements, strengthening customer trust, corporate reputation and its differentiation.</w:t>
      </w:r>
    </w:p>
    <w:p w:rsidR="000E0B28" w:rsidRDefault="000E0B28" w:rsidP="000E0B28"/>
    <w:p w:rsidR="000E0B28" w:rsidRDefault="000E0B28" w:rsidP="00AC0667">
      <w:pPr>
        <w:pStyle w:val="Heading1"/>
      </w:pPr>
      <w:bookmarkStart w:id="11" w:name="_Toc235183372"/>
      <w:r>
        <w:t>Task 3</w:t>
      </w:r>
      <w:r w:rsidR="00AC0667">
        <w:t>:</w:t>
      </w:r>
      <w:r>
        <w:t xml:space="preserve"> Critical Reflection on AI Usage</w:t>
      </w:r>
      <w:bookmarkEnd w:id="11"/>
    </w:p>
    <w:p w:rsidR="00E84F92" w:rsidRDefault="00E84F92" w:rsidP="00E84F92">
      <w:r>
        <w:t>Artificial Intelligence (AI) was used as a research and drafting tool and not a replacement for my own academic research for this assessment. To brainstorm ideas and understand the marketing theories that would be relevant to this project, utilized AI to help with this. Also it was good to me that it helped me to practice the construction of sentences, and also find some points to be developed. But I knew that it wasn't something to take at face value as it could have inaccuracies, be out of date or not be specific enough. So, I didn't use AI as a source of knowledge but rather as a starting point.</w:t>
      </w:r>
    </w:p>
    <w:p w:rsidR="00E84F92" w:rsidRDefault="00E84F92" w:rsidP="00E84F92">
      <w:r>
        <w:t>All AI-generated content has been independently verified with peer-reviewed journal articles, and academic textbooks and BHP's annual and sustainability reports to ensure academic quality. Factual data about the company's environmental efforts and technologies and its strategic goals has been cross-checked before being incorporated into the report</w:t>
      </w:r>
      <w:r w:rsidR="00A02DA8">
        <w:t xml:space="preserve"> </w:t>
      </w:r>
      <w:r w:rsidR="00A02DA8" w:rsidRPr="00A02DA8">
        <w:t>(Iso-Karvia, 2026)</w:t>
      </w:r>
      <w:r>
        <w:t>. If inconsistencies were found, I have altered the text in line with dependable academic and corporate sources. This verification process added to the credibility of my analysis by ensuring that the report had as much as possible an actual up-to-date evidence base, and not just being based on AI-generated report.</w:t>
      </w:r>
    </w:p>
    <w:p w:rsidR="00E84F92" w:rsidRDefault="00E84F92" w:rsidP="00E84F92">
      <w:r>
        <w:t>AI was used to help organize ideas and clarify writing but the analysis within the report was done by me. I carried out analysis of BHP's external market before choosing the most important external factors that affect BHP as the Natural Environment and the Technological Environment. In the same way, I critically analysed Ansoff's Matrix and Porter's Generic Strategies before making the strategic recommendations: Product Development and Differentiation. I have also paraphrased the academic literature, analyzed the different strategies and created the final arguments myself, without copying things created by AI. Therefore, the report is my understanding, critical thinking and application of marketing theory in the real world business scenario.</w:t>
      </w:r>
    </w:p>
    <w:p w:rsidR="000E0B28" w:rsidRDefault="00E84F92" w:rsidP="00E84F92">
      <w:r>
        <w:lastRenderedPageBreak/>
        <w:t>The use of AI also helped me to be more aware of the ethical implications of academic work. I realised that over-reliance on AI might diminish the value of honing critical thinking abilities and lead to potential plagiarism and information inaccuracies. As a result, I have made sure to cite all external sources and I have used AI tools as a means to enhance and extend my own learning. Through this experience, we have been able to gain the value of AI, when used alongside critical thinking, research and evidence-based decision making, as a valuable academic aid</w:t>
      </w:r>
      <w:r w:rsidR="00A02DA8">
        <w:t xml:space="preserve"> </w:t>
      </w:r>
      <w:r w:rsidR="00A02DA8" w:rsidRPr="00A02DA8">
        <w:t>(Noor et al., 2025)</w:t>
      </w:r>
      <w:r>
        <w:t>. In the future, I plan to further leverage AI tools in a way that is respectful to academic honesty and that my own ideas and analysis are always at the heart of my work.</w:t>
      </w:r>
    </w:p>
    <w:p w:rsidR="00AC0667" w:rsidRDefault="00AC0667" w:rsidP="000E0B28"/>
    <w:p w:rsidR="000E0B28" w:rsidRDefault="000E0B28" w:rsidP="000E0B28">
      <w:pPr>
        <w:pStyle w:val="Heading1"/>
      </w:pPr>
      <w:bookmarkStart w:id="12" w:name="_Toc235183373"/>
      <w:r>
        <w:t>Conclusion</w:t>
      </w:r>
      <w:bookmarkEnd w:id="12"/>
    </w:p>
    <w:p w:rsidR="00AC0667" w:rsidRDefault="00E84F92" w:rsidP="00AC0667">
      <w:r w:rsidRPr="00E84F92">
        <w:t>In this report, it has been concluded that BHP's marketing strategy and long term competitiveness is significantly influenced by the Natural Environment and Technological Environment. To face these external pressures, it was decided Product Development was the most appropriate growth strategy coupled with a Differentiation competitive positioning. BHP's focus on lower carbon products, combined with technological innovation and transparency of sustainability, will place it in a strong position to add value to its stakeholders and realise sustainable competitive advantage in the global mining sector.</w:t>
      </w:r>
    </w:p>
    <w:p w:rsidR="000E0B28" w:rsidRDefault="00AC0667" w:rsidP="00AC0667">
      <w:pPr>
        <w:pStyle w:val="Heading1"/>
      </w:pPr>
      <w:r>
        <w:br w:type="column"/>
      </w:r>
      <w:bookmarkStart w:id="13" w:name="_Toc235183374"/>
      <w:r w:rsidR="000E0B28">
        <w:lastRenderedPageBreak/>
        <w:t>References</w:t>
      </w:r>
      <w:bookmarkEnd w:id="13"/>
    </w:p>
    <w:p w:rsidR="00A02DA8" w:rsidRDefault="00A02DA8" w:rsidP="00A02DA8">
      <w:pPr>
        <w:spacing w:line="240" w:lineRule="auto"/>
        <w:ind w:left="720" w:hanging="720"/>
      </w:pPr>
      <w:r>
        <w:t xml:space="preserve">Adomako, S. and Tran, M.D. (2022). Sustainable environmental strategy, firm competitiveness, and financial performance: Evidence from the mining industry. </w:t>
      </w:r>
      <w:r>
        <w:rPr>
          <w:i/>
          <w:iCs/>
        </w:rPr>
        <w:t>Resources Policy</w:t>
      </w:r>
      <w:r>
        <w:t>, 75, p.102515. doi:10.1016/j.resourpol.2021.102515.</w:t>
      </w:r>
    </w:p>
    <w:p w:rsidR="00A02DA8" w:rsidRDefault="00A02DA8" w:rsidP="00A02DA8">
      <w:pPr>
        <w:spacing w:line="240" w:lineRule="auto"/>
        <w:ind w:left="720" w:hanging="720"/>
      </w:pPr>
      <w:r>
        <w:t xml:space="preserve">Amoah, P. and Eweje, G. (2023). Organisational drivers and sustainability implementation in the mining industry: A holistic theoretical framework. </w:t>
      </w:r>
      <w:r>
        <w:rPr>
          <w:i/>
          <w:iCs/>
        </w:rPr>
        <w:t>Business Strategy and the Environment</w:t>
      </w:r>
      <w:r>
        <w:t>. doi:10.1002/bse.3438.</w:t>
      </w:r>
    </w:p>
    <w:p w:rsidR="00A02DA8" w:rsidRDefault="00A02DA8" w:rsidP="00A02DA8">
      <w:pPr>
        <w:spacing w:line="240" w:lineRule="auto"/>
        <w:ind w:left="720" w:hanging="720"/>
      </w:pPr>
      <w:r>
        <w:t xml:space="preserve">Burton, S.L. and White, Y.W. (2023). Exploring the Cost-Benefit Factors, Technological Advancements, and Cybersecurity Impacts. </w:t>
      </w:r>
      <w:r>
        <w:rPr>
          <w:i/>
          <w:iCs/>
        </w:rPr>
        <w:t>Advances in human and social aspects of technology book series</w:t>
      </w:r>
      <w:r>
        <w:t>, pp.286–304. doi:10.4018/979-8-3693-1630-6.ch019.</w:t>
      </w:r>
    </w:p>
    <w:p w:rsidR="00A02DA8" w:rsidRDefault="00A02DA8" w:rsidP="00A02DA8">
      <w:pPr>
        <w:spacing w:line="240" w:lineRule="auto"/>
        <w:ind w:left="720" w:hanging="720"/>
      </w:pPr>
      <w:r>
        <w:t xml:space="preserve">De Donno, M.G. (2024). Metals for the Energy Transition: Exploring Opportunities Amidst Supply-Demand Imbalance. </w:t>
      </w:r>
      <w:r>
        <w:rPr>
          <w:i/>
          <w:iCs/>
        </w:rPr>
        <w:t>SPE Europe Energy Conference and Exhibition</w:t>
      </w:r>
      <w:r>
        <w:t>. [online] doi:10.2118/219988-ms.</w:t>
      </w:r>
    </w:p>
    <w:p w:rsidR="00A02DA8" w:rsidRDefault="00A02DA8" w:rsidP="00A02DA8">
      <w:pPr>
        <w:spacing w:line="240" w:lineRule="auto"/>
        <w:ind w:left="720" w:hanging="720"/>
      </w:pPr>
      <w:r>
        <w:t xml:space="preserve">Haroon, M., Ullah, M., Li, Z., Zhu, S., Wang, J. and Hsueh, C.-P.E. (2025). Impact of emerging technologies on corporate social responsibility in mining industry. </w:t>
      </w:r>
      <w:r>
        <w:rPr>
          <w:i/>
          <w:iCs/>
        </w:rPr>
        <w:t>Resources Policy</w:t>
      </w:r>
      <w:r>
        <w:t>, [online] 102, p.105454. doi:10.1016/j.resourpol.2024.105454.</w:t>
      </w:r>
    </w:p>
    <w:p w:rsidR="00A02DA8" w:rsidRDefault="00A02DA8" w:rsidP="00A02DA8">
      <w:pPr>
        <w:spacing w:line="240" w:lineRule="auto"/>
        <w:ind w:left="720" w:hanging="720"/>
      </w:pPr>
      <w:r>
        <w:t xml:space="preserve">Iso-Karvia, K. (2026). </w:t>
      </w:r>
      <w:r>
        <w:rPr>
          <w:i/>
          <w:iCs/>
        </w:rPr>
        <w:t>Sustainability reporting - Data management and automation plan : Environmental metrics</w:t>
      </w:r>
      <w:r>
        <w:t>. [online] Theseus.fi. Available at: https://www.theseus.fi/handle/10024/920890 [Accessed 17 July 2026].</w:t>
      </w:r>
    </w:p>
    <w:p w:rsidR="00A02DA8" w:rsidRDefault="00A02DA8" w:rsidP="00A02DA8">
      <w:pPr>
        <w:spacing w:line="240" w:lineRule="auto"/>
        <w:ind w:left="720" w:hanging="720"/>
      </w:pPr>
      <w:r>
        <w:t xml:space="preserve">Krüger, C. (2025). Navigating the decarbonisation of steel production: A strategic roadmap for coal producers. </w:t>
      </w:r>
      <w:r>
        <w:rPr>
          <w:i/>
          <w:iCs/>
        </w:rPr>
        <w:t>Theseus.fi</w:t>
      </w:r>
      <w:r>
        <w:t>. [online] doi:http://www.theseus.fi/handle/10024/886611.</w:t>
      </w:r>
    </w:p>
    <w:p w:rsidR="00A02DA8" w:rsidRDefault="00A02DA8" w:rsidP="00A02DA8">
      <w:pPr>
        <w:spacing w:line="240" w:lineRule="auto"/>
        <w:ind w:left="720" w:hanging="720"/>
      </w:pPr>
      <w:r>
        <w:t xml:space="preserve">Kumar, M., Raut, R. D, Sachin Kumar Mangla, Chowdhury, S. and Vikas Kumar Choubey (2024). Moderating ESG compliance between industry 4.0 and green practices with green servitization: Examining its impact on green supply chain performance. </w:t>
      </w:r>
      <w:r>
        <w:rPr>
          <w:i/>
          <w:iCs/>
        </w:rPr>
        <w:t>Technovation</w:t>
      </w:r>
      <w:r>
        <w:t>, 129, pp.102898–102898. doi:10.1016/j.technovation.2023.102898.</w:t>
      </w:r>
    </w:p>
    <w:p w:rsidR="00A02DA8" w:rsidRDefault="00A02DA8" w:rsidP="00A02DA8">
      <w:pPr>
        <w:spacing w:line="240" w:lineRule="auto"/>
        <w:ind w:left="720" w:hanging="720"/>
      </w:pPr>
      <w:r>
        <w:t>M. Shestakov (2025). Innovative Marketing Technologies in the Management of Critical Mineral Resources: Challenges and Prospects. pp.1–5. doi:10.3997/2214-4609.2025510101.</w:t>
      </w:r>
    </w:p>
    <w:p w:rsidR="00A02DA8" w:rsidRDefault="00A02DA8" w:rsidP="00A02DA8">
      <w:pPr>
        <w:spacing w:line="240" w:lineRule="auto"/>
        <w:ind w:left="720" w:hanging="720"/>
      </w:pPr>
      <w:r>
        <w:t xml:space="preserve">Mishra, K.K., Pant, P., Zaheer, A. and Priya, S. (2025). Digital Transformation of Mining Supply Chains. </w:t>
      </w:r>
      <w:r>
        <w:rPr>
          <w:i/>
          <w:iCs/>
        </w:rPr>
        <w:t>Advances in Computational Intelligence and Robotics</w:t>
      </w:r>
      <w:r>
        <w:t>, [online] pp.211–246. doi:10.4018/979-8-3373-4942-8.ch007.</w:t>
      </w:r>
    </w:p>
    <w:p w:rsidR="00A02DA8" w:rsidRDefault="00A02DA8" w:rsidP="00A02DA8">
      <w:pPr>
        <w:spacing w:line="240" w:lineRule="auto"/>
        <w:ind w:left="720" w:hanging="720"/>
      </w:pPr>
      <w:r>
        <w:t xml:space="preserve">Noor, S., Saquib Khushhal, Amjad, A. and Asim Aqil (2025). Using AI to Inform Evidence-based Decision-Making in Educational Policy. </w:t>
      </w:r>
      <w:r>
        <w:rPr>
          <w:i/>
          <w:iCs/>
        </w:rPr>
        <w:t>Review of Applied Management and Social Sciences</w:t>
      </w:r>
      <w:r>
        <w:t>, [online] 8(1), pp.183–192. doi:10.47067/ramss.v8i1.448.</w:t>
      </w:r>
    </w:p>
    <w:p w:rsidR="00A02DA8" w:rsidRDefault="00A02DA8" w:rsidP="00A02DA8">
      <w:pPr>
        <w:spacing w:line="240" w:lineRule="auto"/>
        <w:ind w:left="720" w:hanging="720"/>
      </w:pPr>
      <w:r>
        <w:t xml:space="preserve">Nygaard, A. (2022). The Geopolitical Risk and Strategic Uncertainty of Green Growth after the Ukraine Invasion: How the Circular Economy Can Decrease the Market Power of and Resource Dependency on Critical Minerals. </w:t>
      </w:r>
      <w:r>
        <w:rPr>
          <w:i/>
          <w:iCs/>
        </w:rPr>
        <w:t>Circular Economy and Sustainability</w:t>
      </w:r>
      <w:r>
        <w:t>, [online] 3. doi:10.1007/s43615-022-00181-x.</w:t>
      </w:r>
    </w:p>
    <w:p w:rsidR="00A02DA8" w:rsidRDefault="00A02DA8" w:rsidP="00A02DA8">
      <w:pPr>
        <w:spacing w:line="240" w:lineRule="auto"/>
        <w:ind w:left="720" w:hanging="720"/>
      </w:pPr>
      <w:r>
        <w:t xml:space="preserve">Olusegun Samuel Ojuekaiye (2024). Petroleum Industry Value Chain Optimization: The Inevitability of Midstream and Downstream Development. Asset Management and </w:t>
      </w:r>
      <w:r>
        <w:lastRenderedPageBreak/>
        <w:t xml:space="preserve">Information. </w:t>
      </w:r>
      <w:r>
        <w:rPr>
          <w:i/>
          <w:iCs/>
        </w:rPr>
        <w:t>SPE Nigeria Annual International Conference and Exhibition</w:t>
      </w:r>
      <w:r>
        <w:t>, [online] 198. doi:10.2118/221689-ms.</w:t>
      </w:r>
    </w:p>
    <w:p w:rsidR="00A02DA8" w:rsidRDefault="00A02DA8" w:rsidP="00A02DA8">
      <w:pPr>
        <w:spacing w:line="240" w:lineRule="auto"/>
        <w:ind w:left="720" w:hanging="720"/>
      </w:pPr>
      <w:r>
        <w:t xml:space="preserve">Pant, P. (2025). Empowering Sustainability Through Digital Transformation. </w:t>
      </w:r>
      <w:r>
        <w:rPr>
          <w:i/>
          <w:iCs/>
        </w:rPr>
        <w:t>Advances in Computational Intelligence and Robotics</w:t>
      </w:r>
      <w:r>
        <w:t>, [online] pp.517–548. doi:10.4018/979-8-3373-4942-8.ch018.</w:t>
      </w:r>
    </w:p>
    <w:p w:rsidR="00A02DA8" w:rsidRDefault="00A02DA8" w:rsidP="00A02DA8">
      <w:pPr>
        <w:spacing w:line="240" w:lineRule="auto"/>
        <w:ind w:left="720" w:hanging="720"/>
      </w:pPr>
      <w:r>
        <w:t xml:space="preserve">Sharma, S., Rajesh Kumar Singh, Mishra, R. and Subramanian, N. (2023). Developing climate neutrality among supply chain members in metal and mining industry: Natural resource-based view perspective. </w:t>
      </w:r>
      <w:r>
        <w:rPr>
          <w:i/>
          <w:iCs/>
        </w:rPr>
        <w:t>The International Journal of Logistics Management</w:t>
      </w:r>
      <w:r>
        <w:t>. doi:10.1108/ijlm-03-2023-0108.</w:t>
      </w:r>
    </w:p>
    <w:p w:rsidR="00A02DA8" w:rsidRDefault="00A02DA8" w:rsidP="00A02DA8">
      <w:pPr>
        <w:spacing w:line="240" w:lineRule="auto"/>
        <w:ind w:left="720" w:hanging="720"/>
      </w:pPr>
      <w:r>
        <w:t xml:space="preserve">Singh, B., Anipeddi Manjusha and Lal, B. (2024). Decarbonizing Global Industry. </w:t>
      </w:r>
      <w:r>
        <w:rPr>
          <w:i/>
          <w:iCs/>
        </w:rPr>
        <w:t>CRC Press eBooks</w:t>
      </w:r>
      <w:r>
        <w:t>, pp.197–222. doi:10.1201/9781032726366-10.</w:t>
      </w:r>
    </w:p>
    <w:p w:rsidR="00A02DA8" w:rsidRDefault="00A02DA8" w:rsidP="00A02DA8">
      <w:pPr>
        <w:spacing w:line="240" w:lineRule="auto"/>
        <w:ind w:left="720" w:hanging="720"/>
      </w:pPr>
      <w:r>
        <w:t xml:space="preserve">Song, Y., Yu, C., Magazzino, C. and Li, X. (2025). Transitioning the mining industry to a greener economy: An Asian perspective of mineral demand. </w:t>
      </w:r>
      <w:r>
        <w:rPr>
          <w:i/>
          <w:iCs/>
        </w:rPr>
        <w:t>Resources Policy</w:t>
      </w:r>
      <w:r>
        <w:t>, [online] 102, p.105483. doi:10.1016/j.resourpol.2025.105483.</w:t>
      </w:r>
    </w:p>
    <w:p w:rsidR="00A02DA8" w:rsidRDefault="00A02DA8" w:rsidP="00A02DA8">
      <w:pPr>
        <w:spacing w:line="240" w:lineRule="auto"/>
        <w:ind w:left="720" w:hanging="720"/>
      </w:pPr>
      <w:r>
        <w:t xml:space="preserve">Sun, J. (2025). The CSR practices of Western Australian mining based on innovation ecosystems: Pathways to collaborative innovation and sustainable development. </w:t>
      </w:r>
      <w:r>
        <w:rPr>
          <w:i/>
          <w:iCs/>
        </w:rPr>
        <w:t>International Journal of Innovative Research and Scientific Studies</w:t>
      </w:r>
      <w:r>
        <w:t>, 8(2), pp.4189–4196. doi:10.53894/ijirss.v8i2.6263.</w:t>
      </w:r>
    </w:p>
    <w:p w:rsidR="00A02DA8" w:rsidRDefault="00A02DA8" w:rsidP="00A02DA8">
      <w:pPr>
        <w:spacing w:line="240" w:lineRule="auto"/>
        <w:ind w:left="720" w:hanging="720"/>
      </w:pPr>
      <w:r>
        <w:t xml:space="preserve">Wan, Q., Zhao, X., Liu, H., Dinçer, H. and Yüksel, S. (2022). Assessing the New Product Development Process for the Industrial Decarbonization of Sustainable Economies. </w:t>
      </w:r>
      <w:r>
        <w:rPr>
          <w:i/>
          <w:iCs/>
        </w:rPr>
        <w:t>SAGE Open</w:t>
      </w:r>
      <w:r>
        <w:t>, 12(1), p.215824402110672. doi:10.1177/21582440211067231.</w:t>
      </w:r>
    </w:p>
    <w:p w:rsidR="00A02DA8" w:rsidRDefault="00A02DA8" w:rsidP="00A02DA8">
      <w:pPr>
        <w:spacing w:line="240" w:lineRule="auto"/>
        <w:ind w:left="720" w:hanging="720"/>
      </w:pPr>
      <w:r>
        <w:t xml:space="preserve">Wilczyński, P.L. (2022). NEW SOURCES OF ALLOYING METALS FOR THE STEEL INDUSTRY IN A CHANGING GLOBAL MARKET. </w:t>
      </w:r>
      <w:r>
        <w:rPr>
          <w:i/>
          <w:iCs/>
        </w:rPr>
        <w:t>Przegląd Geopolityczny</w:t>
      </w:r>
      <w:r>
        <w:t>, [online] (40), pp.44–83. Available at: https://www.ceeol.com/search/article-detail?id=1049787 [Accessed 17 July 2026].</w:t>
      </w:r>
    </w:p>
    <w:p w:rsidR="00A02DA8" w:rsidRDefault="00A02DA8" w:rsidP="00A02DA8">
      <w:pPr>
        <w:spacing w:line="240" w:lineRule="auto"/>
        <w:ind w:left="720" w:hanging="720"/>
      </w:pPr>
      <w:r>
        <w:t xml:space="preserve">Yang, A. (2024). Sustainable Finance Exploration: Analyzing the Impact of Environmental, Social, Governance (ESG) Information Disclosure in the Supply Chain. </w:t>
      </w:r>
      <w:r>
        <w:rPr>
          <w:i/>
          <w:iCs/>
        </w:rPr>
        <w:t>Supply Chain and Sustainability Research: SCSR</w:t>
      </w:r>
      <w:r>
        <w:t>, [online] pp.15–31. doi:10.14456/scsr.2024.9.</w:t>
      </w:r>
    </w:p>
    <w:p w:rsidR="000E0B28" w:rsidRDefault="000E0B28" w:rsidP="00A02DA8"/>
    <w:p w:rsidR="000E0B28" w:rsidRPr="000E0B28" w:rsidRDefault="000E0B28" w:rsidP="000E0B28">
      <w:pPr>
        <w:spacing w:before="100" w:beforeAutospacing="1" w:after="100" w:afterAutospacing="1" w:line="240" w:lineRule="auto"/>
        <w:jc w:val="left"/>
        <w:outlineLvl w:val="1"/>
        <w:rPr>
          <w:lang w:val="en-US"/>
        </w:rPr>
      </w:pPr>
    </w:p>
    <w:sectPr w:rsidR="000E0B28" w:rsidRPr="000E0B28" w:rsidSect="008D34E0">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B41EC" w:rsidRDefault="00BB41EC" w:rsidP="008D59FD">
      <w:pPr>
        <w:spacing w:after="0" w:line="240" w:lineRule="auto"/>
      </w:pPr>
      <w:r>
        <w:separator/>
      </w:r>
    </w:p>
  </w:endnote>
  <w:endnote w:type="continuationSeparator" w:id="1">
    <w:p w:rsidR="00BB41EC" w:rsidRDefault="00BB41EC" w:rsidP="008D59F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altName w:val="Courier New"/>
    <w:panose1 w:val="00000400000000000000"/>
    <w:charset w:val="01"/>
    <w:family w:val="roman"/>
    <w:notTrueType/>
    <w:pitch w:val="variable"/>
    <w:sig w:usb0="00002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B41EC" w:rsidRDefault="00BB41EC" w:rsidP="008D59FD">
      <w:pPr>
        <w:spacing w:after="0" w:line="240" w:lineRule="auto"/>
      </w:pPr>
      <w:r>
        <w:separator/>
      </w:r>
    </w:p>
  </w:footnote>
  <w:footnote w:type="continuationSeparator" w:id="1">
    <w:p w:rsidR="00BB41EC" w:rsidRDefault="00BB41EC" w:rsidP="008D59F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745DB8"/>
    <w:multiLevelType w:val="multilevel"/>
    <w:tmpl w:val="6A2A6D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nsid w:val="0EB14F0C"/>
    <w:multiLevelType w:val="multilevel"/>
    <w:tmpl w:val="99942F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nsid w:val="10F66FD6"/>
    <w:multiLevelType w:val="multilevel"/>
    <w:tmpl w:val="790AECD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nsid w:val="19102F70"/>
    <w:multiLevelType w:val="multilevel"/>
    <w:tmpl w:val="36B050C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nsid w:val="1C6E6ABD"/>
    <w:multiLevelType w:val="multilevel"/>
    <w:tmpl w:val="5B3EF5A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nsid w:val="222A68B4"/>
    <w:multiLevelType w:val="multilevel"/>
    <w:tmpl w:val="188E6AD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nsid w:val="2D903BC4"/>
    <w:multiLevelType w:val="multilevel"/>
    <w:tmpl w:val="3F1EE85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nsid w:val="32AC2E9F"/>
    <w:multiLevelType w:val="multilevel"/>
    <w:tmpl w:val="AFBC59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nsid w:val="345B57EA"/>
    <w:multiLevelType w:val="multilevel"/>
    <w:tmpl w:val="CA5473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nsid w:val="3BF7254A"/>
    <w:multiLevelType w:val="multilevel"/>
    <w:tmpl w:val="A368738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nsid w:val="3CD165E6"/>
    <w:multiLevelType w:val="multilevel"/>
    <w:tmpl w:val="042C708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nsid w:val="41935D7A"/>
    <w:multiLevelType w:val="multilevel"/>
    <w:tmpl w:val="BC5CB8D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nsid w:val="458F41EB"/>
    <w:multiLevelType w:val="multilevel"/>
    <w:tmpl w:val="125A50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nsid w:val="46020A72"/>
    <w:multiLevelType w:val="multilevel"/>
    <w:tmpl w:val="E2965AE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nsid w:val="4B996194"/>
    <w:multiLevelType w:val="multilevel"/>
    <w:tmpl w:val="6DDCEAD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nsid w:val="502F5A37"/>
    <w:multiLevelType w:val="multilevel"/>
    <w:tmpl w:val="5E7055C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nsid w:val="5E3D15B0"/>
    <w:multiLevelType w:val="multilevel"/>
    <w:tmpl w:val="5E06615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nsid w:val="5F6D2E20"/>
    <w:multiLevelType w:val="multilevel"/>
    <w:tmpl w:val="8C3EB0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nsid w:val="65A95711"/>
    <w:multiLevelType w:val="multilevel"/>
    <w:tmpl w:val="CB2AC2C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nsid w:val="725444F1"/>
    <w:multiLevelType w:val="multilevel"/>
    <w:tmpl w:val="19D41CE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nsid w:val="76346F11"/>
    <w:multiLevelType w:val="multilevel"/>
    <w:tmpl w:val="4BAA3E7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20"/>
  </w:num>
  <w:num w:numId="3">
    <w:abstractNumId w:val="17"/>
  </w:num>
  <w:num w:numId="4">
    <w:abstractNumId w:val="12"/>
  </w:num>
  <w:num w:numId="5">
    <w:abstractNumId w:val="0"/>
  </w:num>
  <w:num w:numId="6">
    <w:abstractNumId w:val="13"/>
  </w:num>
  <w:num w:numId="7">
    <w:abstractNumId w:val="4"/>
  </w:num>
  <w:num w:numId="8">
    <w:abstractNumId w:val="9"/>
  </w:num>
  <w:num w:numId="9">
    <w:abstractNumId w:val="1"/>
  </w:num>
  <w:num w:numId="10">
    <w:abstractNumId w:val="3"/>
  </w:num>
  <w:num w:numId="11">
    <w:abstractNumId w:val="5"/>
  </w:num>
  <w:num w:numId="12">
    <w:abstractNumId w:val="11"/>
  </w:num>
  <w:num w:numId="13">
    <w:abstractNumId w:val="7"/>
  </w:num>
  <w:num w:numId="14">
    <w:abstractNumId w:val="14"/>
  </w:num>
  <w:num w:numId="15">
    <w:abstractNumId w:val="6"/>
  </w:num>
  <w:num w:numId="16">
    <w:abstractNumId w:val="16"/>
  </w:num>
  <w:num w:numId="17">
    <w:abstractNumId w:val="8"/>
  </w:num>
  <w:num w:numId="18">
    <w:abstractNumId w:val="10"/>
  </w:num>
  <w:num w:numId="19">
    <w:abstractNumId w:val="15"/>
  </w:num>
  <w:num w:numId="20">
    <w:abstractNumId w:val="18"/>
  </w:num>
  <w:num w:numId="2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rsids>
    <w:rsidRoot w:val="000E0B28"/>
    <w:rsid w:val="00073EC9"/>
    <w:rsid w:val="000D48D8"/>
    <w:rsid w:val="000E0B28"/>
    <w:rsid w:val="000E0EAC"/>
    <w:rsid w:val="00372911"/>
    <w:rsid w:val="00393730"/>
    <w:rsid w:val="00447DF9"/>
    <w:rsid w:val="00585EA0"/>
    <w:rsid w:val="005927AE"/>
    <w:rsid w:val="00882C0E"/>
    <w:rsid w:val="008D34E0"/>
    <w:rsid w:val="008D59FD"/>
    <w:rsid w:val="008D7D02"/>
    <w:rsid w:val="00A02DA8"/>
    <w:rsid w:val="00A33B0E"/>
    <w:rsid w:val="00A660FF"/>
    <w:rsid w:val="00AC0667"/>
    <w:rsid w:val="00B90701"/>
    <w:rsid w:val="00B9159D"/>
    <w:rsid w:val="00BB41EC"/>
    <w:rsid w:val="00C51182"/>
    <w:rsid w:val="00D25B4A"/>
    <w:rsid w:val="00E21449"/>
    <w:rsid w:val="00E84F92"/>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0E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0EAC"/>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0E0EAC"/>
    <w:pPr>
      <w:keepNext/>
      <w:keepLines/>
      <w:spacing w:before="40" w:after="0"/>
      <w:outlineLvl w:val="1"/>
    </w:pPr>
    <w:rPr>
      <w:rFonts w:eastAsiaTheme="majorEastAsia" w:cstheme="majorBidi"/>
      <w:b/>
      <w:szCs w:val="23"/>
    </w:rPr>
  </w:style>
  <w:style w:type="paragraph" w:styleId="Heading3">
    <w:name w:val="heading 3"/>
    <w:basedOn w:val="Normal"/>
    <w:next w:val="Normal"/>
    <w:link w:val="Heading3Char"/>
    <w:uiPriority w:val="9"/>
    <w:unhideWhenUsed/>
    <w:qFormat/>
    <w:rsid w:val="00E21449"/>
    <w:pPr>
      <w:keepNext/>
      <w:keepLines/>
      <w:spacing w:before="160" w:after="80"/>
      <w:outlineLvl w:val="2"/>
    </w:pPr>
    <w:rPr>
      <w:rFonts w:eastAsiaTheme="majorEastAsia" w:cstheme="majorBidi"/>
      <w:b/>
      <w:i/>
      <w:szCs w:val="28"/>
    </w:rPr>
  </w:style>
  <w:style w:type="paragraph" w:styleId="Heading4">
    <w:name w:val="heading 4"/>
    <w:basedOn w:val="Normal"/>
    <w:link w:val="Heading4Char"/>
    <w:uiPriority w:val="9"/>
    <w:qFormat/>
    <w:rsid w:val="000E0B28"/>
    <w:pPr>
      <w:spacing w:before="100" w:beforeAutospacing="1" w:after="100" w:afterAutospacing="1" w:line="240" w:lineRule="auto"/>
      <w:jc w:val="left"/>
      <w:outlineLvl w:val="3"/>
    </w:pPr>
    <w:rPr>
      <w:rFonts w:eastAsia="Times New Roman" w:cs="Times New Roman"/>
      <w:b/>
      <w:bCs/>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EAC"/>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0E0EAC"/>
    <w:rPr>
      <w:rFonts w:ascii="Times New Roman" w:eastAsiaTheme="majorEastAsia" w:hAnsi="Times New Roman" w:cstheme="majorBidi"/>
      <w:b/>
      <w:sz w:val="24"/>
      <w:szCs w:val="23"/>
    </w:rPr>
  </w:style>
  <w:style w:type="character" w:customStyle="1" w:styleId="Heading3Char">
    <w:name w:val="Heading 3 Char"/>
    <w:basedOn w:val="DefaultParagraphFont"/>
    <w:link w:val="Heading3"/>
    <w:uiPriority w:val="9"/>
    <w:rsid w:val="00E21449"/>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rsid w:val="000E0B28"/>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0E0B28"/>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0E0B28"/>
    <w:rPr>
      <w:i/>
      <w:iCs/>
    </w:rPr>
  </w:style>
  <w:style w:type="character" w:styleId="Strong">
    <w:name w:val="Strong"/>
    <w:basedOn w:val="DefaultParagraphFont"/>
    <w:uiPriority w:val="22"/>
    <w:qFormat/>
    <w:rsid w:val="000E0B28"/>
    <w:rPr>
      <w:b/>
      <w:bCs/>
    </w:rPr>
  </w:style>
  <w:style w:type="paragraph" w:styleId="HTMLPreformatted">
    <w:name w:val="HTML Preformatted"/>
    <w:basedOn w:val="Normal"/>
    <w:link w:val="HTMLPreformattedChar"/>
    <w:uiPriority w:val="99"/>
    <w:semiHidden/>
    <w:unhideWhenUsed/>
    <w:rsid w:val="000E0B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lang w:eastAsia="en-GB"/>
    </w:rPr>
  </w:style>
  <w:style w:type="character" w:customStyle="1" w:styleId="HTMLPreformattedChar">
    <w:name w:val="HTML Preformatted Char"/>
    <w:basedOn w:val="DefaultParagraphFont"/>
    <w:link w:val="HTMLPreformatted"/>
    <w:uiPriority w:val="99"/>
    <w:semiHidden/>
    <w:rsid w:val="000E0B28"/>
    <w:rPr>
      <w:rFonts w:ascii="Courier New" w:eastAsia="Times New Roman" w:hAnsi="Courier New" w:cs="Courier New"/>
      <w:sz w:val="20"/>
      <w:lang w:eastAsia="en-GB"/>
    </w:rPr>
  </w:style>
  <w:style w:type="character" w:styleId="HTMLCode">
    <w:name w:val="HTML Code"/>
    <w:basedOn w:val="DefaultParagraphFont"/>
    <w:uiPriority w:val="99"/>
    <w:semiHidden/>
    <w:unhideWhenUsed/>
    <w:rsid w:val="000E0B28"/>
    <w:rPr>
      <w:rFonts w:ascii="Courier New" w:eastAsia="Times New Roman" w:hAnsi="Courier New" w:cs="Courier New"/>
      <w:sz w:val="20"/>
      <w:szCs w:val="20"/>
    </w:rPr>
  </w:style>
  <w:style w:type="table" w:styleId="TableGrid">
    <w:name w:val="Table Grid"/>
    <w:basedOn w:val="TableNormal"/>
    <w:uiPriority w:val="39"/>
    <w:rsid w:val="000E0B2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dq2pgselectionanchorcontainer">
    <w:name w:val="pdq2pg_selectionanchorcontainer"/>
    <w:basedOn w:val="Normal"/>
    <w:rsid w:val="00AC0667"/>
    <w:pPr>
      <w:spacing w:before="100" w:beforeAutospacing="1" w:after="100" w:afterAutospacing="1" w:line="240" w:lineRule="auto"/>
      <w:jc w:val="left"/>
    </w:pPr>
    <w:rPr>
      <w:rFonts w:eastAsia="Times New Roman" w:cs="Times New Roman"/>
      <w:szCs w:val="24"/>
      <w:lang w:eastAsia="en-GB"/>
    </w:rPr>
  </w:style>
  <w:style w:type="paragraph" w:styleId="Caption">
    <w:name w:val="caption"/>
    <w:basedOn w:val="Normal"/>
    <w:next w:val="Normal"/>
    <w:uiPriority w:val="35"/>
    <w:unhideWhenUsed/>
    <w:qFormat/>
    <w:rsid w:val="00AC0667"/>
    <w:pPr>
      <w:spacing w:after="200" w:line="240" w:lineRule="auto"/>
    </w:pPr>
    <w:rPr>
      <w:i/>
      <w:iCs/>
      <w:color w:val="44546A" w:themeColor="text2"/>
      <w:sz w:val="18"/>
      <w:szCs w:val="16"/>
    </w:rPr>
  </w:style>
  <w:style w:type="paragraph" w:styleId="TOCHeading">
    <w:name w:val="TOC Heading"/>
    <w:basedOn w:val="Heading1"/>
    <w:next w:val="Normal"/>
    <w:uiPriority w:val="39"/>
    <w:unhideWhenUsed/>
    <w:qFormat/>
    <w:rsid w:val="00AC0667"/>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AC0667"/>
    <w:pPr>
      <w:spacing w:after="100"/>
    </w:pPr>
  </w:style>
  <w:style w:type="paragraph" w:styleId="TOC2">
    <w:name w:val="toc 2"/>
    <w:basedOn w:val="Normal"/>
    <w:next w:val="Normal"/>
    <w:autoRedefine/>
    <w:uiPriority w:val="39"/>
    <w:unhideWhenUsed/>
    <w:rsid w:val="00AC0667"/>
    <w:pPr>
      <w:spacing w:after="100"/>
      <w:ind w:left="240"/>
    </w:pPr>
  </w:style>
  <w:style w:type="paragraph" w:styleId="TOC3">
    <w:name w:val="toc 3"/>
    <w:basedOn w:val="Normal"/>
    <w:next w:val="Normal"/>
    <w:autoRedefine/>
    <w:uiPriority w:val="39"/>
    <w:unhideWhenUsed/>
    <w:rsid w:val="00AC0667"/>
    <w:pPr>
      <w:spacing w:after="100"/>
      <w:ind w:left="480"/>
    </w:pPr>
  </w:style>
  <w:style w:type="character" w:styleId="Hyperlink">
    <w:name w:val="Hyperlink"/>
    <w:basedOn w:val="DefaultParagraphFont"/>
    <w:uiPriority w:val="99"/>
    <w:unhideWhenUsed/>
    <w:rsid w:val="00AC0667"/>
    <w:rPr>
      <w:color w:val="0563C1" w:themeColor="hyperlink"/>
      <w:u w:val="single"/>
    </w:rPr>
  </w:style>
  <w:style w:type="paragraph" w:styleId="Header">
    <w:name w:val="header"/>
    <w:basedOn w:val="Normal"/>
    <w:link w:val="HeaderChar"/>
    <w:uiPriority w:val="99"/>
    <w:unhideWhenUsed/>
    <w:rsid w:val="008D5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9FD"/>
    <w:rPr>
      <w:rFonts w:ascii="Times New Roman" w:hAnsi="Times New Roman"/>
      <w:sz w:val="24"/>
    </w:rPr>
  </w:style>
  <w:style w:type="paragraph" w:styleId="Footer">
    <w:name w:val="footer"/>
    <w:basedOn w:val="Normal"/>
    <w:link w:val="FooterChar"/>
    <w:uiPriority w:val="99"/>
    <w:unhideWhenUsed/>
    <w:rsid w:val="008D5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9FD"/>
    <w:rPr>
      <w:rFonts w:ascii="Times New Roman" w:hAnsi="Times New Roman"/>
      <w:sz w:val="24"/>
    </w:rPr>
  </w:style>
  <w:style w:type="paragraph" w:styleId="BalloonText">
    <w:name w:val="Balloon Text"/>
    <w:basedOn w:val="Normal"/>
    <w:link w:val="BalloonTextChar"/>
    <w:uiPriority w:val="99"/>
    <w:semiHidden/>
    <w:unhideWhenUsed/>
    <w:rsid w:val="00E84F92"/>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E84F92"/>
    <w:rPr>
      <w:rFonts w:ascii="Tahoma" w:hAnsi="Tahoma" w:cs="Mangal"/>
      <w:sz w:val="16"/>
      <w:szCs w:val="14"/>
    </w:rPr>
  </w:style>
</w:styles>
</file>

<file path=word/webSettings.xml><?xml version="1.0" encoding="utf-8"?>
<w:webSettings xmlns:r="http://schemas.openxmlformats.org/officeDocument/2006/relationships" xmlns:w="http://schemas.openxmlformats.org/wordprocessingml/2006/main">
  <w:divs>
    <w:div w:id="122383923">
      <w:bodyDiv w:val="1"/>
      <w:marLeft w:val="0"/>
      <w:marRight w:val="0"/>
      <w:marTop w:val="0"/>
      <w:marBottom w:val="0"/>
      <w:divBdr>
        <w:top w:val="none" w:sz="0" w:space="0" w:color="auto"/>
        <w:left w:val="none" w:sz="0" w:space="0" w:color="auto"/>
        <w:bottom w:val="none" w:sz="0" w:space="0" w:color="auto"/>
        <w:right w:val="none" w:sz="0" w:space="0" w:color="auto"/>
      </w:divBdr>
      <w:divsChild>
        <w:div w:id="1238706656">
          <w:marLeft w:val="0"/>
          <w:marRight w:val="0"/>
          <w:marTop w:val="0"/>
          <w:marBottom w:val="0"/>
          <w:divBdr>
            <w:top w:val="none" w:sz="0" w:space="0" w:color="auto"/>
            <w:left w:val="none" w:sz="0" w:space="0" w:color="auto"/>
            <w:bottom w:val="none" w:sz="0" w:space="0" w:color="auto"/>
            <w:right w:val="none" w:sz="0" w:space="0" w:color="auto"/>
          </w:divBdr>
          <w:divsChild>
            <w:div w:id="1756318854">
              <w:marLeft w:val="0"/>
              <w:marRight w:val="0"/>
              <w:marTop w:val="0"/>
              <w:marBottom w:val="0"/>
              <w:divBdr>
                <w:top w:val="none" w:sz="0" w:space="0" w:color="auto"/>
                <w:left w:val="none" w:sz="0" w:space="0" w:color="auto"/>
                <w:bottom w:val="none" w:sz="0" w:space="0" w:color="auto"/>
                <w:right w:val="none" w:sz="0" w:space="0" w:color="auto"/>
              </w:divBdr>
            </w:div>
          </w:divsChild>
        </w:div>
        <w:div w:id="703168242">
          <w:marLeft w:val="0"/>
          <w:marRight w:val="0"/>
          <w:marTop w:val="0"/>
          <w:marBottom w:val="0"/>
          <w:divBdr>
            <w:top w:val="none" w:sz="0" w:space="0" w:color="auto"/>
            <w:left w:val="none" w:sz="0" w:space="0" w:color="auto"/>
            <w:bottom w:val="none" w:sz="0" w:space="0" w:color="auto"/>
            <w:right w:val="none" w:sz="0" w:space="0" w:color="auto"/>
          </w:divBdr>
          <w:divsChild>
            <w:div w:id="1496534726">
              <w:marLeft w:val="0"/>
              <w:marRight w:val="0"/>
              <w:marTop w:val="0"/>
              <w:marBottom w:val="0"/>
              <w:divBdr>
                <w:top w:val="none" w:sz="0" w:space="0" w:color="auto"/>
                <w:left w:val="none" w:sz="0" w:space="0" w:color="auto"/>
                <w:bottom w:val="none" w:sz="0" w:space="0" w:color="auto"/>
                <w:right w:val="none" w:sz="0" w:space="0" w:color="auto"/>
              </w:divBdr>
            </w:div>
          </w:divsChild>
        </w:div>
        <w:div w:id="1572234100">
          <w:marLeft w:val="0"/>
          <w:marRight w:val="0"/>
          <w:marTop w:val="0"/>
          <w:marBottom w:val="0"/>
          <w:divBdr>
            <w:top w:val="none" w:sz="0" w:space="0" w:color="auto"/>
            <w:left w:val="none" w:sz="0" w:space="0" w:color="auto"/>
            <w:bottom w:val="none" w:sz="0" w:space="0" w:color="auto"/>
            <w:right w:val="none" w:sz="0" w:space="0" w:color="auto"/>
          </w:divBdr>
          <w:divsChild>
            <w:div w:id="1207644066">
              <w:marLeft w:val="0"/>
              <w:marRight w:val="0"/>
              <w:marTop w:val="0"/>
              <w:marBottom w:val="0"/>
              <w:divBdr>
                <w:top w:val="none" w:sz="0" w:space="0" w:color="auto"/>
                <w:left w:val="none" w:sz="0" w:space="0" w:color="auto"/>
                <w:bottom w:val="none" w:sz="0" w:space="0" w:color="auto"/>
                <w:right w:val="none" w:sz="0" w:space="0" w:color="auto"/>
              </w:divBdr>
              <w:divsChild>
                <w:div w:id="897932910">
                  <w:marLeft w:val="0"/>
                  <w:marRight w:val="0"/>
                  <w:marTop w:val="0"/>
                  <w:marBottom w:val="0"/>
                  <w:divBdr>
                    <w:top w:val="none" w:sz="0" w:space="0" w:color="auto"/>
                    <w:left w:val="none" w:sz="0" w:space="0" w:color="auto"/>
                    <w:bottom w:val="none" w:sz="0" w:space="0" w:color="auto"/>
                    <w:right w:val="none" w:sz="0" w:space="0" w:color="auto"/>
                  </w:divBdr>
                  <w:divsChild>
                    <w:div w:id="2127001840">
                      <w:marLeft w:val="0"/>
                      <w:marRight w:val="0"/>
                      <w:marTop w:val="0"/>
                      <w:marBottom w:val="0"/>
                      <w:divBdr>
                        <w:top w:val="none" w:sz="0" w:space="0" w:color="auto"/>
                        <w:left w:val="none" w:sz="0" w:space="0" w:color="auto"/>
                        <w:bottom w:val="none" w:sz="0" w:space="0" w:color="auto"/>
                        <w:right w:val="none" w:sz="0" w:space="0" w:color="auto"/>
                      </w:divBdr>
                      <w:divsChild>
                        <w:div w:id="445588356">
                          <w:marLeft w:val="0"/>
                          <w:marRight w:val="0"/>
                          <w:marTop w:val="0"/>
                          <w:marBottom w:val="0"/>
                          <w:divBdr>
                            <w:top w:val="none" w:sz="0" w:space="0" w:color="auto"/>
                            <w:left w:val="none" w:sz="0" w:space="0" w:color="auto"/>
                            <w:bottom w:val="none" w:sz="0" w:space="0" w:color="auto"/>
                            <w:right w:val="none" w:sz="0" w:space="0" w:color="auto"/>
                          </w:divBdr>
                          <w:divsChild>
                            <w:div w:id="659768112">
                              <w:marLeft w:val="0"/>
                              <w:marRight w:val="0"/>
                              <w:marTop w:val="0"/>
                              <w:marBottom w:val="0"/>
                              <w:divBdr>
                                <w:top w:val="none" w:sz="0" w:space="0" w:color="auto"/>
                                <w:left w:val="none" w:sz="0" w:space="0" w:color="auto"/>
                                <w:bottom w:val="none" w:sz="0" w:space="0" w:color="auto"/>
                                <w:right w:val="none" w:sz="0" w:space="0" w:color="auto"/>
                              </w:divBdr>
                              <w:divsChild>
                                <w:div w:id="1050375881">
                                  <w:marLeft w:val="0"/>
                                  <w:marRight w:val="0"/>
                                  <w:marTop w:val="0"/>
                                  <w:marBottom w:val="0"/>
                                  <w:divBdr>
                                    <w:top w:val="none" w:sz="0" w:space="0" w:color="auto"/>
                                    <w:left w:val="none" w:sz="0" w:space="0" w:color="auto"/>
                                    <w:bottom w:val="none" w:sz="0" w:space="0" w:color="auto"/>
                                    <w:right w:val="none" w:sz="0" w:space="0" w:color="auto"/>
                                  </w:divBdr>
                                  <w:divsChild>
                                    <w:div w:id="2046977890">
                                      <w:marLeft w:val="0"/>
                                      <w:marRight w:val="0"/>
                                      <w:marTop w:val="0"/>
                                      <w:marBottom w:val="0"/>
                                      <w:divBdr>
                                        <w:top w:val="none" w:sz="0" w:space="0" w:color="auto"/>
                                        <w:left w:val="none" w:sz="0" w:space="0" w:color="auto"/>
                                        <w:bottom w:val="none" w:sz="0" w:space="0" w:color="auto"/>
                                        <w:right w:val="none" w:sz="0" w:space="0" w:color="auto"/>
                                      </w:divBdr>
                                      <w:divsChild>
                                        <w:div w:id="1563828740">
                                          <w:marLeft w:val="0"/>
                                          <w:marRight w:val="0"/>
                                          <w:marTop w:val="0"/>
                                          <w:marBottom w:val="0"/>
                                          <w:divBdr>
                                            <w:top w:val="none" w:sz="0" w:space="0" w:color="auto"/>
                                            <w:left w:val="none" w:sz="0" w:space="0" w:color="auto"/>
                                            <w:bottom w:val="none" w:sz="0" w:space="0" w:color="auto"/>
                                            <w:right w:val="none" w:sz="0" w:space="0" w:color="auto"/>
                                          </w:divBdr>
                                          <w:divsChild>
                                            <w:div w:id="1124539043">
                                              <w:marLeft w:val="0"/>
                                              <w:marRight w:val="0"/>
                                              <w:marTop w:val="0"/>
                                              <w:marBottom w:val="0"/>
                                              <w:divBdr>
                                                <w:top w:val="none" w:sz="0" w:space="0" w:color="auto"/>
                                                <w:left w:val="none" w:sz="0" w:space="0" w:color="auto"/>
                                                <w:bottom w:val="none" w:sz="0" w:space="0" w:color="auto"/>
                                                <w:right w:val="none" w:sz="0" w:space="0" w:color="auto"/>
                                              </w:divBdr>
                                              <w:divsChild>
                                                <w:div w:id="1117601758">
                                                  <w:marLeft w:val="0"/>
                                                  <w:marRight w:val="0"/>
                                                  <w:marTop w:val="0"/>
                                                  <w:marBottom w:val="0"/>
                                                  <w:divBdr>
                                                    <w:top w:val="none" w:sz="0" w:space="0" w:color="auto"/>
                                                    <w:left w:val="none" w:sz="0" w:space="0" w:color="auto"/>
                                                    <w:bottom w:val="none" w:sz="0" w:space="0" w:color="auto"/>
                                                    <w:right w:val="none" w:sz="0" w:space="0" w:color="auto"/>
                                                  </w:divBdr>
                                                  <w:divsChild>
                                                    <w:div w:id="1115834605">
                                                      <w:marLeft w:val="0"/>
                                                      <w:marRight w:val="0"/>
                                                      <w:marTop w:val="0"/>
                                                      <w:marBottom w:val="0"/>
                                                      <w:divBdr>
                                                        <w:top w:val="none" w:sz="0" w:space="0" w:color="auto"/>
                                                        <w:left w:val="none" w:sz="0" w:space="0" w:color="auto"/>
                                                        <w:bottom w:val="none" w:sz="0" w:space="0" w:color="auto"/>
                                                        <w:right w:val="none" w:sz="0" w:space="0" w:color="auto"/>
                                                      </w:divBdr>
                                                      <w:divsChild>
                                                        <w:div w:id="72136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9854076">
          <w:marLeft w:val="0"/>
          <w:marRight w:val="0"/>
          <w:marTop w:val="0"/>
          <w:marBottom w:val="0"/>
          <w:divBdr>
            <w:top w:val="none" w:sz="0" w:space="0" w:color="auto"/>
            <w:left w:val="none" w:sz="0" w:space="0" w:color="auto"/>
            <w:bottom w:val="none" w:sz="0" w:space="0" w:color="auto"/>
            <w:right w:val="none" w:sz="0" w:space="0" w:color="auto"/>
          </w:divBdr>
          <w:divsChild>
            <w:div w:id="182476966">
              <w:marLeft w:val="0"/>
              <w:marRight w:val="0"/>
              <w:marTop w:val="0"/>
              <w:marBottom w:val="0"/>
              <w:divBdr>
                <w:top w:val="none" w:sz="0" w:space="0" w:color="auto"/>
                <w:left w:val="none" w:sz="0" w:space="0" w:color="auto"/>
                <w:bottom w:val="none" w:sz="0" w:space="0" w:color="auto"/>
                <w:right w:val="none" w:sz="0" w:space="0" w:color="auto"/>
              </w:divBdr>
            </w:div>
          </w:divsChild>
        </w:div>
        <w:div w:id="463692546">
          <w:marLeft w:val="0"/>
          <w:marRight w:val="0"/>
          <w:marTop w:val="0"/>
          <w:marBottom w:val="0"/>
          <w:divBdr>
            <w:top w:val="none" w:sz="0" w:space="0" w:color="auto"/>
            <w:left w:val="none" w:sz="0" w:space="0" w:color="auto"/>
            <w:bottom w:val="none" w:sz="0" w:space="0" w:color="auto"/>
            <w:right w:val="none" w:sz="0" w:space="0" w:color="auto"/>
          </w:divBdr>
          <w:divsChild>
            <w:div w:id="511653569">
              <w:marLeft w:val="0"/>
              <w:marRight w:val="0"/>
              <w:marTop w:val="0"/>
              <w:marBottom w:val="0"/>
              <w:divBdr>
                <w:top w:val="none" w:sz="0" w:space="0" w:color="auto"/>
                <w:left w:val="none" w:sz="0" w:space="0" w:color="auto"/>
                <w:bottom w:val="none" w:sz="0" w:space="0" w:color="auto"/>
                <w:right w:val="none" w:sz="0" w:space="0" w:color="auto"/>
              </w:divBdr>
            </w:div>
          </w:divsChild>
        </w:div>
        <w:div w:id="836729315">
          <w:marLeft w:val="0"/>
          <w:marRight w:val="0"/>
          <w:marTop w:val="0"/>
          <w:marBottom w:val="0"/>
          <w:divBdr>
            <w:top w:val="none" w:sz="0" w:space="0" w:color="auto"/>
            <w:left w:val="none" w:sz="0" w:space="0" w:color="auto"/>
            <w:bottom w:val="none" w:sz="0" w:space="0" w:color="auto"/>
            <w:right w:val="none" w:sz="0" w:space="0" w:color="auto"/>
          </w:divBdr>
          <w:divsChild>
            <w:div w:id="2087653395">
              <w:marLeft w:val="0"/>
              <w:marRight w:val="0"/>
              <w:marTop w:val="0"/>
              <w:marBottom w:val="0"/>
              <w:divBdr>
                <w:top w:val="none" w:sz="0" w:space="0" w:color="auto"/>
                <w:left w:val="none" w:sz="0" w:space="0" w:color="auto"/>
                <w:bottom w:val="none" w:sz="0" w:space="0" w:color="auto"/>
                <w:right w:val="none" w:sz="0" w:space="0" w:color="auto"/>
              </w:divBdr>
            </w:div>
          </w:divsChild>
        </w:div>
        <w:div w:id="1010334963">
          <w:marLeft w:val="0"/>
          <w:marRight w:val="0"/>
          <w:marTop w:val="0"/>
          <w:marBottom w:val="0"/>
          <w:divBdr>
            <w:top w:val="none" w:sz="0" w:space="0" w:color="auto"/>
            <w:left w:val="none" w:sz="0" w:space="0" w:color="auto"/>
            <w:bottom w:val="none" w:sz="0" w:space="0" w:color="auto"/>
            <w:right w:val="none" w:sz="0" w:space="0" w:color="auto"/>
          </w:divBdr>
          <w:divsChild>
            <w:div w:id="201518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48219">
      <w:bodyDiv w:val="1"/>
      <w:marLeft w:val="0"/>
      <w:marRight w:val="0"/>
      <w:marTop w:val="0"/>
      <w:marBottom w:val="0"/>
      <w:divBdr>
        <w:top w:val="none" w:sz="0" w:space="0" w:color="auto"/>
        <w:left w:val="none" w:sz="0" w:space="0" w:color="auto"/>
        <w:bottom w:val="none" w:sz="0" w:space="0" w:color="auto"/>
        <w:right w:val="none" w:sz="0" w:space="0" w:color="auto"/>
      </w:divBdr>
      <w:divsChild>
        <w:div w:id="1054544274">
          <w:marLeft w:val="0"/>
          <w:marRight w:val="0"/>
          <w:marTop w:val="0"/>
          <w:marBottom w:val="0"/>
          <w:divBdr>
            <w:top w:val="none" w:sz="0" w:space="0" w:color="auto"/>
            <w:left w:val="none" w:sz="0" w:space="0" w:color="auto"/>
            <w:bottom w:val="none" w:sz="0" w:space="0" w:color="auto"/>
            <w:right w:val="none" w:sz="0" w:space="0" w:color="auto"/>
          </w:divBdr>
          <w:divsChild>
            <w:div w:id="211932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697427">
      <w:bodyDiv w:val="1"/>
      <w:marLeft w:val="0"/>
      <w:marRight w:val="0"/>
      <w:marTop w:val="0"/>
      <w:marBottom w:val="0"/>
      <w:divBdr>
        <w:top w:val="none" w:sz="0" w:space="0" w:color="auto"/>
        <w:left w:val="none" w:sz="0" w:space="0" w:color="auto"/>
        <w:bottom w:val="none" w:sz="0" w:space="0" w:color="auto"/>
        <w:right w:val="none" w:sz="0" w:space="0" w:color="auto"/>
      </w:divBdr>
      <w:divsChild>
        <w:div w:id="1755665798">
          <w:marLeft w:val="0"/>
          <w:marRight w:val="0"/>
          <w:marTop w:val="0"/>
          <w:marBottom w:val="0"/>
          <w:divBdr>
            <w:top w:val="none" w:sz="0" w:space="0" w:color="auto"/>
            <w:left w:val="none" w:sz="0" w:space="0" w:color="auto"/>
            <w:bottom w:val="none" w:sz="0" w:space="0" w:color="auto"/>
            <w:right w:val="none" w:sz="0" w:space="0" w:color="auto"/>
          </w:divBdr>
          <w:divsChild>
            <w:div w:id="129343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028753">
      <w:bodyDiv w:val="1"/>
      <w:marLeft w:val="0"/>
      <w:marRight w:val="0"/>
      <w:marTop w:val="0"/>
      <w:marBottom w:val="0"/>
      <w:divBdr>
        <w:top w:val="none" w:sz="0" w:space="0" w:color="auto"/>
        <w:left w:val="none" w:sz="0" w:space="0" w:color="auto"/>
        <w:bottom w:val="none" w:sz="0" w:space="0" w:color="auto"/>
        <w:right w:val="none" w:sz="0" w:space="0" w:color="auto"/>
      </w:divBdr>
      <w:divsChild>
        <w:div w:id="78717622">
          <w:marLeft w:val="0"/>
          <w:marRight w:val="0"/>
          <w:marTop w:val="0"/>
          <w:marBottom w:val="0"/>
          <w:divBdr>
            <w:top w:val="none" w:sz="0" w:space="0" w:color="auto"/>
            <w:left w:val="none" w:sz="0" w:space="0" w:color="auto"/>
            <w:bottom w:val="none" w:sz="0" w:space="0" w:color="auto"/>
            <w:right w:val="none" w:sz="0" w:space="0" w:color="auto"/>
          </w:divBdr>
          <w:divsChild>
            <w:div w:id="126021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131071">
      <w:bodyDiv w:val="1"/>
      <w:marLeft w:val="0"/>
      <w:marRight w:val="0"/>
      <w:marTop w:val="0"/>
      <w:marBottom w:val="0"/>
      <w:divBdr>
        <w:top w:val="none" w:sz="0" w:space="0" w:color="auto"/>
        <w:left w:val="none" w:sz="0" w:space="0" w:color="auto"/>
        <w:bottom w:val="none" w:sz="0" w:space="0" w:color="auto"/>
        <w:right w:val="none" w:sz="0" w:space="0" w:color="auto"/>
      </w:divBdr>
    </w:div>
    <w:div w:id="1336885792">
      <w:bodyDiv w:val="1"/>
      <w:marLeft w:val="0"/>
      <w:marRight w:val="0"/>
      <w:marTop w:val="0"/>
      <w:marBottom w:val="0"/>
      <w:divBdr>
        <w:top w:val="none" w:sz="0" w:space="0" w:color="auto"/>
        <w:left w:val="none" w:sz="0" w:space="0" w:color="auto"/>
        <w:bottom w:val="none" w:sz="0" w:space="0" w:color="auto"/>
        <w:right w:val="none" w:sz="0" w:space="0" w:color="auto"/>
      </w:divBdr>
      <w:divsChild>
        <w:div w:id="130051615">
          <w:marLeft w:val="0"/>
          <w:marRight w:val="0"/>
          <w:marTop w:val="0"/>
          <w:marBottom w:val="0"/>
          <w:divBdr>
            <w:top w:val="none" w:sz="0" w:space="0" w:color="auto"/>
            <w:left w:val="none" w:sz="0" w:space="0" w:color="auto"/>
            <w:bottom w:val="none" w:sz="0" w:space="0" w:color="auto"/>
            <w:right w:val="none" w:sz="0" w:space="0" w:color="auto"/>
          </w:divBdr>
          <w:divsChild>
            <w:div w:id="47022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013899">
      <w:bodyDiv w:val="1"/>
      <w:marLeft w:val="0"/>
      <w:marRight w:val="0"/>
      <w:marTop w:val="0"/>
      <w:marBottom w:val="0"/>
      <w:divBdr>
        <w:top w:val="none" w:sz="0" w:space="0" w:color="auto"/>
        <w:left w:val="none" w:sz="0" w:space="0" w:color="auto"/>
        <w:bottom w:val="none" w:sz="0" w:space="0" w:color="auto"/>
        <w:right w:val="none" w:sz="0" w:space="0" w:color="auto"/>
      </w:divBdr>
      <w:divsChild>
        <w:div w:id="985083656">
          <w:marLeft w:val="0"/>
          <w:marRight w:val="0"/>
          <w:marTop w:val="0"/>
          <w:marBottom w:val="0"/>
          <w:divBdr>
            <w:top w:val="none" w:sz="0" w:space="0" w:color="auto"/>
            <w:left w:val="none" w:sz="0" w:space="0" w:color="auto"/>
            <w:bottom w:val="none" w:sz="0" w:space="0" w:color="auto"/>
            <w:right w:val="none" w:sz="0" w:space="0" w:color="auto"/>
          </w:divBdr>
        </w:div>
      </w:divsChild>
    </w:div>
    <w:div w:id="1857188638">
      <w:bodyDiv w:val="1"/>
      <w:marLeft w:val="0"/>
      <w:marRight w:val="0"/>
      <w:marTop w:val="0"/>
      <w:marBottom w:val="0"/>
      <w:divBdr>
        <w:top w:val="none" w:sz="0" w:space="0" w:color="auto"/>
        <w:left w:val="none" w:sz="0" w:space="0" w:color="auto"/>
        <w:bottom w:val="none" w:sz="0" w:space="0" w:color="auto"/>
        <w:right w:val="none" w:sz="0" w:space="0" w:color="auto"/>
      </w:divBdr>
      <w:divsChild>
        <w:div w:id="833256950">
          <w:marLeft w:val="0"/>
          <w:marRight w:val="0"/>
          <w:marTop w:val="0"/>
          <w:marBottom w:val="0"/>
          <w:divBdr>
            <w:top w:val="none" w:sz="0" w:space="0" w:color="auto"/>
            <w:left w:val="none" w:sz="0" w:space="0" w:color="auto"/>
            <w:bottom w:val="none" w:sz="0" w:space="0" w:color="auto"/>
            <w:right w:val="none" w:sz="0" w:space="0" w:color="auto"/>
          </w:divBdr>
          <w:divsChild>
            <w:div w:id="1705712783">
              <w:marLeft w:val="0"/>
              <w:marRight w:val="0"/>
              <w:marTop w:val="0"/>
              <w:marBottom w:val="0"/>
              <w:divBdr>
                <w:top w:val="none" w:sz="0" w:space="0" w:color="auto"/>
                <w:left w:val="none" w:sz="0" w:space="0" w:color="auto"/>
                <w:bottom w:val="none" w:sz="0" w:space="0" w:color="auto"/>
                <w:right w:val="none" w:sz="0" w:space="0" w:color="auto"/>
              </w:divBdr>
              <w:divsChild>
                <w:div w:id="552548819">
                  <w:marLeft w:val="0"/>
                  <w:marRight w:val="0"/>
                  <w:marTop w:val="0"/>
                  <w:marBottom w:val="0"/>
                  <w:divBdr>
                    <w:top w:val="none" w:sz="0" w:space="0" w:color="auto"/>
                    <w:left w:val="none" w:sz="0" w:space="0" w:color="auto"/>
                    <w:bottom w:val="none" w:sz="0" w:space="0" w:color="auto"/>
                    <w:right w:val="none" w:sz="0" w:space="0" w:color="auto"/>
                  </w:divBdr>
                  <w:divsChild>
                    <w:div w:id="1350326386">
                      <w:marLeft w:val="0"/>
                      <w:marRight w:val="0"/>
                      <w:marTop w:val="0"/>
                      <w:marBottom w:val="0"/>
                      <w:divBdr>
                        <w:top w:val="none" w:sz="0" w:space="0" w:color="auto"/>
                        <w:left w:val="none" w:sz="0" w:space="0" w:color="auto"/>
                        <w:bottom w:val="none" w:sz="0" w:space="0" w:color="auto"/>
                        <w:right w:val="none" w:sz="0" w:space="0" w:color="auto"/>
                      </w:divBdr>
                      <w:divsChild>
                        <w:div w:id="2103723749">
                          <w:marLeft w:val="0"/>
                          <w:marRight w:val="0"/>
                          <w:marTop w:val="0"/>
                          <w:marBottom w:val="0"/>
                          <w:divBdr>
                            <w:top w:val="none" w:sz="0" w:space="0" w:color="auto"/>
                            <w:left w:val="none" w:sz="0" w:space="0" w:color="auto"/>
                            <w:bottom w:val="none" w:sz="0" w:space="0" w:color="auto"/>
                            <w:right w:val="none" w:sz="0" w:space="0" w:color="auto"/>
                          </w:divBdr>
                          <w:divsChild>
                            <w:div w:id="1287929580">
                              <w:marLeft w:val="0"/>
                              <w:marRight w:val="0"/>
                              <w:marTop w:val="0"/>
                              <w:marBottom w:val="0"/>
                              <w:divBdr>
                                <w:top w:val="none" w:sz="0" w:space="0" w:color="auto"/>
                                <w:left w:val="none" w:sz="0" w:space="0" w:color="auto"/>
                                <w:bottom w:val="none" w:sz="0" w:space="0" w:color="auto"/>
                                <w:right w:val="none" w:sz="0" w:space="0" w:color="auto"/>
                              </w:divBdr>
                              <w:divsChild>
                                <w:div w:id="27490738">
                                  <w:marLeft w:val="0"/>
                                  <w:marRight w:val="0"/>
                                  <w:marTop w:val="0"/>
                                  <w:marBottom w:val="0"/>
                                  <w:divBdr>
                                    <w:top w:val="none" w:sz="0" w:space="0" w:color="auto"/>
                                    <w:left w:val="none" w:sz="0" w:space="0" w:color="auto"/>
                                    <w:bottom w:val="none" w:sz="0" w:space="0" w:color="auto"/>
                                    <w:right w:val="none" w:sz="0" w:space="0" w:color="auto"/>
                                  </w:divBdr>
                                  <w:divsChild>
                                    <w:div w:id="2102867074">
                                      <w:marLeft w:val="0"/>
                                      <w:marRight w:val="0"/>
                                      <w:marTop w:val="0"/>
                                      <w:marBottom w:val="0"/>
                                      <w:divBdr>
                                        <w:top w:val="none" w:sz="0" w:space="0" w:color="auto"/>
                                        <w:left w:val="none" w:sz="0" w:space="0" w:color="auto"/>
                                        <w:bottom w:val="none" w:sz="0" w:space="0" w:color="auto"/>
                                        <w:right w:val="none" w:sz="0" w:space="0" w:color="auto"/>
                                      </w:divBdr>
                                      <w:divsChild>
                                        <w:div w:id="80836890">
                                          <w:marLeft w:val="0"/>
                                          <w:marRight w:val="0"/>
                                          <w:marTop w:val="0"/>
                                          <w:marBottom w:val="0"/>
                                          <w:divBdr>
                                            <w:top w:val="none" w:sz="0" w:space="0" w:color="auto"/>
                                            <w:left w:val="none" w:sz="0" w:space="0" w:color="auto"/>
                                            <w:bottom w:val="none" w:sz="0" w:space="0" w:color="auto"/>
                                            <w:right w:val="none" w:sz="0" w:space="0" w:color="auto"/>
                                          </w:divBdr>
                                          <w:divsChild>
                                            <w:div w:id="80585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FC9421-7450-4C31-94CC-6CC2689F8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4122</Words>
  <Characters>23499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2026-07-17T06:55:00Z</dcterms:created>
  <dcterms:modified xsi:type="dcterms:W3CDTF">2026-07-23T21:44:00Z</dcterms:modified>
</cp:coreProperties>
</file>