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A6073F" w14:textId="294506B8" w:rsidR="00E15A1C" w:rsidRPr="007E4755" w:rsidRDefault="009B0D18">
      <w:pPr>
        <w:rPr>
          <w:rFonts w:ascii="Bookman Old Style" w:hAnsi="Bookman Old Style"/>
          <w:sz w:val="32"/>
          <w:szCs w:val="32"/>
        </w:rPr>
      </w:pPr>
      <w:r w:rsidRPr="007E4755">
        <w:rPr>
          <w:rFonts w:ascii="Bookman Old Style" w:hAnsi="Bookman Old Style"/>
          <w:sz w:val="32"/>
          <w:szCs w:val="32"/>
        </w:rPr>
        <w:t>Mental Health in Medieval Britain</w:t>
      </w:r>
    </w:p>
    <w:p w14:paraId="4CBADD0F" w14:textId="40370237" w:rsidR="009B0D18" w:rsidRPr="007E4755" w:rsidRDefault="009B0D18">
      <w:pPr>
        <w:rPr>
          <w:rFonts w:ascii="Bookman Old Style" w:hAnsi="Bookman Old Style"/>
          <w:sz w:val="28"/>
          <w:szCs w:val="28"/>
        </w:rPr>
      </w:pPr>
      <w:r w:rsidRPr="007E4755">
        <w:rPr>
          <w:rFonts w:ascii="Bookman Old Style" w:hAnsi="Bookman Old Style"/>
          <w:sz w:val="28"/>
          <w:szCs w:val="28"/>
        </w:rPr>
        <w:t>Medicine &amp; Miracles: Health, Illness &amp; Cure (HPHI 5019)</w:t>
      </w:r>
    </w:p>
    <w:p w14:paraId="16329643" w14:textId="1B89A1B2" w:rsidR="009B0D18" w:rsidRPr="007E4755" w:rsidRDefault="009B0D18">
      <w:pPr>
        <w:rPr>
          <w:rFonts w:ascii="Bookman Old Style" w:hAnsi="Bookman Old Style"/>
        </w:rPr>
      </w:pPr>
      <w:r w:rsidRPr="007E4755">
        <w:rPr>
          <w:rFonts w:ascii="Bookman Old Style" w:hAnsi="Bookman Old Style"/>
        </w:rPr>
        <w:t xml:space="preserve">Ania d’Abdank Kunicki </w:t>
      </w:r>
    </w:p>
    <w:p w14:paraId="2E46D4D1" w14:textId="77777777" w:rsidR="009B0D18" w:rsidRPr="007E4755" w:rsidRDefault="009B0D18">
      <w:pPr>
        <w:rPr>
          <w:rFonts w:ascii="Bookman Old Style" w:hAnsi="Bookman Old Style"/>
        </w:rPr>
      </w:pPr>
    </w:p>
    <w:p w14:paraId="50D5B09F" w14:textId="20FCC40D" w:rsidR="009B0D18" w:rsidRPr="007E4755" w:rsidRDefault="009B0D18" w:rsidP="00405BA2">
      <w:pPr>
        <w:spacing w:line="480" w:lineRule="auto"/>
        <w:rPr>
          <w:rFonts w:ascii="Bookman Old Style" w:hAnsi="Bookman Old Style"/>
          <w:sz w:val="22"/>
          <w:szCs w:val="22"/>
        </w:rPr>
      </w:pPr>
      <w:r w:rsidRPr="007E4755">
        <w:rPr>
          <w:rFonts w:ascii="Bookman Old Style" w:hAnsi="Bookman Old Style"/>
          <w:sz w:val="22"/>
          <w:szCs w:val="22"/>
        </w:rPr>
        <w:tab/>
        <w:t>The attitudes and knowledge around many conditions were vastly different in the Medieval Period compared to the current modern world. One of the biggest examples could be mental health and conditions concerning our thoughts and emotions. Just like most physical ailments, the knowledge that people of this time had was limited and treatments were mostly based on a trial and error sort of method as well as using information derived from past practices in the ancient and early medieval world. Even today in all reality we know very little of the brain and its functions as well as its effects on who we are as people and how we think and act, and the people of the medieval period knew even less however they viewed the care of these people to be the responsibility of the surrounding communities as well as the families of these individuals</w:t>
      </w:r>
      <w:r w:rsidR="00405BA2" w:rsidRPr="007E4755">
        <w:rPr>
          <w:rStyle w:val="FootnoteReference"/>
          <w:rFonts w:ascii="Bookman Old Style" w:hAnsi="Bookman Old Style"/>
          <w:sz w:val="22"/>
          <w:szCs w:val="22"/>
        </w:rPr>
        <w:footnoteReference w:id="1"/>
      </w:r>
      <w:r w:rsidRPr="007E4755">
        <w:rPr>
          <w:rFonts w:ascii="Bookman Old Style" w:hAnsi="Bookman Old Style"/>
          <w:sz w:val="22"/>
          <w:szCs w:val="22"/>
        </w:rPr>
        <w:t xml:space="preserve"> compared to now where we view the care to be in the hands of healthcare professionals such as doctors and nurses. The most famous and helpful case would be the case of Emma de Beston who will be mentioned throughout this research as her case provides us with the most information surrounding the attitudes and treatments surrounding those with mental conditions. </w:t>
      </w:r>
      <w:r w:rsidR="00405BA2" w:rsidRPr="007E4755">
        <w:rPr>
          <w:rFonts w:ascii="Bookman Old Style" w:hAnsi="Bookman Old Style"/>
          <w:sz w:val="22"/>
          <w:szCs w:val="22"/>
        </w:rPr>
        <w:t>Her case would start in 1383 when Emma was summoned to the church of St Benedict so that her state of mind was able to be assessed, and that appropriate action was taken in securing her properties as well as ensuring that she was taken care of for her remaining days.</w:t>
      </w:r>
      <w:r w:rsidR="00317A5E" w:rsidRPr="007E4755">
        <w:rPr>
          <w:rFonts w:ascii="Bookman Old Style" w:hAnsi="Bookman Old Style"/>
          <w:sz w:val="22"/>
          <w:szCs w:val="22"/>
        </w:rPr>
        <w:t xml:space="preserve"> Most evidence we have of how these sorts of cases were handled are from records of landowners and the rich so </w:t>
      </w:r>
      <w:r w:rsidR="00317A5E" w:rsidRPr="007E4755">
        <w:rPr>
          <w:rFonts w:ascii="Bookman Old Style" w:hAnsi="Bookman Old Style"/>
          <w:sz w:val="22"/>
          <w:szCs w:val="22"/>
        </w:rPr>
        <w:lastRenderedPageBreak/>
        <w:t>in terms of the poor we don’t have as much evidence as to how they would have been treated in these circumstances.</w:t>
      </w:r>
    </w:p>
    <w:p w14:paraId="5FFB8C16" w14:textId="55137361" w:rsidR="00520F93" w:rsidRDefault="00520F93" w:rsidP="00520F93">
      <w:pPr>
        <w:spacing w:line="480" w:lineRule="auto"/>
        <w:ind w:firstLine="720"/>
        <w:rPr>
          <w:rFonts w:ascii="Bookman Old Style" w:hAnsi="Bookman Old Style"/>
          <w:sz w:val="22"/>
          <w:szCs w:val="22"/>
        </w:rPr>
      </w:pPr>
      <w:r w:rsidRPr="007E4755">
        <w:rPr>
          <w:rFonts w:ascii="Bookman Old Style" w:hAnsi="Bookman Old Style"/>
          <w:sz w:val="22"/>
          <w:szCs w:val="22"/>
        </w:rPr>
        <w:t>Emma de Beston was a resident of King’s Lynn in Norfolk and in 1383 she was summoned to the church of St Benedict in Lincoln so that the priests were able to assess her state of mind. Evidence shows that her mental state has been on the decline for a number of years at this point and by now she was rarely experiencing moments of lucidity and had been acting erratically and selling off/giving away parts of her land at random. An inquiry was made into her mental state when her family started expressing concerns, especially when she started handing off parts of her land with no regard for the inheritance of her successors. Since Emma did own valuable property it was put in the care of one of her family members, Philip Wyth, but it was not long before other people, including the mayor of King’s Lynn, were trying to get their hands on what they could. Originally an escheator in Norfolk was sent to examine her mental state in 1382 and he determined that she had not been an idiot from birth but rather had developed these symptoms over time. He is said to have discovered she had been on a decline for the past four years and had been deprived of her senses by “the snares of evil spirits”.</w:t>
      </w:r>
      <w:r w:rsidRPr="007E4755">
        <w:rPr>
          <w:rStyle w:val="FootnoteReference"/>
          <w:rFonts w:ascii="Bookman Old Style" w:hAnsi="Bookman Old Style"/>
          <w:sz w:val="22"/>
          <w:szCs w:val="22"/>
        </w:rPr>
        <w:footnoteReference w:id="2"/>
      </w:r>
      <w:r w:rsidR="007E4755">
        <w:rPr>
          <w:rFonts w:ascii="Bookman Old Style" w:hAnsi="Bookman Old Style"/>
          <w:sz w:val="22"/>
          <w:szCs w:val="22"/>
        </w:rPr>
        <w:t xml:space="preserve"> </w:t>
      </w:r>
      <w:r w:rsidR="005317CD">
        <w:rPr>
          <w:rFonts w:ascii="Bookman Old Style" w:hAnsi="Bookman Old Style"/>
          <w:sz w:val="22"/>
          <w:szCs w:val="22"/>
        </w:rPr>
        <w:t xml:space="preserve"> Sometime after Philip Wyth assumed control over Emma’s lands she petitioned that he had done so in order to have potential gain from her properties, possibly since while being related to Emma he had no hereditary rights to her property. She did not argue against her idiocy and merely asked that her lands be put in the care of 12 townsmen that bore no </w:t>
      </w:r>
      <w:r w:rsidR="00B9467A">
        <w:rPr>
          <w:rFonts w:ascii="Bookman Old Style" w:hAnsi="Bookman Old Style"/>
          <w:sz w:val="22"/>
          <w:szCs w:val="22"/>
        </w:rPr>
        <w:t>relation</w:t>
      </w:r>
      <w:r w:rsidR="005317CD">
        <w:rPr>
          <w:rFonts w:ascii="Bookman Old Style" w:hAnsi="Bookman Old Style"/>
          <w:sz w:val="22"/>
          <w:szCs w:val="22"/>
        </w:rPr>
        <w:t xml:space="preserve"> to her. However, the mayor among others protested this and said she was of sound mind and could resume control over her properties even though Emma herself did not argue her </w:t>
      </w:r>
      <w:r w:rsidR="005317CD">
        <w:rPr>
          <w:rFonts w:ascii="Bookman Old Style" w:hAnsi="Bookman Old Style"/>
          <w:sz w:val="22"/>
          <w:szCs w:val="22"/>
        </w:rPr>
        <w:lastRenderedPageBreak/>
        <w:t>incapacity.</w:t>
      </w:r>
      <w:r w:rsidR="005317CD">
        <w:rPr>
          <w:rStyle w:val="FootnoteReference"/>
          <w:rFonts w:ascii="Bookman Old Style" w:hAnsi="Bookman Old Style"/>
          <w:sz w:val="22"/>
          <w:szCs w:val="22"/>
        </w:rPr>
        <w:footnoteReference w:id="3"/>
      </w:r>
      <w:r w:rsidR="005317CD">
        <w:rPr>
          <w:rFonts w:ascii="Bookman Old Style" w:hAnsi="Bookman Old Style"/>
          <w:sz w:val="22"/>
          <w:szCs w:val="22"/>
        </w:rPr>
        <w:t xml:space="preserve"> Because if this she was eventually summoned to Lincoln where her state of mind could be officially assessed. They asked her </w:t>
      </w:r>
      <w:r w:rsidR="00B9467A">
        <w:rPr>
          <w:rFonts w:ascii="Bookman Old Style" w:hAnsi="Bookman Old Style"/>
          <w:sz w:val="22"/>
          <w:szCs w:val="22"/>
        </w:rPr>
        <w:t>many</w:t>
      </w:r>
      <w:r w:rsidR="005317CD">
        <w:rPr>
          <w:rFonts w:ascii="Bookman Old Style" w:hAnsi="Bookman Old Style"/>
          <w:sz w:val="22"/>
          <w:szCs w:val="22"/>
        </w:rPr>
        <w:t xml:space="preserve"> general questions such as what town she was in</w:t>
      </w:r>
      <w:r w:rsidR="00B9467A">
        <w:rPr>
          <w:rFonts w:ascii="Bookman Old Style" w:hAnsi="Bookman Old Style"/>
          <w:sz w:val="22"/>
          <w:szCs w:val="22"/>
        </w:rPr>
        <w:t>,</w:t>
      </w:r>
      <w:r w:rsidR="005317CD">
        <w:rPr>
          <w:rFonts w:ascii="Bookman Old Style" w:hAnsi="Bookman Old Style"/>
          <w:sz w:val="22"/>
          <w:szCs w:val="22"/>
        </w:rPr>
        <w:t xml:space="preserve"> to which she responded Ely, what day Friday was and she responded that she did not know, they asked </w:t>
      </w:r>
      <w:r w:rsidR="00B9467A">
        <w:rPr>
          <w:rFonts w:ascii="Bookman Old Style" w:hAnsi="Bookman Old Style"/>
          <w:sz w:val="22"/>
          <w:szCs w:val="22"/>
        </w:rPr>
        <w:t>her</w:t>
      </w:r>
      <w:r w:rsidR="005317CD">
        <w:rPr>
          <w:rFonts w:ascii="Bookman Old Style" w:hAnsi="Bookman Old Style"/>
          <w:sz w:val="22"/>
          <w:szCs w:val="22"/>
        </w:rPr>
        <w:t xml:space="preserve"> how many days there are in a week and while she answered seven she was unable to name them</w:t>
      </w:r>
      <w:r w:rsidR="00B9467A">
        <w:rPr>
          <w:rFonts w:ascii="Bookman Old Style" w:hAnsi="Bookman Old Style"/>
          <w:sz w:val="22"/>
          <w:szCs w:val="22"/>
        </w:rPr>
        <w:t>. She was asked how many husbands she had throughout her life, she answered three but could only name one of them, she was asked if she had any children and said she had a husband with a son but could not remember his name. she was asked how many shillings there were in forty pence to which she did not know the answer and was also asked if shed rather have twenty silver goats or forty pence and she said that they were the same value. After examining her in all other ways they could think of they determined that she did not possess the sense, memory, or the sufficient intelligence to manage her goods. “As appeared from inspection, she had the face and countenance of an idiot”.</w:t>
      </w:r>
      <w:r w:rsidR="00B9467A">
        <w:rPr>
          <w:rStyle w:val="FootnoteReference"/>
          <w:rFonts w:ascii="Bookman Old Style" w:hAnsi="Bookman Old Style"/>
          <w:sz w:val="22"/>
          <w:szCs w:val="22"/>
        </w:rPr>
        <w:footnoteReference w:id="4"/>
      </w:r>
      <w:r w:rsidR="00B9467A">
        <w:rPr>
          <w:rFonts w:ascii="Bookman Old Style" w:hAnsi="Bookman Old Style"/>
          <w:sz w:val="22"/>
          <w:szCs w:val="22"/>
        </w:rPr>
        <w:t xml:space="preserve"> As a result of all of this, Emma herself was placed in the care of Philip Wyth, but her estate was placed in the care of four burgesses of Lynn. They would provide Philip with enough money from her estate to clothe and feed her and take care of her other needs and this arrangement would last until her death in 1386 after which her estate was passed on to her niece, Isabela de Reynham. </w:t>
      </w:r>
      <w:r w:rsidR="00325DF9">
        <w:rPr>
          <w:rFonts w:ascii="Bookman Old Style" w:hAnsi="Bookman Old Style"/>
          <w:sz w:val="22"/>
          <w:szCs w:val="22"/>
        </w:rPr>
        <w:t xml:space="preserve">After reading into her case using our modern terms and knowledge you could probably assume she had some form of dementia that progressed quite fast however in the Middle Ages they did not have the knowledge or resources to confirm this its just my personal best educated guess as to what she could have been suffering from. While they would not have known the cause of Emma’s decline back then and would not have known how to treat said condition </w:t>
      </w:r>
      <w:r w:rsidR="00325DF9">
        <w:rPr>
          <w:rFonts w:ascii="Bookman Old Style" w:hAnsi="Bookman Old Style"/>
          <w:sz w:val="22"/>
          <w:szCs w:val="22"/>
        </w:rPr>
        <w:lastRenderedPageBreak/>
        <w:t>there is still evidence of a communal effort on securing her lands and care. Unfortunately, since these records only deal with a persons land and property we don’t get much insight into what their final years would have looked like, but you can clearly see that the people of the Middle Ages had some form of understanding around mental health and “madness”.</w:t>
      </w:r>
    </w:p>
    <w:p w14:paraId="5A8C54EB" w14:textId="7D77B792" w:rsidR="00916B44" w:rsidRDefault="003C6FE4" w:rsidP="00520F93">
      <w:pPr>
        <w:spacing w:line="480" w:lineRule="auto"/>
        <w:ind w:firstLine="720"/>
        <w:rPr>
          <w:rFonts w:ascii="Bookman Old Style" w:hAnsi="Bookman Old Style"/>
          <w:sz w:val="22"/>
          <w:szCs w:val="22"/>
        </w:rPr>
      </w:pPr>
      <w:r>
        <w:rPr>
          <w:rFonts w:ascii="Bookman Old Style" w:hAnsi="Bookman Old Style"/>
          <w:sz w:val="22"/>
          <w:szCs w:val="22"/>
        </w:rPr>
        <w:t xml:space="preserve">Just like with physical illness, the four humours were a very common use for diagnosing and determining treatment of mental conditions. People would have their prevailing humour which would determine both their personality as well as their appearance. For </w:t>
      </w:r>
      <w:r w:rsidR="00701570">
        <w:rPr>
          <w:rFonts w:ascii="Bookman Old Style" w:hAnsi="Bookman Old Style"/>
          <w:sz w:val="22"/>
          <w:szCs w:val="22"/>
        </w:rPr>
        <w:t>example,</w:t>
      </w:r>
      <w:r>
        <w:rPr>
          <w:rFonts w:ascii="Bookman Old Style" w:hAnsi="Bookman Old Style"/>
          <w:sz w:val="22"/>
          <w:szCs w:val="22"/>
        </w:rPr>
        <w:t xml:space="preserve"> those </w:t>
      </w:r>
      <w:r w:rsidR="00701570">
        <w:rPr>
          <w:rFonts w:ascii="Bookman Old Style" w:hAnsi="Bookman Old Style"/>
          <w:sz w:val="22"/>
          <w:szCs w:val="22"/>
        </w:rPr>
        <w:t>who’s</w:t>
      </w:r>
      <w:r>
        <w:rPr>
          <w:rFonts w:ascii="Bookman Old Style" w:hAnsi="Bookman Old Style"/>
          <w:sz w:val="22"/>
          <w:szCs w:val="22"/>
        </w:rPr>
        <w:t xml:space="preserve"> prevailing theory was blood were said to be more friendly and cheery people with a ruddy appearance and those who had phlegm as their prevailing humour would be typically more melancholic with a listless appearance.</w:t>
      </w:r>
      <w:r>
        <w:rPr>
          <w:rStyle w:val="FootnoteReference"/>
          <w:rFonts w:ascii="Bookman Old Style" w:hAnsi="Bookman Old Style"/>
          <w:sz w:val="22"/>
          <w:szCs w:val="22"/>
        </w:rPr>
        <w:footnoteReference w:id="5"/>
      </w:r>
      <w:r w:rsidR="00517B8A">
        <w:rPr>
          <w:rFonts w:ascii="Bookman Old Style" w:hAnsi="Bookman Old Style"/>
          <w:sz w:val="22"/>
          <w:szCs w:val="22"/>
        </w:rPr>
        <w:t xml:space="preserve"> Black bile was also associated with a melancholy nature but was more associated with laziness </w:t>
      </w:r>
      <w:r w:rsidR="00C8714A">
        <w:rPr>
          <w:rFonts w:ascii="Bookman Old Style" w:hAnsi="Bookman Old Style"/>
          <w:sz w:val="22"/>
          <w:szCs w:val="22"/>
        </w:rPr>
        <w:t>and lack of motivation, phlegmatic people would more so be seen as unemotional and black bile was more associated with actual sadness.</w:t>
      </w:r>
      <w:r>
        <w:rPr>
          <w:rFonts w:ascii="Bookman Old Style" w:hAnsi="Bookman Old Style"/>
          <w:sz w:val="22"/>
          <w:szCs w:val="22"/>
        </w:rPr>
        <w:t xml:space="preserve"> Most commonly, yellow bile and phlegm would be most commonly attributed to a person’s changed mental state. </w:t>
      </w:r>
      <w:r w:rsidR="00517B8A">
        <w:rPr>
          <w:rFonts w:ascii="Bookman Old Style" w:hAnsi="Bookman Old Style"/>
          <w:sz w:val="22"/>
          <w:szCs w:val="22"/>
        </w:rPr>
        <w:t xml:space="preserve">If someone was said to have too much yellow bile they were typically angry with a short temper and the most common treatment would be purging, if a person was said to have too much phlegm they would typically be more </w:t>
      </w:r>
      <w:r w:rsidR="00701570">
        <w:rPr>
          <w:rFonts w:ascii="Bookman Old Style" w:hAnsi="Bookman Old Style"/>
          <w:sz w:val="22"/>
          <w:szCs w:val="22"/>
        </w:rPr>
        <w:t>depressed,</w:t>
      </w:r>
      <w:r w:rsidR="00517B8A">
        <w:rPr>
          <w:rFonts w:ascii="Bookman Old Style" w:hAnsi="Bookman Old Style"/>
          <w:sz w:val="22"/>
          <w:szCs w:val="22"/>
        </w:rPr>
        <w:t xml:space="preserve"> and treatment could be to eat more dry food to balance out their humous as phlegm was seen to be cold and wet.</w:t>
      </w:r>
      <w:r w:rsidR="00D166F1">
        <w:rPr>
          <w:rFonts w:ascii="Bookman Old Style" w:hAnsi="Bookman Old Style"/>
          <w:sz w:val="22"/>
          <w:szCs w:val="22"/>
        </w:rPr>
        <w:t xml:space="preserve"> Black bile is not associated with any actual bodily fluids therefor there was no exact treatment to balance it out.</w:t>
      </w:r>
      <w:r w:rsidR="00734393">
        <w:rPr>
          <w:rStyle w:val="FootnoteReference"/>
          <w:rFonts w:ascii="Bookman Old Style" w:hAnsi="Bookman Old Style"/>
          <w:sz w:val="22"/>
          <w:szCs w:val="22"/>
        </w:rPr>
        <w:footnoteReference w:id="6"/>
      </w:r>
      <w:r w:rsidR="007F0500">
        <w:rPr>
          <w:rFonts w:ascii="Bookman Old Style" w:hAnsi="Bookman Old Style"/>
          <w:sz w:val="22"/>
          <w:szCs w:val="22"/>
        </w:rPr>
        <w:t xml:space="preserve"> It seems that the main difference between black bile and phlegm seem to be that phlegm is more of </w:t>
      </w:r>
      <w:r w:rsidR="00734393">
        <w:rPr>
          <w:rFonts w:ascii="Bookman Old Style" w:hAnsi="Bookman Old Style"/>
          <w:sz w:val="22"/>
          <w:szCs w:val="22"/>
        </w:rPr>
        <w:t xml:space="preserve">a </w:t>
      </w:r>
      <w:r w:rsidR="007F0500">
        <w:rPr>
          <w:rFonts w:ascii="Bookman Old Style" w:hAnsi="Bookman Old Style"/>
          <w:sz w:val="22"/>
          <w:szCs w:val="22"/>
        </w:rPr>
        <w:lastRenderedPageBreak/>
        <w:t>state of being unemotional and overall apathetic, whereas black bile seems to be more associated with genuine sadness. They are both signs of what we would call depression these days but just as we know they are two separate feelings, so did the people of the medieval era. However, while they viewed them as completely separate conditions, we view them as two separate symptoms of the same illness.</w:t>
      </w:r>
      <w:r w:rsidR="00D166F1">
        <w:rPr>
          <w:rFonts w:ascii="Bookman Old Style" w:hAnsi="Bookman Old Style"/>
          <w:sz w:val="22"/>
          <w:szCs w:val="22"/>
        </w:rPr>
        <w:t xml:space="preserve"> Once looking into these different types of diagnosis we can look at it in the modern period and make an assumption of what these different people would have been suffering from. While in the medieval period they knew very little about how mental health and the mind they did look at it from a quite logical point of view when it was diagnosed using the four humours rather than from a religious standpoint. In a time when the church was so prevalent in everybody’s daily life you were </w:t>
      </w:r>
      <w:r w:rsidR="00B06BD7">
        <w:rPr>
          <w:rFonts w:ascii="Bookman Old Style" w:hAnsi="Bookman Old Style"/>
          <w:sz w:val="22"/>
          <w:szCs w:val="22"/>
        </w:rPr>
        <w:t>bound to get treatments and diagnosis that would be related to the church and religion.</w:t>
      </w:r>
    </w:p>
    <w:p w14:paraId="6A592DA6" w14:textId="31555559" w:rsidR="00520F93" w:rsidRDefault="00993337" w:rsidP="007541EF">
      <w:pPr>
        <w:spacing w:line="480" w:lineRule="auto"/>
        <w:ind w:firstLine="720"/>
        <w:rPr>
          <w:rFonts w:ascii="Bookman Old Style" w:hAnsi="Bookman Old Style"/>
          <w:sz w:val="22"/>
          <w:szCs w:val="22"/>
        </w:rPr>
      </w:pPr>
      <w:r>
        <w:rPr>
          <w:rFonts w:ascii="Bookman Old Style" w:hAnsi="Bookman Old Style"/>
          <w:sz w:val="22"/>
          <w:szCs w:val="22"/>
        </w:rPr>
        <w:t xml:space="preserve">Treatment for these disorders would vary widely </w:t>
      </w:r>
      <w:r w:rsidR="007541EF">
        <w:rPr>
          <w:rFonts w:ascii="Bookman Old Style" w:hAnsi="Bookman Old Style"/>
          <w:sz w:val="22"/>
          <w:szCs w:val="22"/>
        </w:rPr>
        <w:t>depending</w:t>
      </w:r>
      <w:r>
        <w:rPr>
          <w:rFonts w:ascii="Bookman Old Style" w:hAnsi="Bookman Old Style"/>
          <w:sz w:val="22"/>
          <w:szCs w:val="22"/>
        </w:rPr>
        <w:t xml:space="preserve"> on what the believed cause was. If it was </w:t>
      </w:r>
      <w:r w:rsidR="007541EF">
        <w:rPr>
          <w:rFonts w:ascii="Bookman Old Style" w:hAnsi="Bookman Old Style"/>
          <w:sz w:val="22"/>
          <w:szCs w:val="22"/>
        </w:rPr>
        <w:t>believed</w:t>
      </w:r>
      <w:r>
        <w:rPr>
          <w:rFonts w:ascii="Bookman Old Style" w:hAnsi="Bookman Old Style"/>
          <w:sz w:val="22"/>
          <w:szCs w:val="22"/>
        </w:rPr>
        <w:t xml:space="preserve"> that the illness was as a result of demonic possession the most common treatment would be exorcisms as well as prayers being said over the person’s body</w:t>
      </w:r>
      <w:r w:rsidR="007541EF">
        <w:rPr>
          <w:rFonts w:ascii="Bookman Old Style" w:hAnsi="Bookman Old Style"/>
          <w:sz w:val="22"/>
          <w:szCs w:val="22"/>
        </w:rPr>
        <w:t>, other religious treatments could include fasting or cleansing baths</w:t>
      </w:r>
      <w:r>
        <w:rPr>
          <w:rFonts w:ascii="Bookman Old Style" w:hAnsi="Bookman Old Style"/>
          <w:sz w:val="22"/>
          <w:szCs w:val="22"/>
        </w:rPr>
        <w:t>.</w:t>
      </w:r>
      <w:r w:rsidR="007541EF">
        <w:rPr>
          <w:rStyle w:val="FootnoteReference"/>
          <w:rFonts w:ascii="Bookman Old Style" w:hAnsi="Bookman Old Style"/>
          <w:sz w:val="22"/>
          <w:szCs w:val="22"/>
        </w:rPr>
        <w:footnoteReference w:id="7"/>
      </w:r>
      <w:r>
        <w:rPr>
          <w:rFonts w:ascii="Bookman Old Style" w:hAnsi="Bookman Old Style"/>
          <w:sz w:val="22"/>
          <w:szCs w:val="22"/>
        </w:rPr>
        <w:t xml:space="preserve"> For more extreme cases of madness they would use the method of trepanning, which would involve drilling a hole into the person’s skull in order to release the demonic spirits trapped inside.</w:t>
      </w:r>
      <w:r w:rsidR="00734393">
        <w:rPr>
          <w:rFonts w:ascii="Bookman Old Style" w:hAnsi="Bookman Old Style"/>
          <w:sz w:val="22"/>
          <w:szCs w:val="22"/>
        </w:rPr>
        <w:t xml:space="preserve"> Another treatment involving the head would be to perform a surgery in order to remove the “stone of madness” that was believed by some to be in the heads of the mentally insane.</w:t>
      </w:r>
      <w:r w:rsidR="00734393">
        <w:rPr>
          <w:rStyle w:val="FootnoteReference"/>
          <w:rFonts w:ascii="Bookman Old Style" w:hAnsi="Bookman Old Style"/>
          <w:sz w:val="22"/>
          <w:szCs w:val="22"/>
        </w:rPr>
        <w:footnoteReference w:id="8"/>
      </w:r>
      <w:r w:rsidR="00734393">
        <w:rPr>
          <w:rFonts w:ascii="Bookman Old Style" w:hAnsi="Bookman Old Style"/>
          <w:sz w:val="22"/>
          <w:szCs w:val="22"/>
        </w:rPr>
        <w:t xml:space="preserve"> Medical “quacks” would roam the countryside offering to perform the surgery as of course in the time surgeons were not considered </w:t>
      </w:r>
      <w:r w:rsidR="00734393">
        <w:rPr>
          <w:rFonts w:ascii="Bookman Old Style" w:hAnsi="Bookman Old Style"/>
          <w:sz w:val="22"/>
          <w:szCs w:val="22"/>
        </w:rPr>
        <w:lastRenderedPageBreak/>
        <w:t>physicians in the same was they are today.</w:t>
      </w:r>
      <w:r>
        <w:rPr>
          <w:rFonts w:ascii="Bookman Old Style" w:hAnsi="Bookman Old Style"/>
          <w:sz w:val="22"/>
          <w:szCs w:val="22"/>
        </w:rPr>
        <w:t xml:space="preserve"> </w:t>
      </w:r>
      <w:r w:rsidR="007541EF">
        <w:rPr>
          <w:rFonts w:ascii="Bookman Old Style" w:hAnsi="Bookman Old Style"/>
          <w:sz w:val="22"/>
          <w:szCs w:val="22"/>
        </w:rPr>
        <w:t xml:space="preserve">Other treatments could be more physical in order to balance out the humours. They would use bleeding to balance out blood, purging to balance yellow bile, changing diets or their routines. Depending on the humour that was believed to be the cause of this mental affliction, the supposed appropriate treatment would be prescribed. </w:t>
      </w:r>
      <w:r w:rsidR="00035E82">
        <w:rPr>
          <w:rFonts w:ascii="Bookman Old Style" w:hAnsi="Bookman Old Style"/>
          <w:sz w:val="22"/>
          <w:szCs w:val="22"/>
        </w:rPr>
        <w:t>Sometimes the treatment would be isolation which would eventually lead to the creation of mental asylums in the 17</w:t>
      </w:r>
      <w:r w:rsidR="00035E82" w:rsidRPr="00035E82">
        <w:rPr>
          <w:rFonts w:ascii="Bookman Old Style" w:hAnsi="Bookman Old Style"/>
          <w:sz w:val="22"/>
          <w:szCs w:val="22"/>
          <w:vertAlign w:val="superscript"/>
        </w:rPr>
        <w:t>th</w:t>
      </w:r>
      <w:r w:rsidR="00035E82">
        <w:rPr>
          <w:rFonts w:ascii="Bookman Old Style" w:hAnsi="Bookman Old Style"/>
          <w:sz w:val="22"/>
          <w:szCs w:val="22"/>
        </w:rPr>
        <w:t xml:space="preserve"> century. </w:t>
      </w:r>
      <w:r w:rsidR="00E066E0">
        <w:rPr>
          <w:rFonts w:ascii="Bookman Old Style" w:hAnsi="Bookman Old Style"/>
          <w:sz w:val="22"/>
          <w:szCs w:val="22"/>
        </w:rPr>
        <w:t xml:space="preserve">Those who were perhaps not in towns or did not have the community and family surrounding them as well as being of the peasant class could just be left to become </w:t>
      </w:r>
      <w:r w:rsidR="00916B44">
        <w:rPr>
          <w:rFonts w:ascii="Bookman Old Style" w:hAnsi="Bookman Old Style"/>
          <w:sz w:val="22"/>
          <w:szCs w:val="22"/>
        </w:rPr>
        <w:t>beggars</w:t>
      </w:r>
      <w:r w:rsidR="00E066E0">
        <w:rPr>
          <w:rFonts w:ascii="Bookman Old Style" w:hAnsi="Bookman Old Style"/>
          <w:sz w:val="22"/>
          <w:szCs w:val="22"/>
        </w:rPr>
        <w:t xml:space="preserve"> or to eventually die on their own.</w:t>
      </w:r>
      <w:r w:rsidR="00916B44">
        <w:rPr>
          <w:rFonts w:ascii="Bookman Old Style" w:hAnsi="Bookman Old Style"/>
          <w:sz w:val="22"/>
          <w:szCs w:val="22"/>
        </w:rPr>
        <w:t xml:space="preserve"> Anyone who was mad to the point of being considered dangerous would be locked away in prison and often under horrific conditions.</w:t>
      </w:r>
      <w:r w:rsidR="00E066E0">
        <w:rPr>
          <w:rFonts w:ascii="Bookman Old Style" w:hAnsi="Bookman Old Style"/>
          <w:sz w:val="22"/>
          <w:szCs w:val="22"/>
        </w:rPr>
        <w:t xml:space="preserve"> </w:t>
      </w:r>
      <w:r w:rsidR="00E27EC1">
        <w:rPr>
          <w:rFonts w:ascii="Bookman Old Style" w:hAnsi="Bookman Old Style"/>
          <w:sz w:val="22"/>
          <w:szCs w:val="22"/>
        </w:rPr>
        <w:t xml:space="preserve">The treatment of the mentally ill could be considered as cruel and </w:t>
      </w:r>
      <w:r w:rsidR="00916B44">
        <w:rPr>
          <w:rFonts w:ascii="Bookman Old Style" w:hAnsi="Bookman Old Style"/>
          <w:sz w:val="22"/>
          <w:szCs w:val="22"/>
        </w:rPr>
        <w:t>unfair, as</w:t>
      </w:r>
      <w:r w:rsidR="00E27EC1">
        <w:rPr>
          <w:rFonts w:ascii="Bookman Old Style" w:hAnsi="Bookman Old Style"/>
          <w:sz w:val="22"/>
          <w:szCs w:val="22"/>
        </w:rPr>
        <w:t xml:space="preserve"> were many things of the time.</w:t>
      </w:r>
      <w:r w:rsidR="00734393">
        <w:rPr>
          <w:rStyle w:val="FootnoteReference"/>
          <w:rFonts w:ascii="Bookman Old Style" w:hAnsi="Bookman Old Style"/>
          <w:sz w:val="22"/>
          <w:szCs w:val="22"/>
        </w:rPr>
        <w:footnoteReference w:id="9"/>
      </w:r>
      <w:r w:rsidR="00E27EC1">
        <w:rPr>
          <w:rFonts w:ascii="Bookman Old Style" w:hAnsi="Bookman Old Style"/>
          <w:sz w:val="22"/>
          <w:szCs w:val="22"/>
        </w:rPr>
        <w:t xml:space="preserve"> The people of the medieval era did not view mental health and physical health as two separate entities the way we do today and viewed them more like the same thing. In a way it is not dissimilar to how we view mental and physical health today in that we believe our physical health impacts our mental health to some extent however, the way in which we treat them is much more separate. In the medieval era mental health was still seen as a physical affliction and would be </w:t>
      </w:r>
      <w:r w:rsidR="00916B44">
        <w:rPr>
          <w:rFonts w:ascii="Bookman Old Style" w:hAnsi="Bookman Old Style"/>
          <w:sz w:val="22"/>
          <w:szCs w:val="22"/>
        </w:rPr>
        <w:t>treated</w:t>
      </w:r>
      <w:r w:rsidR="00E27EC1">
        <w:rPr>
          <w:rFonts w:ascii="Bookman Old Style" w:hAnsi="Bookman Old Style"/>
          <w:sz w:val="22"/>
          <w:szCs w:val="22"/>
        </w:rPr>
        <w:t xml:space="preserve"> as if it was one, as can be seen with treatments such as bloodletting and purging to keep the humours in balance. The religious treatments such as exorcisms and cleansing baths were also used when it came to treating physical afflictions as well. They definitely saw the mind as being more of a physical tangible thing as being one with the structure of the brain instead of our view today being more so the brain and </w:t>
      </w:r>
      <w:r w:rsidR="00E27EC1">
        <w:rPr>
          <w:rFonts w:ascii="Bookman Old Style" w:hAnsi="Bookman Old Style"/>
          <w:sz w:val="22"/>
          <w:szCs w:val="22"/>
        </w:rPr>
        <w:lastRenderedPageBreak/>
        <w:t>mind being the same but the brain being the physical vessel for the mind and thought as we are aware now that the brain is many things all at once</w:t>
      </w:r>
      <w:r w:rsidR="008B25DD">
        <w:rPr>
          <w:rFonts w:ascii="Bookman Old Style" w:hAnsi="Bookman Old Style"/>
          <w:sz w:val="22"/>
          <w:szCs w:val="22"/>
        </w:rPr>
        <w:t>.</w:t>
      </w:r>
      <w:r w:rsidR="00916B44">
        <w:rPr>
          <w:rFonts w:ascii="Bookman Old Style" w:hAnsi="Bookman Old Style"/>
          <w:sz w:val="22"/>
          <w:szCs w:val="22"/>
        </w:rPr>
        <w:t xml:space="preserve"> </w:t>
      </w:r>
    </w:p>
    <w:p w14:paraId="4EA6BD60" w14:textId="56B5E04E" w:rsidR="00B761EC" w:rsidRDefault="008061C3" w:rsidP="007541EF">
      <w:pPr>
        <w:spacing w:line="480" w:lineRule="auto"/>
        <w:ind w:firstLine="720"/>
        <w:rPr>
          <w:rFonts w:ascii="Bookman Old Style" w:hAnsi="Bookman Old Style"/>
          <w:sz w:val="22"/>
          <w:szCs w:val="22"/>
        </w:rPr>
      </w:pPr>
      <w:r>
        <w:rPr>
          <w:rFonts w:ascii="Bookman Old Style" w:hAnsi="Bookman Old Style"/>
          <w:sz w:val="22"/>
          <w:szCs w:val="22"/>
        </w:rPr>
        <w:t xml:space="preserve">While mostly this research has revolved around metal illness there are still conditions that would affect the mind. There isn’t much information on those with learning disabilities but there is evidence of laws that </w:t>
      </w:r>
      <w:r w:rsidR="00701570">
        <w:rPr>
          <w:rFonts w:ascii="Bookman Old Style" w:hAnsi="Bookman Old Style"/>
          <w:sz w:val="22"/>
          <w:szCs w:val="22"/>
        </w:rPr>
        <w:t>protected</w:t>
      </w:r>
      <w:r>
        <w:rPr>
          <w:rFonts w:ascii="Bookman Old Style" w:hAnsi="Bookman Old Style"/>
          <w:sz w:val="22"/>
          <w:szCs w:val="22"/>
        </w:rPr>
        <w:t xml:space="preserve"> “congenital idiots”</w:t>
      </w:r>
      <w:r w:rsidR="00734393">
        <w:rPr>
          <w:rStyle w:val="FootnoteReference"/>
          <w:rFonts w:ascii="Bookman Old Style" w:hAnsi="Bookman Old Style"/>
          <w:sz w:val="22"/>
          <w:szCs w:val="22"/>
        </w:rPr>
        <w:footnoteReference w:id="10"/>
      </w:r>
      <w:r>
        <w:rPr>
          <w:rFonts w:ascii="Bookman Old Style" w:hAnsi="Bookman Old Style"/>
          <w:sz w:val="22"/>
          <w:szCs w:val="22"/>
        </w:rPr>
        <w:t xml:space="preserve"> who were most likely those with learning disabilities who were either unable to care for themselves or needed assistance with caring for themselves. These laws would protect their estates under the </w:t>
      </w:r>
      <w:r w:rsidR="00701570">
        <w:rPr>
          <w:rFonts w:ascii="Bookman Old Style" w:hAnsi="Bookman Old Style"/>
          <w:sz w:val="22"/>
          <w:szCs w:val="22"/>
        </w:rPr>
        <w:t>king,</w:t>
      </w:r>
      <w:r>
        <w:rPr>
          <w:rFonts w:ascii="Bookman Old Style" w:hAnsi="Bookman Old Style"/>
          <w:sz w:val="22"/>
          <w:szCs w:val="22"/>
        </w:rPr>
        <w:t xml:space="preserve"> and they would typically be cared for by their families and communities.</w:t>
      </w:r>
      <w:r w:rsidR="00062A5C">
        <w:rPr>
          <w:rStyle w:val="FootnoteReference"/>
          <w:rFonts w:ascii="Bookman Old Style" w:hAnsi="Bookman Old Style"/>
          <w:sz w:val="22"/>
          <w:szCs w:val="22"/>
        </w:rPr>
        <w:footnoteReference w:id="11"/>
      </w:r>
      <w:r>
        <w:rPr>
          <w:rFonts w:ascii="Bookman Old Style" w:hAnsi="Bookman Old Style"/>
          <w:sz w:val="22"/>
          <w:szCs w:val="22"/>
        </w:rPr>
        <w:t xml:space="preserve"> </w:t>
      </w:r>
      <w:r w:rsidR="00701570">
        <w:rPr>
          <w:rFonts w:ascii="Bookman Old Style" w:hAnsi="Bookman Old Style"/>
          <w:sz w:val="22"/>
          <w:szCs w:val="22"/>
        </w:rPr>
        <w:t>Of course,</w:t>
      </w:r>
      <w:r>
        <w:rPr>
          <w:rFonts w:ascii="Bookman Old Style" w:hAnsi="Bookman Old Style"/>
          <w:sz w:val="22"/>
          <w:szCs w:val="22"/>
        </w:rPr>
        <w:t xml:space="preserve"> most of these laws were likely written more </w:t>
      </w:r>
      <w:r w:rsidR="00DE7BCE">
        <w:rPr>
          <w:rFonts w:ascii="Bookman Old Style" w:hAnsi="Bookman Old Style"/>
          <w:sz w:val="22"/>
          <w:szCs w:val="22"/>
        </w:rPr>
        <w:t xml:space="preserve">for those that were part of the upper class and </w:t>
      </w:r>
      <w:r w:rsidR="00701570">
        <w:rPr>
          <w:rFonts w:ascii="Bookman Old Style" w:hAnsi="Bookman Old Style"/>
          <w:sz w:val="22"/>
          <w:szCs w:val="22"/>
        </w:rPr>
        <w:t>nobility,</w:t>
      </w:r>
      <w:r w:rsidR="00DE7BCE">
        <w:rPr>
          <w:rFonts w:ascii="Bookman Old Style" w:hAnsi="Bookman Old Style"/>
          <w:sz w:val="22"/>
          <w:szCs w:val="22"/>
        </w:rPr>
        <w:t xml:space="preserve"> but it still provides a glimpse into how the people viewed people with these conditions and perhaps shows us that they weren</w:t>
      </w:r>
      <w:r w:rsidR="00701570">
        <w:rPr>
          <w:rFonts w:ascii="Bookman Old Style" w:hAnsi="Bookman Old Style"/>
          <w:sz w:val="22"/>
          <w:szCs w:val="22"/>
        </w:rPr>
        <w:t>’t</w:t>
      </w:r>
      <w:r w:rsidR="00DE7BCE">
        <w:rPr>
          <w:rFonts w:ascii="Bookman Old Style" w:hAnsi="Bookman Old Style"/>
          <w:sz w:val="22"/>
          <w:szCs w:val="22"/>
        </w:rPr>
        <w:t xml:space="preserve"> as marginalized as we would be led to believe. The treatment of those who may have developed these conditions later in life or had become mad later in </w:t>
      </w:r>
      <w:r w:rsidR="00701570">
        <w:rPr>
          <w:rFonts w:ascii="Bookman Old Style" w:hAnsi="Bookman Old Style"/>
          <w:sz w:val="22"/>
          <w:szCs w:val="22"/>
        </w:rPr>
        <w:t>life would</w:t>
      </w:r>
      <w:r w:rsidR="00DE7BCE">
        <w:rPr>
          <w:rFonts w:ascii="Bookman Old Style" w:hAnsi="Bookman Old Style"/>
          <w:sz w:val="22"/>
          <w:szCs w:val="22"/>
        </w:rPr>
        <w:t xml:space="preserve"> depend on the severity of the person’s condition. Those who had family able to </w:t>
      </w:r>
      <w:r w:rsidR="00701570">
        <w:rPr>
          <w:rFonts w:ascii="Bookman Old Style" w:hAnsi="Bookman Old Style"/>
          <w:sz w:val="22"/>
          <w:szCs w:val="22"/>
        </w:rPr>
        <w:t>care</w:t>
      </w:r>
      <w:r w:rsidR="00DE7BCE">
        <w:rPr>
          <w:rFonts w:ascii="Bookman Old Style" w:hAnsi="Bookman Old Style"/>
          <w:sz w:val="22"/>
          <w:szCs w:val="22"/>
        </w:rPr>
        <w:t xml:space="preserve"> for them would typically be left in their care or they could be left in the care of the community, it could also be possible that the more wealthy would send their family members off to an abbey or a monastery </w:t>
      </w:r>
      <w:r w:rsidR="0018268E">
        <w:rPr>
          <w:rFonts w:ascii="Bookman Old Style" w:hAnsi="Bookman Old Style"/>
          <w:sz w:val="22"/>
          <w:szCs w:val="22"/>
        </w:rPr>
        <w:t>and send them away to be taken care of. Isolation was common as a treatment and the growing popularity would lead to the creation of mental asylums in the 17</w:t>
      </w:r>
      <w:r w:rsidR="0018268E" w:rsidRPr="0018268E">
        <w:rPr>
          <w:rFonts w:ascii="Bookman Old Style" w:hAnsi="Bookman Old Style"/>
          <w:sz w:val="22"/>
          <w:szCs w:val="22"/>
          <w:vertAlign w:val="superscript"/>
        </w:rPr>
        <w:t>th</w:t>
      </w:r>
      <w:r w:rsidR="0018268E">
        <w:rPr>
          <w:rFonts w:ascii="Bookman Old Style" w:hAnsi="Bookman Old Style"/>
          <w:sz w:val="22"/>
          <w:szCs w:val="22"/>
        </w:rPr>
        <w:t xml:space="preserve"> century. If a person was in a state of madness bad enough to be considered dangerous they would be locked away as a prisoner and often under horrific conditions which also shows the negative attitude surrounding madness and the mentally ill however their attitudes in general are quite fascinating </w:t>
      </w:r>
      <w:r w:rsidR="0018268E">
        <w:rPr>
          <w:rFonts w:ascii="Bookman Old Style" w:hAnsi="Bookman Old Style"/>
          <w:sz w:val="22"/>
          <w:szCs w:val="22"/>
        </w:rPr>
        <w:lastRenderedPageBreak/>
        <w:t xml:space="preserve">and different from our modern attitudes but maybe not in the way that we would think it would be different. </w:t>
      </w:r>
    </w:p>
    <w:p w14:paraId="03314C01" w14:textId="153D771E" w:rsidR="00062A5C" w:rsidRDefault="003C70EA" w:rsidP="00062A5C">
      <w:pPr>
        <w:spacing w:line="480" w:lineRule="auto"/>
        <w:ind w:firstLine="720"/>
        <w:rPr>
          <w:rFonts w:ascii="Bookman Old Style" w:hAnsi="Bookman Old Style"/>
          <w:sz w:val="22"/>
          <w:szCs w:val="22"/>
        </w:rPr>
      </w:pPr>
      <w:r>
        <w:rPr>
          <w:rFonts w:ascii="Bookman Old Style" w:hAnsi="Bookman Old Style"/>
          <w:sz w:val="22"/>
          <w:szCs w:val="22"/>
        </w:rPr>
        <w:t>Overall</w:t>
      </w:r>
      <w:r w:rsidR="00763A2D">
        <w:rPr>
          <w:rFonts w:ascii="Bookman Old Style" w:hAnsi="Bookman Old Style"/>
          <w:sz w:val="22"/>
          <w:szCs w:val="22"/>
        </w:rPr>
        <w:t>,</w:t>
      </w:r>
      <w:r>
        <w:rPr>
          <w:rFonts w:ascii="Bookman Old Style" w:hAnsi="Bookman Old Style"/>
          <w:sz w:val="22"/>
          <w:szCs w:val="22"/>
        </w:rPr>
        <w:t xml:space="preserve"> the attitudes of medieval people toward mental health and mental illness are quite interesting as well as views surrounding those with intellectual disabilities. </w:t>
      </w:r>
      <w:r w:rsidR="0007047B">
        <w:rPr>
          <w:rFonts w:ascii="Bookman Old Style" w:hAnsi="Bookman Old Style"/>
          <w:sz w:val="22"/>
          <w:szCs w:val="22"/>
        </w:rPr>
        <w:t xml:space="preserve">While the overall assumption is that the medieval period was a time of cruelty and harsh treatment towards those with these conditions and disabilities </w:t>
      </w:r>
      <w:r w:rsidR="00763A2D">
        <w:rPr>
          <w:rFonts w:ascii="Bookman Old Style" w:hAnsi="Bookman Old Style"/>
          <w:sz w:val="22"/>
          <w:szCs w:val="22"/>
        </w:rPr>
        <w:t>there is evidence to show that it may not be exactly true. At least for some people there were laws and protections in place for people with these conditions, at least for the upper class. Theres also the emphasis on community and family efforts to take care of people who suffer from these conditions since the option to send them away wasn’t really an option</w:t>
      </w:r>
      <w:r w:rsidR="00583929">
        <w:rPr>
          <w:rFonts w:ascii="Bookman Old Style" w:hAnsi="Bookman Old Style"/>
          <w:sz w:val="22"/>
          <w:szCs w:val="22"/>
        </w:rPr>
        <w:t xml:space="preserve">. Some could consider them to be less marginalized than they may have been in modern history with the invention of asylums, even today when they are sent to special schools and sent away to hospitals. Of course, treatment and the resources available in our world today help to treat these conditions much better than medieval treatments such as balancing out </w:t>
      </w:r>
      <w:r w:rsidR="007F0500">
        <w:rPr>
          <w:rFonts w:ascii="Bookman Old Style" w:hAnsi="Bookman Old Style"/>
          <w:sz w:val="22"/>
          <w:szCs w:val="22"/>
        </w:rPr>
        <w:t>humours,</w:t>
      </w:r>
      <w:r w:rsidR="00583929">
        <w:rPr>
          <w:rFonts w:ascii="Bookman Old Style" w:hAnsi="Bookman Old Style"/>
          <w:sz w:val="22"/>
          <w:szCs w:val="22"/>
        </w:rPr>
        <w:t xml:space="preserve"> but you are unable to say that there wasn’t some sort of attempt to help and care for these people. </w:t>
      </w:r>
      <w:r w:rsidR="00473657">
        <w:rPr>
          <w:rFonts w:ascii="Bookman Old Style" w:hAnsi="Bookman Old Style"/>
          <w:sz w:val="22"/>
          <w:szCs w:val="22"/>
        </w:rPr>
        <w:t xml:space="preserve">Particularly in the case of Emma de Beston you can see them quickly notice a decline in her mental state and then the attempts at a solution to ensure her care and the acre of her estate. It can be argued that the only motivation for that was the money that was attached to her estate and so that there </w:t>
      </w:r>
      <w:r w:rsidR="007F0500">
        <w:rPr>
          <w:rFonts w:ascii="Bookman Old Style" w:hAnsi="Bookman Old Style"/>
          <w:sz w:val="22"/>
          <w:szCs w:val="22"/>
        </w:rPr>
        <w:t>was</w:t>
      </w:r>
      <w:r w:rsidR="00473657">
        <w:rPr>
          <w:rFonts w:ascii="Bookman Old Style" w:hAnsi="Bookman Old Style"/>
          <w:sz w:val="22"/>
          <w:szCs w:val="22"/>
        </w:rPr>
        <w:t xml:space="preserve"> still something for her inheritors to gain but it still ensured that she herself was cared for and even a diagnosis process with her going to the church with the purpose of determining the state of her mind. The evolution of the treatment of mental health</w:t>
      </w:r>
      <w:r w:rsidR="00701B63">
        <w:rPr>
          <w:rFonts w:ascii="Bookman Old Style" w:hAnsi="Bookman Old Style"/>
          <w:sz w:val="22"/>
          <w:szCs w:val="22"/>
        </w:rPr>
        <w:t xml:space="preserve"> is fascinating as well and the evolution in diagnosis. Looking at our world today compared to the world of the 14</w:t>
      </w:r>
      <w:r w:rsidR="00701B63" w:rsidRPr="00701B63">
        <w:rPr>
          <w:rFonts w:ascii="Bookman Old Style" w:hAnsi="Bookman Old Style"/>
          <w:sz w:val="22"/>
          <w:szCs w:val="22"/>
          <w:vertAlign w:val="superscript"/>
        </w:rPr>
        <w:t>th</w:t>
      </w:r>
      <w:r w:rsidR="00701B63">
        <w:rPr>
          <w:rFonts w:ascii="Bookman Old Style" w:hAnsi="Bookman Old Style"/>
          <w:sz w:val="22"/>
          <w:szCs w:val="22"/>
        </w:rPr>
        <w:t xml:space="preserve"> century shows us that we really are all human at all points in history and our human nature is in every facet of healthcare. </w:t>
      </w:r>
      <w:r w:rsidR="00701B63">
        <w:rPr>
          <w:rFonts w:ascii="Bookman Old Style" w:hAnsi="Bookman Old Style"/>
          <w:sz w:val="22"/>
          <w:szCs w:val="22"/>
        </w:rPr>
        <w:lastRenderedPageBreak/>
        <w:t>While we view the way people were treated regarding mental health we also have to understand that we have resources and research that would never have been available and while their treatments were at times cruel it was also the only option they would have.</w:t>
      </w:r>
    </w:p>
    <w:p w14:paraId="542BECD3" w14:textId="77777777" w:rsidR="00062A5C" w:rsidRDefault="00062A5C" w:rsidP="00062A5C">
      <w:pPr>
        <w:spacing w:line="480" w:lineRule="auto"/>
        <w:rPr>
          <w:rFonts w:ascii="Bookman Old Style" w:hAnsi="Bookman Old Style"/>
          <w:sz w:val="22"/>
          <w:szCs w:val="22"/>
        </w:rPr>
      </w:pPr>
    </w:p>
    <w:p w14:paraId="2F6D2DCE" w14:textId="77777777" w:rsidR="00062A5C" w:rsidRDefault="00062A5C" w:rsidP="00062A5C">
      <w:pPr>
        <w:spacing w:line="480" w:lineRule="auto"/>
        <w:rPr>
          <w:rFonts w:ascii="Bookman Old Style" w:hAnsi="Bookman Old Style"/>
          <w:sz w:val="22"/>
          <w:szCs w:val="22"/>
        </w:rPr>
      </w:pPr>
    </w:p>
    <w:p w14:paraId="5DD4935A" w14:textId="77777777" w:rsidR="00062A5C" w:rsidRDefault="00062A5C" w:rsidP="00062A5C">
      <w:pPr>
        <w:spacing w:line="480" w:lineRule="auto"/>
        <w:rPr>
          <w:rFonts w:ascii="Bookman Old Style" w:hAnsi="Bookman Old Style"/>
          <w:sz w:val="22"/>
          <w:szCs w:val="22"/>
        </w:rPr>
      </w:pPr>
    </w:p>
    <w:p w14:paraId="26523D87" w14:textId="77777777" w:rsidR="00062A5C" w:rsidRDefault="00062A5C" w:rsidP="00062A5C">
      <w:pPr>
        <w:spacing w:line="480" w:lineRule="auto"/>
        <w:rPr>
          <w:rFonts w:ascii="Bookman Old Style" w:hAnsi="Bookman Old Style"/>
          <w:sz w:val="22"/>
          <w:szCs w:val="22"/>
        </w:rPr>
      </w:pPr>
    </w:p>
    <w:p w14:paraId="2F3BDEFB" w14:textId="77777777" w:rsidR="00062A5C" w:rsidRDefault="00062A5C" w:rsidP="00062A5C">
      <w:pPr>
        <w:spacing w:line="480" w:lineRule="auto"/>
        <w:rPr>
          <w:rFonts w:ascii="Bookman Old Style" w:hAnsi="Bookman Old Style"/>
          <w:sz w:val="22"/>
          <w:szCs w:val="22"/>
        </w:rPr>
      </w:pPr>
    </w:p>
    <w:p w14:paraId="65C8F748" w14:textId="77777777" w:rsidR="00062A5C" w:rsidRDefault="00062A5C" w:rsidP="00062A5C">
      <w:pPr>
        <w:spacing w:line="480" w:lineRule="auto"/>
        <w:rPr>
          <w:rFonts w:ascii="Bookman Old Style" w:hAnsi="Bookman Old Style"/>
          <w:sz w:val="22"/>
          <w:szCs w:val="22"/>
        </w:rPr>
      </w:pPr>
    </w:p>
    <w:p w14:paraId="0759ABBA" w14:textId="77777777" w:rsidR="00062A5C" w:rsidRDefault="00062A5C" w:rsidP="00062A5C">
      <w:pPr>
        <w:spacing w:line="480" w:lineRule="auto"/>
        <w:rPr>
          <w:rFonts w:ascii="Bookman Old Style" w:hAnsi="Bookman Old Style"/>
          <w:sz w:val="22"/>
          <w:szCs w:val="22"/>
        </w:rPr>
      </w:pPr>
    </w:p>
    <w:p w14:paraId="0B5892A4" w14:textId="77777777" w:rsidR="00062A5C" w:rsidRDefault="00062A5C" w:rsidP="00062A5C">
      <w:pPr>
        <w:spacing w:line="480" w:lineRule="auto"/>
        <w:rPr>
          <w:rFonts w:ascii="Bookman Old Style" w:hAnsi="Bookman Old Style"/>
          <w:sz w:val="22"/>
          <w:szCs w:val="22"/>
        </w:rPr>
      </w:pPr>
    </w:p>
    <w:p w14:paraId="394D6535" w14:textId="77777777" w:rsidR="00062A5C" w:rsidRDefault="00062A5C" w:rsidP="00062A5C">
      <w:pPr>
        <w:spacing w:line="480" w:lineRule="auto"/>
        <w:rPr>
          <w:rFonts w:ascii="Bookman Old Style" w:hAnsi="Bookman Old Style"/>
          <w:sz w:val="22"/>
          <w:szCs w:val="22"/>
        </w:rPr>
      </w:pPr>
    </w:p>
    <w:p w14:paraId="05012BCA" w14:textId="77777777" w:rsidR="00062A5C" w:rsidRDefault="00062A5C" w:rsidP="00062A5C">
      <w:pPr>
        <w:spacing w:line="480" w:lineRule="auto"/>
        <w:rPr>
          <w:rFonts w:ascii="Bookman Old Style" w:hAnsi="Bookman Old Style"/>
          <w:sz w:val="22"/>
          <w:szCs w:val="22"/>
        </w:rPr>
      </w:pPr>
    </w:p>
    <w:p w14:paraId="3B4C18B2" w14:textId="77777777" w:rsidR="00062A5C" w:rsidRDefault="00062A5C" w:rsidP="00062A5C">
      <w:pPr>
        <w:spacing w:line="480" w:lineRule="auto"/>
        <w:rPr>
          <w:rFonts w:ascii="Bookman Old Style" w:hAnsi="Bookman Old Style"/>
          <w:sz w:val="22"/>
          <w:szCs w:val="22"/>
        </w:rPr>
      </w:pPr>
    </w:p>
    <w:p w14:paraId="7B71E58C" w14:textId="77777777" w:rsidR="00062A5C" w:rsidRDefault="00062A5C" w:rsidP="00062A5C">
      <w:pPr>
        <w:spacing w:line="480" w:lineRule="auto"/>
        <w:rPr>
          <w:rFonts w:ascii="Bookman Old Style" w:hAnsi="Bookman Old Style"/>
          <w:sz w:val="22"/>
          <w:szCs w:val="22"/>
        </w:rPr>
      </w:pPr>
    </w:p>
    <w:p w14:paraId="603B2724" w14:textId="77777777" w:rsidR="00062A5C" w:rsidRDefault="00062A5C" w:rsidP="00062A5C">
      <w:pPr>
        <w:spacing w:line="480" w:lineRule="auto"/>
        <w:rPr>
          <w:rFonts w:ascii="Bookman Old Style" w:hAnsi="Bookman Old Style"/>
          <w:sz w:val="22"/>
          <w:szCs w:val="22"/>
        </w:rPr>
      </w:pPr>
    </w:p>
    <w:p w14:paraId="7E2F1544" w14:textId="77777777" w:rsidR="00062A5C" w:rsidRDefault="00062A5C" w:rsidP="00062A5C">
      <w:pPr>
        <w:spacing w:line="480" w:lineRule="auto"/>
        <w:rPr>
          <w:rFonts w:ascii="Bookman Old Style" w:hAnsi="Bookman Old Style"/>
          <w:sz w:val="22"/>
          <w:szCs w:val="22"/>
        </w:rPr>
      </w:pPr>
    </w:p>
    <w:p w14:paraId="633A6E34" w14:textId="77777777" w:rsidR="00062A5C" w:rsidRDefault="00062A5C" w:rsidP="00062A5C">
      <w:pPr>
        <w:spacing w:line="480" w:lineRule="auto"/>
        <w:rPr>
          <w:rFonts w:ascii="Bookman Old Style" w:hAnsi="Bookman Old Style"/>
          <w:sz w:val="22"/>
          <w:szCs w:val="22"/>
        </w:rPr>
      </w:pPr>
    </w:p>
    <w:p w14:paraId="2205335D" w14:textId="77777777" w:rsidR="00062A5C" w:rsidRDefault="00062A5C" w:rsidP="00062A5C">
      <w:pPr>
        <w:spacing w:line="480" w:lineRule="auto"/>
        <w:rPr>
          <w:rFonts w:ascii="Bookman Old Style" w:hAnsi="Bookman Old Style"/>
          <w:sz w:val="22"/>
          <w:szCs w:val="22"/>
        </w:rPr>
      </w:pPr>
    </w:p>
    <w:p w14:paraId="04A33C22" w14:textId="20C6C95A" w:rsidR="00062A5C" w:rsidRDefault="00062A5C" w:rsidP="00062A5C">
      <w:pPr>
        <w:spacing w:line="480" w:lineRule="auto"/>
        <w:rPr>
          <w:rFonts w:ascii="Bookman Old Style" w:hAnsi="Bookman Old Style"/>
          <w:sz w:val="32"/>
          <w:szCs w:val="32"/>
          <w:u w:val="single"/>
        </w:rPr>
      </w:pPr>
      <w:r>
        <w:rPr>
          <w:rFonts w:ascii="Bookman Old Style" w:hAnsi="Bookman Old Style"/>
          <w:sz w:val="32"/>
          <w:szCs w:val="32"/>
          <w:u w:val="single"/>
        </w:rPr>
        <w:lastRenderedPageBreak/>
        <w:t>Bibliography:</w:t>
      </w:r>
    </w:p>
    <w:p w14:paraId="17784473" w14:textId="77777777" w:rsidR="00062A5C" w:rsidRPr="00062A5C" w:rsidRDefault="00062A5C" w:rsidP="00062A5C">
      <w:pPr>
        <w:spacing w:after="240" w:line="360" w:lineRule="auto"/>
        <w:ind w:hanging="720"/>
        <w:rPr>
          <w:rFonts w:ascii="Bookman Old Style" w:eastAsia="Times New Roman" w:hAnsi="Bookman Old Style" w:cs="Times New Roman"/>
          <w:kern w:val="0"/>
          <w:sz w:val="22"/>
          <w:szCs w:val="22"/>
          <w:lang w:eastAsia="en-CA"/>
          <w14:ligatures w14:val="none"/>
        </w:rPr>
      </w:pPr>
      <w:r w:rsidRPr="00062A5C">
        <w:rPr>
          <w:rFonts w:ascii="Bookman Old Style" w:eastAsia="Times New Roman" w:hAnsi="Bookman Old Style" w:cs="Times New Roman"/>
          <w:kern w:val="0"/>
          <w:sz w:val="22"/>
          <w:szCs w:val="22"/>
          <w:lang w:eastAsia="en-CA"/>
          <w14:ligatures w14:val="none"/>
        </w:rPr>
        <w:t xml:space="preserve">‘16.1 Mental Health Treatment: Past and Present - Psychology 2e | OpenStax’. 2020. </w:t>
      </w:r>
      <w:r w:rsidRPr="00062A5C">
        <w:rPr>
          <w:rFonts w:ascii="Bookman Old Style" w:eastAsia="Times New Roman" w:hAnsi="Bookman Old Style" w:cs="Times New Roman"/>
          <w:i/>
          <w:iCs/>
          <w:kern w:val="0"/>
          <w:sz w:val="22"/>
          <w:szCs w:val="22"/>
          <w:lang w:eastAsia="en-CA"/>
          <w14:ligatures w14:val="none"/>
        </w:rPr>
        <w:t>Openstax.org</w:t>
      </w:r>
      <w:r w:rsidRPr="00062A5C">
        <w:rPr>
          <w:rFonts w:ascii="Bookman Old Style" w:eastAsia="Times New Roman" w:hAnsi="Bookman Old Style" w:cs="Times New Roman"/>
          <w:kern w:val="0"/>
          <w:sz w:val="22"/>
          <w:szCs w:val="22"/>
          <w:lang w:eastAsia="en-CA"/>
          <w14:ligatures w14:val="none"/>
        </w:rPr>
        <w:t xml:space="preserve"> &lt;https://openstax.org/books/psychology-2e/pages/16-1-mental-health-treatment-past-and-present&gt;</w:t>
      </w:r>
    </w:p>
    <w:p w14:paraId="7BE6A559" w14:textId="77777777" w:rsidR="00062A5C" w:rsidRPr="00062A5C" w:rsidRDefault="00062A5C" w:rsidP="00062A5C">
      <w:pPr>
        <w:spacing w:after="240" w:line="360" w:lineRule="auto"/>
        <w:ind w:hanging="720"/>
        <w:rPr>
          <w:rFonts w:ascii="Bookman Old Style" w:eastAsia="Times New Roman" w:hAnsi="Bookman Old Style" w:cs="Times New Roman"/>
          <w:kern w:val="0"/>
          <w:sz w:val="22"/>
          <w:szCs w:val="22"/>
          <w:lang w:eastAsia="en-CA"/>
          <w14:ligatures w14:val="none"/>
        </w:rPr>
      </w:pPr>
      <w:r w:rsidRPr="00062A5C">
        <w:rPr>
          <w:rFonts w:ascii="Bookman Old Style" w:eastAsia="Times New Roman" w:hAnsi="Bookman Old Style" w:cs="Times New Roman"/>
          <w:kern w:val="0"/>
          <w:sz w:val="22"/>
          <w:szCs w:val="22"/>
          <w:lang w:eastAsia="en-CA"/>
          <w14:ligatures w14:val="none"/>
        </w:rPr>
        <w:t xml:space="preserve">Audiey Kao. 2019. ‘The Cure of Folly, or Removing the “Stone of Madness”’, </w:t>
      </w:r>
      <w:r w:rsidRPr="00062A5C">
        <w:rPr>
          <w:rFonts w:ascii="Bookman Old Style" w:eastAsia="Times New Roman" w:hAnsi="Bookman Old Style" w:cs="Times New Roman"/>
          <w:i/>
          <w:iCs/>
          <w:kern w:val="0"/>
          <w:sz w:val="22"/>
          <w:szCs w:val="22"/>
          <w:lang w:eastAsia="en-CA"/>
          <w14:ligatures w14:val="none"/>
        </w:rPr>
        <w:t>AMA Journal of Ethics</w:t>
      </w:r>
      <w:r w:rsidRPr="00062A5C">
        <w:rPr>
          <w:rFonts w:ascii="Bookman Old Style" w:eastAsia="Times New Roman" w:hAnsi="Bookman Old Style" w:cs="Times New Roman"/>
          <w:kern w:val="0"/>
          <w:sz w:val="22"/>
          <w:szCs w:val="22"/>
          <w:lang w:eastAsia="en-CA"/>
          <w14:ligatures w14:val="none"/>
        </w:rPr>
        <w:t>, 2.3 (American Medical Association) &lt;https://doi.org/10.1001/virtualmentor.2000.2.3.imhl1-0003.&gt;</w:t>
      </w:r>
    </w:p>
    <w:p w14:paraId="5A6242AA" w14:textId="77777777" w:rsidR="00062A5C" w:rsidRPr="00062A5C" w:rsidRDefault="00062A5C" w:rsidP="00062A5C">
      <w:pPr>
        <w:spacing w:after="240" w:line="360" w:lineRule="auto"/>
        <w:ind w:hanging="720"/>
        <w:rPr>
          <w:rFonts w:ascii="Bookman Old Style" w:eastAsia="Times New Roman" w:hAnsi="Bookman Old Style" w:cs="Times New Roman"/>
          <w:kern w:val="0"/>
          <w:sz w:val="22"/>
          <w:szCs w:val="22"/>
          <w:lang w:eastAsia="en-CA"/>
          <w14:ligatures w14:val="none"/>
        </w:rPr>
      </w:pPr>
      <w:r w:rsidRPr="00062A5C">
        <w:rPr>
          <w:rFonts w:ascii="Bookman Old Style" w:eastAsia="Times New Roman" w:hAnsi="Bookman Old Style" w:cs="Times New Roman"/>
          <w:kern w:val="0"/>
          <w:sz w:val="22"/>
          <w:szCs w:val="22"/>
          <w:lang w:eastAsia="en-CA"/>
          <w14:ligatures w14:val="none"/>
        </w:rPr>
        <w:t xml:space="preserve">He, Angela. 2023. ‘The Humors and You! Medieval Health, Diet, and Humoral Theory’, </w:t>
      </w:r>
      <w:r w:rsidRPr="00062A5C">
        <w:rPr>
          <w:rFonts w:ascii="Bookman Old Style" w:eastAsia="Times New Roman" w:hAnsi="Bookman Old Style" w:cs="Times New Roman"/>
          <w:i/>
          <w:iCs/>
          <w:kern w:val="0"/>
          <w:sz w:val="22"/>
          <w:szCs w:val="22"/>
          <w:lang w:eastAsia="en-CA"/>
          <w14:ligatures w14:val="none"/>
        </w:rPr>
        <w:t>Becker Medical Library</w:t>
      </w:r>
      <w:r w:rsidRPr="00062A5C">
        <w:rPr>
          <w:rFonts w:ascii="Bookman Old Style" w:eastAsia="Times New Roman" w:hAnsi="Bookman Old Style" w:cs="Times New Roman"/>
          <w:kern w:val="0"/>
          <w:sz w:val="22"/>
          <w:szCs w:val="22"/>
          <w:lang w:eastAsia="en-CA"/>
          <w14:ligatures w14:val="none"/>
        </w:rPr>
        <w:t xml:space="preserve"> &lt;https://becker.wustl.edu/news/humors-and-you/&gt; [accessed 15 November 2024]</w:t>
      </w:r>
    </w:p>
    <w:p w14:paraId="06A44D00" w14:textId="77777777" w:rsidR="00062A5C" w:rsidRPr="00062A5C" w:rsidRDefault="00062A5C" w:rsidP="00062A5C">
      <w:pPr>
        <w:spacing w:after="240" w:line="360" w:lineRule="auto"/>
        <w:ind w:hanging="720"/>
        <w:rPr>
          <w:rFonts w:ascii="Bookman Old Style" w:eastAsia="Times New Roman" w:hAnsi="Bookman Old Style" w:cs="Times New Roman"/>
          <w:kern w:val="0"/>
          <w:sz w:val="22"/>
          <w:szCs w:val="22"/>
          <w:lang w:eastAsia="en-CA"/>
          <w14:ligatures w14:val="none"/>
        </w:rPr>
      </w:pPr>
      <w:r w:rsidRPr="00062A5C">
        <w:rPr>
          <w:rFonts w:ascii="Bookman Old Style" w:eastAsia="Times New Roman" w:hAnsi="Bookman Old Style" w:cs="Times New Roman"/>
          <w:kern w:val="0"/>
          <w:sz w:val="22"/>
          <w:szCs w:val="22"/>
          <w:lang w:eastAsia="en-CA"/>
          <w14:ligatures w14:val="none"/>
        </w:rPr>
        <w:t xml:space="preserve">Hurlock, Kathryn. 2019. ‘Mental Health in the Middle Ages’, </w:t>
      </w:r>
      <w:r w:rsidRPr="00062A5C">
        <w:rPr>
          <w:rFonts w:ascii="Bookman Old Style" w:eastAsia="Times New Roman" w:hAnsi="Bookman Old Style" w:cs="Times New Roman"/>
          <w:i/>
          <w:iCs/>
          <w:kern w:val="0"/>
          <w:sz w:val="22"/>
          <w:szCs w:val="22"/>
          <w:lang w:eastAsia="en-CA"/>
          <w14:ligatures w14:val="none"/>
        </w:rPr>
        <w:t>Bloomsbury Encyclopedia of the Global Middle Ages</w:t>
      </w:r>
      <w:r w:rsidRPr="00062A5C">
        <w:rPr>
          <w:rFonts w:ascii="Bookman Old Style" w:eastAsia="Times New Roman" w:hAnsi="Bookman Old Style" w:cs="Times New Roman"/>
          <w:kern w:val="0"/>
          <w:sz w:val="22"/>
          <w:szCs w:val="22"/>
          <w:lang w:eastAsia="en-CA"/>
          <w14:ligatures w14:val="none"/>
        </w:rPr>
        <w:t>, ed. by Wendy J. Turner &lt;https://doi.org/10.5040/9781350990005.0025&gt;</w:t>
      </w:r>
    </w:p>
    <w:p w14:paraId="682AB949" w14:textId="77777777" w:rsidR="00062A5C" w:rsidRPr="00062A5C" w:rsidRDefault="00062A5C" w:rsidP="00062A5C">
      <w:pPr>
        <w:spacing w:after="240" w:line="360" w:lineRule="auto"/>
        <w:ind w:hanging="720"/>
        <w:rPr>
          <w:rFonts w:ascii="Bookman Old Style" w:eastAsia="Times New Roman" w:hAnsi="Bookman Old Style" w:cs="Times New Roman"/>
          <w:kern w:val="0"/>
          <w:sz w:val="22"/>
          <w:szCs w:val="22"/>
          <w:lang w:eastAsia="en-CA"/>
          <w14:ligatures w14:val="none"/>
        </w:rPr>
      </w:pPr>
      <w:r w:rsidRPr="00062A5C">
        <w:rPr>
          <w:rFonts w:ascii="Bookman Old Style" w:eastAsia="Times New Roman" w:hAnsi="Bookman Old Style" w:cs="Times New Roman"/>
          <w:kern w:val="0"/>
          <w:sz w:val="22"/>
          <w:szCs w:val="22"/>
          <w:lang w:eastAsia="en-CA"/>
          <w14:ligatures w14:val="none"/>
        </w:rPr>
        <w:t xml:space="preserve">Kroll, Jerome, and Bernard Bachrach. 1984. ‘Sin and Mental Illness in the Middle Ages’, </w:t>
      </w:r>
      <w:r w:rsidRPr="00062A5C">
        <w:rPr>
          <w:rFonts w:ascii="Bookman Old Style" w:eastAsia="Times New Roman" w:hAnsi="Bookman Old Style" w:cs="Times New Roman"/>
          <w:i/>
          <w:iCs/>
          <w:kern w:val="0"/>
          <w:sz w:val="22"/>
          <w:szCs w:val="22"/>
          <w:lang w:eastAsia="en-CA"/>
          <w14:ligatures w14:val="none"/>
        </w:rPr>
        <w:t>Psychological Medicine</w:t>
      </w:r>
      <w:r w:rsidRPr="00062A5C">
        <w:rPr>
          <w:rFonts w:ascii="Bookman Old Style" w:eastAsia="Times New Roman" w:hAnsi="Bookman Old Style" w:cs="Times New Roman"/>
          <w:kern w:val="0"/>
          <w:sz w:val="22"/>
          <w:szCs w:val="22"/>
          <w:lang w:eastAsia="en-CA"/>
          <w14:ligatures w14:val="none"/>
        </w:rPr>
        <w:t>, 14.03: 507 &lt;https://doi.org/10.1017/s0033291700015105&gt;</w:t>
      </w:r>
    </w:p>
    <w:p w14:paraId="4A131FE1" w14:textId="77777777" w:rsidR="00062A5C" w:rsidRPr="00062A5C" w:rsidRDefault="00062A5C" w:rsidP="00062A5C">
      <w:pPr>
        <w:spacing w:after="240" w:line="360" w:lineRule="auto"/>
        <w:ind w:hanging="720"/>
        <w:rPr>
          <w:rFonts w:ascii="Bookman Old Style" w:eastAsia="Times New Roman" w:hAnsi="Bookman Old Style" w:cs="Times New Roman"/>
          <w:kern w:val="0"/>
          <w:sz w:val="22"/>
          <w:szCs w:val="22"/>
          <w:lang w:eastAsia="en-CA"/>
          <w14:ligatures w14:val="none"/>
        </w:rPr>
      </w:pPr>
      <w:r w:rsidRPr="00062A5C">
        <w:rPr>
          <w:rFonts w:ascii="Bookman Old Style" w:eastAsia="Times New Roman" w:hAnsi="Bookman Old Style" w:cs="Times New Roman"/>
          <w:kern w:val="0"/>
          <w:sz w:val="22"/>
          <w:szCs w:val="22"/>
          <w:lang w:eastAsia="en-CA"/>
          <w14:ligatures w14:val="none"/>
        </w:rPr>
        <w:t xml:space="preserve">‘Mental Health Treatment in the Past | Introduction to Psychology’. [n.d.]. </w:t>
      </w:r>
      <w:r w:rsidRPr="00062A5C">
        <w:rPr>
          <w:rFonts w:ascii="Bookman Old Style" w:eastAsia="Times New Roman" w:hAnsi="Bookman Old Style" w:cs="Times New Roman"/>
          <w:i/>
          <w:iCs/>
          <w:kern w:val="0"/>
          <w:sz w:val="22"/>
          <w:szCs w:val="22"/>
          <w:lang w:eastAsia="en-CA"/>
          <w14:ligatures w14:val="none"/>
        </w:rPr>
        <w:t>Courses.lumenlearning.com</w:t>
      </w:r>
      <w:r w:rsidRPr="00062A5C">
        <w:rPr>
          <w:rFonts w:ascii="Bookman Old Style" w:eastAsia="Times New Roman" w:hAnsi="Bookman Old Style" w:cs="Times New Roman"/>
          <w:kern w:val="0"/>
          <w:sz w:val="22"/>
          <w:szCs w:val="22"/>
          <w:lang w:eastAsia="en-CA"/>
          <w14:ligatures w14:val="none"/>
        </w:rPr>
        <w:t xml:space="preserve"> &lt;https://courses.lumenlearning.com/waymaker-psychology/chapter/mental-health-treatment-past-and-present/&gt;</w:t>
      </w:r>
    </w:p>
    <w:p w14:paraId="5ABAC5F7" w14:textId="77777777" w:rsidR="00062A5C" w:rsidRPr="00062A5C" w:rsidRDefault="00062A5C" w:rsidP="00062A5C">
      <w:pPr>
        <w:spacing w:after="240" w:line="360" w:lineRule="auto"/>
        <w:ind w:hanging="720"/>
        <w:rPr>
          <w:rFonts w:ascii="Bookman Old Style" w:eastAsia="Times New Roman" w:hAnsi="Bookman Old Style" w:cs="Times New Roman"/>
          <w:kern w:val="0"/>
          <w:sz w:val="22"/>
          <w:szCs w:val="22"/>
          <w:lang w:eastAsia="en-CA"/>
          <w14:ligatures w14:val="none"/>
        </w:rPr>
      </w:pPr>
      <w:r w:rsidRPr="00062A5C">
        <w:rPr>
          <w:rFonts w:ascii="Bookman Old Style" w:eastAsia="Times New Roman" w:hAnsi="Bookman Old Style" w:cs="Times New Roman"/>
          <w:kern w:val="0"/>
          <w:sz w:val="22"/>
          <w:szCs w:val="22"/>
          <w:lang w:eastAsia="en-CA"/>
          <w14:ligatures w14:val="none"/>
        </w:rPr>
        <w:t xml:space="preserve">Roffe, David, and Christine Roffe. 1995. ‘Madness and Care in the Community: A Medieval Perspective’, </w:t>
      </w:r>
      <w:r w:rsidRPr="00062A5C">
        <w:rPr>
          <w:rFonts w:ascii="Bookman Old Style" w:eastAsia="Times New Roman" w:hAnsi="Bookman Old Style" w:cs="Times New Roman"/>
          <w:i/>
          <w:iCs/>
          <w:kern w:val="0"/>
          <w:sz w:val="22"/>
          <w:szCs w:val="22"/>
          <w:lang w:eastAsia="en-CA"/>
          <w14:ligatures w14:val="none"/>
        </w:rPr>
        <w:t>BMJ</w:t>
      </w:r>
      <w:r w:rsidRPr="00062A5C">
        <w:rPr>
          <w:rFonts w:ascii="Bookman Old Style" w:eastAsia="Times New Roman" w:hAnsi="Bookman Old Style" w:cs="Times New Roman"/>
          <w:kern w:val="0"/>
          <w:sz w:val="22"/>
          <w:szCs w:val="22"/>
          <w:lang w:eastAsia="en-CA"/>
          <w14:ligatures w14:val="none"/>
        </w:rPr>
        <w:t>, 311.7021: 1708–12 &lt;https://doi.org/10.1136/bmj.311.7021.1708&gt;</w:t>
      </w:r>
    </w:p>
    <w:p w14:paraId="4A497CA8" w14:textId="77777777" w:rsidR="00062A5C" w:rsidRPr="00062A5C" w:rsidRDefault="00062A5C" w:rsidP="00062A5C">
      <w:pPr>
        <w:spacing w:after="240" w:line="360" w:lineRule="auto"/>
        <w:ind w:hanging="720"/>
        <w:rPr>
          <w:rFonts w:ascii="Bookman Old Style" w:eastAsia="Times New Roman" w:hAnsi="Bookman Old Style" w:cs="Times New Roman"/>
          <w:kern w:val="0"/>
          <w:sz w:val="22"/>
          <w:szCs w:val="22"/>
          <w:lang w:eastAsia="en-CA"/>
          <w14:ligatures w14:val="none"/>
        </w:rPr>
      </w:pPr>
      <w:r w:rsidRPr="00062A5C">
        <w:rPr>
          <w:rFonts w:ascii="Bookman Old Style" w:eastAsia="Times New Roman" w:hAnsi="Bookman Old Style" w:cs="Times New Roman"/>
          <w:kern w:val="0"/>
          <w:sz w:val="22"/>
          <w:szCs w:val="22"/>
          <w:lang w:eastAsia="en-CA"/>
          <w14:ligatures w14:val="none"/>
        </w:rPr>
        <w:t xml:space="preserve">Rössler, Wulf. 2016. ‘The Stigma of Mental Disorders’, </w:t>
      </w:r>
      <w:r w:rsidRPr="00062A5C">
        <w:rPr>
          <w:rFonts w:ascii="Bookman Old Style" w:eastAsia="Times New Roman" w:hAnsi="Bookman Old Style" w:cs="Times New Roman"/>
          <w:i/>
          <w:iCs/>
          <w:kern w:val="0"/>
          <w:sz w:val="22"/>
          <w:szCs w:val="22"/>
          <w:lang w:eastAsia="en-CA"/>
          <w14:ligatures w14:val="none"/>
        </w:rPr>
        <w:t>EMBO Reports</w:t>
      </w:r>
      <w:r w:rsidRPr="00062A5C">
        <w:rPr>
          <w:rFonts w:ascii="Bookman Old Style" w:eastAsia="Times New Roman" w:hAnsi="Bookman Old Style" w:cs="Times New Roman"/>
          <w:kern w:val="0"/>
          <w:sz w:val="22"/>
          <w:szCs w:val="22"/>
          <w:lang w:eastAsia="en-CA"/>
          <w14:ligatures w14:val="none"/>
        </w:rPr>
        <w:t>, 17.9: 1250–53 &lt;https://doi.org/10.15252/embr.201643041&gt;</w:t>
      </w:r>
    </w:p>
    <w:p w14:paraId="00401067" w14:textId="77777777" w:rsidR="00062A5C" w:rsidRPr="00062A5C" w:rsidRDefault="00062A5C" w:rsidP="00062A5C">
      <w:pPr>
        <w:spacing w:after="240" w:line="360" w:lineRule="auto"/>
        <w:ind w:hanging="720"/>
        <w:rPr>
          <w:rFonts w:ascii="Bookman Old Style" w:eastAsia="Times New Roman" w:hAnsi="Bookman Old Style" w:cs="Times New Roman"/>
          <w:kern w:val="0"/>
          <w:sz w:val="22"/>
          <w:szCs w:val="22"/>
          <w:lang w:eastAsia="en-CA"/>
          <w14:ligatures w14:val="none"/>
        </w:rPr>
      </w:pPr>
      <w:r w:rsidRPr="00062A5C">
        <w:rPr>
          <w:rFonts w:ascii="Bookman Old Style" w:eastAsia="Times New Roman" w:hAnsi="Bookman Old Style" w:cs="Times New Roman"/>
          <w:kern w:val="0"/>
          <w:sz w:val="22"/>
          <w:szCs w:val="22"/>
          <w:lang w:eastAsia="en-CA"/>
          <w14:ligatures w14:val="none"/>
        </w:rPr>
        <w:t xml:space="preserve">Smith, Katherine. 2020. ‘Review of Fools and Idiots: Intellectual Disability in the Middle Ages by Irina Metzler | Disability Studies Quarterly’, </w:t>
      </w:r>
      <w:r w:rsidRPr="00062A5C">
        <w:rPr>
          <w:rFonts w:ascii="Bookman Old Style" w:eastAsia="Times New Roman" w:hAnsi="Bookman Old Style" w:cs="Times New Roman"/>
          <w:i/>
          <w:iCs/>
          <w:kern w:val="0"/>
          <w:sz w:val="22"/>
          <w:szCs w:val="22"/>
          <w:lang w:eastAsia="en-CA"/>
          <w14:ligatures w14:val="none"/>
        </w:rPr>
        <w:t>Dsq-Sds.org</w:t>
      </w:r>
      <w:r w:rsidRPr="00062A5C">
        <w:rPr>
          <w:rFonts w:ascii="Bookman Old Style" w:eastAsia="Times New Roman" w:hAnsi="Bookman Old Style" w:cs="Times New Roman"/>
          <w:kern w:val="0"/>
          <w:sz w:val="22"/>
          <w:szCs w:val="22"/>
          <w:lang w:eastAsia="en-CA"/>
          <w14:ligatures w14:val="none"/>
        </w:rPr>
        <w:t xml:space="preserve"> &lt;https://dsq-sds.org/index.php/dsq/article/view/7445/5529&gt;</w:t>
      </w:r>
    </w:p>
    <w:p w14:paraId="34C1EAF4" w14:textId="77777777" w:rsidR="00062A5C" w:rsidRPr="00062A5C" w:rsidRDefault="00062A5C" w:rsidP="00062A5C">
      <w:pPr>
        <w:spacing w:after="240" w:line="360" w:lineRule="auto"/>
        <w:ind w:hanging="720"/>
        <w:rPr>
          <w:rFonts w:ascii="Bookman Old Style" w:eastAsia="Times New Roman" w:hAnsi="Bookman Old Style" w:cs="Times New Roman"/>
          <w:kern w:val="0"/>
          <w:sz w:val="22"/>
          <w:szCs w:val="22"/>
          <w:lang w:eastAsia="en-CA"/>
          <w14:ligatures w14:val="none"/>
        </w:rPr>
      </w:pPr>
      <w:r w:rsidRPr="00062A5C">
        <w:rPr>
          <w:rFonts w:ascii="Bookman Old Style" w:eastAsia="Times New Roman" w:hAnsi="Bookman Old Style" w:cs="Times New Roman"/>
          <w:kern w:val="0"/>
          <w:sz w:val="22"/>
          <w:szCs w:val="22"/>
          <w:lang w:eastAsia="en-CA"/>
          <w14:ligatures w14:val="none"/>
        </w:rPr>
        <w:lastRenderedPageBreak/>
        <w:t xml:space="preserve">The Colour Works. 2011. ‘Hippocrates, Galen &amp; the Four Humours | the Colour Works’, </w:t>
      </w:r>
      <w:r w:rsidRPr="00062A5C">
        <w:rPr>
          <w:rFonts w:ascii="Bookman Old Style" w:eastAsia="Times New Roman" w:hAnsi="Bookman Old Style" w:cs="Times New Roman"/>
          <w:i/>
          <w:iCs/>
          <w:kern w:val="0"/>
          <w:sz w:val="22"/>
          <w:szCs w:val="22"/>
          <w:lang w:eastAsia="en-CA"/>
          <w14:ligatures w14:val="none"/>
        </w:rPr>
        <w:t>The Colour Works</w:t>
      </w:r>
      <w:r w:rsidRPr="00062A5C">
        <w:rPr>
          <w:rFonts w:ascii="Bookman Old Style" w:eastAsia="Times New Roman" w:hAnsi="Bookman Old Style" w:cs="Times New Roman"/>
          <w:kern w:val="0"/>
          <w:sz w:val="22"/>
          <w:szCs w:val="22"/>
          <w:lang w:eastAsia="en-CA"/>
          <w14:ligatures w14:val="none"/>
        </w:rPr>
        <w:t xml:space="preserve"> &lt;https://www.thecolourworks.com/hippocrates-galen-the-four-humours/&gt;</w:t>
      </w:r>
    </w:p>
    <w:p w14:paraId="4C328A87" w14:textId="77777777" w:rsidR="00062A5C" w:rsidRPr="00062A5C" w:rsidRDefault="00062A5C" w:rsidP="00062A5C">
      <w:pPr>
        <w:spacing w:line="480" w:lineRule="auto"/>
        <w:rPr>
          <w:rFonts w:ascii="Bookman Old Style" w:hAnsi="Bookman Old Style"/>
          <w:sz w:val="20"/>
          <w:szCs w:val="20"/>
        </w:rPr>
      </w:pPr>
    </w:p>
    <w:sectPr w:rsidR="00062A5C" w:rsidRPr="00062A5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77DE30" w14:textId="77777777" w:rsidR="0063257F" w:rsidRPr="007E4755" w:rsidRDefault="0063257F" w:rsidP="00405BA2">
      <w:pPr>
        <w:spacing w:after="0" w:line="240" w:lineRule="auto"/>
      </w:pPr>
      <w:r w:rsidRPr="007E4755">
        <w:separator/>
      </w:r>
    </w:p>
  </w:endnote>
  <w:endnote w:type="continuationSeparator" w:id="0">
    <w:p w14:paraId="64A91D9F" w14:textId="77777777" w:rsidR="0063257F" w:rsidRPr="007E4755" w:rsidRDefault="0063257F" w:rsidP="00405BA2">
      <w:pPr>
        <w:spacing w:after="0" w:line="240" w:lineRule="auto"/>
      </w:pPr>
      <w:r w:rsidRPr="007E475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1F5A76" w14:textId="77777777" w:rsidR="0063257F" w:rsidRPr="007E4755" w:rsidRDefault="0063257F" w:rsidP="00405BA2">
      <w:pPr>
        <w:spacing w:after="0" w:line="240" w:lineRule="auto"/>
      </w:pPr>
      <w:r w:rsidRPr="007E4755">
        <w:separator/>
      </w:r>
    </w:p>
  </w:footnote>
  <w:footnote w:type="continuationSeparator" w:id="0">
    <w:p w14:paraId="57E3CA69" w14:textId="77777777" w:rsidR="0063257F" w:rsidRPr="007E4755" w:rsidRDefault="0063257F" w:rsidP="00405BA2">
      <w:pPr>
        <w:spacing w:after="0" w:line="240" w:lineRule="auto"/>
      </w:pPr>
      <w:r w:rsidRPr="007E4755">
        <w:continuationSeparator/>
      </w:r>
    </w:p>
  </w:footnote>
  <w:footnote w:id="1">
    <w:p w14:paraId="0C28B927" w14:textId="6755C05C" w:rsidR="00405BA2" w:rsidRPr="007E4755" w:rsidRDefault="00405BA2">
      <w:pPr>
        <w:pStyle w:val="FootnoteText"/>
        <w:rPr>
          <w:rFonts w:ascii="Bookman Old Style" w:hAnsi="Bookman Old Style"/>
          <w:sz w:val="18"/>
          <w:szCs w:val="18"/>
        </w:rPr>
      </w:pPr>
      <w:r w:rsidRPr="007E4755">
        <w:rPr>
          <w:rStyle w:val="FootnoteReference"/>
          <w:rFonts w:ascii="Bookman Old Style" w:hAnsi="Bookman Old Style"/>
          <w:sz w:val="18"/>
          <w:szCs w:val="18"/>
        </w:rPr>
        <w:footnoteRef/>
      </w:r>
      <w:r w:rsidRPr="007E4755">
        <w:rPr>
          <w:rFonts w:ascii="Bookman Old Style" w:hAnsi="Bookman Old Style"/>
          <w:sz w:val="18"/>
          <w:szCs w:val="18"/>
        </w:rPr>
        <w:t xml:space="preserve"> Roffe, David, and Christine Roffe. 1995. ‘Madness and Care in the Community: A Medieval Perspective’, </w:t>
      </w:r>
      <w:r w:rsidRPr="007E4755">
        <w:rPr>
          <w:rFonts w:ascii="Bookman Old Style" w:hAnsi="Bookman Old Style"/>
          <w:i/>
          <w:iCs/>
          <w:sz w:val="18"/>
          <w:szCs w:val="18"/>
        </w:rPr>
        <w:t>BMJ</w:t>
      </w:r>
      <w:r w:rsidRPr="007E4755">
        <w:rPr>
          <w:rFonts w:ascii="Bookman Old Style" w:hAnsi="Bookman Old Style"/>
          <w:sz w:val="18"/>
          <w:szCs w:val="18"/>
        </w:rPr>
        <w:t>, 311.7021: 1708–12 &lt;https://doi.org/10.1136/bmj.311.7021.1708&gt;</w:t>
      </w:r>
    </w:p>
  </w:footnote>
  <w:footnote w:id="2">
    <w:p w14:paraId="5727FE40" w14:textId="09467146" w:rsidR="00520F93" w:rsidRPr="007E4755" w:rsidRDefault="00520F93">
      <w:pPr>
        <w:pStyle w:val="FootnoteText"/>
        <w:rPr>
          <w:rFonts w:ascii="Bookman Old Style" w:hAnsi="Bookman Old Style"/>
          <w:sz w:val="18"/>
          <w:szCs w:val="18"/>
          <w:lang w:val="en-US"/>
        </w:rPr>
      </w:pPr>
      <w:r w:rsidRPr="007E4755">
        <w:rPr>
          <w:rStyle w:val="FootnoteReference"/>
          <w:rFonts w:ascii="Bookman Old Style" w:hAnsi="Bookman Old Style"/>
          <w:sz w:val="18"/>
          <w:szCs w:val="18"/>
        </w:rPr>
        <w:footnoteRef/>
      </w:r>
      <w:r w:rsidRPr="007E4755">
        <w:rPr>
          <w:rFonts w:ascii="Bookman Old Style" w:hAnsi="Bookman Old Style"/>
          <w:sz w:val="18"/>
          <w:szCs w:val="18"/>
        </w:rPr>
        <w:t xml:space="preserve"> </w:t>
      </w:r>
      <w:r w:rsidR="007E4755" w:rsidRPr="007E4755">
        <w:rPr>
          <w:rFonts w:ascii="Bookman Old Style" w:hAnsi="Bookman Old Style"/>
          <w:sz w:val="18"/>
          <w:szCs w:val="18"/>
        </w:rPr>
        <w:t>Roffe, David &amp; Christine. 1995.</w:t>
      </w:r>
    </w:p>
  </w:footnote>
  <w:footnote w:id="3">
    <w:p w14:paraId="2D40ED46" w14:textId="52D0CEC1" w:rsidR="005317CD" w:rsidRPr="005317CD" w:rsidRDefault="005317CD">
      <w:pPr>
        <w:pStyle w:val="FootnoteText"/>
        <w:rPr>
          <w:lang w:val="en-US"/>
        </w:rPr>
      </w:pPr>
      <w:r>
        <w:rPr>
          <w:rStyle w:val="FootnoteReference"/>
        </w:rPr>
        <w:footnoteRef/>
      </w:r>
      <w:r>
        <w:t xml:space="preserve"> </w:t>
      </w:r>
      <w:bookmarkStart w:id="0" w:name="_Hlk182042327"/>
      <w:r w:rsidRPr="005317CD">
        <w:rPr>
          <w:rFonts w:ascii="Bookman Old Style" w:hAnsi="Bookman Old Style"/>
          <w:sz w:val="18"/>
          <w:szCs w:val="18"/>
        </w:rPr>
        <w:t>Roffe, David &amp; Christine. 1995.</w:t>
      </w:r>
      <w:r w:rsidRPr="005317CD">
        <w:rPr>
          <w:sz w:val="18"/>
          <w:szCs w:val="18"/>
          <w:lang w:val="en-US"/>
        </w:rPr>
        <w:t xml:space="preserve"> </w:t>
      </w:r>
      <w:bookmarkEnd w:id="0"/>
    </w:p>
  </w:footnote>
  <w:footnote w:id="4">
    <w:p w14:paraId="2C6FA8E6" w14:textId="1A9A30CE" w:rsidR="00B9467A" w:rsidRPr="00B9467A" w:rsidRDefault="00B9467A">
      <w:pPr>
        <w:pStyle w:val="FootnoteText"/>
        <w:rPr>
          <w:lang w:val="en-US"/>
        </w:rPr>
      </w:pPr>
      <w:r>
        <w:rPr>
          <w:rStyle w:val="FootnoteReference"/>
        </w:rPr>
        <w:footnoteRef/>
      </w:r>
      <w:r>
        <w:t xml:space="preserve"> </w:t>
      </w:r>
      <w:r w:rsidRPr="005317CD">
        <w:rPr>
          <w:rFonts w:ascii="Bookman Old Style" w:hAnsi="Bookman Old Style"/>
          <w:sz w:val="18"/>
          <w:szCs w:val="18"/>
        </w:rPr>
        <w:t>Roffe, David &amp; Christine. 1995.</w:t>
      </w:r>
    </w:p>
  </w:footnote>
  <w:footnote w:id="5">
    <w:p w14:paraId="13373877" w14:textId="35A63E32" w:rsidR="003C6FE4" w:rsidRPr="003C6FE4" w:rsidRDefault="003C6FE4">
      <w:pPr>
        <w:pStyle w:val="FootnoteText"/>
        <w:rPr>
          <w:rFonts w:ascii="Bookman Old Style" w:hAnsi="Bookman Old Style"/>
          <w:sz w:val="18"/>
          <w:szCs w:val="18"/>
        </w:rPr>
      </w:pPr>
      <w:r w:rsidRPr="003C6FE4">
        <w:rPr>
          <w:rStyle w:val="FootnoteReference"/>
          <w:rFonts w:ascii="Bookman Old Style" w:hAnsi="Bookman Old Style"/>
          <w:sz w:val="18"/>
          <w:szCs w:val="18"/>
        </w:rPr>
        <w:footnoteRef/>
      </w:r>
      <w:r w:rsidRPr="003C6FE4">
        <w:rPr>
          <w:rFonts w:ascii="Bookman Old Style" w:hAnsi="Bookman Old Style"/>
          <w:sz w:val="18"/>
          <w:szCs w:val="18"/>
        </w:rPr>
        <w:t xml:space="preserve"> </w:t>
      </w:r>
      <w:r w:rsidRPr="003C6FE4">
        <w:rPr>
          <w:rFonts w:ascii="Bookman Old Style" w:hAnsi="Bookman Old Style"/>
          <w:sz w:val="18"/>
          <w:szCs w:val="18"/>
        </w:rPr>
        <w:t xml:space="preserve">He, Angela. 2023. ‘The Humors and You! Medieval Health, Diet, and Humoral Theory’, </w:t>
      </w:r>
      <w:r w:rsidRPr="003C6FE4">
        <w:rPr>
          <w:rFonts w:ascii="Bookman Old Style" w:hAnsi="Bookman Old Style"/>
          <w:i/>
          <w:iCs/>
          <w:sz w:val="18"/>
          <w:szCs w:val="18"/>
        </w:rPr>
        <w:t>Becker Medical Library</w:t>
      </w:r>
      <w:r w:rsidRPr="003C6FE4">
        <w:rPr>
          <w:rFonts w:ascii="Bookman Old Style" w:hAnsi="Bookman Old Style"/>
          <w:sz w:val="18"/>
          <w:szCs w:val="18"/>
        </w:rPr>
        <w:t xml:space="preserve"> &lt;https://becker.wustl.edu/news/humors-and-you/&gt; [accessed 15 November 2024]</w:t>
      </w:r>
    </w:p>
  </w:footnote>
  <w:footnote w:id="6">
    <w:p w14:paraId="7DC34369" w14:textId="402FC776" w:rsidR="00734393" w:rsidRPr="00734393" w:rsidRDefault="00734393">
      <w:pPr>
        <w:pStyle w:val="FootnoteText"/>
        <w:rPr>
          <w:rFonts w:ascii="Bookman Old Style" w:hAnsi="Bookman Old Style"/>
          <w:sz w:val="18"/>
          <w:szCs w:val="18"/>
        </w:rPr>
      </w:pPr>
      <w:r w:rsidRPr="00734393">
        <w:rPr>
          <w:rStyle w:val="FootnoteReference"/>
          <w:rFonts w:ascii="Bookman Old Style" w:hAnsi="Bookman Old Style"/>
          <w:sz w:val="18"/>
          <w:szCs w:val="18"/>
        </w:rPr>
        <w:footnoteRef/>
      </w:r>
      <w:r w:rsidRPr="00734393">
        <w:rPr>
          <w:rFonts w:ascii="Bookman Old Style" w:hAnsi="Bookman Old Style"/>
          <w:sz w:val="18"/>
          <w:szCs w:val="18"/>
        </w:rPr>
        <w:t xml:space="preserve"> </w:t>
      </w:r>
      <w:r w:rsidRPr="00734393">
        <w:rPr>
          <w:rFonts w:ascii="Bookman Old Style" w:hAnsi="Bookman Old Style"/>
          <w:sz w:val="18"/>
          <w:szCs w:val="18"/>
        </w:rPr>
        <w:t xml:space="preserve">The Colour Works. 2011. ‘Hippocrates, Galen &amp; the Four Humours | the Colour Works’, </w:t>
      </w:r>
      <w:r w:rsidRPr="00734393">
        <w:rPr>
          <w:rFonts w:ascii="Bookman Old Style" w:hAnsi="Bookman Old Style"/>
          <w:i/>
          <w:iCs/>
          <w:sz w:val="18"/>
          <w:szCs w:val="18"/>
        </w:rPr>
        <w:t>The Colour Works</w:t>
      </w:r>
      <w:r w:rsidRPr="00734393">
        <w:rPr>
          <w:rFonts w:ascii="Bookman Old Style" w:hAnsi="Bookman Old Style"/>
          <w:sz w:val="18"/>
          <w:szCs w:val="18"/>
        </w:rPr>
        <w:t xml:space="preserve"> &lt;https://www.thecolourworks.com/hippocrates-galen-the-four-humours/&gt;</w:t>
      </w:r>
    </w:p>
  </w:footnote>
  <w:footnote w:id="7">
    <w:p w14:paraId="4E02ACA7" w14:textId="303BF936" w:rsidR="007541EF" w:rsidRPr="007541EF" w:rsidRDefault="007541EF">
      <w:pPr>
        <w:pStyle w:val="FootnoteText"/>
        <w:rPr>
          <w:rFonts w:ascii="Bookman Old Style" w:hAnsi="Bookman Old Style"/>
          <w:sz w:val="18"/>
          <w:szCs w:val="18"/>
        </w:rPr>
      </w:pPr>
      <w:r w:rsidRPr="007541EF">
        <w:rPr>
          <w:rStyle w:val="FootnoteReference"/>
          <w:rFonts w:ascii="Bookman Old Style" w:hAnsi="Bookman Old Style"/>
          <w:sz w:val="18"/>
          <w:szCs w:val="18"/>
        </w:rPr>
        <w:footnoteRef/>
      </w:r>
      <w:r w:rsidRPr="007541EF">
        <w:rPr>
          <w:rFonts w:ascii="Bookman Old Style" w:hAnsi="Bookman Old Style"/>
          <w:sz w:val="18"/>
          <w:szCs w:val="18"/>
        </w:rPr>
        <w:t xml:space="preserve"> </w:t>
      </w:r>
      <w:r w:rsidRPr="007541EF">
        <w:rPr>
          <w:rFonts w:ascii="Bookman Old Style" w:hAnsi="Bookman Old Style"/>
          <w:sz w:val="18"/>
          <w:szCs w:val="18"/>
        </w:rPr>
        <w:t xml:space="preserve">Audiey Kao. 2019. ‘The Cure of Folly, or Removing the “Stone of Madness”’, </w:t>
      </w:r>
      <w:r w:rsidRPr="007541EF">
        <w:rPr>
          <w:rFonts w:ascii="Bookman Old Style" w:hAnsi="Bookman Old Style"/>
          <w:i/>
          <w:iCs/>
          <w:sz w:val="18"/>
          <w:szCs w:val="18"/>
        </w:rPr>
        <w:t>AMA Journal of Ethics</w:t>
      </w:r>
      <w:r w:rsidRPr="007541EF">
        <w:rPr>
          <w:rFonts w:ascii="Bookman Old Style" w:hAnsi="Bookman Old Style"/>
          <w:sz w:val="18"/>
          <w:szCs w:val="18"/>
        </w:rPr>
        <w:t>, 2.3 (American Medical Association) &lt;https://doi.org/10.1001/virtualmentor.2000.2.3.imhl1-0003.&gt;</w:t>
      </w:r>
    </w:p>
  </w:footnote>
  <w:footnote w:id="8">
    <w:p w14:paraId="5A27CF40" w14:textId="45CF83E9" w:rsidR="00734393" w:rsidRPr="00734393" w:rsidRDefault="00734393">
      <w:pPr>
        <w:pStyle w:val="FootnoteText"/>
        <w:rPr>
          <w:rFonts w:ascii="Bookman Old Style" w:hAnsi="Bookman Old Style"/>
          <w:sz w:val="18"/>
          <w:szCs w:val="18"/>
          <w:lang w:val="en-US"/>
        </w:rPr>
      </w:pPr>
      <w:r>
        <w:rPr>
          <w:rStyle w:val="FootnoteReference"/>
        </w:rPr>
        <w:footnoteRef/>
      </w:r>
      <w:r>
        <w:t xml:space="preserve"> </w:t>
      </w:r>
      <w:r>
        <w:rPr>
          <w:rFonts w:ascii="Bookman Old Style" w:hAnsi="Bookman Old Style"/>
          <w:sz w:val="18"/>
          <w:szCs w:val="18"/>
          <w:lang w:val="en-US"/>
        </w:rPr>
        <w:t>Audiey Kao. 2019</w:t>
      </w:r>
    </w:p>
  </w:footnote>
  <w:footnote w:id="9">
    <w:p w14:paraId="31B81020" w14:textId="0F82FF01" w:rsidR="00734393" w:rsidRPr="00734393" w:rsidRDefault="00734393">
      <w:pPr>
        <w:pStyle w:val="FootnoteText"/>
        <w:rPr>
          <w:rFonts w:ascii="Bookman Old Style" w:hAnsi="Bookman Old Style"/>
          <w:sz w:val="18"/>
          <w:szCs w:val="18"/>
        </w:rPr>
      </w:pPr>
      <w:r w:rsidRPr="00734393">
        <w:rPr>
          <w:rStyle w:val="FootnoteReference"/>
          <w:rFonts w:ascii="Bookman Old Style" w:hAnsi="Bookman Old Style"/>
          <w:sz w:val="18"/>
          <w:szCs w:val="18"/>
        </w:rPr>
        <w:footnoteRef/>
      </w:r>
      <w:r w:rsidRPr="00734393">
        <w:rPr>
          <w:rFonts w:ascii="Bookman Old Style" w:hAnsi="Bookman Old Style"/>
          <w:sz w:val="18"/>
          <w:szCs w:val="18"/>
        </w:rPr>
        <w:t xml:space="preserve"> </w:t>
      </w:r>
      <w:r w:rsidRPr="00734393">
        <w:rPr>
          <w:rFonts w:ascii="Bookman Old Style" w:hAnsi="Bookman Old Style"/>
          <w:sz w:val="18"/>
          <w:szCs w:val="18"/>
        </w:rPr>
        <w:t xml:space="preserve">‘16.1 Mental Health Treatment: Past and Present - Psychology 2e | OpenStax’. 2020. </w:t>
      </w:r>
      <w:r w:rsidRPr="00734393">
        <w:rPr>
          <w:rFonts w:ascii="Bookman Old Style" w:hAnsi="Bookman Old Style"/>
          <w:i/>
          <w:iCs/>
          <w:sz w:val="18"/>
          <w:szCs w:val="18"/>
        </w:rPr>
        <w:t>Openstax.org</w:t>
      </w:r>
      <w:r w:rsidRPr="00734393">
        <w:rPr>
          <w:rFonts w:ascii="Bookman Old Style" w:hAnsi="Bookman Old Style"/>
          <w:sz w:val="18"/>
          <w:szCs w:val="18"/>
        </w:rPr>
        <w:t xml:space="preserve"> &lt;https://openstax.org/books/psychology-2e/pages/16-1-mental-health-treatment-past-and-present&gt;</w:t>
      </w:r>
    </w:p>
  </w:footnote>
  <w:footnote w:id="10">
    <w:p w14:paraId="1B20C5BF" w14:textId="260B8488" w:rsidR="00734393" w:rsidRPr="00734393" w:rsidRDefault="00734393">
      <w:pPr>
        <w:pStyle w:val="FootnoteText"/>
        <w:rPr>
          <w:lang w:val="en-US"/>
        </w:rPr>
      </w:pPr>
      <w:r>
        <w:rPr>
          <w:rStyle w:val="FootnoteReference"/>
        </w:rPr>
        <w:footnoteRef/>
      </w:r>
      <w:r>
        <w:t xml:space="preserve"> </w:t>
      </w:r>
      <w:r w:rsidRPr="005317CD">
        <w:rPr>
          <w:rFonts w:ascii="Bookman Old Style" w:hAnsi="Bookman Old Style"/>
          <w:sz w:val="18"/>
          <w:szCs w:val="18"/>
        </w:rPr>
        <w:t>Roffe, David &amp; Christine. 1995.</w:t>
      </w:r>
      <w:r>
        <w:rPr>
          <w:rFonts w:ascii="Bookman Old Style" w:hAnsi="Bookman Old Style"/>
          <w:sz w:val="18"/>
          <w:szCs w:val="18"/>
        </w:rPr>
        <w:t xml:space="preserve"> </w:t>
      </w:r>
    </w:p>
  </w:footnote>
  <w:footnote w:id="11">
    <w:p w14:paraId="1A6B02AE" w14:textId="4168B22C" w:rsidR="00062A5C" w:rsidRPr="00062A5C" w:rsidRDefault="00062A5C">
      <w:pPr>
        <w:pStyle w:val="FootnoteText"/>
        <w:rPr>
          <w:lang w:val="en-US"/>
        </w:rPr>
      </w:pPr>
      <w:r>
        <w:rPr>
          <w:rStyle w:val="FootnoteReference"/>
        </w:rPr>
        <w:footnoteRef/>
      </w:r>
      <w:r>
        <w:t xml:space="preserve"> </w:t>
      </w:r>
      <w:r w:rsidRPr="005317CD">
        <w:rPr>
          <w:rFonts w:ascii="Bookman Old Style" w:hAnsi="Bookman Old Style"/>
          <w:sz w:val="18"/>
          <w:szCs w:val="18"/>
        </w:rPr>
        <w:t>Roffe, David &amp; Christine. 1995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D18"/>
    <w:rsid w:val="00035E82"/>
    <w:rsid w:val="00062A5C"/>
    <w:rsid w:val="0007047B"/>
    <w:rsid w:val="0018268E"/>
    <w:rsid w:val="001A0A90"/>
    <w:rsid w:val="00210720"/>
    <w:rsid w:val="002A17AA"/>
    <w:rsid w:val="00317A5E"/>
    <w:rsid w:val="00325DF9"/>
    <w:rsid w:val="0033685E"/>
    <w:rsid w:val="0036554C"/>
    <w:rsid w:val="003C6FE4"/>
    <w:rsid w:val="003C70EA"/>
    <w:rsid w:val="0040265E"/>
    <w:rsid w:val="00405BA2"/>
    <w:rsid w:val="00473657"/>
    <w:rsid w:val="00517B8A"/>
    <w:rsid w:val="00520F93"/>
    <w:rsid w:val="005317CD"/>
    <w:rsid w:val="00560BE8"/>
    <w:rsid w:val="00583929"/>
    <w:rsid w:val="005E6D21"/>
    <w:rsid w:val="0063257F"/>
    <w:rsid w:val="00701570"/>
    <w:rsid w:val="00701B63"/>
    <w:rsid w:val="00734393"/>
    <w:rsid w:val="007541EF"/>
    <w:rsid w:val="00763A2D"/>
    <w:rsid w:val="007E4755"/>
    <w:rsid w:val="007F0500"/>
    <w:rsid w:val="007F66F9"/>
    <w:rsid w:val="008061C3"/>
    <w:rsid w:val="00882B86"/>
    <w:rsid w:val="008B25DD"/>
    <w:rsid w:val="00916B44"/>
    <w:rsid w:val="00993337"/>
    <w:rsid w:val="009B0D18"/>
    <w:rsid w:val="009C7445"/>
    <w:rsid w:val="00B06BD7"/>
    <w:rsid w:val="00B761EC"/>
    <w:rsid w:val="00B9467A"/>
    <w:rsid w:val="00BE568F"/>
    <w:rsid w:val="00C8714A"/>
    <w:rsid w:val="00CC2609"/>
    <w:rsid w:val="00D166F1"/>
    <w:rsid w:val="00D21992"/>
    <w:rsid w:val="00DE7BCE"/>
    <w:rsid w:val="00E066E0"/>
    <w:rsid w:val="00E15A1C"/>
    <w:rsid w:val="00E27EC1"/>
    <w:rsid w:val="00ED78E2"/>
    <w:rsid w:val="00FC42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D93513"/>
  <w15:chartTrackingRefBased/>
  <w15:docId w15:val="{53C1E915-53E6-43B5-99FA-8C878CA28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0D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0D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0D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0D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0D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0D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D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D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D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D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0D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0D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0D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0D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0D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D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D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D18"/>
    <w:rPr>
      <w:rFonts w:eastAsiaTheme="majorEastAsia" w:cstheme="majorBidi"/>
      <w:color w:val="272727" w:themeColor="text1" w:themeTint="D8"/>
    </w:rPr>
  </w:style>
  <w:style w:type="paragraph" w:styleId="Title">
    <w:name w:val="Title"/>
    <w:basedOn w:val="Normal"/>
    <w:next w:val="Normal"/>
    <w:link w:val="TitleChar"/>
    <w:uiPriority w:val="10"/>
    <w:qFormat/>
    <w:rsid w:val="009B0D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D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D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D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D18"/>
    <w:pPr>
      <w:spacing w:before="160"/>
      <w:jc w:val="center"/>
    </w:pPr>
    <w:rPr>
      <w:i/>
      <w:iCs/>
      <w:color w:val="404040" w:themeColor="text1" w:themeTint="BF"/>
    </w:rPr>
  </w:style>
  <w:style w:type="character" w:customStyle="1" w:styleId="QuoteChar">
    <w:name w:val="Quote Char"/>
    <w:basedOn w:val="DefaultParagraphFont"/>
    <w:link w:val="Quote"/>
    <w:uiPriority w:val="29"/>
    <w:rsid w:val="009B0D18"/>
    <w:rPr>
      <w:i/>
      <w:iCs/>
      <w:color w:val="404040" w:themeColor="text1" w:themeTint="BF"/>
    </w:rPr>
  </w:style>
  <w:style w:type="paragraph" w:styleId="ListParagraph">
    <w:name w:val="List Paragraph"/>
    <w:basedOn w:val="Normal"/>
    <w:uiPriority w:val="34"/>
    <w:qFormat/>
    <w:rsid w:val="009B0D18"/>
    <w:pPr>
      <w:ind w:left="720"/>
      <w:contextualSpacing/>
    </w:pPr>
  </w:style>
  <w:style w:type="character" w:styleId="IntenseEmphasis">
    <w:name w:val="Intense Emphasis"/>
    <w:basedOn w:val="DefaultParagraphFont"/>
    <w:uiPriority w:val="21"/>
    <w:qFormat/>
    <w:rsid w:val="009B0D18"/>
    <w:rPr>
      <w:i/>
      <w:iCs/>
      <w:color w:val="0F4761" w:themeColor="accent1" w:themeShade="BF"/>
    </w:rPr>
  </w:style>
  <w:style w:type="paragraph" w:styleId="IntenseQuote">
    <w:name w:val="Intense Quote"/>
    <w:basedOn w:val="Normal"/>
    <w:next w:val="Normal"/>
    <w:link w:val="IntenseQuoteChar"/>
    <w:uiPriority w:val="30"/>
    <w:qFormat/>
    <w:rsid w:val="009B0D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0D18"/>
    <w:rPr>
      <w:i/>
      <w:iCs/>
      <w:color w:val="0F4761" w:themeColor="accent1" w:themeShade="BF"/>
    </w:rPr>
  </w:style>
  <w:style w:type="character" w:styleId="IntenseReference">
    <w:name w:val="Intense Reference"/>
    <w:basedOn w:val="DefaultParagraphFont"/>
    <w:uiPriority w:val="32"/>
    <w:qFormat/>
    <w:rsid w:val="009B0D18"/>
    <w:rPr>
      <w:b/>
      <w:bCs/>
      <w:smallCaps/>
      <w:color w:val="0F4761" w:themeColor="accent1" w:themeShade="BF"/>
      <w:spacing w:val="5"/>
    </w:rPr>
  </w:style>
  <w:style w:type="paragraph" w:styleId="FootnoteText">
    <w:name w:val="footnote text"/>
    <w:basedOn w:val="Normal"/>
    <w:link w:val="FootnoteTextChar"/>
    <w:uiPriority w:val="99"/>
    <w:semiHidden/>
    <w:unhideWhenUsed/>
    <w:rsid w:val="00405B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5BA2"/>
    <w:rPr>
      <w:sz w:val="20"/>
      <w:szCs w:val="20"/>
    </w:rPr>
  </w:style>
  <w:style w:type="character" w:styleId="FootnoteReference">
    <w:name w:val="footnote reference"/>
    <w:basedOn w:val="DefaultParagraphFont"/>
    <w:uiPriority w:val="99"/>
    <w:semiHidden/>
    <w:unhideWhenUsed/>
    <w:rsid w:val="00405BA2"/>
    <w:rPr>
      <w:vertAlign w:val="superscript"/>
    </w:rPr>
  </w:style>
  <w:style w:type="paragraph" w:styleId="NormalWeb">
    <w:name w:val="Normal (Web)"/>
    <w:basedOn w:val="Normal"/>
    <w:uiPriority w:val="99"/>
    <w:semiHidden/>
    <w:unhideWhenUsed/>
    <w:rsid w:val="00405BA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272209">
      <w:bodyDiv w:val="1"/>
      <w:marLeft w:val="0"/>
      <w:marRight w:val="0"/>
      <w:marTop w:val="0"/>
      <w:marBottom w:val="0"/>
      <w:divBdr>
        <w:top w:val="none" w:sz="0" w:space="0" w:color="auto"/>
        <w:left w:val="none" w:sz="0" w:space="0" w:color="auto"/>
        <w:bottom w:val="none" w:sz="0" w:space="0" w:color="auto"/>
        <w:right w:val="none" w:sz="0" w:space="0" w:color="auto"/>
      </w:divBdr>
      <w:divsChild>
        <w:div w:id="577206247">
          <w:marLeft w:val="-720"/>
          <w:marRight w:val="0"/>
          <w:marTop w:val="0"/>
          <w:marBottom w:val="0"/>
          <w:divBdr>
            <w:top w:val="none" w:sz="0" w:space="0" w:color="auto"/>
            <w:left w:val="none" w:sz="0" w:space="0" w:color="auto"/>
            <w:bottom w:val="none" w:sz="0" w:space="0" w:color="auto"/>
            <w:right w:val="none" w:sz="0" w:space="0" w:color="auto"/>
          </w:divBdr>
        </w:div>
      </w:divsChild>
    </w:div>
    <w:div w:id="335773128">
      <w:bodyDiv w:val="1"/>
      <w:marLeft w:val="0"/>
      <w:marRight w:val="0"/>
      <w:marTop w:val="0"/>
      <w:marBottom w:val="0"/>
      <w:divBdr>
        <w:top w:val="none" w:sz="0" w:space="0" w:color="auto"/>
        <w:left w:val="none" w:sz="0" w:space="0" w:color="auto"/>
        <w:bottom w:val="none" w:sz="0" w:space="0" w:color="auto"/>
        <w:right w:val="none" w:sz="0" w:space="0" w:color="auto"/>
      </w:divBdr>
      <w:divsChild>
        <w:div w:id="1297371012">
          <w:marLeft w:val="-720"/>
          <w:marRight w:val="0"/>
          <w:marTop w:val="0"/>
          <w:marBottom w:val="0"/>
          <w:divBdr>
            <w:top w:val="none" w:sz="0" w:space="0" w:color="auto"/>
            <w:left w:val="none" w:sz="0" w:space="0" w:color="auto"/>
            <w:bottom w:val="none" w:sz="0" w:space="0" w:color="auto"/>
            <w:right w:val="none" w:sz="0" w:space="0" w:color="auto"/>
          </w:divBdr>
        </w:div>
      </w:divsChild>
    </w:div>
    <w:div w:id="899095149">
      <w:bodyDiv w:val="1"/>
      <w:marLeft w:val="0"/>
      <w:marRight w:val="0"/>
      <w:marTop w:val="0"/>
      <w:marBottom w:val="0"/>
      <w:divBdr>
        <w:top w:val="none" w:sz="0" w:space="0" w:color="auto"/>
        <w:left w:val="none" w:sz="0" w:space="0" w:color="auto"/>
        <w:bottom w:val="none" w:sz="0" w:space="0" w:color="auto"/>
        <w:right w:val="none" w:sz="0" w:space="0" w:color="auto"/>
      </w:divBdr>
      <w:divsChild>
        <w:div w:id="1333601757">
          <w:marLeft w:val="-720"/>
          <w:marRight w:val="0"/>
          <w:marTop w:val="0"/>
          <w:marBottom w:val="0"/>
          <w:divBdr>
            <w:top w:val="none" w:sz="0" w:space="0" w:color="auto"/>
            <w:left w:val="none" w:sz="0" w:space="0" w:color="auto"/>
            <w:bottom w:val="none" w:sz="0" w:space="0" w:color="auto"/>
            <w:right w:val="none" w:sz="0" w:space="0" w:color="auto"/>
          </w:divBdr>
        </w:div>
      </w:divsChild>
    </w:div>
    <w:div w:id="1280800287">
      <w:bodyDiv w:val="1"/>
      <w:marLeft w:val="0"/>
      <w:marRight w:val="0"/>
      <w:marTop w:val="0"/>
      <w:marBottom w:val="0"/>
      <w:divBdr>
        <w:top w:val="none" w:sz="0" w:space="0" w:color="auto"/>
        <w:left w:val="none" w:sz="0" w:space="0" w:color="auto"/>
        <w:bottom w:val="none" w:sz="0" w:space="0" w:color="auto"/>
        <w:right w:val="none" w:sz="0" w:space="0" w:color="auto"/>
      </w:divBdr>
      <w:divsChild>
        <w:div w:id="1202549727">
          <w:marLeft w:val="-720"/>
          <w:marRight w:val="0"/>
          <w:marTop w:val="0"/>
          <w:marBottom w:val="0"/>
          <w:divBdr>
            <w:top w:val="none" w:sz="0" w:space="0" w:color="auto"/>
            <w:left w:val="none" w:sz="0" w:space="0" w:color="auto"/>
            <w:bottom w:val="none" w:sz="0" w:space="0" w:color="auto"/>
            <w:right w:val="none" w:sz="0" w:space="0" w:color="auto"/>
          </w:divBdr>
        </w:div>
      </w:divsChild>
    </w:div>
    <w:div w:id="1420054408">
      <w:bodyDiv w:val="1"/>
      <w:marLeft w:val="0"/>
      <w:marRight w:val="0"/>
      <w:marTop w:val="0"/>
      <w:marBottom w:val="0"/>
      <w:divBdr>
        <w:top w:val="none" w:sz="0" w:space="0" w:color="auto"/>
        <w:left w:val="none" w:sz="0" w:space="0" w:color="auto"/>
        <w:bottom w:val="none" w:sz="0" w:space="0" w:color="auto"/>
        <w:right w:val="none" w:sz="0" w:space="0" w:color="auto"/>
      </w:divBdr>
      <w:divsChild>
        <w:div w:id="238027651">
          <w:marLeft w:val="-720"/>
          <w:marRight w:val="0"/>
          <w:marTop w:val="0"/>
          <w:marBottom w:val="0"/>
          <w:divBdr>
            <w:top w:val="none" w:sz="0" w:space="0" w:color="auto"/>
            <w:left w:val="none" w:sz="0" w:space="0" w:color="auto"/>
            <w:bottom w:val="none" w:sz="0" w:space="0" w:color="auto"/>
            <w:right w:val="none" w:sz="0" w:space="0" w:color="auto"/>
          </w:divBdr>
        </w:div>
      </w:divsChild>
    </w:div>
    <w:div w:id="1589344205">
      <w:bodyDiv w:val="1"/>
      <w:marLeft w:val="0"/>
      <w:marRight w:val="0"/>
      <w:marTop w:val="0"/>
      <w:marBottom w:val="0"/>
      <w:divBdr>
        <w:top w:val="none" w:sz="0" w:space="0" w:color="auto"/>
        <w:left w:val="none" w:sz="0" w:space="0" w:color="auto"/>
        <w:bottom w:val="none" w:sz="0" w:space="0" w:color="auto"/>
        <w:right w:val="none" w:sz="0" w:space="0" w:color="auto"/>
      </w:divBdr>
      <w:divsChild>
        <w:div w:id="136459576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E24CE-8DB2-45B4-A317-1BD997D8E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7757</TotalTime>
  <Pages>11</Pages>
  <Words>3049</Words>
  <Characters>13784</Characters>
  <Application>Microsoft Office Word</Application>
  <DocSecurity>0</DocSecurity>
  <Lines>215</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Kunicki</dc:creator>
  <cp:keywords/>
  <dc:description/>
  <cp:lastModifiedBy>Ania Kunicki</cp:lastModifiedBy>
  <cp:revision>16</cp:revision>
  <dcterms:created xsi:type="dcterms:W3CDTF">2024-11-09T15:14:00Z</dcterms:created>
  <dcterms:modified xsi:type="dcterms:W3CDTF">2024-11-17T23:03:00Z</dcterms:modified>
</cp:coreProperties>
</file>