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7935C" w14:textId="77777777" w:rsidR="00887F75" w:rsidRDefault="00887F75">
      <w:pPr>
        <w:ind w:left="720"/>
        <w:rPr>
          <w:sz w:val="44"/>
          <w:szCs w:val="44"/>
        </w:rPr>
      </w:pPr>
    </w:p>
    <w:p w14:paraId="7E67935D" w14:textId="77777777" w:rsidR="00887F75" w:rsidRDefault="00887F75">
      <w:pPr>
        <w:rPr>
          <w:sz w:val="44"/>
          <w:szCs w:val="44"/>
          <w:shd w:val="clear" w:color="auto" w:fill="FFFF00"/>
        </w:rPr>
      </w:pPr>
    </w:p>
    <w:p w14:paraId="7E67935E" w14:textId="77777777" w:rsidR="00887F75" w:rsidRDefault="00F2468B">
      <w:pPr>
        <w:ind w:left="720"/>
        <w:rPr>
          <w:sz w:val="44"/>
          <w:szCs w:val="44"/>
          <w:shd w:val="clear" w:color="auto" w:fill="FFFF00"/>
        </w:rPr>
      </w:pPr>
      <w:r>
        <w:rPr>
          <w:sz w:val="44"/>
          <w:szCs w:val="44"/>
          <w:shd w:val="clear" w:color="auto" w:fill="FFFF00"/>
        </w:rPr>
        <w:t>What are the impacts of a late diagnosis of dyslexia on students?</w:t>
      </w:r>
    </w:p>
    <w:p w14:paraId="7E67935F" w14:textId="77777777" w:rsidR="00887F75" w:rsidRDefault="00F2468B">
      <w:pPr>
        <w:ind w:left="720"/>
      </w:pPr>
      <w:r>
        <w:rPr>
          <w:sz w:val="44"/>
          <w:szCs w:val="44"/>
        </w:rPr>
        <w:t xml:space="preserve">By Caitlyn Davies </w:t>
      </w:r>
    </w:p>
    <w:p w14:paraId="7E679360" w14:textId="77777777" w:rsidR="00887F75" w:rsidRDefault="00F2468B">
      <w:pPr>
        <w:rPr>
          <w:sz w:val="44"/>
          <w:szCs w:val="44"/>
        </w:rPr>
      </w:pPr>
      <w:r>
        <w:rPr>
          <w:sz w:val="44"/>
          <w:szCs w:val="44"/>
        </w:rPr>
        <w:t xml:space="preserve"> </w:t>
      </w:r>
    </w:p>
    <w:p w14:paraId="7E679361" w14:textId="77777777" w:rsidR="00887F75" w:rsidRDefault="00887F75">
      <w:pPr>
        <w:rPr>
          <w:sz w:val="44"/>
          <w:szCs w:val="44"/>
        </w:rPr>
      </w:pPr>
    </w:p>
    <w:p w14:paraId="7E679362" w14:textId="77777777" w:rsidR="00887F75" w:rsidRDefault="00887F75">
      <w:pPr>
        <w:rPr>
          <w:sz w:val="44"/>
          <w:szCs w:val="44"/>
        </w:rPr>
      </w:pPr>
    </w:p>
    <w:p w14:paraId="7E679363" w14:textId="77777777" w:rsidR="00887F75" w:rsidRDefault="00887F75">
      <w:pPr>
        <w:rPr>
          <w:sz w:val="44"/>
          <w:szCs w:val="44"/>
        </w:rPr>
      </w:pPr>
    </w:p>
    <w:p w14:paraId="7E679364" w14:textId="77777777" w:rsidR="00887F75" w:rsidRDefault="00887F75">
      <w:pPr>
        <w:rPr>
          <w:sz w:val="44"/>
          <w:szCs w:val="44"/>
        </w:rPr>
      </w:pPr>
    </w:p>
    <w:p w14:paraId="7E679365" w14:textId="77777777" w:rsidR="00887F75" w:rsidRDefault="00887F75">
      <w:pPr>
        <w:rPr>
          <w:sz w:val="44"/>
          <w:szCs w:val="44"/>
        </w:rPr>
      </w:pPr>
    </w:p>
    <w:p w14:paraId="7E679366" w14:textId="77777777" w:rsidR="00887F75" w:rsidRDefault="00887F75">
      <w:pPr>
        <w:rPr>
          <w:sz w:val="44"/>
          <w:szCs w:val="44"/>
        </w:rPr>
      </w:pPr>
    </w:p>
    <w:p w14:paraId="7E679367" w14:textId="77777777" w:rsidR="00887F75" w:rsidRDefault="00887F75">
      <w:pPr>
        <w:rPr>
          <w:sz w:val="44"/>
          <w:szCs w:val="44"/>
        </w:rPr>
      </w:pPr>
    </w:p>
    <w:p w14:paraId="7E679368" w14:textId="77777777" w:rsidR="00887F75" w:rsidRDefault="00887F75">
      <w:pPr>
        <w:rPr>
          <w:sz w:val="44"/>
          <w:szCs w:val="44"/>
        </w:rPr>
      </w:pPr>
    </w:p>
    <w:p w14:paraId="7E679369" w14:textId="77777777" w:rsidR="00887F75" w:rsidRDefault="00887F75">
      <w:pPr>
        <w:rPr>
          <w:sz w:val="44"/>
          <w:szCs w:val="44"/>
        </w:rPr>
      </w:pPr>
    </w:p>
    <w:p w14:paraId="7E67936A" w14:textId="77777777" w:rsidR="00887F75" w:rsidRDefault="00887F75">
      <w:pPr>
        <w:rPr>
          <w:sz w:val="44"/>
          <w:szCs w:val="44"/>
        </w:rPr>
      </w:pPr>
    </w:p>
    <w:p w14:paraId="7E67936B" w14:textId="77777777" w:rsidR="00887F75" w:rsidRDefault="00887F75">
      <w:pPr>
        <w:rPr>
          <w:sz w:val="44"/>
          <w:szCs w:val="44"/>
        </w:rPr>
      </w:pPr>
    </w:p>
    <w:p w14:paraId="7E67936C" w14:textId="77777777" w:rsidR="00887F75" w:rsidRDefault="00F2468B">
      <w:pPr>
        <w:rPr>
          <w:b/>
          <w:bCs/>
        </w:rPr>
      </w:pPr>
      <w:r>
        <w:rPr>
          <w:b/>
          <w:bCs/>
        </w:rPr>
        <w:lastRenderedPageBreak/>
        <w:t>Abstract</w:t>
      </w:r>
    </w:p>
    <w:p w14:paraId="7E67936D" w14:textId="77777777" w:rsidR="00887F75" w:rsidRDefault="00F2468B">
      <w:r>
        <w:t xml:space="preserve">The aim of this study is to evaluate the impact of a late diagnosis of dyslexia on adult learners, with a particular focus on educational achievement and wellbeing. A mixed-methods research design will be adopted. Quantitative data will be collected through a questionnaire to identify patterns in academic experiences, support, and wellbeing, while qualitative data will be gathered through </w:t>
      </w:r>
      <w:r>
        <w:t xml:space="preserve">semi-structured interviews to explore participants' personal experiences in greater depth. It is expected that participants will report challenges associated with delayed identification, including reduced academic confidence, increased stress, and limited access to support prior to diagnosis. However, the findings may also show that receiving a diagnosis in adulthood enables greater self-understanding, improved coping strategies, and enhanced access to reasonable adjustments. This research aims to </w:t>
      </w:r>
      <w:r>
        <w:t>contribute to the understanding of late dyslexia diagnosis and inform educational practice and support provision for adult learners.</w:t>
      </w:r>
    </w:p>
    <w:p w14:paraId="7E67936E" w14:textId="77777777" w:rsidR="00887F75" w:rsidRDefault="00F2468B">
      <w:pPr>
        <w:rPr>
          <w:b/>
          <w:bCs/>
        </w:rPr>
      </w:pPr>
      <w:r>
        <w:rPr>
          <w:b/>
          <w:bCs/>
        </w:rPr>
        <w:t xml:space="preserve">Introduction + Existing Knowledge </w:t>
      </w:r>
    </w:p>
    <w:p w14:paraId="7E67936F" w14:textId="77777777" w:rsidR="00887F75" w:rsidRDefault="00F2468B">
      <w:r>
        <w:t xml:space="preserve">According to the International Dyslexia Association (2026), dyslexia is a specific learning disability characterised by difficulties in word reading and/or spelling, which may involve accuracy, speed, or both, and can vary depending on the orthography. It is reported that 80% of individuals with dyslexia do not receive a diagnosis during </w:t>
      </w:r>
      <w:r>
        <w:t xml:space="preserve">their school years (Harding, Chauhan‐Sims, Oxley and Nash, 2023). This issue is significant within health and social care, as many students are receiving a late diagnosis of dyslexia, which adversely affects their academic experience </w:t>
      </w:r>
      <w:r>
        <w:rPr>
          <w:rFonts w:cs="Aptos"/>
        </w:rPr>
        <w:t>(Olofsson, Taube and Ahl, 2015</w:t>
      </w:r>
      <w:r>
        <w:t>) Focused Review of Existing Knowledge A delayed diagnosis of dyslexia in university students can significantly impact their academic experiences and self-perception. Doherty (2015) notes that students diagnosed only after entering higher education</w:t>
      </w:r>
      <w:r>
        <w:t xml:space="preserve"> often encounter difficulties in understanding and accepting their condition, which may influence their self-concept and future aspirations. The manner in which the diagnosis is communicated and explained is crucial in determining whether students view the dyslexia label positively or negatively, thereby affecting their acceptance of the diagnosis and their academic identity.</w:t>
      </w:r>
    </w:p>
    <w:p w14:paraId="7E679370" w14:textId="77777777" w:rsidR="00887F75" w:rsidRDefault="00F2468B">
      <w:r>
        <w:t xml:space="preserve">Furthermore, late diagnosis may correlate with a lack of early support and intervention, potentially impacting students’ academic </w:t>
      </w:r>
      <w:r>
        <w:t xml:space="preserve">performance and coping strategies. Stark and Johnson (2026) suggest that the timing of the diagnosis also influences the experience of dyslexia in adulthood; individuals diagnosed later often report more neutral or positive experiences, suggesting that the absence of additional difficulties may alleviate some adverse effects of late identification. However, a late diagnosis can lead to internalised effects such as frustration or negative self-perceptions, which may evolve over time as </w:t>
      </w:r>
      <w:r>
        <w:lastRenderedPageBreak/>
        <w:t xml:space="preserve">students come to </w:t>
      </w:r>
      <w:r>
        <w:t>accept their condition and develop effective coping strategies for their dyslexia.</w:t>
      </w:r>
    </w:p>
    <w:p w14:paraId="7E679371" w14:textId="77777777" w:rsidR="00887F75" w:rsidRDefault="00F2468B">
      <w:pPr>
        <w:rPr>
          <w:b/>
          <w:bCs/>
        </w:rPr>
      </w:pPr>
      <w:r>
        <w:rPr>
          <w:b/>
          <w:bCs/>
        </w:rPr>
        <w:t>Research Design and Methodology</w:t>
      </w:r>
    </w:p>
    <w:p w14:paraId="7E679372" w14:textId="77777777" w:rsidR="00887F75" w:rsidRDefault="00F2468B">
      <w:pPr>
        <w:spacing w:after="0"/>
      </w:pPr>
      <w:r>
        <w:rPr>
          <w:rFonts w:cs="Aptos"/>
        </w:rPr>
        <w:t xml:space="preserve">A mixed methods design, encompassing both qualitative and quantitative approaches will be employed. Quantitative design involves the process of collecting, analysing, interpreting and writing results of a study. Specific methods exist in surveys that relate to identifying a sample and population, specifying the type of design collecting and analysing data, presenting results, making an </w:t>
      </w:r>
      <w:r>
        <w:rPr>
          <w:rFonts w:cs="Aptos"/>
        </w:rPr>
        <w:t>interpretation, and writing the research in a manner consistent with a survey (</w:t>
      </w:r>
      <w:r>
        <w:rPr>
          <w:rFonts w:cs="Aptos"/>
          <w:color w:val="222222"/>
        </w:rPr>
        <w:t>Creswell and Creswell, 2017</w:t>
      </w:r>
      <w:r>
        <w:rPr>
          <w:rFonts w:ascii="Arial" w:eastAsia="Arial" w:hAnsi="Arial" w:cs="Arial"/>
          <w:color w:val="222222"/>
          <w:sz w:val="19"/>
          <w:szCs w:val="19"/>
        </w:rPr>
        <w:t>)</w:t>
      </w:r>
      <w:r>
        <w:rPr>
          <w:rFonts w:cs="Aptos"/>
        </w:rPr>
        <w:t xml:space="preserve"> On the other hand, Qualitative is different from Quantitative design as this explores and provides deeper insights into the real world problems (Moser and Korstjens, 2017).  instead of collecting numerical data points Qualitative design gathers participants' experiences, perceptions and behaviour. It answers the how and why instead of focusing on how many or how much (Cleland, 2017).</w:t>
      </w:r>
    </w:p>
    <w:p w14:paraId="7E679373" w14:textId="77777777" w:rsidR="00887F75" w:rsidRDefault="00887F75">
      <w:pPr>
        <w:spacing w:after="0"/>
        <w:rPr>
          <w:rFonts w:ascii="Arial" w:eastAsia="Arial" w:hAnsi="Arial" w:cs="Arial"/>
          <w:color w:val="222222"/>
          <w:sz w:val="19"/>
          <w:szCs w:val="19"/>
        </w:rPr>
      </w:pPr>
    </w:p>
    <w:p w14:paraId="7E679374" w14:textId="77777777" w:rsidR="00887F75" w:rsidRDefault="00F2468B">
      <w:pPr>
        <w:spacing w:after="0"/>
      </w:pPr>
      <w:r>
        <w:rPr>
          <w:rFonts w:cs="Aptos"/>
        </w:rPr>
        <w:t xml:space="preserve">Mixed methods </w:t>
      </w:r>
      <w:r>
        <w:rPr>
          <w:rFonts w:cs="Aptos"/>
        </w:rPr>
        <w:t xml:space="preserve">research, which combines questionnaires and interviews, offers numerous advantages by integrating qualitative and quantitative data to enrich the understanding of the research topic. One benefit identified by Chow, Quine, and Li (2010) is that qualitative data from interviews can </w:t>
      </w:r>
      <w:r>
        <w:rPr>
          <w:rFonts w:cs="Aptos"/>
          <w:color w:val="0D0D0D"/>
        </w:rPr>
        <w:t xml:space="preserve">analyse </w:t>
      </w:r>
      <w:r>
        <w:rPr>
          <w:rFonts w:cs="Aptos"/>
        </w:rPr>
        <w:t xml:space="preserve">the statistical results derived from questionnaires, thereby enhancing the depth of interpretation and insight into the findings. Additionally, Miller (2025) and Shabnam. (2025) support this view, noting that this approach </w:t>
      </w:r>
      <w:r>
        <w:rPr>
          <w:rFonts w:cs="Aptos"/>
        </w:rPr>
        <w:t>can also reveal nuanced perceptions and experiences that may not be adequately captured by quantitative measures alone. For example, in studies examining personal experiences, interviews can provide detailed themes and insights that complement survey data, leading to a more integrated understanding of attitudes, knowledge, and behaviours.</w:t>
      </w:r>
    </w:p>
    <w:p w14:paraId="7E679375" w14:textId="77777777" w:rsidR="00887F75" w:rsidRDefault="00F2468B">
      <w:pPr>
        <w:spacing w:after="0"/>
      </w:pPr>
      <w:r>
        <w:rPr>
          <w:rFonts w:cs="Aptos"/>
        </w:rPr>
        <w:t xml:space="preserve"> </w:t>
      </w:r>
    </w:p>
    <w:p w14:paraId="7E679376" w14:textId="77777777" w:rsidR="00887F75" w:rsidRDefault="00F2468B">
      <w:pPr>
        <w:spacing w:after="0"/>
      </w:pPr>
      <w:r>
        <w:rPr>
          <w:rFonts w:cs="Aptos"/>
        </w:rPr>
        <w:t xml:space="preserve">However, McKenna, Copnell, and Smith (2021) argue that mixed methods research presents several challenges that require careful consideration. A primary concern is the </w:t>
      </w:r>
      <w:r>
        <w:rPr>
          <w:rFonts w:cs="Aptos"/>
        </w:rPr>
        <w:t xml:space="preserve">complexity involved in reporting and disseminating findings. Mixed methods studies require thorough interrogation of both qualitative and quantitative results, which can complicate the presentation of a coherent narrative and may require specific supervisory support and examination considerations in academic contexts. Furthermore, Vauhkonen (2025) agrees with McKenna, Copnell, and Smith (2021) regarding the substantial workload associated with managing multiple data collection methods, such as </w:t>
      </w:r>
      <w:r>
        <w:rPr>
          <w:rFonts w:cs="Aptos"/>
        </w:rPr>
        <w:t xml:space="preserve">questionnaires and interviews, which may lead to increased participant burden and challenges in sustaining engagement over time.  </w:t>
      </w:r>
    </w:p>
    <w:p w14:paraId="7E679377" w14:textId="77777777" w:rsidR="00887F75" w:rsidRDefault="00887F75">
      <w:pPr>
        <w:spacing w:after="0"/>
        <w:rPr>
          <w:rFonts w:cs="Aptos"/>
        </w:rPr>
      </w:pPr>
    </w:p>
    <w:p w14:paraId="7E679378" w14:textId="77777777" w:rsidR="00887F75" w:rsidRDefault="00F2468B">
      <w:r>
        <w:rPr>
          <w:b/>
          <w:bCs/>
        </w:rPr>
        <w:t>Data Collection Tools:</w:t>
      </w:r>
    </w:p>
    <w:p w14:paraId="7E679379" w14:textId="77777777" w:rsidR="00887F75" w:rsidRDefault="00F2468B">
      <w:r>
        <w:lastRenderedPageBreak/>
        <w:t>Two types of data collection tools: a questionnaire designed to identify students with dyslexia as well as those who may have received a late diagnosis, followed by one-on-one interviews or focus group discussions aimed at gathering further insights into the students' feelings and overall experiences. Both the questionnaire and interviews possess distinct</w:t>
      </w:r>
      <w:r>
        <w:t xml:space="preserve"> advantages and disadvantages.</w:t>
      </w:r>
    </w:p>
    <w:p w14:paraId="7E67937A" w14:textId="77777777" w:rsidR="00887F75" w:rsidRDefault="00F2468B">
      <w:r>
        <w:t xml:space="preserve">Ranganathan and Caduff (2023) indicate that questionnaires are particularly beneficial in quantitative studies due to their low cost and capacity for the rapid collection of substantial amounts of data from large samples. They are practical, can be standardised, and facilitate comparisons between groups. However, Rashid (2020) and Kothari (2004) identify several drawbacks associated with the questionnaire method. One drawback being the low response rate of completed </w:t>
      </w:r>
      <w:r>
        <w:t>questionnaires, which may result in potential bias due to non-response, thereby complicating accurate quantification. Furthermore, the effectiveness of questionnaires may be limited to individuals with higher literacy levels and cooperative respondents, making it less affective for certain groups of individuals. Additionally, challenges arise in determining whether willing participants accurately represent the target population, raising concerns regarding the validity of the collected data.</w:t>
      </w:r>
    </w:p>
    <w:p w14:paraId="7E67937B" w14:textId="77777777" w:rsidR="00887F75" w:rsidRDefault="00F2468B">
      <w:r>
        <w:t xml:space="preserve">Regarding focus </w:t>
      </w:r>
      <w:r>
        <w:t xml:space="preserve">group interviews, similar benefits and drawbacks are evident. As noted by (UK Government, 2026), the advantages include the facilitation of discussion, idea sharing, and debate through group dynamics. They provide a wide range of shared experiences from individuals with similar characteristics, such as those experiencing late diagnoses of dyslexia. Krueger (2014) and Mansell (2004) continue by stating that the focus group format offers several advantages, including relative cost-effectiveness. They further </w:t>
      </w:r>
      <w:r>
        <w:t>explain that facilitated discussions enable participants to build on one another’s ideas through a process known as “piggybacking,” making focus groups particularly effective for needs assessment and project evaluation. Given their qualitative nature, focus groups allow researchers to look deeper than just facts and figures typically gathered through surveys.</w:t>
      </w:r>
    </w:p>
    <w:p w14:paraId="7E67937C" w14:textId="77777777" w:rsidR="00887F75" w:rsidRDefault="00F2468B">
      <w:r>
        <w:t xml:space="preserve">Ratnapalan and Hilliard (2002) further argue that focus groups depend significantly on facilitated discussions to yield results, highlighting the </w:t>
      </w:r>
      <w:r>
        <w:t>importance of effective facilitation. Additionally, while the focus group format mitigates the risks associated with a nominal group process, there remains the possibility for more vocal individuals to dominate the conversation.</w:t>
      </w:r>
    </w:p>
    <w:p w14:paraId="7E67937D" w14:textId="77777777" w:rsidR="00887F75" w:rsidRDefault="00F2468B">
      <w:r>
        <w:rPr>
          <w:b/>
          <w:bCs/>
        </w:rPr>
        <w:t>Sampling:</w:t>
      </w:r>
    </w:p>
    <w:p w14:paraId="7E67937E" w14:textId="77777777" w:rsidR="00887F75" w:rsidRDefault="00F2468B">
      <w:r>
        <w:t xml:space="preserve">The cohort in which the student will be conducting research on are individuals within the higher education sector who have received both late and early diagnoses of dyslexia. The selection of participants will be facilitated through a questionnaire, employing a </w:t>
      </w:r>
      <w:r>
        <w:lastRenderedPageBreak/>
        <w:t>convenience</w:t>
      </w:r>
      <w:r>
        <w:t xml:space="preserve"> sampling strategy. This approach is suitable for this study as it allows to identify participants from the researcher’s university, thus ensuring ease of access. Rahi (2017) supports this methodology by stating that convenience sampling refers to the data collection process from a research population that is readily accessible to the researcher. </w:t>
      </w:r>
    </w:p>
    <w:p w14:paraId="7E67937F" w14:textId="77777777" w:rsidR="00887F75" w:rsidRDefault="00F2468B">
      <w:r>
        <w:t xml:space="preserve">While this strategy offers certain advantages for the student's research, it is essential for her to weigh both its benefits and drawbacks. Amanda (2021) </w:t>
      </w:r>
      <w:r>
        <w:t xml:space="preserve">highlights that one significant advantage of convenience sampling lies in its practical benefits, particularly in terms of accessibility and ease of recruitment. Students are readily available within academic environments, making them a convenient demographic for researchers to engage without extensive effort or resources. </w:t>
      </w:r>
    </w:p>
    <w:p w14:paraId="7E679380" w14:textId="77777777" w:rsidR="00887F75" w:rsidRDefault="00F2468B">
      <w:r>
        <w:t xml:space="preserve">Conversely, Mumtaz Ali Memon (2025) argue that a notable drawback is the lack of rigor and transparency, which may compromise the credibility of quantitative studies. Convenience </w:t>
      </w:r>
      <w:r>
        <w:t xml:space="preserve">sampling frequently fails to accurately represent the wider population, potentially leading to significant discrepancies in findings. This issue is particularly pronounced when the sample is self-selected or derived from easily accessible groups, which may not adequately reflect the diversity or characteristics of the target population. </w:t>
      </w:r>
    </w:p>
    <w:p w14:paraId="7E679381" w14:textId="77777777" w:rsidR="00887F75" w:rsidRDefault="00F2468B">
      <w:r>
        <w:rPr>
          <w:b/>
          <w:bCs/>
        </w:rPr>
        <w:t>Data Analysis</w:t>
      </w:r>
    </w:p>
    <w:p w14:paraId="7E679382" w14:textId="77777777" w:rsidR="00887F75" w:rsidRDefault="00F2468B">
      <w:r>
        <w:t xml:space="preserve">Microsoft Excel will be used to analyse the data derived from the questionnaire. This software is advantageous as it provides a variety of built-in features, </w:t>
      </w:r>
      <w:r>
        <w:t xml:space="preserve">including charting capabilities and an Analysis ToolPak, which enhance its functionality beyond standard spreadsheet operations. Warner and Meehan (2001) support this statement by noting that Microsoft Excel is regarded as a valuable tool for data analysis, owing to several factors related to its functionality, accessibility, and integration capabilities. It offers an array of built-in features, such as charting capabilities and the Analysis ToolPak, which extend its data analysis functions beyond typical </w:t>
      </w:r>
      <w:r>
        <w:t xml:space="preserve">spreadsheet operations, therefore making it comparable to specialised statistical software. This refers to an individual being able to use a software that they already know instead of needing to learn separate specialised applications. However, the student must also consider the drawbacks associated with using Microsoft Excel. Kelvin, Wahab, Wulandari, and Meirista (2024) assert that a significant limitation is its vulnerability to human errors during data processing, which can undermine the accuracy and </w:t>
      </w:r>
      <w:r>
        <w:t>consistency of the results. Additionally, Microsoft E</w:t>
      </w:r>
      <w:r>
        <w:rPr>
          <w:color w:val="002060"/>
        </w:rPr>
        <w:t>x</w:t>
      </w:r>
      <w:r>
        <w:t>cel has</w:t>
      </w:r>
      <w:r>
        <w:rPr>
          <w:color w:val="FF0000"/>
        </w:rPr>
        <w:t xml:space="preserve"> </w:t>
      </w:r>
      <w:r>
        <w:t>limitations in managing and processing large volumes of data, which may impede performance and scalability in complex analysis.</w:t>
      </w:r>
    </w:p>
    <w:p w14:paraId="7E679383" w14:textId="77777777" w:rsidR="00887F75" w:rsidRDefault="00F2468B">
      <w:r>
        <w:t xml:space="preserve">Additionally for the interviews a thematic analysis will take place. Thematic analysis is one of the most widely utilized methods for analysing qualitative data which offers a structured yet fixable framework for identifying and analysing within a report </w:t>
      </w:r>
      <w:r>
        <w:rPr>
          <w:rFonts w:cs="Aptos"/>
        </w:rPr>
        <w:t>(</w:t>
      </w:r>
      <w:r>
        <w:rPr>
          <w:rFonts w:cs="Aptos"/>
          <w:color w:val="222222"/>
        </w:rPr>
        <w:t>Braun and Clarke 2006)</w:t>
      </w:r>
      <w:r>
        <w:t xml:space="preserve">. </w:t>
      </w:r>
      <w:r>
        <w:lastRenderedPageBreak/>
        <w:t xml:space="preserve">The Braun and Clarke six phase framework </w:t>
      </w:r>
      <w:r>
        <w:t xml:space="preserve">will be beneficial for this study as it has been adopted across multiple disciples including health research, education and social sciences. Braun and Clarke's six phase framework includes familiarisation yourself with the data, generating initial codes, searching for themes, reviewing potential themes, defining and naming themes and then writing up the information you found </w:t>
      </w:r>
      <w:r>
        <w:rPr>
          <w:rFonts w:cs="Aptos"/>
        </w:rPr>
        <w:t>(</w:t>
      </w:r>
      <w:r>
        <w:rPr>
          <w:rFonts w:cs="Aptos"/>
          <w:color w:val="222222"/>
        </w:rPr>
        <w:t>Braun and Clarke, 2024).</w:t>
      </w:r>
      <w:r>
        <w:t xml:space="preserve"> Each of these phases contribute systemically to the development of meaning insights while also allowing the </w:t>
      </w:r>
      <w:r>
        <w:t xml:space="preserve">researcher to remain actively engaged with data throughout the process. </w:t>
      </w:r>
    </w:p>
    <w:p w14:paraId="7E679384" w14:textId="77777777" w:rsidR="00887F75" w:rsidRDefault="00F2468B">
      <w:r>
        <w:rPr>
          <w:b/>
          <w:bCs/>
        </w:rPr>
        <w:t>Ethical Considerations:</w:t>
      </w:r>
    </w:p>
    <w:p w14:paraId="7E679385" w14:textId="77777777" w:rsidR="00887F75" w:rsidRDefault="00F2468B">
      <w:r>
        <w:t xml:space="preserve">In the questionnaire, participants will be required to tick a box stating: “Please tick to confirm that you would like to participate in the study.” This practice is referred to as informed consent and is deemed ethical, as noted by Bonifacio (2026) and Alifia (2025), who assert that incorporating a tick box for consent serves as an effective mechanism for documenting agreement to participate. </w:t>
      </w:r>
    </w:p>
    <w:p w14:paraId="7E679386" w14:textId="77777777" w:rsidR="00887F75" w:rsidRDefault="00F2468B">
      <w:r>
        <w:t xml:space="preserve">Furthermore, </w:t>
      </w:r>
      <w:r>
        <w:t xml:space="preserve">participants who have agreed to take part in the study will also be given the right to withdraw at any time. Should they choose to do so, the researcher will ensure that any information related to the participant is removed from the questionnaire and not utilised. </w:t>
      </w:r>
    </w:p>
    <w:p w14:paraId="7E679387" w14:textId="77777777" w:rsidR="00887F75" w:rsidRDefault="00F2468B">
      <w:r>
        <w:rPr>
          <w:b/>
          <w:bCs/>
        </w:rPr>
        <w:t>Feasibility:</w:t>
      </w:r>
    </w:p>
    <w:p w14:paraId="7E679388" w14:textId="77777777" w:rsidR="00887F75" w:rsidRDefault="00F2468B">
      <w:r>
        <w:t xml:space="preserve">When it comes to the practical aspects of this research study, the researcher needs to consider feasibility. This includes the time available to complete the research study, the resources needed such as whether the researcher can </w:t>
      </w:r>
      <w:r>
        <w:t>realistically access the participants or data. For access to participants, the researcher can contact student services and ask them for help by asking if they would be able to share the questionnaire to students.</w:t>
      </w:r>
    </w:p>
    <w:p w14:paraId="7E679389" w14:textId="77777777" w:rsidR="00887F75" w:rsidRDefault="00F2468B">
      <w:r>
        <w:rPr>
          <w:b/>
          <w:bCs/>
        </w:rPr>
        <w:t xml:space="preserve">Expected Outcomes and Potential Impact </w:t>
      </w:r>
    </w:p>
    <w:p w14:paraId="7E67938A" w14:textId="77777777" w:rsidR="00887F75" w:rsidRDefault="00F2468B">
      <w:r>
        <w:t xml:space="preserve">Through this research, the researcher aims to identify significant differences, particularly with respect to gender and age. Gender may significantly influence the findings, as a previous study by Hawke, Olson, Willcutt, Wadsworth, and DeFries (2009), which </w:t>
      </w:r>
      <w:r>
        <w:t>included the current study’s sample, which revealed greater variance in reading skills among males. Larger standard deviations in male reading performance indicate a broader distribution, which theoretically increases the male-to-female ratio in both extremes of the overall group distribution.</w:t>
      </w:r>
    </w:p>
    <w:p w14:paraId="7E67938B" w14:textId="77777777" w:rsidR="00887F75" w:rsidRDefault="00F2468B">
      <w:r>
        <w:t xml:space="preserve">Moreover, age is a crucial factor in the student’s research, as the focus is on adults. Stark and Johnson (2026) have indicated that age influences dyslexia in various ways, </w:t>
      </w:r>
      <w:r>
        <w:lastRenderedPageBreak/>
        <w:t xml:space="preserve">particularly concerning the timing of </w:t>
      </w:r>
      <w:r>
        <w:t xml:space="preserve">diagnosis and developmental changes in reading-related processes. Research on adults with dyslexia suggests that the age at which individuals receive a diagnosis impacts their experiences and outcomes. Those diagnosed either early or late, without comorbidities, tend to report more positive or neutral experiences. This implies that an earlier diagnosis may facilitate better coping and acceptance, whereas a late diagnosis, in the absence of additional disorders, does not necessarily lead to poorer outcomes. </w:t>
      </w:r>
      <w:r>
        <w:t>This could inform policy by encouraging universities to implement screening at enrolment rather than during induction days.</w:t>
      </w:r>
    </w:p>
    <w:p w14:paraId="7E67938C" w14:textId="77777777" w:rsidR="00887F75" w:rsidRDefault="00F2468B">
      <w:r>
        <w:rPr>
          <w:b/>
          <w:bCs/>
        </w:rPr>
        <w:t xml:space="preserve">Conclusion </w:t>
      </w:r>
    </w:p>
    <w:p w14:paraId="7E67938D" w14:textId="77777777" w:rsidR="00887F75" w:rsidRDefault="00F2468B">
      <w:pPr>
        <w:spacing w:before="240" w:after="240"/>
        <w:rPr>
          <w:rFonts w:cs="Aptos"/>
        </w:rPr>
      </w:pPr>
      <w:r>
        <w:rPr>
          <w:rFonts w:cs="Aptos"/>
        </w:rPr>
        <w:t>In conclusion, the proposed study is significant as it addresses a distinct gap in understanding how a late diagnosis of dyslexia influences university students’ academic identity, coping strategies, and self-perception. The existing literature suggests that adults diagnosed only after beginning higher education frequently encounter challenges in understanding and accepting</w:t>
      </w:r>
      <w:r>
        <w:rPr>
          <w:rFonts w:cs="Aptos"/>
        </w:rPr>
        <w:t xml:space="preserve"> their condition, highlighting the necessity for further investigation. By employing a mixed-methods approach, the study aims to produce both statistical patterns and detailed personal narratives, thereby facilitating a more comprehensive response to the research questions. Overall, the study is poised to make a meaningful contribution to Health and Social Care by enhancing early screening practices, reinforcing university support systems, and fostering more inclusive environments within higher education.</w:t>
      </w:r>
    </w:p>
    <w:p w14:paraId="7E67938E" w14:textId="77777777" w:rsidR="00887F75" w:rsidRDefault="00887F75">
      <w:pPr>
        <w:pageBreakBefore/>
        <w:suppressAutoHyphens w:val="0"/>
        <w:rPr>
          <w:rFonts w:cs="Aptos"/>
        </w:rPr>
      </w:pPr>
    </w:p>
    <w:p w14:paraId="7E67938F" w14:textId="77777777" w:rsidR="00887F75" w:rsidRDefault="00887F75">
      <w:pPr>
        <w:spacing w:before="240" w:after="240"/>
      </w:pPr>
    </w:p>
    <w:p w14:paraId="7E679390" w14:textId="77777777" w:rsidR="00887F75" w:rsidRDefault="00F2468B">
      <w:r>
        <w:rPr>
          <w:b/>
          <w:bCs/>
        </w:rPr>
        <w:t>References</w:t>
      </w:r>
    </w:p>
    <w:p w14:paraId="7E679391" w14:textId="77777777" w:rsidR="00887F75" w:rsidRDefault="00F2468B">
      <w:pPr>
        <w:spacing w:after="240" w:line="360" w:lineRule="auto"/>
      </w:pPr>
      <w:r>
        <w:rPr>
          <w:rFonts w:cs="Aptos"/>
        </w:rPr>
        <w:t xml:space="preserve">Alifia, R.R.. (2025) ‘Bridging ethical gaps in digital health research: a framework for informed consent aligned with NIH guidance,’ BMC medical ethics, 26(1). Available at: </w:t>
      </w:r>
      <w:hyperlink r:id="rId9" w:history="1">
        <w:r>
          <w:rPr>
            <w:rFonts w:cs="Aptos"/>
          </w:rPr>
          <w:t>https://doi.org/10.1186/s12910-025-01291-5</w:t>
        </w:r>
      </w:hyperlink>
      <w:r>
        <w:rPr>
          <w:rFonts w:cs="Aptos"/>
        </w:rPr>
        <w:t xml:space="preserve">. </w:t>
      </w:r>
    </w:p>
    <w:p w14:paraId="7E679392" w14:textId="77777777" w:rsidR="00887F75" w:rsidRDefault="00F2468B">
      <w:pPr>
        <w:spacing w:after="240" w:line="360" w:lineRule="auto"/>
      </w:pPr>
      <w:r>
        <w:rPr>
          <w:rFonts w:cs="Aptos"/>
        </w:rPr>
        <w:t xml:space="preserve">Al‐Osaimi, D.N. (2024) ‘The impact of digital learning on Saudi nursing students’ engagement: A qualitative study,’ Nursing open, 11(8), pp. e2188-n/a. Available at: </w:t>
      </w:r>
      <w:hyperlink r:id="rId10" w:history="1">
        <w:r>
          <w:rPr>
            <w:rFonts w:cs="Aptos"/>
          </w:rPr>
          <w:t>https://doi.org/10.1002/nop2.2188</w:t>
        </w:r>
      </w:hyperlink>
      <w:r>
        <w:rPr>
          <w:rFonts w:cs="Aptos"/>
        </w:rPr>
        <w:t xml:space="preserve">. </w:t>
      </w:r>
    </w:p>
    <w:p w14:paraId="7E679393" w14:textId="77777777" w:rsidR="00887F75" w:rsidRDefault="00F2468B">
      <w:pPr>
        <w:spacing w:after="240" w:line="360" w:lineRule="auto"/>
      </w:pPr>
      <w:r>
        <w:rPr>
          <w:rFonts w:cs="Aptos"/>
        </w:rPr>
        <w:t xml:space="preserve">Amanda Shen (2021) 'Student Subjects in Research,' Voices in bioethics, 7. Available at: </w:t>
      </w:r>
      <w:hyperlink r:id="rId11" w:history="1">
        <w:r>
          <w:rPr>
            <w:rFonts w:cs="Aptos"/>
          </w:rPr>
          <w:t>https://doi.org/10.52214/vib.v7i.8924</w:t>
        </w:r>
      </w:hyperlink>
      <w:r>
        <w:rPr>
          <w:rFonts w:cs="Aptos"/>
        </w:rPr>
        <w:t xml:space="preserve">. </w:t>
      </w:r>
    </w:p>
    <w:p w14:paraId="7E679394" w14:textId="77777777" w:rsidR="00887F75" w:rsidRDefault="00F2468B">
      <w:pPr>
        <w:spacing w:after="240" w:line="360" w:lineRule="auto"/>
      </w:pPr>
      <w:r>
        <w:rPr>
          <w:rFonts w:cs="Aptos"/>
        </w:rPr>
        <w:t xml:space="preserve">Available at: </w:t>
      </w:r>
      <w:hyperlink r:id="rId12" w:history="1">
        <w:r>
          <w:rPr>
            <w:rFonts w:cs="Aptos"/>
          </w:rPr>
          <w:t>https://doi.org/10.31098/bmss.v5i2.977</w:t>
        </w:r>
      </w:hyperlink>
      <w:r>
        <w:rPr>
          <w:rFonts w:cs="Aptos"/>
        </w:rPr>
        <w:t xml:space="preserve">. </w:t>
      </w:r>
    </w:p>
    <w:p w14:paraId="7E679395" w14:textId="77777777" w:rsidR="00887F75" w:rsidRDefault="00F2468B">
      <w:pPr>
        <w:spacing w:after="240" w:line="360" w:lineRule="auto"/>
      </w:pPr>
      <w:r>
        <w:rPr>
          <w:rFonts w:cs="Aptos"/>
        </w:rPr>
        <w:t>Bonifacio, D. (2026) 'Informed consent in clinical research: Medico-legal standards, ethical challenges and forensic implications in UK and EU frameworks,' Medicine, science, and</w:t>
      </w:r>
      <w:r>
        <w:rPr>
          <w:rFonts w:cs="Aptos"/>
        </w:rPr>
        <w:t xml:space="preserve"> the law, 66(3), pp. 263–274. Available at: </w:t>
      </w:r>
      <w:hyperlink r:id="rId13" w:history="1">
        <w:r>
          <w:rPr>
            <w:rFonts w:cs="Aptos"/>
          </w:rPr>
          <w:t>https://doi.org/10.1177/00258024251408947</w:t>
        </w:r>
      </w:hyperlink>
      <w:r>
        <w:rPr>
          <w:rFonts w:cs="Aptos"/>
        </w:rPr>
        <w:t xml:space="preserve">. </w:t>
      </w:r>
    </w:p>
    <w:p w14:paraId="7E679396" w14:textId="77777777" w:rsidR="00887F75" w:rsidRDefault="00F2468B">
      <w:pPr>
        <w:spacing w:after="240" w:line="360" w:lineRule="auto"/>
      </w:pPr>
      <w:r>
        <w:rPr>
          <w:rFonts w:cs="Aptos"/>
        </w:rPr>
        <w:t xml:space="preserve">Braun, V. and Clarke, V., 2006. Using thematic analysis in psychology. Qualitative research in psychology, 3(2), pp.77-101. </w:t>
      </w:r>
    </w:p>
    <w:p w14:paraId="7E679397" w14:textId="77777777" w:rsidR="00887F75" w:rsidRDefault="00F2468B">
      <w:pPr>
        <w:spacing w:after="240" w:line="360" w:lineRule="auto"/>
      </w:pPr>
      <w:r>
        <w:rPr>
          <w:rFonts w:cs="Aptos"/>
        </w:rPr>
        <w:t xml:space="preserve">Braun, V. and Clarke, V., 2024. Supporting best practice in reflexive thematic analysis reporting in Palliative Medicine: A review of published research and introduction to the Reflexive Thematic Analysis Reporting Guidelines (RTARG). </w:t>
      </w:r>
      <w:r>
        <w:rPr>
          <w:rFonts w:cs="Aptos"/>
        </w:rPr>
        <w:t xml:space="preserve">Palliative medicine, 38(6), pp.608-616. </w:t>
      </w:r>
    </w:p>
    <w:p w14:paraId="7E679398" w14:textId="77777777" w:rsidR="00887F75" w:rsidRDefault="00F2468B">
      <w:pPr>
        <w:spacing w:after="240" w:line="360" w:lineRule="auto"/>
      </w:pPr>
      <w:r>
        <w:rPr>
          <w:rFonts w:cs="Aptos"/>
        </w:rPr>
        <w:t xml:space="preserve">Caldarelli, G. (2025) 'Psychological counselling services at a Southern Italian university: utilization rates and characteristics of university students asking help,” Rivista di psichiatria, 60(2), pp. 71–77. Available at: </w:t>
      </w:r>
      <w:hyperlink r:id="rId14" w:history="1">
        <w:r>
          <w:rPr>
            <w:rFonts w:cs="Aptos"/>
          </w:rPr>
          <w:t>https://doi.org/10.1708/4487.44876</w:t>
        </w:r>
      </w:hyperlink>
      <w:r>
        <w:rPr>
          <w:rFonts w:cs="Aptos"/>
        </w:rPr>
        <w:t xml:space="preserve">. </w:t>
      </w:r>
    </w:p>
    <w:p w14:paraId="7E679399" w14:textId="77777777" w:rsidR="00887F75" w:rsidRDefault="00F2468B">
      <w:pPr>
        <w:spacing w:after="240" w:line="360" w:lineRule="auto"/>
      </w:pPr>
      <w:r>
        <w:rPr>
          <w:rFonts w:cs="Aptos"/>
        </w:rPr>
        <w:lastRenderedPageBreak/>
        <w:t xml:space="preserve">Carr, L.T. (2010) “The strengths and weaknesses of quantitative and qualitative research: what method for nursing?,” Journal of advanced nursing, 20(4), pp. </w:t>
      </w:r>
      <w:r>
        <w:rPr>
          <w:rFonts w:cs="Aptos"/>
        </w:rPr>
        <w:t xml:space="preserve">716–721. Available at: </w:t>
      </w:r>
      <w:hyperlink r:id="rId15" w:history="1">
        <w:r>
          <w:rPr>
            <w:rFonts w:cs="Aptos"/>
          </w:rPr>
          <w:t>https://doi.org/10.1046/j.1365-2648.1994.20040716.x</w:t>
        </w:r>
      </w:hyperlink>
      <w:r>
        <w:rPr>
          <w:rFonts w:cs="Aptos"/>
        </w:rPr>
        <w:t xml:space="preserve">. </w:t>
      </w:r>
    </w:p>
    <w:p w14:paraId="7E67939A" w14:textId="77777777" w:rsidR="00887F75" w:rsidRDefault="00F2468B">
      <w:pPr>
        <w:spacing w:after="240" w:line="360" w:lineRule="auto"/>
      </w:pPr>
      <w:r>
        <w:rPr>
          <w:rFonts w:cs="Aptos"/>
        </w:rPr>
        <w:t xml:space="preserve">Chow, M.Y.K., Quine, S. and Li, M. (2010) “The benefits of using a mixed methods approach - quantitative with qualitative - to identify client satisfaction and unmet needs in an HIV healthcare centre,” AIDS care, 22(4), pp. 491–498. Available at: </w:t>
      </w:r>
      <w:hyperlink r:id="rId16" w:history="1">
        <w:r>
          <w:rPr>
            <w:rFonts w:cs="Aptos"/>
          </w:rPr>
          <w:t>https://doi.org/10.1080/09540120903214371</w:t>
        </w:r>
      </w:hyperlink>
      <w:r>
        <w:rPr>
          <w:rFonts w:cs="Aptos"/>
        </w:rPr>
        <w:t xml:space="preserve">. </w:t>
      </w:r>
    </w:p>
    <w:p w14:paraId="7E67939B" w14:textId="77777777" w:rsidR="00887F75" w:rsidRDefault="00F2468B">
      <w:pPr>
        <w:spacing w:after="240" w:line="360" w:lineRule="auto"/>
      </w:pPr>
      <w:r>
        <w:rPr>
          <w:rFonts w:cs="Aptos"/>
        </w:rPr>
        <w:t xml:space="preserve">Cleland, J.A. </w:t>
      </w:r>
      <w:r>
        <w:rPr>
          <w:rFonts w:cs="Aptos"/>
        </w:rPr>
        <w:t xml:space="preserve">(2017). The qualitative orientation in Medical education research. </w:t>
      </w:r>
      <w:r>
        <w:rPr>
          <w:rFonts w:cs="Aptos"/>
          <w:i/>
          <w:iCs/>
        </w:rPr>
        <w:t>Korean journal of Medical education</w:t>
      </w:r>
      <w:r>
        <w:rPr>
          <w:rFonts w:cs="Aptos"/>
        </w:rPr>
        <w:t>, [online] 29(2), pp.61–71. doi:10.3946/kjme.2017.53.</w:t>
      </w:r>
    </w:p>
    <w:p w14:paraId="7E67939C" w14:textId="77777777" w:rsidR="00887F75" w:rsidRDefault="00F2468B">
      <w:pPr>
        <w:spacing w:after="240" w:line="360" w:lineRule="auto"/>
      </w:pPr>
      <w:r>
        <w:rPr>
          <w:rFonts w:cs="Aptos"/>
        </w:rPr>
        <w:t xml:space="preserve">Creswell, J.W. and Creswell, J.D., 2017. Research design: Qualitative, quantitative, and mixed methods approaches. Sage publications. </w:t>
      </w:r>
    </w:p>
    <w:p w14:paraId="7E67939D" w14:textId="77777777" w:rsidR="00887F75" w:rsidRDefault="00F2468B">
      <w:pPr>
        <w:spacing w:after="240" w:line="360" w:lineRule="auto"/>
      </w:pPr>
      <w:r>
        <w:rPr>
          <w:rFonts w:cs="Aptos"/>
        </w:rPr>
        <w:t xml:space="preserve"> </w:t>
      </w:r>
    </w:p>
    <w:p w14:paraId="7E67939E" w14:textId="77777777" w:rsidR="00887F75" w:rsidRDefault="00F2468B">
      <w:pPr>
        <w:spacing w:after="240" w:line="360" w:lineRule="auto"/>
      </w:pPr>
      <w:r>
        <w:rPr>
          <w:rFonts w:cs="Aptos"/>
        </w:rPr>
        <w:t xml:space="preserve"> </w:t>
      </w:r>
    </w:p>
    <w:p w14:paraId="7E67939F" w14:textId="77777777" w:rsidR="00887F75" w:rsidRDefault="00F2468B">
      <w:pPr>
        <w:spacing w:after="240" w:line="360" w:lineRule="auto"/>
      </w:pPr>
      <w:r>
        <w:rPr>
          <w:rFonts w:cs="Aptos"/>
        </w:rPr>
        <w:t xml:space="preserve"> </w:t>
      </w:r>
    </w:p>
    <w:p w14:paraId="7E6793A0" w14:textId="77777777" w:rsidR="00887F75" w:rsidRDefault="00F2468B">
      <w:pPr>
        <w:spacing w:after="240" w:line="360" w:lineRule="auto"/>
      </w:pPr>
      <w:r>
        <w:rPr>
          <w:rFonts w:cs="Aptos"/>
        </w:rPr>
        <w:t xml:space="preserve">Cleland, J.A. (2017). The qualitative orientation in Medical education research. Korean journal of Medical education, [online] 29(2), pp.61–71. doi:10.3946/kjme.2017.53. </w:t>
      </w:r>
    </w:p>
    <w:p w14:paraId="7E6793A1" w14:textId="77777777" w:rsidR="00887F75" w:rsidRDefault="00F2468B">
      <w:pPr>
        <w:spacing w:after="240" w:line="360" w:lineRule="auto"/>
      </w:pPr>
      <w:r>
        <w:rPr>
          <w:rFonts w:cs="Aptos"/>
        </w:rPr>
        <w:t xml:space="preserve"> </w:t>
      </w:r>
    </w:p>
    <w:p w14:paraId="7E6793A2" w14:textId="77777777" w:rsidR="00887F75" w:rsidRDefault="00F2468B">
      <w:pPr>
        <w:spacing w:after="240" w:line="360" w:lineRule="auto"/>
      </w:pPr>
      <w:r>
        <w:rPr>
          <w:rFonts w:cs="Aptos"/>
        </w:rPr>
        <w:t xml:space="preserve">Moser, A. and Korstjens, I. (2017). </w:t>
      </w:r>
      <w:r>
        <w:rPr>
          <w:rFonts w:cs="Aptos"/>
        </w:rPr>
        <w:t xml:space="preserve">Series: Practical guidance to Qualitative research. Part 1: Introduction. </w:t>
      </w:r>
      <w:r>
        <w:rPr>
          <w:rFonts w:cs="Aptos"/>
          <w:i/>
          <w:iCs/>
        </w:rPr>
        <w:t>European journal of General practice</w:t>
      </w:r>
      <w:r>
        <w:rPr>
          <w:rFonts w:cs="Aptos"/>
        </w:rPr>
        <w:t>, [online] 23(1), pp.271–273. doi:10.1080/13814788.2017.1375093.</w:t>
      </w:r>
    </w:p>
    <w:p w14:paraId="7E6793A3" w14:textId="77777777" w:rsidR="00887F75" w:rsidRDefault="00F2468B">
      <w:pPr>
        <w:spacing w:after="240" w:line="360" w:lineRule="auto"/>
      </w:pPr>
      <w:r>
        <w:rPr>
          <w:rFonts w:cs="Aptos"/>
        </w:rPr>
        <w:t xml:space="preserve">Dahal, B. (2024) “Participants’ Right to Withdraw from Research: Researchers’ Lived Experiences on Ethics of Withdrawal,” Journal of academic ethics, 22(1), pp. 191–209. Available at: </w:t>
      </w:r>
      <w:hyperlink r:id="rId17" w:history="1">
        <w:r>
          <w:rPr>
            <w:rFonts w:cs="Aptos"/>
          </w:rPr>
          <w:t>https://doi.org/10.1007/s10805-024-09513-y</w:t>
        </w:r>
      </w:hyperlink>
      <w:r>
        <w:rPr>
          <w:rFonts w:cs="Aptos"/>
        </w:rPr>
        <w:t xml:space="preserve">. </w:t>
      </w:r>
    </w:p>
    <w:p w14:paraId="7E6793A4" w14:textId="77777777" w:rsidR="00887F75" w:rsidRDefault="00F2468B">
      <w:pPr>
        <w:spacing w:after="240" w:line="360" w:lineRule="auto"/>
      </w:pPr>
      <w:r>
        <w:rPr>
          <w:rFonts w:cs="Aptos"/>
        </w:rPr>
        <w:lastRenderedPageBreak/>
        <w:t xml:space="preserve">Doherty, C.A. (2015) Late identification of </w:t>
      </w:r>
      <w:r>
        <w:rPr>
          <w:rFonts w:cs="Aptos"/>
        </w:rPr>
        <w:t xml:space="preserve">dyslexia: a qualitative exploration of student views and experiences. Available at: </w:t>
      </w:r>
    </w:p>
    <w:p w14:paraId="7E6793A5" w14:textId="77777777" w:rsidR="00887F75" w:rsidRDefault="00F2468B">
      <w:pPr>
        <w:spacing w:after="240" w:line="360" w:lineRule="auto"/>
      </w:pPr>
      <w:r>
        <w:rPr>
          <w:rFonts w:cs="Aptos"/>
        </w:rPr>
        <w:t xml:space="preserve">GOV.UK (2020). Focus group study: Qualitative studies. [online] GOV.UK. Available at: </w:t>
      </w:r>
      <w:hyperlink r:id="rId18" w:history="1">
        <w:r>
          <w:rPr>
            <w:rFonts w:cs="Aptos"/>
          </w:rPr>
          <w:t>https://www.gov.uk/guidance/focus-group-study-qualitative-studies</w:t>
        </w:r>
      </w:hyperlink>
      <w:r>
        <w:rPr>
          <w:rFonts w:cs="Aptos"/>
        </w:rPr>
        <w:t xml:space="preserve"> [Accessed 15 July 2026]. </w:t>
      </w:r>
    </w:p>
    <w:p w14:paraId="7E6793A6" w14:textId="77777777" w:rsidR="00887F75" w:rsidRDefault="00F2468B">
      <w:pPr>
        <w:spacing w:after="240" w:line="360" w:lineRule="auto"/>
      </w:pPr>
      <w:r>
        <w:rPr>
          <w:rFonts w:cs="Aptos"/>
        </w:rPr>
        <w:t xml:space="preserve">Harding, S., Chauhan‐Sims, M., Oxley, E. and Nash, H.M., 2023. A Delphi study exploring the barriers to dyslexia diagnosis and support: A parent's perspective. </w:t>
      </w:r>
      <w:r>
        <w:rPr>
          <w:rFonts w:cs="Aptos"/>
        </w:rPr>
        <w:t xml:space="preserve">Dyslexia, 29(3), pp.162-178. </w:t>
      </w:r>
    </w:p>
    <w:p w14:paraId="7E6793A7" w14:textId="77777777" w:rsidR="00887F75" w:rsidRDefault="00F2468B">
      <w:pPr>
        <w:spacing w:after="240" w:line="360" w:lineRule="auto"/>
      </w:pPr>
      <w:r>
        <w:rPr>
          <w:rFonts w:cs="Aptos"/>
        </w:rPr>
        <w:t xml:space="preserve">Hawke, J.L., Olson, R.K., Willcut, E.G., Wadsworth, S.J. and DeFries, J.C. (2009). Gender ratios for Reading difficulties. Dyslexia, [online] 15(3), pp.239–242. doi:10.1002/dys.389. </w:t>
      </w:r>
    </w:p>
    <w:p w14:paraId="7E6793A8" w14:textId="77777777" w:rsidR="00887F75" w:rsidRDefault="00F2468B">
      <w:pPr>
        <w:spacing w:after="240" w:line="360" w:lineRule="auto"/>
      </w:pPr>
      <w:r>
        <w:rPr>
          <w:rFonts w:cs="Aptos"/>
        </w:rPr>
        <w:t xml:space="preserve">Hawke, Jesse L., et al. (2009) “Gender Ratios for Reading Difficulties.” Dyslexia, 15(3) pp. 239–242, </w:t>
      </w:r>
      <w:hyperlink r:id="rId19" w:history="1">
        <w:r>
          <w:rPr>
            <w:rFonts w:cs="Aptos"/>
          </w:rPr>
          <w:t>https://www.ncbi.nlm.nih.gov/pmc/articles/PMC2739722/</w:t>
        </w:r>
      </w:hyperlink>
      <w:r>
        <w:rPr>
          <w:rFonts w:cs="Aptos"/>
        </w:rPr>
        <w:t xml:space="preserve">, 10.1002/dys.389. Accessed 20 July 2026. </w:t>
      </w:r>
    </w:p>
    <w:p w14:paraId="7E6793A9" w14:textId="77777777" w:rsidR="00887F75" w:rsidRDefault="00F2468B">
      <w:pPr>
        <w:spacing w:after="240" w:line="360" w:lineRule="auto"/>
      </w:pPr>
      <w:hyperlink r:id="rId20" w:history="1">
        <w:r>
          <w:rPr>
            <w:rFonts w:cs="Aptos"/>
          </w:rPr>
          <w:t>https://www.gov.uk/guidance/focus-group-study-qualitative-studies</w:t>
        </w:r>
      </w:hyperlink>
      <w:r>
        <w:rPr>
          <w:rFonts w:cs="Aptos"/>
        </w:rPr>
        <w:t xml:space="preserve">. (Accessed: 15 July 2026) </w:t>
      </w:r>
    </w:p>
    <w:p w14:paraId="7E6793AA" w14:textId="77777777" w:rsidR="00887F75" w:rsidRDefault="00F2468B">
      <w:pPr>
        <w:spacing w:after="240" w:line="360" w:lineRule="auto"/>
      </w:pPr>
      <w:r>
        <w:rPr>
          <w:rFonts w:cs="Aptos"/>
        </w:rPr>
        <w:t xml:space="preserve">International dyslexia association. (2026). 2026 Definition of Dyslexia - international dyslexia association. [online] Available at: </w:t>
      </w:r>
      <w:hyperlink r:id="rId21" w:history="1">
        <w:r>
          <w:rPr>
            <w:rFonts w:cs="Aptos"/>
          </w:rPr>
          <w:t>https://dyslexiaida.org/2026-definition-of-dyslexia/</w:t>
        </w:r>
      </w:hyperlink>
      <w:r>
        <w:rPr>
          <w:rFonts w:cs="Aptos"/>
        </w:rPr>
        <w:t xml:space="preserve"> [Accessed 19 July 2026]. </w:t>
      </w:r>
    </w:p>
    <w:p w14:paraId="7E6793AB" w14:textId="77777777" w:rsidR="00887F75" w:rsidRDefault="00F2468B">
      <w:pPr>
        <w:spacing w:after="240" w:line="360" w:lineRule="auto"/>
      </w:pPr>
      <w:r>
        <w:rPr>
          <w:rFonts w:cs="Aptos"/>
        </w:rPr>
        <w:t xml:space="preserve">Katz, J. and Sokal, L. (2016) “Universal design for </w:t>
      </w:r>
      <w:r>
        <w:rPr>
          <w:rFonts w:cs="Aptos"/>
        </w:rPr>
        <w:t xml:space="preserve">learning as a bridge to inclusion: a qualitative report of student voices,” International journal of whole schooling, 12(2), p. 36. </w:t>
      </w:r>
    </w:p>
    <w:p w14:paraId="7E6793AC" w14:textId="77777777" w:rsidR="00887F75" w:rsidRDefault="00F2468B">
      <w:pPr>
        <w:spacing w:after="240" w:line="360" w:lineRule="auto"/>
      </w:pPr>
      <w:r>
        <w:rPr>
          <w:rFonts w:cs="Aptos"/>
        </w:rPr>
        <w:t xml:space="preserve">Kelvin, Kelvin, Wahab, Wahidin; Wulandari, Meirista (2024) “Computer Resource Utilization Analysis for Microsoft Excel and Python in Data Processing.” Available at: </w:t>
      </w:r>
      <w:hyperlink r:id="rId22" w:history="1">
        <w:r>
          <w:rPr>
            <w:rFonts w:cs="Aptos"/>
          </w:rPr>
          <w:t>https://doi.org/10.21512/emacsjournal.v6i2.11736</w:t>
        </w:r>
      </w:hyperlink>
      <w:r>
        <w:rPr>
          <w:rFonts w:cs="Aptos"/>
        </w:rPr>
        <w:t xml:space="preserve">. </w:t>
      </w:r>
    </w:p>
    <w:p w14:paraId="7E6793AD" w14:textId="77777777" w:rsidR="00887F75" w:rsidRDefault="00F2468B">
      <w:pPr>
        <w:spacing w:after="240" w:line="360" w:lineRule="auto"/>
      </w:pPr>
      <w:r>
        <w:rPr>
          <w:rFonts w:cs="Aptos"/>
        </w:rPr>
        <w:lastRenderedPageBreak/>
        <w:t xml:space="preserve">Kothari, C. R. (2004). Research Methodology, Methods and Techniques. New Delhi: New Age </w:t>
      </w:r>
      <w:r>
        <w:rPr>
          <w:rFonts w:cs="Aptos"/>
        </w:rPr>
        <w:t xml:space="preserve">International (P) Ltd., Publishers. </w:t>
      </w:r>
    </w:p>
    <w:p w14:paraId="7E6793AE" w14:textId="77777777" w:rsidR="00887F75" w:rsidRDefault="00F2468B">
      <w:pPr>
        <w:spacing w:after="240" w:line="360" w:lineRule="auto"/>
      </w:pPr>
      <w:r>
        <w:rPr>
          <w:rFonts w:cs="Aptos"/>
        </w:rPr>
        <w:t xml:space="preserve">Krueger, R.A., 2014. Focus groups: A practical guide for applied research. Sage publications. </w:t>
      </w:r>
    </w:p>
    <w:p w14:paraId="7E6793AF" w14:textId="77777777" w:rsidR="00887F75" w:rsidRDefault="00F2468B">
      <w:pPr>
        <w:spacing w:after="240" w:line="360" w:lineRule="auto"/>
      </w:pPr>
      <w:r>
        <w:rPr>
          <w:rFonts w:cs="Aptos"/>
        </w:rPr>
        <w:t xml:space="preserve">Mactague, N. (2001) Development of a model of academic student support services for Nova Southeastern University programs for higher education. ProQuest Dissertations &amp; Theses. </w:t>
      </w:r>
    </w:p>
    <w:p w14:paraId="7E6793B0" w14:textId="77777777" w:rsidR="00887F75" w:rsidRDefault="00F2468B">
      <w:pPr>
        <w:spacing w:after="240" w:line="360" w:lineRule="auto"/>
      </w:pPr>
      <w:r>
        <w:rPr>
          <w:rFonts w:cs="Aptos"/>
        </w:rPr>
        <w:t>Mansell, I., Bennett, G., Northway, R., Mead, D. and Moseley, L. (2004). The learning curve: The advantages and disadvantages in the use of Focus groups as a method of Data collection. Nurse researcher,</w:t>
      </w:r>
      <w:r>
        <w:rPr>
          <w:rFonts w:cs="Aptos"/>
        </w:rPr>
        <w:t xml:space="preserve"> 11(4), pp.79–88. doi:10.7748/nr2004.07.11.4.79.c6217. </w:t>
      </w:r>
    </w:p>
    <w:p w14:paraId="7E6793B1" w14:textId="77777777" w:rsidR="00887F75" w:rsidRDefault="00F2468B">
      <w:pPr>
        <w:spacing w:after="240" w:line="360" w:lineRule="auto"/>
      </w:pPr>
      <w:r>
        <w:rPr>
          <w:rFonts w:cs="Aptos"/>
        </w:rPr>
        <w:t xml:space="preserve">Mansell, Ian, “The Learning Curve: The Advantages and Disadvantages in the Use of Focus Groups as a Method of Data Collection.” Nurse Researcher, vol. 11, no. 4, July 2004, pp. 79–88, 10.7748/nr2004.07.11.4.79.c6217. </w:t>
      </w:r>
    </w:p>
    <w:p w14:paraId="7E6793B2" w14:textId="77777777" w:rsidR="00887F75" w:rsidRDefault="00F2468B">
      <w:pPr>
        <w:spacing w:after="240" w:line="360" w:lineRule="auto"/>
      </w:pPr>
      <w:r>
        <w:rPr>
          <w:rFonts w:cs="Aptos"/>
        </w:rPr>
        <w:t xml:space="preserve">McKenna, L., Copnell, B. and Smith, G. (2021) “Getting the methods right: Challenges and appropriateness of mixed methods research in health‐related doctoral studies,” Journal of clinical nursing, 30(3–4), pp. 581–587. Available at: </w:t>
      </w:r>
      <w:hyperlink r:id="rId23" w:history="1">
        <w:r>
          <w:rPr>
            <w:rFonts w:cs="Aptos"/>
          </w:rPr>
          <w:t>https://doi.org/10.1111/jocn.15534</w:t>
        </w:r>
      </w:hyperlink>
      <w:r>
        <w:rPr>
          <w:rFonts w:cs="Aptos"/>
        </w:rPr>
        <w:t xml:space="preserve">. </w:t>
      </w:r>
    </w:p>
    <w:p w14:paraId="7E6793B3" w14:textId="77777777" w:rsidR="00887F75" w:rsidRDefault="00F2468B">
      <w:pPr>
        <w:spacing w:after="240" w:line="360" w:lineRule="auto"/>
      </w:pPr>
      <w:r>
        <w:rPr>
          <w:rFonts w:cs="Aptos"/>
        </w:rPr>
        <w:t xml:space="preserve">McLeod, S. (2025). Qualitative vs quantitative research methods &amp; data analysis. [online] Simply psychology. Available at: </w:t>
      </w:r>
      <w:hyperlink r:id="rId24" w:history="1">
        <w:r>
          <w:rPr>
            <w:rFonts w:cs="Aptos"/>
          </w:rPr>
          <w:t>https://www.simplypsychology.org/qualitative-quantitative.html</w:t>
        </w:r>
      </w:hyperlink>
      <w:r>
        <w:rPr>
          <w:rFonts w:cs="Aptos"/>
        </w:rPr>
        <w:t xml:space="preserve"> [Accessed 15 July 2026]. </w:t>
      </w:r>
    </w:p>
    <w:p w14:paraId="7E6793B4" w14:textId="77777777" w:rsidR="00887F75" w:rsidRDefault="00F2468B">
      <w:pPr>
        <w:spacing w:after="240" w:line="360" w:lineRule="auto"/>
      </w:pPr>
      <w:r>
        <w:rPr>
          <w:rFonts w:cs="Aptos"/>
        </w:rPr>
        <w:t xml:space="preserve">Miller, T.. (2025) “Registered nurses’ perspective of nurse practitioners: A mixed‐methods study,” International nursing review, </w:t>
      </w:r>
      <w:r>
        <w:rPr>
          <w:rFonts w:cs="Aptos"/>
        </w:rPr>
        <w:t xml:space="preserve">72(1), pp. e13102-n/a. Available at: </w:t>
      </w:r>
      <w:hyperlink r:id="rId25" w:history="1">
        <w:r>
          <w:rPr>
            <w:rFonts w:cs="Aptos"/>
          </w:rPr>
          <w:t>https://doi.org/10.1111/inr.13102</w:t>
        </w:r>
      </w:hyperlink>
      <w:r>
        <w:rPr>
          <w:rFonts w:cs="Aptos"/>
        </w:rPr>
        <w:t xml:space="preserve">. </w:t>
      </w:r>
    </w:p>
    <w:p w14:paraId="7E6793B5" w14:textId="77777777" w:rsidR="00887F75" w:rsidRDefault="00F2468B">
      <w:pPr>
        <w:spacing w:after="240" w:line="360" w:lineRule="auto"/>
      </w:pPr>
      <w:r>
        <w:rPr>
          <w:rFonts w:cs="Aptos"/>
        </w:rPr>
        <w:t xml:space="preserve">Mumtaz Ali Memon et al. (2025) “CONVENIENCE SAMPLING: A REVIEW AND GUIDELINES FOR QUANTITATIVE RESEARCH,” Journal of Applied Structural Equation Modelling, 9(2), pp. 1–15. Available at: </w:t>
      </w:r>
      <w:hyperlink r:id="rId26" w:history="1">
        <w:r>
          <w:rPr>
            <w:rFonts w:cs="Aptos"/>
          </w:rPr>
          <w:t>https://doi.org/10.47263/JASEM.9(2)01</w:t>
        </w:r>
      </w:hyperlink>
      <w:r>
        <w:rPr>
          <w:rFonts w:cs="Aptos"/>
        </w:rPr>
        <w:t xml:space="preserve">. </w:t>
      </w:r>
    </w:p>
    <w:p w14:paraId="7E6793B6" w14:textId="77777777" w:rsidR="00887F75" w:rsidRDefault="00F2468B">
      <w:pPr>
        <w:spacing w:after="240" w:line="360" w:lineRule="auto"/>
      </w:pPr>
      <w:r>
        <w:rPr>
          <w:rFonts w:cs="Aptos"/>
        </w:rPr>
        <w:lastRenderedPageBreak/>
        <w:t xml:space="preserve">Muryani, E. (2025) “Developing a MOOC-Based System for Student Community Services Program (KKN) </w:t>
      </w:r>
      <w:r>
        <w:rPr>
          <w:rFonts w:cs="Aptos"/>
        </w:rPr>
        <w:t xml:space="preserve">Preparation and Assessment UPN Veteran Yogyakarta,” RSF Conference Series : Business, Management and Social Sciences, 5(2), pp. 269–276.  </w:t>
      </w:r>
    </w:p>
    <w:p w14:paraId="7E6793B7" w14:textId="77777777" w:rsidR="00887F75" w:rsidRDefault="00F2468B">
      <w:pPr>
        <w:spacing w:after="240" w:line="360" w:lineRule="auto"/>
      </w:pPr>
      <w:r>
        <w:rPr>
          <w:rFonts w:cs="Aptos"/>
        </w:rPr>
        <w:t xml:space="preserve">Mwita, K. (2022) “Strengths and weaknesses of qualitative research in social science studies,” International journal of research in business and social science, 11(6), pp. 618– </w:t>
      </w:r>
    </w:p>
    <w:p w14:paraId="7E6793B8" w14:textId="77777777" w:rsidR="00887F75" w:rsidRDefault="00F2468B">
      <w:pPr>
        <w:spacing w:after="240" w:line="360" w:lineRule="auto"/>
      </w:pPr>
      <w:r>
        <w:rPr>
          <w:rFonts w:cs="Aptos"/>
        </w:rPr>
        <w:t xml:space="preserve">Olofsson, Å., Taube, K. and Ahl, A. (2015). Academic achievement of University students with dyslexia. Dyslexia, 21(4), pp.338–349. doi:10.1002/dys.1517. </w:t>
      </w:r>
    </w:p>
    <w:p w14:paraId="7E6793B9" w14:textId="77777777" w:rsidR="00887F75" w:rsidRDefault="00F2468B">
      <w:pPr>
        <w:spacing w:after="240" w:line="360" w:lineRule="auto"/>
      </w:pPr>
      <w:r>
        <w:rPr>
          <w:rFonts w:cs="Aptos"/>
        </w:rPr>
        <w:t xml:space="preserve">Ranganathan, P. and Caduff, C. (2023). </w:t>
      </w:r>
      <w:r>
        <w:rPr>
          <w:rFonts w:cs="Aptos"/>
        </w:rPr>
        <w:t xml:space="preserve">Designing and validating a research questionnaire. Perspectives in clinical research, 14(3), pp.152–155. doi:10.4103/picr.picr_140_23. </w:t>
      </w:r>
    </w:p>
    <w:p w14:paraId="7E6793BA" w14:textId="77777777" w:rsidR="00887F75" w:rsidRDefault="00F2468B">
      <w:pPr>
        <w:spacing w:after="240" w:line="360" w:lineRule="auto"/>
      </w:pPr>
      <w:r>
        <w:rPr>
          <w:rFonts w:cs="Aptos"/>
        </w:rPr>
        <w:t xml:space="preserve">Rashid, H. (2022, October 31). Main aspects of questionnaire. Library &amp; Information Management. </w:t>
      </w:r>
      <w:hyperlink r:id="rId27" w:history="1">
        <w:r>
          <w:rPr>
            <w:rFonts w:cs="Aptos"/>
          </w:rPr>
          <w:t>https://limbd.org/questionnaire-main-aspects-merits-demerits-of-questionnaire/</w:t>
        </w:r>
      </w:hyperlink>
      <w:r>
        <w:rPr>
          <w:rFonts w:cs="Aptos"/>
        </w:rPr>
        <w:t xml:space="preserve"> </w:t>
      </w:r>
    </w:p>
    <w:p w14:paraId="7E6793BB" w14:textId="77777777" w:rsidR="00887F75" w:rsidRDefault="00F2468B">
      <w:pPr>
        <w:spacing w:after="240" w:line="360" w:lineRule="auto"/>
      </w:pPr>
      <w:r>
        <w:rPr>
          <w:rFonts w:cs="Aptos"/>
        </w:rPr>
        <w:t>Ratnapalan, S. and Hilliard, R.I. (2002). Needs assessment in Postgraduate medical education: A review.</w:t>
      </w:r>
      <w:r>
        <w:rPr>
          <w:rFonts w:cs="Aptos"/>
        </w:rPr>
        <w:t xml:space="preserve"> Medical education online, [online] 7(1), p.4542. doi:10.3402/meo.v7i.4542. </w:t>
      </w:r>
    </w:p>
    <w:p w14:paraId="7E6793BC" w14:textId="77777777" w:rsidR="00887F75" w:rsidRDefault="00F2468B">
      <w:pPr>
        <w:spacing w:after="240" w:line="360" w:lineRule="auto"/>
      </w:pPr>
      <w:r>
        <w:rPr>
          <w:rFonts w:cs="Aptos"/>
        </w:rPr>
        <w:t xml:space="preserve">Shabnam, J. et al. (2025) “Patients’ experiences of responding to a Patient-Reported Outcome Measure for palliative care: a mixed method study,” Quality of life research, 34(9), pp. 2651–2662. Available at: </w:t>
      </w:r>
      <w:hyperlink r:id="rId28" w:history="1">
        <w:r>
          <w:rPr>
            <w:rFonts w:cs="Aptos"/>
          </w:rPr>
          <w:t>https://doi.org/10.1007/s11136-025-04006-w</w:t>
        </w:r>
      </w:hyperlink>
      <w:r>
        <w:rPr>
          <w:rFonts w:cs="Aptos"/>
        </w:rPr>
        <w:t xml:space="preserve">. </w:t>
      </w:r>
    </w:p>
    <w:p w14:paraId="7E6793BD" w14:textId="77777777" w:rsidR="00887F75" w:rsidRDefault="00F2468B">
      <w:pPr>
        <w:spacing w:after="240" w:line="360" w:lineRule="auto"/>
      </w:pPr>
      <w:r>
        <w:rPr>
          <w:rFonts w:cs="Aptos"/>
        </w:rPr>
        <w:t xml:space="preserve">Stark, Z. and Johnson, A.P. (2026) “Understanding the experience of adults with dyslexia: a quantitative and qualitative </w:t>
      </w:r>
      <w:r>
        <w:rPr>
          <w:rFonts w:cs="Aptos"/>
        </w:rPr>
        <w:t xml:space="preserve">analysis,” Annals of dyslexia, 76(1), pp. 67–93. Available at: </w:t>
      </w:r>
      <w:hyperlink r:id="rId29" w:history="1">
        <w:r>
          <w:rPr>
            <w:rFonts w:cs="Aptos"/>
          </w:rPr>
          <w:t>https://doi.org/10.1007/s11881-025-00336-z</w:t>
        </w:r>
      </w:hyperlink>
      <w:r>
        <w:rPr>
          <w:rFonts w:cs="Aptos"/>
        </w:rPr>
        <w:t xml:space="preserve">. </w:t>
      </w:r>
    </w:p>
    <w:p w14:paraId="7E6793BE" w14:textId="77777777" w:rsidR="00887F75" w:rsidRDefault="00F2468B">
      <w:pPr>
        <w:spacing w:after="240" w:line="360" w:lineRule="auto"/>
      </w:pPr>
      <w:r>
        <w:rPr>
          <w:rFonts w:cs="Aptos"/>
        </w:rPr>
        <w:t xml:space="preserve">Vauhkonen, A. et al. (2025) “Outcomes and Acceptability of the Community‐Based Occupational Well‐Being Intervention Among Health Care Educators—Mixed Method Pilot Study,” Scandinavian journal of caring sciences, 39(4), pp. e70161-n/a. Available at: </w:t>
      </w:r>
      <w:hyperlink r:id="rId30" w:history="1">
        <w:r>
          <w:rPr>
            <w:rFonts w:cs="Aptos"/>
          </w:rPr>
          <w:t>https://doi.org/10.1111/scs.70161</w:t>
        </w:r>
      </w:hyperlink>
      <w:r>
        <w:rPr>
          <w:rFonts w:cs="Aptos"/>
        </w:rPr>
        <w:t xml:space="preserve">. </w:t>
      </w:r>
    </w:p>
    <w:p w14:paraId="7E6793BF" w14:textId="77777777" w:rsidR="00887F75" w:rsidRDefault="00F2468B">
      <w:pPr>
        <w:spacing w:after="240" w:line="360" w:lineRule="auto"/>
      </w:pPr>
      <w:r>
        <w:rPr>
          <w:rFonts w:cs="Aptos"/>
        </w:rPr>
        <w:lastRenderedPageBreak/>
        <w:t xml:space="preserve">Warner, C.B. and Meehan, A.M. (2001) “Microsoft ExcelTM as a Tool for Teaching Basic Statistics,” Teaching of psychology, 28(4), pp. 295–298. Available at: </w:t>
      </w:r>
      <w:hyperlink r:id="rId31" w:history="1">
        <w:r>
          <w:rPr>
            <w:rFonts w:cs="Aptos"/>
          </w:rPr>
          <w:t>https://doi.org/10.1207/S15328023TOP2804_11</w:t>
        </w:r>
      </w:hyperlink>
      <w:r>
        <w:rPr>
          <w:rFonts w:cs="Aptos"/>
        </w:rPr>
        <w:t>.</w:t>
      </w:r>
    </w:p>
    <w:p w14:paraId="7E6793C0" w14:textId="77777777" w:rsidR="00887F75" w:rsidRDefault="00887F75">
      <w:pPr>
        <w:spacing w:after="240" w:line="360" w:lineRule="auto"/>
        <w:rPr>
          <w:rFonts w:cs="Aptos"/>
        </w:rPr>
      </w:pPr>
    </w:p>
    <w:p w14:paraId="7E6793C1" w14:textId="77777777" w:rsidR="00887F75" w:rsidRDefault="00887F75"/>
    <w:sectPr w:rsidR="00887F75">
      <w:headerReference w:type="default" r:id="rId32"/>
      <w:footerReference w:type="default" r:id="rId3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9CEAC" w14:textId="77777777" w:rsidR="00F2468B" w:rsidRDefault="00F2468B">
      <w:pPr>
        <w:spacing w:after="0" w:line="240" w:lineRule="auto"/>
      </w:pPr>
      <w:r>
        <w:separator/>
      </w:r>
    </w:p>
  </w:endnote>
  <w:endnote w:type="continuationSeparator" w:id="0">
    <w:p w14:paraId="15774A5C" w14:textId="77777777" w:rsidR="00F2468B" w:rsidRDefault="00F24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CellMar>
        <w:left w:w="10" w:type="dxa"/>
        <w:right w:w="10" w:type="dxa"/>
      </w:tblCellMar>
      <w:tblLook w:val="04A0" w:firstRow="1" w:lastRow="0" w:firstColumn="1" w:lastColumn="0" w:noHBand="0" w:noVBand="1"/>
    </w:tblPr>
    <w:tblGrid>
      <w:gridCol w:w="3120"/>
      <w:gridCol w:w="3120"/>
      <w:gridCol w:w="3120"/>
    </w:tblGrid>
    <w:tr w:rsidR="00203E6B" w14:paraId="7E67936D" w14:textId="77777777">
      <w:tblPrEx>
        <w:tblCellMar>
          <w:top w:w="0" w:type="dxa"/>
          <w:bottom w:w="0" w:type="dxa"/>
        </w:tblCellMar>
      </w:tblPrEx>
      <w:trPr>
        <w:trHeight w:val="300"/>
      </w:trPr>
      <w:tc>
        <w:tcPr>
          <w:tcW w:w="3120" w:type="dxa"/>
          <w:tcMar>
            <w:top w:w="0" w:type="dxa"/>
            <w:left w:w="108" w:type="dxa"/>
            <w:bottom w:w="0" w:type="dxa"/>
            <w:right w:w="108" w:type="dxa"/>
          </w:tcMar>
        </w:tcPr>
        <w:p w14:paraId="7E67936A" w14:textId="77777777" w:rsidR="00F2468B" w:rsidRDefault="00F2468B">
          <w:pPr>
            <w:pStyle w:val="Header"/>
            <w:ind w:left="-115"/>
          </w:pPr>
        </w:p>
      </w:tc>
      <w:tc>
        <w:tcPr>
          <w:tcW w:w="3120" w:type="dxa"/>
          <w:tcMar>
            <w:top w:w="0" w:type="dxa"/>
            <w:left w:w="108" w:type="dxa"/>
            <w:bottom w:w="0" w:type="dxa"/>
            <w:right w:w="108" w:type="dxa"/>
          </w:tcMar>
        </w:tcPr>
        <w:p w14:paraId="7E67936B" w14:textId="77777777" w:rsidR="00F2468B" w:rsidRDefault="00F2468B">
          <w:pPr>
            <w:pStyle w:val="Header"/>
            <w:jc w:val="center"/>
          </w:pPr>
        </w:p>
      </w:tc>
      <w:tc>
        <w:tcPr>
          <w:tcW w:w="3120" w:type="dxa"/>
          <w:tcMar>
            <w:top w:w="0" w:type="dxa"/>
            <w:left w:w="108" w:type="dxa"/>
            <w:bottom w:w="0" w:type="dxa"/>
            <w:right w:w="108" w:type="dxa"/>
          </w:tcMar>
        </w:tcPr>
        <w:p w14:paraId="7E67936C" w14:textId="77777777" w:rsidR="00F2468B" w:rsidRDefault="00F2468B">
          <w:pPr>
            <w:pStyle w:val="Header"/>
            <w:ind w:right="-115"/>
            <w:jc w:val="right"/>
          </w:pPr>
        </w:p>
      </w:tc>
    </w:tr>
  </w:tbl>
  <w:p w14:paraId="7E67936E" w14:textId="77777777" w:rsidR="00F2468B" w:rsidRDefault="00F24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80DD3" w14:textId="77777777" w:rsidR="00F2468B" w:rsidRDefault="00F2468B">
      <w:pPr>
        <w:spacing w:after="0" w:line="240" w:lineRule="auto"/>
      </w:pPr>
      <w:r>
        <w:rPr>
          <w:color w:val="000000"/>
        </w:rPr>
        <w:separator/>
      </w:r>
    </w:p>
  </w:footnote>
  <w:footnote w:type="continuationSeparator" w:id="0">
    <w:p w14:paraId="69508AAD" w14:textId="77777777" w:rsidR="00F2468B" w:rsidRDefault="00F24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CellMar>
        <w:left w:w="10" w:type="dxa"/>
        <w:right w:w="10" w:type="dxa"/>
      </w:tblCellMar>
      <w:tblLook w:val="04A0" w:firstRow="1" w:lastRow="0" w:firstColumn="1" w:lastColumn="0" w:noHBand="0" w:noVBand="1"/>
    </w:tblPr>
    <w:tblGrid>
      <w:gridCol w:w="3120"/>
      <w:gridCol w:w="3120"/>
      <w:gridCol w:w="3120"/>
    </w:tblGrid>
    <w:tr w:rsidR="00203E6B" w14:paraId="7E679367" w14:textId="77777777">
      <w:tblPrEx>
        <w:tblCellMar>
          <w:top w:w="0" w:type="dxa"/>
          <w:bottom w:w="0" w:type="dxa"/>
        </w:tblCellMar>
      </w:tblPrEx>
      <w:trPr>
        <w:trHeight w:val="300"/>
      </w:trPr>
      <w:tc>
        <w:tcPr>
          <w:tcW w:w="3120" w:type="dxa"/>
          <w:tcMar>
            <w:top w:w="0" w:type="dxa"/>
            <w:left w:w="108" w:type="dxa"/>
            <w:bottom w:w="0" w:type="dxa"/>
            <w:right w:w="108" w:type="dxa"/>
          </w:tcMar>
        </w:tcPr>
        <w:p w14:paraId="7E679364" w14:textId="77777777" w:rsidR="00F2468B" w:rsidRDefault="00F2468B">
          <w:pPr>
            <w:pStyle w:val="Header"/>
            <w:ind w:left="-115"/>
          </w:pPr>
        </w:p>
      </w:tc>
      <w:tc>
        <w:tcPr>
          <w:tcW w:w="3120" w:type="dxa"/>
          <w:tcMar>
            <w:top w:w="0" w:type="dxa"/>
            <w:left w:w="108" w:type="dxa"/>
            <w:bottom w:w="0" w:type="dxa"/>
            <w:right w:w="108" w:type="dxa"/>
          </w:tcMar>
        </w:tcPr>
        <w:p w14:paraId="7E679365" w14:textId="77777777" w:rsidR="00F2468B" w:rsidRDefault="00F2468B">
          <w:pPr>
            <w:pStyle w:val="Header"/>
            <w:jc w:val="center"/>
          </w:pPr>
        </w:p>
      </w:tc>
      <w:tc>
        <w:tcPr>
          <w:tcW w:w="3120" w:type="dxa"/>
          <w:tcMar>
            <w:top w:w="0" w:type="dxa"/>
            <w:left w:w="108" w:type="dxa"/>
            <w:bottom w:w="0" w:type="dxa"/>
            <w:right w:w="108" w:type="dxa"/>
          </w:tcMar>
        </w:tcPr>
        <w:p w14:paraId="7E679366" w14:textId="77777777" w:rsidR="00F2468B" w:rsidRDefault="00F2468B">
          <w:pPr>
            <w:pStyle w:val="Header"/>
            <w:ind w:right="-115"/>
            <w:jc w:val="right"/>
          </w:pPr>
        </w:p>
      </w:tc>
    </w:tr>
  </w:tbl>
  <w:p w14:paraId="7E679368" w14:textId="77777777" w:rsidR="00F2468B" w:rsidRDefault="00F246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87F75"/>
    <w:rsid w:val="001C1259"/>
    <w:rsid w:val="00887F75"/>
    <w:rsid w:val="00B50EFE"/>
    <w:rsid w:val="00F24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67935C"/>
  <w15:docId w15:val="{E32BBA17-04D8-4F95-A864-E48688F6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0563C1"/>
      <w:u w:val="single"/>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00258024251408947" TargetMode="External"/><Relationship Id="rId18" Type="http://schemas.openxmlformats.org/officeDocument/2006/relationships/hyperlink" Target="https://www.gov.uk/guidance/focus-group-study-qualitative-studies" TargetMode="External"/><Relationship Id="rId26" Type="http://schemas.openxmlformats.org/officeDocument/2006/relationships/hyperlink" Target="https://doi.org/10.47263/JASEM.9(2)01" TargetMode="External"/><Relationship Id="rId3" Type="http://schemas.openxmlformats.org/officeDocument/2006/relationships/customXml" Target="../customXml/item3.xml"/><Relationship Id="rId21" Type="http://schemas.openxmlformats.org/officeDocument/2006/relationships/hyperlink" Target="https://dyslexiaida.org/2026-definition-of-dyslexia/"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31098/bmss.v5i2.977" TargetMode="External"/><Relationship Id="rId17" Type="http://schemas.openxmlformats.org/officeDocument/2006/relationships/hyperlink" Target="https://doi.org/10.1007/s10805-024-09513-y" TargetMode="External"/><Relationship Id="rId25" Type="http://schemas.openxmlformats.org/officeDocument/2006/relationships/hyperlink" Target="https://doi.org/10.1111/inr.13102"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80/09540120903214371" TargetMode="External"/><Relationship Id="rId20" Type="http://schemas.openxmlformats.org/officeDocument/2006/relationships/hyperlink" Target="https://www.gov.uk/guidance/focus-group-study-qualitative-studies" TargetMode="External"/><Relationship Id="rId29" Type="http://schemas.openxmlformats.org/officeDocument/2006/relationships/hyperlink" Target="https://doi.org/10.1007/s11881-025-00336-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52214/vib.v7i.8924" TargetMode="External"/><Relationship Id="rId24" Type="http://schemas.openxmlformats.org/officeDocument/2006/relationships/hyperlink" Target="https://www.simplypsychology.org/qualitative-quantitative.html"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i.org/10.1046/j.1365-2648.1994.20040716.x" TargetMode="External"/><Relationship Id="rId23" Type="http://schemas.openxmlformats.org/officeDocument/2006/relationships/hyperlink" Target="https://doi.org/10.1111/jocn.15534" TargetMode="External"/><Relationship Id="rId28" Type="http://schemas.openxmlformats.org/officeDocument/2006/relationships/hyperlink" Target="https://doi.org/10.1007/s11136-025-04006-w" TargetMode="External"/><Relationship Id="rId10" Type="http://schemas.openxmlformats.org/officeDocument/2006/relationships/hyperlink" Target="https://doi.org/10.1002/nop2.2188" TargetMode="External"/><Relationship Id="rId19" Type="http://schemas.openxmlformats.org/officeDocument/2006/relationships/hyperlink" Target="https://www.ncbi.nlm.nih.gov/pmc/articles/PMC2739722/" TargetMode="External"/><Relationship Id="rId31" Type="http://schemas.openxmlformats.org/officeDocument/2006/relationships/hyperlink" Target="https://doi.org/10.1207/S15328023TOP2804_11" TargetMode="External"/><Relationship Id="rId4" Type="http://schemas.openxmlformats.org/officeDocument/2006/relationships/styles" Target="styles.xml"/><Relationship Id="rId9" Type="http://schemas.openxmlformats.org/officeDocument/2006/relationships/hyperlink" Target="https://doi.org/10.1186/s12910-025-01291-5" TargetMode="External"/><Relationship Id="rId14" Type="http://schemas.openxmlformats.org/officeDocument/2006/relationships/hyperlink" Target="https://doi.org/10.1708/4487.44876" TargetMode="External"/><Relationship Id="rId22" Type="http://schemas.openxmlformats.org/officeDocument/2006/relationships/hyperlink" Target="https://doi.org/10.21512/emacsjournal.v6i2.11736" TargetMode="External"/><Relationship Id="rId27" Type="http://schemas.openxmlformats.org/officeDocument/2006/relationships/hyperlink" Target="https://limbd.org/questionnaire-main-aspects-merits-demerits-of-questionnaire/" TargetMode="External"/><Relationship Id="rId30" Type="http://schemas.openxmlformats.org/officeDocument/2006/relationships/hyperlink" Target="https://doi.org/10.1111/scs.70161" TargetMode="Externa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024deed804b00100b2d78f6e628e5b48">
  <xsd:schema xmlns:xsd="http://www.w3.org/2001/XMLSchema" xmlns:xs="http://www.w3.org/2001/XMLSchema" xmlns:p="http://schemas.microsoft.com/office/2006/metadata/properties" xmlns:ns3="0085e1a2-9cbf-4b92-866b-21f3c89040b6" targetNamespace="http://schemas.microsoft.com/office/2006/metadata/properties" ma:root="true" ma:fieldsID="ad7ac16d3c9d76e25616352253047ef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8ADA930-F200-438E-8B05-C16961CE1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E2FAC2-4C7B-4CBD-838A-E803D0E1B2D6}">
  <ds:schemaRefs>
    <ds:schemaRef ds:uri="http://schemas.microsoft.com/sharepoint/v3/contenttype/forms"/>
  </ds:schemaRefs>
</ds:datastoreItem>
</file>

<file path=customXml/itemProps3.xml><?xml version="1.0" encoding="utf-8"?>
<ds:datastoreItem xmlns:ds="http://schemas.openxmlformats.org/officeDocument/2006/customXml" ds:itemID="{753CF449-AE21-4056-A336-E7934BE5DC2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3832</Words>
  <Characters>21849</Characters>
  <Application>Microsoft Office Word</Application>
  <DocSecurity>0</DocSecurity>
  <Lines>182</Lines>
  <Paragraphs>51</Paragraphs>
  <ScaleCrop>false</ScaleCrop>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Davies (2200942)</dc:creator>
  <dc:description/>
  <cp:lastModifiedBy>Caitlyn Davies (2200942)</cp:lastModifiedBy>
  <cp:revision>2</cp:revision>
  <dcterms:created xsi:type="dcterms:W3CDTF">2026-07-24T12:19:00Z</dcterms:created>
  <dcterms:modified xsi:type="dcterms:W3CDTF">2026-07-24T12:19:00Z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4d3f864f-277c-4c42-834c-bdd695a59d5b</vt:lpwstr>
  </property>
  <property fmtid="{D5CDD505-2E9C-101B-9397-08002B2CF9AE}" pid="3" name="ContentTypeId">
    <vt:lpwstr>0x01010086E4C94D3791F742BF2CEB284273B86F</vt:lpwstr>
  </property>
</Properties>
</file>