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118CB437" w14:textId="73632C69" w:rsidR="006419C3" w:rsidRDefault="00E25D84" w:rsidP="00D83A40">
      <w:pPr>
        <w:pStyle w:val="AssignHeader"/>
      </w:pPr>
      <w:r>
        <w:t>How can we enable children to meet the success criteria through the use of a mini-plenary in Foundation Phase?</w:t>
      </w:r>
    </w:p>
    <w:p w14:paraId="11419B84" w14:textId="2F776DCA" w:rsidR="00D83A40" w:rsidRDefault="00D83A40" w:rsidP="00CD1240">
      <w:pPr>
        <w:pStyle w:val="AssignSubHeader"/>
      </w:pPr>
    </w:p>
    <w:p w14:paraId="13BBB0E2" w14:textId="2088A8D8" w:rsidR="00755E37" w:rsidRDefault="00755E37" w:rsidP="00755E37">
      <w:pPr>
        <w:pStyle w:val="AssignBody"/>
      </w:pP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Yr hyn yr wyf wedi'i wneud yn yr aseiniad hwn.</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181D3942" w14:textId="0549FDF5" w:rsidR="00755E37" w:rsidRPr="00E25D84" w:rsidRDefault="00E25D84">
            <w:pPr>
              <w:pStyle w:val="AssignBody"/>
              <w:rPr>
                <w:rFonts w:cs="Arial"/>
              </w:rPr>
            </w:pPr>
            <w:r w:rsidRPr="00E25D84">
              <w:rPr>
                <w:rFonts w:cs="Arial"/>
                <w:color w:val="283041"/>
                <w:shd w:val="clear" w:color="auto" w:fill="FFFFFF"/>
              </w:rPr>
              <w:t>Ensure you introduce/explain key terms, or links being as specific as possible - this will allow you to demonstrate knowledge and understanding. </w:t>
            </w:r>
          </w:p>
        </w:tc>
        <w:tc>
          <w:tcPr>
            <w:tcW w:w="3647" w:type="dxa"/>
            <w:tcBorders>
              <w:top w:val="single" w:sz="4" w:space="0" w:color="auto"/>
              <w:left w:val="single" w:sz="4" w:space="0" w:color="auto"/>
              <w:bottom w:val="single" w:sz="4" w:space="0" w:color="auto"/>
              <w:right w:val="single" w:sz="4" w:space="0" w:color="auto"/>
            </w:tcBorders>
          </w:tcPr>
          <w:p w14:paraId="342A62A2" w14:textId="6BCBD747" w:rsidR="00755E37" w:rsidRDefault="00E25D84">
            <w:pPr>
              <w:pStyle w:val="AssignBody"/>
            </w:pPr>
            <w:r>
              <w:t>Terminology has been explained to demonstrate knowledge and understanding.</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2A9415E3" w14:textId="1D23D7EB" w:rsidR="00E25D84" w:rsidRPr="00E25D84" w:rsidRDefault="00E25D84">
            <w:pPr>
              <w:pStyle w:val="AssignBody"/>
              <w:rPr>
                <w:rFonts w:cs="Arial"/>
                <w:color w:val="283041"/>
                <w:shd w:val="clear" w:color="auto" w:fill="FFFFFF"/>
              </w:rPr>
            </w:pPr>
            <w:r w:rsidRPr="00E25D84">
              <w:rPr>
                <w:rFonts w:cs="Arial"/>
                <w:color w:val="283041"/>
                <w:shd w:val="clear" w:color="auto" w:fill="FFFFFF"/>
              </w:rPr>
              <w:t>Link together points so that an argument develops. </w:t>
            </w:r>
          </w:p>
        </w:tc>
        <w:tc>
          <w:tcPr>
            <w:tcW w:w="3647" w:type="dxa"/>
            <w:tcBorders>
              <w:top w:val="single" w:sz="4" w:space="0" w:color="auto"/>
              <w:left w:val="single" w:sz="4" w:space="0" w:color="auto"/>
              <w:bottom w:val="single" w:sz="4" w:space="0" w:color="auto"/>
              <w:right w:val="single" w:sz="4" w:space="0" w:color="auto"/>
            </w:tcBorders>
          </w:tcPr>
          <w:p w14:paraId="0E186AA1" w14:textId="223FF56C" w:rsidR="00755E37" w:rsidRDefault="00E25D84">
            <w:pPr>
              <w:pStyle w:val="AssignBody"/>
            </w:pPr>
            <w:r>
              <w:t xml:space="preserve">Points have been continued over paragraphs within the assignment to develop an argument. </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47203029" w14:textId="505D6828" w:rsidR="00755E37" w:rsidRPr="00E25D84" w:rsidRDefault="00E25D84">
            <w:pPr>
              <w:pStyle w:val="AssignBody"/>
              <w:rPr>
                <w:rFonts w:cs="Arial"/>
              </w:rPr>
            </w:pPr>
            <w:r w:rsidRPr="00E25D84">
              <w:rPr>
                <w:rFonts w:cs="Arial"/>
                <w:color w:val="283041"/>
                <w:shd w:val="clear" w:color="auto" w:fill="FFFFFF"/>
              </w:rPr>
              <w:t>Avoid making /listing too many points in one sentence or one paragraph - consider signposting key points using topic sentences. </w:t>
            </w:r>
          </w:p>
        </w:tc>
        <w:tc>
          <w:tcPr>
            <w:tcW w:w="3647" w:type="dxa"/>
            <w:tcBorders>
              <w:top w:val="single" w:sz="4" w:space="0" w:color="auto"/>
              <w:left w:val="single" w:sz="4" w:space="0" w:color="auto"/>
              <w:bottom w:val="single" w:sz="4" w:space="0" w:color="auto"/>
              <w:right w:val="single" w:sz="4" w:space="0" w:color="auto"/>
            </w:tcBorders>
          </w:tcPr>
          <w:p w14:paraId="38E46D89" w14:textId="00D27235" w:rsidR="00755E37" w:rsidRDefault="00E25D84">
            <w:pPr>
              <w:pStyle w:val="AssignBody"/>
            </w:pPr>
            <w:r>
              <w:t xml:space="preserve">Points have been split into different paragraphs to avoid listing. </w:t>
            </w: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006380EB" w:rsidR="00755E37" w:rsidRDefault="0055366B" w:rsidP="00755E37">
      <w:pPr>
        <w:pStyle w:val="AssignBody"/>
      </w:pPr>
      <w:r>
        <w:t>Word Count: 5,4</w:t>
      </w:r>
      <w:r w:rsidR="009F0CFA">
        <w:t>89</w:t>
      </w:r>
      <w:bookmarkStart w:id="1" w:name="_GoBack"/>
      <w:bookmarkEnd w:id="1"/>
    </w:p>
    <w:p w14:paraId="65122894" w14:textId="255D4F1E" w:rsidR="00755E37" w:rsidRDefault="00755E37" w:rsidP="00755E37">
      <w:pPr>
        <w:pStyle w:val="AssignBody"/>
      </w:pPr>
    </w:p>
    <w:p w14:paraId="07B0FFAE" w14:textId="5AB1A67E" w:rsidR="00755E37" w:rsidRDefault="00755E37" w:rsidP="00755E37">
      <w:pPr>
        <w:pStyle w:val="AssignBody"/>
      </w:pPr>
    </w:p>
    <w:p w14:paraId="6C4D038A" w14:textId="618DC82E" w:rsidR="00E25D84" w:rsidRDefault="00E25D84" w:rsidP="00755E37">
      <w:pPr>
        <w:pStyle w:val="AssignBody"/>
      </w:pPr>
    </w:p>
    <w:p w14:paraId="17458114" w14:textId="77777777" w:rsidR="00E25D84" w:rsidRDefault="00E25D84" w:rsidP="00755E37">
      <w:pPr>
        <w:pStyle w:val="AssignBody"/>
      </w:pPr>
    </w:p>
    <w:p w14:paraId="06907C98" w14:textId="1501BCC2" w:rsidR="00755E37" w:rsidRDefault="00755E37" w:rsidP="00755E37">
      <w:pPr>
        <w:pStyle w:val="AssignBody"/>
      </w:pPr>
    </w:p>
    <w:p w14:paraId="7EB32162" w14:textId="3914B4AC" w:rsidR="00BB3186" w:rsidRDefault="00BB3186" w:rsidP="00755E37">
      <w:pPr>
        <w:pStyle w:val="AssignBody"/>
      </w:pPr>
    </w:p>
    <w:p w14:paraId="6A63FEED" w14:textId="77777777" w:rsidR="00BB3186" w:rsidRDefault="00BB3186" w:rsidP="00755E37">
      <w:pPr>
        <w:pStyle w:val="AssignBody"/>
      </w:pPr>
    </w:p>
    <w:p w14:paraId="4B9318D6" w14:textId="77777777" w:rsidR="00755E37" w:rsidRPr="00755E37" w:rsidRDefault="00755E37" w:rsidP="00755E37">
      <w:pPr>
        <w:pStyle w:val="AssignBody"/>
      </w:pPr>
    </w:p>
    <w:p w14:paraId="3123CD4F" w14:textId="36DCF294" w:rsidR="000D319E" w:rsidRDefault="000D319E" w:rsidP="000D319E">
      <w:pPr>
        <w:pStyle w:val="AssignBody"/>
      </w:pPr>
      <w:r>
        <w:lastRenderedPageBreak/>
        <w:t xml:space="preserve">The focus of the research activity considers the use of mini-plenaries in the Foundation Phase to support pupils in meeting success criteria. This interest arose as the research setting provides a learning intention and success criteria sheet for each piece of work pupils complete. On the sheet there are symbols of thumbs up, in the middle and thumbs down for pupils to self-assess against the success criteria. As pupils are familiar with this process, I wanted to explore how a mini-plenary can be used within the Foundation Phase to support pupils through this process and effectively meet the success criteria. </w:t>
      </w:r>
    </w:p>
    <w:p w14:paraId="5552E23E" w14:textId="77777777" w:rsidR="009018E5" w:rsidRDefault="009018E5" w:rsidP="000D319E">
      <w:pPr>
        <w:pStyle w:val="AssignBody"/>
      </w:pPr>
    </w:p>
    <w:p w14:paraId="3BDC8855" w14:textId="77777777" w:rsidR="009C61A3" w:rsidRDefault="000D319E" w:rsidP="000D319E">
      <w:pPr>
        <w:pStyle w:val="AssignBody"/>
      </w:pPr>
      <w:r>
        <w:t>The research setting includes pupils with Additional Learning Needs and/or English as an Additional Language. There are twenty-two boys and eight girls. They are familiar with success criteria and self-assessing their confidence and understanding in meeting these. After discussion with my research partner, we felt that as pupils were accustomed to this process it would be a promising area of research. The research question is ‘How can we enable children to meet the success criteria through the use of a mini-plenary in Foundation Phase?’. For my class this means how mini-plenaries support pupils in utilising the recognised success criteria sheet to meet the success criteria. Recorded work takes place in groups. Mini-plenaries occur within this to support learners individually.</w:t>
      </w:r>
      <w:r w:rsidR="009C61A3">
        <w:t xml:space="preserve"> </w:t>
      </w:r>
    </w:p>
    <w:p w14:paraId="070A78BF" w14:textId="77777777" w:rsidR="009C61A3" w:rsidRDefault="009C61A3" w:rsidP="000D319E">
      <w:pPr>
        <w:pStyle w:val="AssignBody"/>
      </w:pPr>
    </w:p>
    <w:p w14:paraId="12D6CE82" w14:textId="1666F67B" w:rsidR="000D319E" w:rsidRDefault="000D319E" w:rsidP="000D319E">
      <w:pPr>
        <w:pStyle w:val="AssignBody"/>
      </w:pPr>
      <w:r>
        <w:t xml:space="preserve">This prompted research on success criteria and mini-plenaries through reading books, reports and online materials. </w:t>
      </w:r>
    </w:p>
    <w:p w14:paraId="0B95E2FE" w14:textId="77777777" w:rsidR="009018E5" w:rsidRDefault="009018E5" w:rsidP="000D319E">
      <w:pPr>
        <w:pStyle w:val="AssignBody"/>
      </w:pPr>
    </w:p>
    <w:p w14:paraId="55BD066D" w14:textId="1031D210" w:rsidR="000D319E" w:rsidRDefault="000D319E" w:rsidP="000D319E">
      <w:pPr>
        <w:pStyle w:val="AssignBody"/>
      </w:pPr>
      <w:r>
        <w:t xml:space="preserve">Success criteria communicate the teacher’s expectations to pupils in what they must do to meet the corresponding learning intention. The learning intention summarises the knowledge and skills the teacher wants pupils to develop by the end of the lesson. Success criteria set out how the teacher assesses whether the pupil has achieved this (Education Services Australia, n.d.a). This indicates meeting the success criteria demonstrates to the teacher that the pupil has achieved the learning aim (Read and Hurford, 2010, p87-100). </w:t>
      </w:r>
    </w:p>
    <w:p w14:paraId="62547498" w14:textId="77777777" w:rsidR="009018E5" w:rsidRDefault="009018E5" w:rsidP="000D319E">
      <w:pPr>
        <w:pStyle w:val="AssignBody"/>
      </w:pPr>
    </w:p>
    <w:p w14:paraId="4FAC5C16" w14:textId="0C418D09" w:rsidR="000D319E" w:rsidRDefault="000D319E" w:rsidP="000D319E">
      <w:pPr>
        <w:pStyle w:val="AssignBody"/>
      </w:pPr>
      <w:r>
        <w:t>Success criteria are utilised by pupils to assess their learning and consider whether they believe they have met the lesson aim (Crichton and Mcdaid, 2016, p190-203). It is recommended success criteria are shared with pupils from the outset, so they are aware of their expectations before starting tasks (Hargreaves, Gipps and Pickering, 2014, p316-317; Torrance, 2007, p281-294). Success criteria can be created collaboratively by teachers and pupils. This could prove beneficial as it is recommended that for pupils to successfully make use of success criteria they must be worded so pupils can understand what is required.  A limited list is recommended to avoid pupils feeling overwhelmed and provid</w:t>
      </w:r>
      <w:r w:rsidR="009C61A3">
        <w:t xml:space="preserve">e </w:t>
      </w:r>
      <w:r>
        <w:t xml:space="preserve">them with </w:t>
      </w:r>
      <w:r>
        <w:lastRenderedPageBreak/>
        <w:t xml:space="preserve">attainable goals (Education Services Australia, n.d.b; Hargreaves, Gipps and Pickering, 2014, p316-317). </w:t>
      </w:r>
    </w:p>
    <w:p w14:paraId="5F23B0B8" w14:textId="77777777" w:rsidR="009018E5" w:rsidRDefault="009018E5" w:rsidP="000D319E">
      <w:pPr>
        <w:pStyle w:val="AssignBody"/>
      </w:pPr>
    </w:p>
    <w:p w14:paraId="2255A5B0" w14:textId="1D7EC7F1" w:rsidR="000D319E" w:rsidRDefault="000D319E" w:rsidP="000D319E">
      <w:pPr>
        <w:pStyle w:val="AssignBody"/>
      </w:pPr>
      <w:r>
        <w:t xml:space="preserve">They can guide </w:t>
      </w:r>
      <w:r w:rsidR="009416E5">
        <w:t xml:space="preserve">pupils in </w:t>
      </w:r>
      <w:r>
        <w:t xml:space="preserve">self and peer-assessment </w:t>
      </w:r>
      <w:r w:rsidR="009416E5">
        <w:t>in considering</w:t>
      </w:r>
      <w:r>
        <w:t xml:space="preserve"> the success of their own or their peers work (Crichton and Mcdaid, 2016, p190-203; Education Services Australia, n.d.</w:t>
      </w:r>
      <w:r w:rsidR="009416E5">
        <w:t>b</w:t>
      </w:r>
      <w:r>
        <w:t xml:space="preserve">). For pupils to accurately assess work using the success criteria, they must </w:t>
      </w:r>
      <w:r w:rsidR="009416E5">
        <w:t>understand</w:t>
      </w:r>
      <w:r>
        <w:t xml:space="preserve"> what the success criteria mean and look like (Wiliam, 2017). This proposes the pupils’ ability to conduct this task depends on their understanding of expectations and the process.</w:t>
      </w:r>
    </w:p>
    <w:p w14:paraId="78F8980C" w14:textId="77777777" w:rsidR="009018E5" w:rsidRDefault="009018E5" w:rsidP="000D319E">
      <w:pPr>
        <w:pStyle w:val="AssignBody"/>
      </w:pPr>
    </w:p>
    <w:p w14:paraId="4AC227C7" w14:textId="73EDFDE4" w:rsidR="000D319E" w:rsidRDefault="000D319E" w:rsidP="000D319E">
      <w:pPr>
        <w:pStyle w:val="AssignBody"/>
      </w:pPr>
      <w:r>
        <w:t xml:space="preserve">Didau (2015, p205-206) proposes the more knowledge pupils have, the more they can think about a subject and develop their understanding. Success criteria, when coupled with modelling and scaffolding, can provide sufficient information for pupils to develop a deeper understanding. However, as supported by Torrance (2007, p281-294), it can often be treated as a checklist which leads to surface level development and a higher focus on pupils’ short-term performance rather than long-term learning. This suggests it is vital to ensure success criteria are purposeful and promote learning rather than a menial task. It is recommended that pupils are given information in how to be successful, through modelling and providing examples of work that meet the teacher’s expectations. This is intended to avoid shallow learning and give pupils a better insight into how to progress (Didau, 2015, p278-280). </w:t>
      </w:r>
    </w:p>
    <w:p w14:paraId="0C3205A6" w14:textId="77777777" w:rsidR="009018E5" w:rsidRDefault="009018E5" w:rsidP="000D319E">
      <w:pPr>
        <w:pStyle w:val="AssignBody"/>
      </w:pPr>
    </w:p>
    <w:p w14:paraId="157CEB24" w14:textId="77777777" w:rsidR="000D319E" w:rsidRDefault="000D319E" w:rsidP="000D319E">
      <w:pPr>
        <w:pStyle w:val="AssignBody"/>
      </w:pPr>
      <w:r>
        <w:t xml:space="preserve">A mini-plenary can be described as a discussion between the teacher and pupils during the lesson, often transitioning between group and whole class conversation. The teacher questions pupils to evaluate and determine their understanding towards the learning and lesson focus. This may involve self-assessment and peer-assessment (Davies et al. 2014; Hargreaves, Gipps and Pickering, 2014, p316-317). Mini-plenaries often occur halfway through a lesson and allow pupils to reflect on their learning (Durden, 2019, p10-18). </w:t>
      </w:r>
    </w:p>
    <w:p w14:paraId="7455827E" w14:textId="760F617B" w:rsidR="000D319E" w:rsidRDefault="000D319E" w:rsidP="000D319E">
      <w:pPr>
        <w:pStyle w:val="AssignBody"/>
      </w:pPr>
      <w:r>
        <w:t xml:space="preserve">It is recommended all lessons have a clear purpose, upheld by the teacher throughout. Mini-plenaries can support pupils in achieving the lesson’s purpose as the teacher can use this time to revisit what has already been taught. This reminds pupils of knowledge needed to meet the lesson goals (Durden, 2019, p10-18; Periam, n.d.). </w:t>
      </w:r>
    </w:p>
    <w:p w14:paraId="471BA405" w14:textId="77777777" w:rsidR="009018E5" w:rsidRDefault="009018E5" w:rsidP="000D319E">
      <w:pPr>
        <w:pStyle w:val="AssignBody"/>
      </w:pPr>
    </w:p>
    <w:p w14:paraId="0F7C0161" w14:textId="0A7022DF" w:rsidR="000D319E" w:rsidRDefault="000D319E" w:rsidP="000D319E">
      <w:pPr>
        <w:pStyle w:val="AssignBody"/>
      </w:pPr>
      <w:r>
        <w:t xml:space="preserve">It provides opportunity to remind pupils of lesson purpose by resharing success criteria. Questioning can support pupils in completing tasks by evaluating where they are, what they need to do next and the steps needed to get there. This often involves pupils taking an active role in their learning, through personal evaluation, likely against the success criteria (Hargreaves, Gipps and Pickering, 2014, p316-317). </w:t>
      </w:r>
    </w:p>
    <w:p w14:paraId="0AF66A54" w14:textId="77777777" w:rsidR="009018E5" w:rsidRDefault="009018E5" w:rsidP="000D319E">
      <w:pPr>
        <w:pStyle w:val="AssignBody"/>
      </w:pPr>
    </w:p>
    <w:p w14:paraId="234DA568" w14:textId="2A59DD87" w:rsidR="000D319E" w:rsidRDefault="000D319E" w:rsidP="000D319E">
      <w:pPr>
        <w:pStyle w:val="AssignBody"/>
      </w:pPr>
      <w:r>
        <w:lastRenderedPageBreak/>
        <w:t xml:space="preserve">A mini-plenary offers instant feedback on the learning. It can support pupils in progressive learning, alongside informing the teacher’s approach to meeting the needs of the learners (Davies et al. 2014; Joyce-Gibbons, 2015, p51-68; University of Greenwich Primary Partnership, 2017). This provides teachers immediate insight into misunderstanding, allowing them to tackle errors during the lesson so learning can progress (Yarden and Yarden, 2011, p289-702). </w:t>
      </w:r>
    </w:p>
    <w:p w14:paraId="549442AF" w14:textId="77777777" w:rsidR="009018E5" w:rsidRDefault="009018E5" w:rsidP="000D319E">
      <w:pPr>
        <w:pStyle w:val="AssignBody"/>
      </w:pPr>
    </w:p>
    <w:p w14:paraId="74CF3EF9" w14:textId="5512E0EB" w:rsidR="000D319E" w:rsidRDefault="000D319E" w:rsidP="000D319E">
      <w:pPr>
        <w:pStyle w:val="AssignBody"/>
      </w:pPr>
      <w:r>
        <w:t>However, Didau (2015, p249-251) proposes instant feedback can hinder long-term learning if implemented too often. He suggests continuously assessing where pupils are in their learning and telling them where to go next and how to get there removes their need to bridge the gap independently, supressing their thinking and development. This opposes the idea that instant feedback is a tool for progression in learning, arguing it facilitates performance rather than learning</w:t>
      </w:r>
      <w:r w:rsidR="001A4CED">
        <w:t>,</w:t>
      </w:r>
      <w:r>
        <w:t xml:space="preserve"> depending on the quality of approach. </w:t>
      </w:r>
    </w:p>
    <w:p w14:paraId="5F67F702" w14:textId="77777777" w:rsidR="009018E5" w:rsidRDefault="009018E5" w:rsidP="000D319E">
      <w:pPr>
        <w:pStyle w:val="AssignBody"/>
      </w:pPr>
    </w:p>
    <w:p w14:paraId="4DAFDF80" w14:textId="69D3AC56" w:rsidR="000D319E" w:rsidRDefault="000D319E" w:rsidP="000D319E">
      <w:pPr>
        <w:pStyle w:val="AssignBody"/>
      </w:pPr>
      <w:r>
        <w:t>To combat this, Didau (2015, p283) suggests feedback should be thought-provoking to support sustained thinking and learning. Hargreaves, Gipps and Pickering (2014, p316-317) add that questioning should inspire higher-order thinking to generate long-term understanding. Open-ended questions can extend pupils’ thoughts and facilitate freedom in thinking deeper and</w:t>
      </w:r>
      <w:r w:rsidR="001A4CED">
        <w:t xml:space="preserve"> more</w:t>
      </w:r>
      <w:r>
        <w:t xml:space="preserve"> independently. This implies the importance of the type and quality of questioning in generating effective teaching and learning to develop pupils’ thinking skills.</w:t>
      </w:r>
    </w:p>
    <w:p w14:paraId="52955B3F" w14:textId="77777777" w:rsidR="009018E5" w:rsidRDefault="009018E5" w:rsidP="000D319E">
      <w:pPr>
        <w:pStyle w:val="AssignBody"/>
      </w:pPr>
    </w:p>
    <w:p w14:paraId="6F1E13E1" w14:textId="327BE769" w:rsidR="000D319E" w:rsidRDefault="000D319E" w:rsidP="000D319E">
      <w:pPr>
        <w:pStyle w:val="AssignBody"/>
      </w:pPr>
      <w:r>
        <w:t>This reading supports the research question ‘How can we enable children to meet the success criteria through the use of a mini-plenary in Foundation Phase?’. Literature suggests mini-plenaries can support pupils in meeting the success criteria through questioning and reminding them how to complete tasks. However, it is important for long-term learning to consider the wording of success criteria and questions to ensure they allow pupils to thinking deeply and develop an understanding (Didau, 2015, p249-251). This indicates that creating questions and success criteria that are understood by pupils will be a crucial element when planning the research activity.</w:t>
      </w:r>
    </w:p>
    <w:p w14:paraId="56697F42" w14:textId="77777777" w:rsidR="009018E5" w:rsidRDefault="009018E5" w:rsidP="000D319E">
      <w:pPr>
        <w:pStyle w:val="AssignBody"/>
      </w:pPr>
    </w:p>
    <w:p w14:paraId="6FED8B88" w14:textId="46DA6BDC" w:rsidR="000D319E" w:rsidRDefault="000D319E" w:rsidP="000D319E">
      <w:pPr>
        <w:pStyle w:val="AssignBody"/>
      </w:pPr>
      <w:r>
        <w:t xml:space="preserve">The methodology is lesson study research. Lesson study is action research which allows the development of pedagogy through collaboration and the reflection of research lessons. A pair or small group of researchers select a pedagogical element to consider. Approximately three pupils are chosen, and a research lesson is created to facilitate the research focus. These pupils are observed, and the researchers collect data addressing the lesson study. This occurs over multiple lessons. Pupils chosen for the focus group are interviewed to collect data. Following this process, reflection occurs to consider the teaching and learning in </w:t>
      </w:r>
      <w:r>
        <w:lastRenderedPageBreak/>
        <w:t xml:space="preserve">relation to the research focus and inform further development to better future pedagogy (Dudley, 2014). </w:t>
      </w:r>
    </w:p>
    <w:p w14:paraId="4468A6F2" w14:textId="77777777" w:rsidR="009018E5" w:rsidRDefault="009018E5" w:rsidP="000D319E">
      <w:pPr>
        <w:pStyle w:val="AssignBody"/>
      </w:pPr>
    </w:p>
    <w:p w14:paraId="070ED6B9" w14:textId="1AA9533F" w:rsidR="000D319E" w:rsidRDefault="000D319E" w:rsidP="000D319E">
      <w:pPr>
        <w:pStyle w:val="AssignBody"/>
      </w:pPr>
      <w:r>
        <w:t>The data collection methods are non-participant observation, focus group and reflection. Non-participant observation was selected as the observer can view the research from afar, reducing missed details through participation (Thompson, 2016). Reflection, informed by the Gibbs’ Reflective Cycle (The University of Edinburgh, 2019) was carried out</w:t>
      </w:r>
      <w:r w:rsidR="001A4CED">
        <w:t>. C</w:t>
      </w:r>
      <w:r>
        <w:t xml:space="preserve">onducting ‘process reflection’ allowed the researchers to narrow the focus when questioning pupils to facilitate the research, refine ideas and generate development (Ricks, 2011, p251-267). Therefore, using a reflective model provided guidance for the process, supporting learning and development in teaching practice (Husebo et al, 2015, p368-375). A focus group was selected to gather data from the perspective of the pupils across a spread of prior attainment, providing information on how the teaching impacted the learners (Carey and Asbury, 2012, p15). </w:t>
      </w:r>
    </w:p>
    <w:p w14:paraId="18FC1D4E" w14:textId="77777777" w:rsidR="009018E5" w:rsidRDefault="009018E5" w:rsidP="000D319E">
      <w:pPr>
        <w:pStyle w:val="AssignBody"/>
      </w:pPr>
    </w:p>
    <w:p w14:paraId="5F50237D" w14:textId="1AFCFD00" w:rsidR="000D319E" w:rsidRDefault="000D319E" w:rsidP="000D319E">
      <w:pPr>
        <w:pStyle w:val="AssignBody"/>
      </w:pPr>
      <w:r>
        <w:t xml:space="preserve">Before researching, parental consent was gathered through a consent form (see appendix 2) and information sheet (see appendix 3) which outlined the purpose of the research and the expected role of their child. All pupils in the class received a consent form, and those who returned signed consent forms were considered for selection. Six pupils were selected randomly from the returned consent forms to form the group led during the lesson. This size was decided as pupils typically work in this group size, making the scenario more familiar. Three pupils were selected from the six for the focus group, based on a spread of prior attainment. The assent of all six pupils was gathered prior to beginning the activity. The research activity and pupils’ expected roles were verbally communicated, and each child gave a thumbs up or thumbs down to indicate assent towards participation. It was communicated to all pupils they had the right to withdraw from the research at any point and data collected would not be used. Consent and assent were gained to follow BERA (2018) guidelines. </w:t>
      </w:r>
    </w:p>
    <w:p w14:paraId="76829D4C" w14:textId="77777777" w:rsidR="009018E5" w:rsidRDefault="009018E5" w:rsidP="000D319E">
      <w:pPr>
        <w:pStyle w:val="AssignBody"/>
      </w:pPr>
    </w:p>
    <w:p w14:paraId="206E59AA" w14:textId="0BD96493" w:rsidR="000D319E" w:rsidRDefault="000D319E" w:rsidP="000D319E">
      <w:pPr>
        <w:pStyle w:val="AssignBody"/>
      </w:pPr>
      <w:r>
        <w:t xml:space="preserve">The research activity was conducted with a research partner through the classroom research method of lesson study (Dudley, 2014). Six pupils were given a task following a whole class introduction. The success criteria were verbally communicated before starting the task, revisited in a mini-plenary and followed by a plenary. Pupils self-assessed their confidence and understanding in meeting the success criteria using a familiar success criteria sheet by circling a thumbs up, in the middle or thumbs down. During the plenary the research question was addressed to consider whether reminding the pupils of the success criteria during the mini-plenary enabled them to meet the success criteria and complete the task. </w:t>
      </w:r>
      <w:r>
        <w:lastRenderedPageBreak/>
        <w:t xml:space="preserve">The research activity took place in school 1 and school 2. The researcher and research partner completed the process twice, each once becoming the participant observer when teaching and non-participant observer when recording observations. </w:t>
      </w:r>
    </w:p>
    <w:p w14:paraId="2DF40789" w14:textId="77777777" w:rsidR="009018E5" w:rsidRDefault="009018E5" w:rsidP="000D319E">
      <w:pPr>
        <w:pStyle w:val="AssignBody"/>
      </w:pPr>
    </w:p>
    <w:p w14:paraId="44728DC6" w14:textId="66427B7B" w:rsidR="000D319E" w:rsidRDefault="000D319E" w:rsidP="000D319E">
      <w:pPr>
        <w:pStyle w:val="AssignBody"/>
      </w:pPr>
      <w:r>
        <w:t xml:space="preserve">The research partner took the role of a non-participant observer during my lesson, collecting qualitative data on the focus groups’ engagement with the focus of the research question. The non-participant observations were recorded by my research partner using a pre-designed observation schedule (see appendix 4). This schedule was created to document observations for </w:t>
      </w:r>
      <w:r w:rsidR="00E3708C">
        <w:t>C</w:t>
      </w:r>
      <w:r>
        <w:t>hild 1, 2 and 3 during the introduction, mini-plenary and plenary, to best suit the purpose of the research activity. The questions to prompt the non-participant observer were devised to ensure observations were relevant to the research question.</w:t>
      </w:r>
    </w:p>
    <w:p w14:paraId="2C307F4E" w14:textId="77777777" w:rsidR="009018E5" w:rsidRDefault="009018E5" w:rsidP="000D319E">
      <w:pPr>
        <w:pStyle w:val="AssignBody"/>
      </w:pPr>
    </w:p>
    <w:p w14:paraId="79B5B58D" w14:textId="45F6E809" w:rsidR="000D319E" w:rsidRDefault="000D319E" w:rsidP="000D319E">
      <w:pPr>
        <w:pStyle w:val="AssignBody"/>
      </w:pPr>
      <w:r>
        <w:t>Immediately after the lesson, a focus group was interviewed with a set of pre-formulated questions (see appendix 5). Interview occurred straight after the work was completed to ensure pupils’ responses were consistent as possible with how they felt during the activity. Due the busy environment, interview was conducted in a quiet room to reduce pupils’ anxiety. Pupils’ responses were documented on the interview question sheet and the qualitative data gathered informed the reflection process. The interview consisted of semi-structured questions, chosen to give pupils certain freedom when answering whilst focusing responses to the purpose of the research activity.</w:t>
      </w:r>
    </w:p>
    <w:p w14:paraId="615ACF3F" w14:textId="77777777" w:rsidR="009018E5" w:rsidRDefault="009018E5" w:rsidP="000D319E">
      <w:pPr>
        <w:pStyle w:val="AssignBody"/>
      </w:pPr>
    </w:p>
    <w:p w14:paraId="4B02CD25" w14:textId="73CD9A1F" w:rsidR="000D319E" w:rsidRDefault="000D319E" w:rsidP="000D319E">
      <w:pPr>
        <w:pStyle w:val="AssignBody"/>
      </w:pPr>
      <w:r>
        <w:t xml:space="preserve">Proceeding the interview, reflection on the research activity was guided by a reflection model (see appendix 6), created collaboratively by the researcher and research partner. The model was informed by the Gibbs’ Reflective Cycle (The University of Edinburgh, 2015). The reflection process was completed by the researcher and research partner to reflect on the research activity from both perspectives. </w:t>
      </w:r>
    </w:p>
    <w:p w14:paraId="319E893B" w14:textId="77777777" w:rsidR="009018E5" w:rsidRDefault="009018E5" w:rsidP="000D319E">
      <w:pPr>
        <w:pStyle w:val="AssignBody"/>
      </w:pPr>
    </w:p>
    <w:p w14:paraId="4584E613" w14:textId="2A035A8D" w:rsidR="000D319E" w:rsidRDefault="000D319E" w:rsidP="000D319E">
      <w:pPr>
        <w:pStyle w:val="AssignBody"/>
      </w:pPr>
      <w:r>
        <w:t xml:space="preserve">There are numerous ethical considerations when conducting lesson study. The researcher must act transparently by informing participants of the study and their expected involvement. Consent and assent must be gathered from participants. Only those who give consent and assent will be considered. Participants will be selected based on a spread of prior attainment. All participants have the right to withdraw and are not required to explain this decision. They will be reassured they can answer freely and will remain anonymous. To ensure the researchers do not pose a risk to themselves, participants or the institution, they will act in accordance with guidelines set out in the BERA Ethical Guidelines for Educational Research (2018) and UWTSD Research Ethics &amp; Integrity Code of Practice (2020). Only data which serves the purpose of the research activity will be collected. Data collected will </w:t>
      </w:r>
      <w:r>
        <w:lastRenderedPageBreak/>
        <w:t xml:space="preserve">be stored and archived on the UWTSD OneDrive for the duration of the PGCE course in accordance with the UWTSD Research Data Management Policy (2018). Approval has been obtained from an ethics committee before conducting the research. </w:t>
      </w:r>
    </w:p>
    <w:p w14:paraId="5DB59CF3" w14:textId="77777777" w:rsidR="009018E5" w:rsidRDefault="009018E5" w:rsidP="000D319E">
      <w:pPr>
        <w:pStyle w:val="AssignBody"/>
      </w:pPr>
    </w:p>
    <w:p w14:paraId="167B3462" w14:textId="450CB254" w:rsidR="000D319E" w:rsidRDefault="000D319E" w:rsidP="000D319E">
      <w:pPr>
        <w:pStyle w:val="AssignBody"/>
      </w:pPr>
      <w:r>
        <w:t xml:space="preserve">In </w:t>
      </w:r>
      <w:r w:rsidR="00E3708C">
        <w:t>L</w:t>
      </w:r>
      <w:r>
        <w:t xml:space="preserve">esson </w:t>
      </w:r>
      <w:r w:rsidR="00E3708C">
        <w:t>St</w:t>
      </w:r>
      <w:r>
        <w:t xml:space="preserve">udy 1 pupils achieved the lesson goals set out in the learning intention, thereby meeting the success criteria, through their verbal, physical and written responses.  </w:t>
      </w:r>
    </w:p>
    <w:p w14:paraId="58140BBC" w14:textId="77777777" w:rsidR="009018E5" w:rsidRDefault="009018E5" w:rsidP="000D319E">
      <w:pPr>
        <w:pStyle w:val="AssignBody"/>
      </w:pPr>
    </w:p>
    <w:p w14:paraId="0F95400A" w14:textId="5B90AB9A" w:rsidR="000D319E" w:rsidRDefault="000D319E" w:rsidP="000D319E">
      <w:pPr>
        <w:pStyle w:val="AssignBody"/>
      </w:pPr>
      <w:r>
        <w:t>During the opening phase, pupils were engaged in the introduction. As a result, they could participate in the warmup activity which demonstrated they had begun to meet the lesson goals verbally and physically. Through responses to questioning, pupils demonstrated development of understanding by responding accurately with reasoning.</w:t>
      </w:r>
    </w:p>
    <w:p w14:paraId="5C0B4FF1" w14:textId="5333286D" w:rsidR="009018E5" w:rsidRDefault="009018E5" w:rsidP="000D319E">
      <w:pPr>
        <w:pStyle w:val="AssignBody"/>
      </w:pPr>
    </w:p>
    <w:p w14:paraId="6BC66817" w14:textId="05BA6081" w:rsidR="000D319E" w:rsidRDefault="000D319E" w:rsidP="000D319E">
      <w:pPr>
        <w:pStyle w:val="AssignBody"/>
      </w:pPr>
      <w:r>
        <w:t xml:space="preserve">Pupils demonstrated they understood the task and how to complete it through ‘thumbs up, thumbs down’ and verbal explanation. Child 2 and </w:t>
      </w:r>
      <w:r w:rsidR="00FC0114">
        <w:t>C</w:t>
      </w:r>
      <w:r>
        <w:t xml:space="preserve">hild 3 put their thumbs up to indicate understanding whereas </w:t>
      </w:r>
      <w:r w:rsidR="00E3708C">
        <w:t>C</w:t>
      </w:r>
      <w:r>
        <w:t xml:space="preserve">hild 1 put their thumb in the middle to highlight some uncertainty (see appendix 7). After addressing this through an additional explanation of the success criteria and how to meet them, all pupils started the task. By communicating expectations explicitly from the start through the success criteria, it could be inferred pupils could engage in the work with sustained focus. All pupils, with particular focus on those in the focus group, were responsive to questioning during the task. They took thinking time to offer considered answers, indicating they were continuing to think more deeply and carefully. </w:t>
      </w:r>
    </w:p>
    <w:p w14:paraId="3A108D9A" w14:textId="77777777" w:rsidR="009018E5" w:rsidRDefault="009018E5" w:rsidP="000D319E">
      <w:pPr>
        <w:pStyle w:val="AssignBody"/>
      </w:pPr>
    </w:p>
    <w:p w14:paraId="35943DDB" w14:textId="7C1037D1" w:rsidR="000D319E" w:rsidRDefault="000D319E" w:rsidP="000D319E">
      <w:pPr>
        <w:pStyle w:val="AssignBody"/>
      </w:pPr>
      <w:r>
        <w:t>When completing the task, pupils asked for support when uncertain. A common area of challenge prompted the mini-plenary occurring to address the pupils’ difficulty. The mini-plenary gave pupils the opportunity to ask questions which I could address instantly, providing feedback to help them meet the success criteria. They explained they had a good understanding of how to complete the task, but found the vocabulary challenging as it was new to them. All pupils could verbally explain how to meet the success criteria, using their work to support discussion. This implied that</w:t>
      </w:r>
      <w:r w:rsidR="00FC0114">
        <w:t>,</w:t>
      </w:r>
      <w:r>
        <w:t xml:space="preserve"> alongside instant feedback to clarify uncertainty</w:t>
      </w:r>
      <w:r w:rsidR="00FC0114">
        <w:t>,</w:t>
      </w:r>
      <w:r>
        <w:t xml:space="preserve"> pupils were meeting the success criteria. Child 1 and </w:t>
      </w:r>
      <w:r w:rsidR="00FC0114">
        <w:t>C</w:t>
      </w:r>
      <w:r>
        <w:t xml:space="preserve">hild 2 indicated their confidence with their thumb in the middle at the end of the mini-plenary, stating that this was in relation to identifying vocabulary (see appendix 7). However, all pupils engaged with the mini-plenary, responding to questioning and utilising support to help them meet the success criteria by familiarising themselves with new vocabulary. During this stage pupils were reminded of the success criteria, to ensure they remained aware of expectations and how to complete the task. </w:t>
      </w:r>
    </w:p>
    <w:p w14:paraId="4BE2DCB2" w14:textId="77777777" w:rsidR="009018E5" w:rsidRDefault="009018E5" w:rsidP="000D319E">
      <w:pPr>
        <w:pStyle w:val="AssignBody"/>
      </w:pPr>
    </w:p>
    <w:p w14:paraId="1315CC02" w14:textId="2055F936" w:rsidR="000D319E" w:rsidRDefault="000D319E" w:rsidP="000D319E">
      <w:pPr>
        <w:pStyle w:val="AssignBody"/>
      </w:pPr>
      <w:r>
        <w:lastRenderedPageBreak/>
        <w:t xml:space="preserve">After the mini-plenary, all pupils sustained engagement and completed the task. During the plenary, the success criteria was recommunicated to each pupil. All pupils in the focus group felt they met the success criteria in some capacity. Child 1 gave all thumbs in the middle, </w:t>
      </w:r>
      <w:r w:rsidR="00FC0114">
        <w:t>C</w:t>
      </w:r>
      <w:r>
        <w:t xml:space="preserve">hild 2 gave two thumbs up and one in the middle and </w:t>
      </w:r>
      <w:r w:rsidR="00FC0114">
        <w:t>C</w:t>
      </w:r>
      <w:r>
        <w:t xml:space="preserve">hild 3 gave all thumbs up (see appendix 7). They communicated why they self-assessed themselves at this level, reasoning because it was a new topic they needed more time to develop understanding. They could all explain what they had done, using their work to support verbal responses. </w:t>
      </w:r>
    </w:p>
    <w:p w14:paraId="0B66567D" w14:textId="77777777" w:rsidR="009018E5" w:rsidRDefault="009018E5" w:rsidP="000D319E">
      <w:pPr>
        <w:pStyle w:val="AssignBody"/>
      </w:pPr>
    </w:p>
    <w:p w14:paraId="46402D36" w14:textId="4B2D409D" w:rsidR="000D319E" w:rsidRDefault="000D319E" w:rsidP="000D319E">
      <w:pPr>
        <w:pStyle w:val="AssignBody"/>
      </w:pPr>
      <w:r>
        <w:t xml:space="preserve">Throughout the focus group interview, pupils vocalised they knew how to start the activity and could explain what they had done, demonstrating sustained understanding throughout. They verbalised they felt it was useful going over the success criteria, particularly as </w:t>
      </w:r>
      <w:r w:rsidR="00FC0114">
        <w:t>C</w:t>
      </w:r>
      <w:r>
        <w:t xml:space="preserve">hild 2 said they sometimes forgot what to do (see appendix 8). This was supported by Child 2 and </w:t>
      </w:r>
      <w:r w:rsidR="00FC0114">
        <w:t xml:space="preserve">Child </w:t>
      </w:r>
      <w:r>
        <w:t>3 stating the reminder was most useful in the middle (see appendix 8), indicating the benefits of the mini-plenary to pupils. This proposes reminders of the success criteria supported pupils in meeting them as they felt continuous mention of expectations guided them in completing the work.</w:t>
      </w:r>
    </w:p>
    <w:p w14:paraId="4A5DD6CB" w14:textId="77777777" w:rsidR="009018E5" w:rsidRDefault="009018E5" w:rsidP="000D319E">
      <w:pPr>
        <w:pStyle w:val="AssignBody"/>
      </w:pPr>
    </w:p>
    <w:p w14:paraId="27134B35" w14:textId="2214B748" w:rsidR="000D319E" w:rsidRDefault="000D319E" w:rsidP="000D319E">
      <w:pPr>
        <w:pStyle w:val="AssignBody"/>
      </w:pPr>
      <w:r>
        <w:t xml:space="preserve">Moving forward, the phrasing of questions and success criteria could be adjusted to ensure it is understood by pupils. This will be a priority for long-term learning alongside pupils meeting lesson goals and success criteria, ensuring pupils can fully respond and engage with understanding. Despite understanding the success criteria and being able to self-assess with support in answering questions, when using the terminology ‘success criteria’, pupils became more confused. Therefore, it may prove beneficial to remove the use of the phrase ‘success criteria’ to pupils in the Foundation Phase for the purpose of the research, instead focusing on terminology they are familiar with. </w:t>
      </w:r>
    </w:p>
    <w:p w14:paraId="7FC09D9B" w14:textId="77777777" w:rsidR="009018E5" w:rsidRDefault="009018E5" w:rsidP="000D319E">
      <w:pPr>
        <w:pStyle w:val="AssignBody"/>
      </w:pPr>
    </w:p>
    <w:p w14:paraId="2A38FAE2" w14:textId="1B6B36C7" w:rsidR="000D319E" w:rsidRDefault="000D319E" w:rsidP="000D319E">
      <w:pPr>
        <w:pStyle w:val="AssignBody"/>
      </w:pPr>
      <w:r>
        <w:t>Modelling could be provided before starting the task to show pupils an example of work that meets the expectations of the teacher. This could facilitate pupils</w:t>
      </w:r>
      <w:r w:rsidR="009018E5">
        <w:t>’</w:t>
      </w:r>
      <w:r>
        <w:t xml:space="preserve"> development of understanding by giving them a reference point when approaching their own work. As Rooney (2007) suggests, this will be a priority in the long term to ensuring pupils are able to meet the success criteria of lessons with an awareness of what they are doing. </w:t>
      </w:r>
    </w:p>
    <w:p w14:paraId="7B212052" w14:textId="77777777" w:rsidR="009018E5" w:rsidRDefault="009018E5" w:rsidP="000D319E">
      <w:pPr>
        <w:pStyle w:val="AssignBody"/>
      </w:pPr>
    </w:p>
    <w:p w14:paraId="66FD86A4" w14:textId="09C150E8" w:rsidR="000D319E" w:rsidRDefault="000D319E" w:rsidP="000D319E">
      <w:pPr>
        <w:pStyle w:val="AssignBody"/>
      </w:pPr>
      <w:r>
        <w:t>This experience demonstrated the importance of using vocabulary pupils are familiar with to allow them to fully engage with questioning and activit</w:t>
      </w:r>
      <w:r w:rsidR="00FC0114">
        <w:t>ies</w:t>
      </w:r>
      <w:r>
        <w:t xml:space="preserve">. As suggested by Didau (2015, p205-206), people are unlikely to be able to think deeply, leading to the development of ideas and long-term learning, if they do not understand what is being said. This could be supported by explanation of key terminology before beginning tasks to affirm that pupils </w:t>
      </w:r>
      <w:r>
        <w:lastRenderedPageBreak/>
        <w:t>understand vocabulary. It will be crucial to develop questions which support pupils in independent thinking.</w:t>
      </w:r>
    </w:p>
    <w:p w14:paraId="32960C95" w14:textId="77777777" w:rsidR="009018E5" w:rsidRDefault="009018E5" w:rsidP="000D319E">
      <w:pPr>
        <w:pStyle w:val="AssignBody"/>
      </w:pPr>
    </w:p>
    <w:p w14:paraId="272339EA" w14:textId="650DB459" w:rsidR="000D319E" w:rsidRDefault="000D319E" w:rsidP="000D319E">
      <w:pPr>
        <w:pStyle w:val="AssignBody"/>
      </w:pPr>
      <w:r>
        <w:t xml:space="preserve">The experience proposes the age of the pupils involved in the research posed somewhat of a barrier in collecting verbal responses as they are in the midst of beginning to develop their skills in thinking independently and originally. During the interview process, pupils often struggled initially to answer independently or to expand on answers beyond a yes/no despite using a semi-structured approach. This could be addressed by considering interview questions with pupils prior to interview or providing them with modelling and scaffolding before interview to give them longer thinking time to develop ideas. Pupils may need further support in the Foundation Phase to assist them in providing original answers, in turn allowing evidence to be collected from the pupils’ perspectives. </w:t>
      </w:r>
    </w:p>
    <w:p w14:paraId="1E00128F" w14:textId="77777777" w:rsidR="009018E5" w:rsidRDefault="009018E5" w:rsidP="000D319E">
      <w:pPr>
        <w:pStyle w:val="AssignBody"/>
      </w:pPr>
    </w:p>
    <w:p w14:paraId="0D7194E9" w14:textId="472156DA" w:rsidR="000D319E" w:rsidRDefault="000D319E" w:rsidP="000D319E">
      <w:pPr>
        <w:pStyle w:val="AssignBody"/>
      </w:pPr>
      <w:r>
        <w:t xml:space="preserve">In </w:t>
      </w:r>
      <w:r w:rsidR="00FC0114">
        <w:t>L</w:t>
      </w:r>
      <w:r>
        <w:t xml:space="preserve">esson </w:t>
      </w:r>
      <w:r w:rsidR="00FC0114">
        <w:t>S</w:t>
      </w:r>
      <w:r>
        <w:t xml:space="preserve">tudy 2, two out of three pupils achieved the lesson goals verbally and through work produced, therefore meeting the success criteria. </w:t>
      </w:r>
    </w:p>
    <w:p w14:paraId="12BE0F62" w14:textId="77777777" w:rsidR="009018E5" w:rsidRDefault="009018E5" w:rsidP="000D319E">
      <w:pPr>
        <w:pStyle w:val="AssignBody"/>
      </w:pPr>
    </w:p>
    <w:p w14:paraId="596A6C62" w14:textId="2060D51B" w:rsidR="000D319E" w:rsidRDefault="000D319E" w:rsidP="000D319E">
      <w:pPr>
        <w:pStyle w:val="AssignBody"/>
      </w:pPr>
      <w:r>
        <w:t xml:space="preserve">During the introduction, all pupils were confident in starting and indicated their confidence to the teacher, the research partner. Modelling the activity beforehand showed the pupils how to complete the task and outlined what was expected of them in a visual way to support the verbal explanation. This data supports Rooney (2007) who argues pupils will need to know what a successful piece of work looks like to complete the task. As a result, Child 1 and Child 2 were able to verbally explain the task in their own words, demonstrating understanding in how to approach the task and meet the success criteria (see appendix 10). Throughout the warmup activity, pupils participated verbally and physically to gather information to support them in meeting the success criteria. As Child 1 and Child 2 remained focused and listened attentively to the introduction, particularly whilst the task was modelled, they were able to start the task immediately and performed with accuracy. </w:t>
      </w:r>
    </w:p>
    <w:p w14:paraId="3DDC309F" w14:textId="77777777" w:rsidR="009018E5" w:rsidRDefault="009018E5" w:rsidP="000D319E">
      <w:pPr>
        <w:pStyle w:val="AssignBody"/>
      </w:pPr>
    </w:p>
    <w:p w14:paraId="62CCDF37" w14:textId="3A31E174" w:rsidR="000D319E" w:rsidRDefault="000D319E" w:rsidP="000D319E">
      <w:pPr>
        <w:pStyle w:val="AssignBody"/>
      </w:pPr>
      <w:r>
        <w:t xml:space="preserve">Midway through the activity the pupils were stopped, and a mini-plenary was conducted to evaluate understanding of the task, considering whether pupils were meeting the success criteria at this stage. This regained the pupils’ focus and prompted them to reconsider their work, providing opportunity for corrections and development of learning and understanding. This instant feedback assisted the pupils in meeting the success criteria as it guided them towards achieving the lesson goal, keeping them on task whilst working accurately. Through questioning, Child 1 and Child 2 demonstrated that they understood the task and could practically support this (see appendix 10). However, </w:t>
      </w:r>
      <w:r w:rsidR="001A4048">
        <w:t>C</w:t>
      </w:r>
      <w:r>
        <w:t xml:space="preserve">hild 3 remained disengaged and failed </w:t>
      </w:r>
      <w:r>
        <w:lastRenderedPageBreak/>
        <w:t xml:space="preserve">to participate. This suggested that sustained concentration and engagement played a role in the mini-plenary helping pupils to meet the success criteria. </w:t>
      </w:r>
    </w:p>
    <w:p w14:paraId="56ECF75B" w14:textId="77777777" w:rsidR="009018E5" w:rsidRDefault="009018E5" w:rsidP="000D319E">
      <w:pPr>
        <w:pStyle w:val="AssignBody"/>
      </w:pPr>
    </w:p>
    <w:p w14:paraId="689C253B" w14:textId="517C31CA" w:rsidR="000D319E" w:rsidRDefault="000D319E" w:rsidP="000D319E">
      <w:pPr>
        <w:pStyle w:val="AssignBody"/>
      </w:pPr>
      <w:r>
        <w:t xml:space="preserve">During the plenary, Child 1 and Child 2 indicated they felt confident they had met the success criteria (see appendix 10). They could explain what they had done afterwards, implying they understood what they had done and were progressing in their think and learning. Their responses were consistent throughout the research activity, expanding over time. This demonstrated that they had achieved the lesson goals by engaging with the activity, therefore meeting the success criteria. As </w:t>
      </w:r>
      <w:r w:rsidR="001A4048">
        <w:t>C</w:t>
      </w:r>
      <w:r>
        <w:t xml:space="preserve">hild 3 did not participate in the activity, they were unable to meet the success criteria. This implies engagement is a priority in meeting the success criteria. The focus group interview (see appendix 11) supported the importance of engagement during the mini-plenary for pupils to meet the success criteria. This was demonstrated as Child 1 and 2 who were engaged in the activity were able to respond insightfully to questions about the use of success criteria, whereas Child 3 remained distracted and failed to participate fully in the interview. </w:t>
      </w:r>
    </w:p>
    <w:p w14:paraId="5C9F6FBC" w14:textId="77777777" w:rsidR="009018E5" w:rsidRDefault="009018E5" w:rsidP="000D319E">
      <w:pPr>
        <w:pStyle w:val="AssignBody"/>
      </w:pPr>
    </w:p>
    <w:p w14:paraId="494D49FC" w14:textId="1A042461" w:rsidR="000D319E" w:rsidRDefault="000D319E" w:rsidP="000D319E">
      <w:pPr>
        <w:pStyle w:val="AssignBody"/>
      </w:pPr>
      <w:r>
        <w:t>For future teaching, the lesson could be revised by differentiating the task to support those who became disengaged. Other provision could be put i</w:t>
      </w:r>
      <w:r w:rsidR="001A4048">
        <w:t>n</w:t>
      </w:r>
      <w:r>
        <w:t xml:space="preserve"> place to ensure pupils were still able to work towards meeting success criteria that was attainable to them within the lesson. </w:t>
      </w:r>
    </w:p>
    <w:p w14:paraId="5226210C" w14:textId="77777777" w:rsidR="009018E5" w:rsidRDefault="009018E5" w:rsidP="000D319E">
      <w:pPr>
        <w:pStyle w:val="AssignBody"/>
      </w:pPr>
    </w:p>
    <w:p w14:paraId="351C248F" w14:textId="6B8E6E30" w:rsidR="000D319E" w:rsidRDefault="000D319E" w:rsidP="000D319E">
      <w:pPr>
        <w:pStyle w:val="AssignBody"/>
      </w:pPr>
      <w:r>
        <w:t xml:space="preserve">Opportunities could be provided for pupils to work beyond their pairs to support each other in their learning. This could provide insight into other ways of working whilst still meeting the learning goals, potentially developing pupils’ approaches to completing tasks where possible and improving the pace of work through quicker generation of ideas. Show and tell could support this, allowing pupils to experience alternative work and gain an awareness of what the teacher regards as a successful piece of work. This could also provoke discussion on how pupils had met the success criteria in different ways, allowing them to expand and develop ideas and work collaboratively. This could potentially support Foundation Phase children in learning to work independently and generating ideas on their own by discussing as a group first and generating ideas collaboratively before moving on to independent work. </w:t>
      </w:r>
    </w:p>
    <w:p w14:paraId="3A203139" w14:textId="77777777" w:rsidR="009018E5" w:rsidRDefault="009018E5" w:rsidP="000D319E">
      <w:pPr>
        <w:pStyle w:val="AssignBody"/>
      </w:pPr>
    </w:p>
    <w:p w14:paraId="13B35DE4" w14:textId="14130E81" w:rsidR="000D319E" w:rsidRDefault="000D319E" w:rsidP="000D319E">
      <w:pPr>
        <w:pStyle w:val="AssignBody"/>
      </w:pPr>
      <w:r>
        <w:t xml:space="preserve">This experience demonstrated that pupils in the Foundation Phase, when engaged in the activity, benefitted from modelling before approaching work. This supports current literature which states that pupils are more likely to complete successful work alongside meaningful learning when show how to accomplish this beforehand (Thompson, 2016). From this it can be inferred that it is crucial pupils understand what their expectations are so they can successfully achieve the learning goals, alongside developing long-term understanding. </w:t>
      </w:r>
      <w:r>
        <w:lastRenderedPageBreak/>
        <w:t xml:space="preserve">Therefore, it could be said support must be carefully considered to benefit understanding, in turn collecting better evidence based on their performance. </w:t>
      </w:r>
    </w:p>
    <w:p w14:paraId="60383A21" w14:textId="77777777" w:rsidR="009018E5" w:rsidRDefault="009018E5" w:rsidP="000D319E">
      <w:pPr>
        <w:pStyle w:val="AssignBody"/>
      </w:pPr>
    </w:p>
    <w:p w14:paraId="6325A26F" w14:textId="77777777" w:rsidR="000D319E" w:rsidRDefault="000D319E" w:rsidP="000D319E">
      <w:pPr>
        <w:pStyle w:val="AssignBody"/>
      </w:pPr>
      <w:r>
        <w:t xml:space="preserve">The research activity highlighted that pupil engagement and sustained concentration plays a role in them meeting the success criteria. It demonstrated that when pupils are disengaged, it becomes challenging to support them through the use of a mini-plenary to meet the success criteria, and instead the focus shifts towards engagement and participation. </w:t>
      </w:r>
    </w:p>
    <w:p w14:paraId="6DEFEF51" w14:textId="77777777" w:rsidR="009018E5" w:rsidRDefault="009018E5" w:rsidP="000D319E">
      <w:pPr>
        <w:pStyle w:val="AssignBody"/>
      </w:pPr>
    </w:p>
    <w:p w14:paraId="35D5556A" w14:textId="681AF9D9" w:rsidR="000D319E" w:rsidRDefault="000D319E" w:rsidP="000D319E">
      <w:pPr>
        <w:pStyle w:val="AssignBody"/>
      </w:pPr>
      <w:r>
        <w:t>The research findings support the notion that effective questioning promotes learning (Wong, 2015, p877-895). Questioning assessed pupils’ understanding, and support was adapted to meet individual needs. This provided pupils with instant feedback, supporting them in meeting the success criteria either partially or fully by the end of the lesson.</w:t>
      </w:r>
    </w:p>
    <w:p w14:paraId="12ABD6A2" w14:textId="77777777" w:rsidR="009018E5" w:rsidRDefault="009018E5" w:rsidP="000D319E">
      <w:pPr>
        <w:pStyle w:val="AssignBody"/>
      </w:pPr>
    </w:p>
    <w:p w14:paraId="543A9C39" w14:textId="000D20B1" w:rsidR="000D319E" w:rsidRDefault="000D319E" w:rsidP="000D319E">
      <w:pPr>
        <w:pStyle w:val="AssignBody"/>
      </w:pPr>
      <w:r>
        <w:t xml:space="preserve">Success criteria, as discussed by Read and Hurford (2010, p87-100), guided the assessment of whether pupils were achieving the learning intention. Pupils self-assessed themselves against the success criteria. As stated by Durden (2019, p10-18), this prompted pupils to reflect on their learning. They considered what they understood, and support needed. This meant individual needs were met through using the mini-plenary to generate discussion with pupils, evaluating their learning and understanding. </w:t>
      </w:r>
    </w:p>
    <w:p w14:paraId="733A5CA6" w14:textId="77777777" w:rsidR="009018E5" w:rsidRDefault="009018E5" w:rsidP="000D319E">
      <w:pPr>
        <w:pStyle w:val="AssignBody"/>
      </w:pPr>
    </w:p>
    <w:p w14:paraId="678812F1" w14:textId="210138A7" w:rsidR="000D319E" w:rsidRDefault="000D319E" w:rsidP="000D319E">
      <w:pPr>
        <w:pStyle w:val="AssignBody"/>
      </w:pPr>
      <w:r>
        <w:t xml:space="preserve">In the focus group interview, pupils explained they knew how to start the activity as they listened. When questioned, pupils felt it was useful going over the success criteria, specifically in the middle (see appendix 8). Pupils explained the mini-plenary was beneficial when recapping the success criteria as they sometimes forgot what to do (see appendices 8 and 11). Hargreaves, Gipps and Pickering (2014, p316-317) propose mini-plenaries provide opportunity to remind pupils of success criteria and how to meet the learning goals. The research activity supports this, proposing pupils felt continued reminders of expectations and instant feedback supported them in meeting the success criteria. </w:t>
      </w:r>
    </w:p>
    <w:p w14:paraId="46E72B52" w14:textId="77777777" w:rsidR="009018E5" w:rsidRDefault="009018E5" w:rsidP="000D319E">
      <w:pPr>
        <w:pStyle w:val="AssignBody"/>
      </w:pPr>
    </w:p>
    <w:p w14:paraId="6A4B9864" w14:textId="722901D2" w:rsidR="000D319E" w:rsidRDefault="000D319E" w:rsidP="000D319E">
      <w:pPr>
        <w:pStyle w:val="AssignBody"/>
      </w:pPr>
      <w:r>
        <w:t xml:space="preserve">Lesson </w:t>
      </w:r>
      <w:r w:rsidR="000322FD">
        <w:t>S</w:t>
      </w:r>
      <w:r>
        <w:t xml:space="preserve">tudy 1 and 2 propose pupils are more likely to understand how to meet the success criteria when modelling occurs. Didau (2015, p205-206) states success criteria are most beneficial to pupils when modelling and scaffolding provide pupils with information in how to approach the learning. Child 1 and 2 in </w:t>
      </w:r>
      <w:r w:rsidR="000322FD">
        <w:t>L</w:t>
      </w:r>
      <w:r>
        <w:t xml:space="preserve">esson </w:t>
      </w:r>
      <w:r w:rsidR="000322FD">
        <w:t>S</w:t>
      </w:r>
      <w:r>
        <w:t xml:space="preserve">tudy 2 engaged in modelling and utilised this information to support their work. In contrast, pupils in </w:t>
      </w:r>
      <w:r w:rsidR="000322FD">
        <w:t>L</w:t>
      </w:r>
      <w:r>
        <w:t xml:space="preserve">esson </w:t>
      </w:r>
      <w:r w:rsidR="000322FD">
        <w:t>S</w:t>
      </w:r>
      <w:r>
        <w:t xml:space="preserve">tudy 1 did not receive modelling, leading to further questioning in how to complete the activity. </w:t>
      </w:r>
    </w:p>
    <w:p w14:paraId="18AD1831" w14:textId="77777777" w:rsidR="009018E5" w:rsidRDefault="009018E5" w:rsidP="000D319E">
      <w:pPr>
        <w:pStyle w:val="AssignBody"/>
      </w:pPr>
    </w:p>
    <w:p w14:paraId="7122234B" w14:textId="34B73207" w:rsidR="000D319E" w:rsidRDefault="000D319E" w:rsidP="000D319E">
      <w:pPr>
        <w:pStyle w:val="AssignBody"/>
      </w:pPr>
      <w:r>
        <w:lastRenderedPageBreak/>
        <w:t>For my class, the research suggests Foundation Phase pupils benefit from modelling during a mini-plenary. As pupils were not given exemplar work which met expectations, they continuously checked whether their work was correct. Therefore, modelling and exemplar work could be beneficial in supporting pupils in meeting the success criteria by providing a visual representation of how to meet expectations. This supports the work of Didau (2015, p205-206) who states success criteria are beneficial when couple</w:t>
      </w:r>
      <w:r w:rsidR="00AB1955">
        <w:t>d</w:t>
      </w:r>
      <w:r>
        <w:t xml:space="preserve"> with modelling. </w:t>
      </w:r>
    </w:p>
    <w:p w14:paraId="2576235F" w14:textId="77777777" w:rsidR="009018E5" w:rsidRDefault="009018E5" w:rsidP="000D319E">
      <w:pPr>
        <w:pStyle w:val="AssignBody"/>
      </w:pPr>
    </w:p>
    <w:p w14:paraId="45B0F4D3" w14:textId="6555BE65" w:rsidR="000D319E" w:rsidRDefault="000D319E" w:rsidP="000D319E">
      <w:pPr>
        <w:pStyle w:val="AssignBody"/>
      </w:pPr>
      <w:r>
        <w:t xml:space="preserve">Pupils fed back the success criteria set out expectations and indicated how to achieve the learning goals. For my class, success criteria were beneficial, explaining how pupils could be successful within the lesson. Success criteria should be carefully considered to ensure it is promoting learning as Torrance (2007, p281-294) states they are often viewed as a checklist. With ensuring pupils can use the success criteria for learning rather than performance, terminology should be further considered to ensure it is understood by the pupils. </w:t>
      </w:r>
    </w:p>
    <w:p w14:paraId="7D81ADE2" w14:textId="77777777" w:rsidR="009018E5" w:rsidRDefault="009018E5" w:rsidP="000D319E">
      <w:pPr>
        <w:pStyle w:val="AssignBody"/>
      </w:pPr>
    </w:p>
    <w:p w14:paraId="30AD10CE" w14:textId="5113E120" w:rsidR="000D319E" w:rsidRDefault="000D319E" w:rsidP="000D319E">
      <w:pPr>
        <w:pStyle w:val="AssignBody"/>
      </w:pPr>
      <w:r>
        <w:t>A mini-plenary appeared to support pupils in meeting the success criteria as they verbalised it was beneficial in helping them complete work. As stated by Yarden and Yarden (2011, p289-702), the mini-plenary allowed misunderstandings to be addressed. Following this, pupils progressed until completing the task. The quality of questioning during the mini-plenary will be carefully considered to ensure it facilitates deeper understanding and higher-order thinking. As Didau (2015, p205-206) suggests, this will be crucial for prioritising pupils’ long</w:t>
      </w:r>
      <w:r w:rsidR="00C10CD1">
        <w:t>-</w:t>
      </w:r>
      <w:r>
        <w:t xml:space="preserve">term learning over performance in individual lessons.  </w:t>
      </w:r>
    </w:p>
    <w:p w14:paraId="1D06B56B" w14:textId="77777777" w:rsidR="009018E5" w:rsidRDefault="009018E5" w:rsidP="000D319E">
      <w:pPr>
        <w:pStyle w:val="AssignBody"/>
      </w:pPr>
    </w:p>
    <w:p w14:paraId="7A6A739E" w14:textId="256A92EE" w:rsidR="000D319E" w:rsidRDefault="000D319E" w:rsidP="000D319E">
      <w:pPr>
        <w:pStyle w:val="AssignBody"/>
      </w:pPr>
      <w:r>
        <w:t xml:space="preserve">To conclude, data collection varied in reliability and validity. Non-participant observation was reliable as it was conducted by someone without a bias towards pupils. However, validity differed as solely watching pupils puts accuracy of interpretation into question (Thompson, 2016). The Hawthorne Effect could impact validity as the concept suggests when those observed are aware, they behave differently (Adair, 1984). Therefore, pupils could have altered responses due to the presence of the non-participant observer. </w:t>
      </w:r>
    </w:p>
    <w:p w14:paraId="04936BC3" w14:textId="77777777" w:rsidR="009018E5" w:rsidRDefault="009018E5" w:rsidP="000D319E">
      <w:pPr>
        <w:pStyle w:val="AssignBody"/>
      </w:pPr>
    </w:p>
    <w:p w14:paraId="60E26ADC" w14:textId="2699CD44" w:rsidR="000D319E" w:rsidRDefault="000D319E" w:rsidP="000D319E">
      <w:pPr>
        <w:pStyle w:val="AssignBody"/>
      </w:pPr>
      <w:r>
        <w:t xml:space="preserve">The reliability of the focus group is debatable as whilst pupils were selected on a spread of prior attainment, it is uncertain whether another group would have responded in the same way. Validity could be questioned depending on pupils’ ability to answer. The Foundation Phase pupils sometimes struggled to understand what was being asked, dictating the quality of their responses. This could have been coupled with whether they felt comfortable to answer honestly and were influenced by their peers. As a result, findings could be </w:t>
      </w:r>
      <w:r>
        <w:lastRenderedPageBreak/>
        <w:t>generalised due to the similarity of most answers given and uncertainty regarding whether answers represented the opinions of others.</w:t>
      </w:r>
    </w:p>
    <w:p w14:paraId="756470BB" w14:textId="77777777" w:rsidR="009018E5" w:rsidRDefault="009018E5" w:rsidP="000D319E">
      <w:pPr>
        <w:pStyle w:val="AssignBody"/>
      </w:pPr>
    </w:p>
    <w:p w14:paraId="692A5A81" w14:textId="2945BDA1" w:rsidR="000D319E" w:rsidRDefault="000D319E" w:rsidP="000D319E">
      <w:pPr>
        <w:pStyle w:val="AssignBody"/>
      </w:pPr>
      <w:r>
        <w:t xml:space="preserve">Reflection was a valid method as it followed a reflective model, guiding the process and facilitating consistency. To avoid bias from the researcher’s familiarity with pupils, reflection was completed collaboratively between the researcher and research partner. This meant both perspectives of the research activity informed the process. </w:t>
      </w:r>
    </w:p>
    <w:p w14:paraId="7388A187" w14:textId="77777777" w:rsidR="009018E5" w:rsidRDefault="009018E5" w:rsidP="000D319E">
      <w:pPr>
        <w:pStyle w:val="AssignBody"/>
      </w:pPr>
    </w:p>
    <w:p w14:paraId="18DEE5E0" w14:textId="5BA9A24A" w:rsidR="000D319E" w:rsidRDefault="000D319E" w:rsidP="000D319E">
      <w:pPr>
        <w:pStyle w:val="AssignBody"/>
      </w:pPr>
      <w:r>
        <w:t>Prior to the research activity, data collection methods were not piloted. As there are typically numerous staff members within the room, pupils did not appear phased by the presence of the non-participant observer. However, the Hawthorne Effect could have impacted their responses as it was a new individual which spiked pupils’ curiosity (Adrian, 1984). Pupils were not familiar with being interviewed. When interviewed, pupils expressed they were confused by the process. This could have impacted their ability to accurately engage in the process as uncertainty appeared distracting.</w:t>
      </w:r>
    </w:p>
    <w:p w14:paraId="15C3E09B" w14:textId="77777777" w:rsidR="009018E5" w:rsidRDefault="009018E5" w:rsidP="000D319E">
      <w:pPr>
        <w:pStyle w:val="AssignBody"/>
      </w:pPr>
    </w:p>
    <w:p w14:paraId="3A258224" w14:textId="77777777" w:rsidR="000D319E" w:rsidRDefault="000D319E" w:rsidP="000D319E">
      <w:pPr>
        <w:pStyle w:val="AssignBody"/>
      </w:pPr>
      <w:r>
        <w:t xml:space="preserve">The success criteria used by pupils at the end of the session to self-assess their work was used regularly beforehand. Familiarity meant pupils engaged with self-assessment when supported verbally. This demonstrated providing pupils with additional explanations of the success criteria and describing how they could have met them, either partially or fully, allowed them to self-assess their work. However, pupils lacked an understanding of the purpose of the task. This could have impacted their reflections and the depth of their learning, dictating the quality of data collected on performance compared to learning. </w:t>
      </w:r>
    </w:p>
    <w:p w14:paraId="32DD0046" w14:textId="77777777" w:rsidR="009018E5" w:rsidRDefault="009018E5" w:rsidP="000D319E">
      <w:pPr>
        <w:pStyle w:val="AssignBody"/>
      </w:pPr>
    </w:p>
    <w:p w14:paraId="4BFE68A8" w14:textId="4037AC62" w:rsidR="000D319E" w:rsidRDefault="000D319E" w:rsidP="000D319E">
      <w:pPr>
        <w:pStyle w:val="AssignBody"/>
      </w:pPr>
      <w:r>
        <w:t xml:space="preserve">Moving forward, the research activity will inform mini-plenaries to support Foundation Phase children meeting the success criteria. The findings agree with Yarden and Yarden (2011, p289-702) that mini-plenaries allowed misconceptions to be addressed, providing instant feedback which enable pupils to progress in their work and meet the success criteria. The study showed, when engaged, pupils found the mini-plenary useful in helping them meet the success criteria. However, they were uncertain of what success criteria meant, lacking depth of thinking. Questioning for mini-plenaries will be planned, ensuring they link to the success criteria. These will be designed to assess pupils’ understanding of tasks and demonstrating learning. </w:t>
      </w:r>
    </w:p>
    <w:p w14:paraId="1E911534" w14:textId="77777777" w:rsidR="009018E5" w:rsidRDefault="009018E5" w:rsidP="000D319E">
      <w:pPr>
        <w:pStyle w:val="AssignBody"/>
      </w:pPr>
    </w:p>
    <w:p w14:paraId="7A01DD1A" w14:textId="3EE7346C" w:rsidR="000D319E" w:rsidRDefault="000D319E" w:rsidP="000D319E">
      <w:pPr>
        <w:pStyle w:val="AssignBody"/>
      </w:pPr>
      <w:r>
        <w:t xml:space="preserve">Findings highlight the importance of pupils understanding the concept of success criteria. In future teaching practice, success criteria will be explained before use to improve pupils’ understanding and engagement in using them. Pupils could demonstrate understanding by </w:t>
      </w:r>
      <w:r>
        <w:lastRenderedPageBreak/>
        <w:t>explaining success criteria in their own words. Time could be given to discussing the purpose of success criteria with pupils, improving reflection and learning.</w:t>
      </w:r>
    </w:p>
    <w:p w14:paraId="46D2E67B" w14:textId="77777777" w:rsidR="009018E5" w:rsidRDefault="009018E5" w:rsidP="000D319E">
      <w:pPr>
        <w:pStyle w:val="AssignBody"/>
      </w:pPr>
    </w:p>
    <w:p w14:paraId="348C3A1D" w14:textId="4C4E7EDC" w:rsidR="000D319E" w:rsidRDefault="000D319E" w:rsidP="000D319E">
      <w:pPr>
        <w:pStyle w:val="AssignBody"/>
      </w:pPr>
      <w:r>
        <w:t xml:space="preserve">The focus group interview followed a semi-structured approach. This gave questions a focus and guided the pupils’ answers whilst giving them an element of freedom, suiting Foundation Phase. They could give simple responses as well as extending answers when possible. This saw all pupils engage in questioning at the level they were able to. This approach could inform mini-plenaries. The study suggests more consideration should be given to the questions, pre-determining them beforehand to guide pupils towards meeting the success criteria. This agrees with the perception that effective teaching generates learning (Wong, 2015, p877-895). Doing so could allow pupils to demonstrate their understanding in relation to the same questions, </w:t>
      </w:r>
      <w:r w:rsidR="00E45BC2">
        <w:t>indicating</w:t>
      </w:r>
      <w:r>
        <w:t xml:space="preserve"> where each pupil is in relation to each element of the success criteria. Further data could therefore be collected in a similar manner to the plenary, whilst adapting where necessary to meet individual needs. Pupils could then receive instant feedback to guide them individually. </w:t>
      </w:r>
    </w:p>
    <w:p w14:paraId="0270516B" w14:textId="77777777" w:rsidR="009018E5" w:rsidRDefault="009018E5" w:rsidP="000D319E">
      <w:pPr>
        <w:pStyle w:val="AssignBody"/>
      </w:pPr>
    </w:p>
    <w:p w14:paraId="029E3432" w14:textId="29F02321" w:rsidR="000D319E" w:rsidRDefault="000D319E" w:rsidP="000D319E">
      <w:pPr>
        <w:pStyle w:val="AssignBody"/>
      </w:pPr>
      <w:r>
        <w:t xml:space="preserve">The research findings will inform mini-plenaries within future teaching practice to help pupils meet success criteria. Questioning will be considered beforehand, alongside explaining terminology, to ensure pupils can understand what is being asked. This could be through child-friendly terminology, facilitating various answers depending on the pupil’s understanding. </w:t>
      </w:r>
    </w:p>
    <w:p w14:paraId="7C8077BD" w14:textId="77777777" w:rsidR="009018E5" w:rsidRDefault="009018E5" w:rsidP="000D319E">
      <w:pPr>
        <w:pStyle w:val="AssignBody"/>
      </w:pPr>
    </w:p>
    <w:p w14:paraId="0A45047C" w14:textId="72F8BDD2" w:rsidR="000D319E" w:rsidRDefault="000D319E" w:rsidP="000D319E">
      <w:pPr>
        <w:pStyle w:val="AssignBody"/>
      </w:pPr>
      <w:r>
        <w:t>If reconducting the lesson study research, pupils understanding of success criteria would be determined beforehand. Whilst pupils felt the reminder of success criteria was helpful as they sometimes forgot what to do (see appendices 8 and 11), the use of terminology led to confusion. Didau (2015, p205-206) suggests greater thinking occurs when it is understood what is being asked. Pupils awareness of terminology could promote improved engagement with the mini-plenary and focus group interview by realising the purpose of success criteria and what was being asked.</w:t>
      </w:r>
    </w:p>
    <w:p w14:paraId="4B9711E8" w14:textId="77777777" w:rsidR="009018E5" w:rsidRDefault="009018E5" w:rsidP="000D319E">
      <w:pPr>
        <w:pStyle w:val="AssignBody"/>
      </w:pPr>
    </w:p>
    <w:p w14:paraId="14C9C3DF" w14:textId="77777777" w:rsidR="000D319E" w:rsidRDefault="000D319E" w:rsidP="000D319E">
      <w:pPr>
        <w:pStyle w:val="AssignBody"/>
      </w:pPr>
      <w:r>
        <w:t xml:space="preserve">Moving forwards, pre-determined questions could benefit mini-plenaries. In future teaching practice planned questions could provide a focus, alongside open-ended questions to give pupils the freedom to answer independently. Hargreaves, Gipps and Pickering (2014, p316-317) propose effective questioning promotes higher-order thinking and long-term learning. This could be a priority in pupils thinking autonomously, meeting success criteria and progressing in learning. This could inform further research by considering how planned mini-plenaries support pupils in meeting the success criteria compared to spontaneous ones. </w:t>
      </w:r>
    </w:p>
    <w:p w14:paraId="7A3B09E1" w14:textId="77777777" w:rsidR="009018E5" w:rsidRDefault="009018E5" w:rsidP="000D319E">
      <w:pPr>
        <w:pStyle w:val="AssignBody"/>
      </w:pPr>
    </w:p>
    <w:p w14:paraId="1B6BFCAC" w14:textId="677E7AD4" w:rsidR="000D319E" w:rsidRDefault="000D319E" w:rsidP="000D319E">
      <w:pPr>
        <w:pStyle w:val="AssignBody"/>
      </w:pPr>
      <w:r>
        <w:t>In sharing the good practice, it could be proposed that mini-plenaries can support children in the Foundation Phase in meeting the success criteria. As suggested by Yarden and Yarden (2011, p289-702), clearly communicating and reminding pupils of the lesson goals during the mini-plenary corrected misconceptions. This resulted in pupils accurately completing the task. Effective questioning facilitated this as assessing pupils’ understanding meant support could meet individual needs. Therefore, after the mini-plenary, pupils met a common set of success criteria within their level of ability, demonstrating personal learning and understanding.</w:t>
      </w:r>
    </w:p>
    <w:p w14:paraId="18C925B2" w14:textId="77777777" w:rsidR="000D319E" w:rsidRDefault="000D319E" w:rsidP="000D319E">
      <w:pPr>
        <w:pStyle w:val="AssignBody"/>
      </w:pPr>
    </w:p>
    <w:p w14:paraId="77B7D944" w14:textId="77777777" w:rsidR="000D319E" w:rsidRDefault="000D319E" w:rsidP="000D319E">
      <w:pPr>
        <w:pStyle w:val="AssignBody"/>
      </w:pPr>
    </w:p>
    <w:p w14:paraId="631705B7" w14:textId="77777777" w:rsidR="000D319E" w:rsidRDefault="000D319E" w:rsidP="000D319E">
      <w:pPr>
        <w:pStyle w:val="AssignBody"/>
      </w:pPr>
    </w:p>
    <w:p w14:paraId="05433765" w14:textId="77777777" w:rsidR="000D319E" w:rsidRDefault="000D319E" w:rsidP="000D319E">
      <w:pPr>
        <w:pStyle w:val="AssignBody"/>
      </w:pPr>
    </w:p>
    <w:p w14:paraId="7EB0BF1B" w14:textId="77777777" w:rsidR="000D319E" w:rsidRDefault="000D319E" w:rsidP="000D319E">
      <w:pPr>
        <w:pStyle w:val="AssignBody"/>
      </w:pPr>
    </w:p>
    <w:p w14:paraId="5DA06F76" w14:textId="77777777" w:rsidR="000D319E" w:rsidRDefault="000D319E" w:rsidP="000D319E">
      <w:pPr>
        <w:pStyle w:val="AssignBody"/>
      </w:pPr>
    </w:p>
    <w:p w14:paraId="6EE0D70F" w14:textId="77777777" w:rsidR="000D319E" w:rsidRDefault="000D319E" w:rsidP="000D319E">
      <w:pPr>
        <w:pStyle w:val="AssignBody"/>
      </w:pPr>
    </w:p>
    <w:p w14:paraId="42A74872" w14:textId="77777777" w:rsidR="000D319E" w:rsidRDefault="000D319E" w:rsidP="000D319E">
      <w:pPr>
        <w:pStyle w:val="AssignBody"/>
      </w:pPr>
    </w:p>
    <w:p w14:paraId="269309C5" w14:textId="77777777" w:rsidR="000D319E" w:rsidRDefault="000D319E" w:rsidP="000D319E">
      <w:pPr>
        <w:pStyle w:val="AssignBody"/>
      </w:pPr>
    </w:p>
    <w:p w14:paraId="71EA8190" w14:textId="77777777" w:rsidR="000D319E" w:rsidRDefault="000D319E" w:rsidP="000D319E">
      <w:pPr>
        <w:pStyle w:val="AssignBody"/>
      </w:pPr>
    </w:p>
    <w:p w14:paraId="4C795797" w14:textId="77777777" w:rsidR="000D319E" w:rsidRDefault="000D319E" w:rsidP="000D319E">
      <w:pPr>
        <w:pStyle w:val="AssignBody"/>
      </w:pPr>
    </w:p>
    <w:p w14:paraId="66221372" w14:textId="77777777" w:rsidR="000D319E" w:rsidRDefault="000D319E" w:rsidP="000D319E">
      <w:pPr>
        <w:pStyle w:val="AssignBody"/>
      </w:pPr>
    </w:p>
    <w:p w14:paraId="4450E337" w14:textId="63603AA5" w:rsidR="000D319E" w:rsidRDefault="000D319E" w:rsidP="000D319E">
      <w:pPr>
        <w:pStyle w:val="AssignBody"/>
      </w:pPr>
    </w:p>
    <w:p w14:paraId="7DB6B523" w14:textId="655000D0" w:rsidR="009018E5" w:rsidRDefault="009018E5" w:rsidP="000D319E">
      <w:pPr>
        <w:pStyle w:val="AssignBody"/>
      </w:pPr>
    </w:p>
    <w:p w14:paraId="493C2A91" w14:textId="2439D1F2" w:rsidR="009018E5" w:rsidRDefault="009018E5" w:rsidP="000D319E">
      <w:pPr>
        <w:pStyle w:val="AssignBody"/>
      </w:pPr>
    </w:p>
    <w:p w14:paraId="5937FF83" w14:textId="5452332F" w:rsidR="009018E5" w:rsidRDefault="009018E5" w:rsidP="000D319E">
      <w:pPr>
        <w:pStyle w:val="AssignBody"/>
      </w:pPr>
    </w:p>
    <w:p w14:paraId="70826FCF" w14:textId="57083AF4" w:rsidR="009018E5" w:rsidRDefault="009018E5" w:rsidP="000D319E">
      <w:pPr>
        <w:pStyle w:val="AssignBody"/>
      </w:pPr>
    </w:p>
    <w:p w14:paraId="71CA8C10" w14:textId="026C3176" w:rsidR="009018E5" w:rsidRDefault="009018E5" w:rsidP="000D319E">
      <w:pPr>
        <w:pStyle w:val="AssignBody"/>
      </w:pPr>
    </w:p>
    <w:p w14:paraId="0BB221DC" w14:textId="4BC9ABEC" w:rsidR="009018E5" w:rsidRDefault="009018E5" w:rsidP="000D319E">
      <w:pPr>
        <w:pStyle w:val="AssignBody"/>
      </w:pPr>
    </w:p>
    <w:p w14:paraId="12D553A5" w14:textId="1CF6A01C" w:rsidR="009018E5" w:rsidRDefault="009018E5" w:rsidP="000D319E">
      <w:pPr>
        <w:pStyle w:val="AssignBody"/>
      </w:pPr>
    </w:p>
    <w:p w14:paraId="3C690A5E" w14:textId="24BF9AD5" w:rsidR="009018E5" w:rsidRDefault="009018E5" w:rsidP="000D319E">
      <w:pPr>
        <w:pStyle w:val="AssignBody"/>
      </w:pPr>
    </w:p>
    <w:p w14:paraId="65A39952" w14:textId="503DC49E" w:rsidR="009018E5" w:rsidRDefault="009018E5" w:rsidP="000D319E">
      <w:pPr>
        <w:pStyle w:val="AssignBody"/>
      </w:pPr>
    </w:p>
    <w:p w14:paraId="6CACB577" w14:textId="38BA8ECA" w:rsidR="009018E5" w:rsidRDefault="009018E5" w:rsidP="000D319E">
      <w:pPr>
        <w:pStyle w:val="AssignBody"/>
      </w:pPr>
    </w:p>
    <w:p w14:paraId="6804BF43" w14:textId="192A4C0D" w:rsidR="009018E5" w:rsidRDefault="009018E5" w:rsidP="000D319E">
      <w:pPr>
        <w:pStyle w:val="AssignBody"/>
      </w:pPr>
    </w:p>
    <w:p w14:paraId="06B458FB" w14:textId="4FC648E2" w:rsidR="009018E5" w:rsidRDefault="009018E5" w:rsidP="000D319E">
      <w:pPr>
        <w:pStyle w:val="AssignBody"/>
      </w:pPr>
    </w:p>
    <w:p w14:paraId="04E6ECAF" w14:textId="2A129C3D" w:rsidR="009018E5" w:rsidRDefault="009018E5" w:rsidP="000D319E">
      <w:pPr>
        <w:pStyle w:val="AssignBody"/>
      </w:pPr>
    </w:p>
    <w:p w14:paraId="27009F83" w14:textId="77777777" w:rsidR="009018E5" w:rsidRDefault="009018E5" w:rsidP="000D319E">
      <w:pPr>
        <w:pStyle w:val="AssignBody"/>
      </w:pPr>
    </w:p>
    <w:p w14:paraId="6E2996E9" w14:textId="77777777" w:rsidR="000D319E" w:rsidRDefault="000D319E" w:rsidP="000D319E">
      <w:pPr>
        <w:pStyle w:val="AssignBody"/>
      </w:pPr>
    </w:p>
    <w:p w14:paraId="4C8F51FE" w14:textId="7283DBF1" w:rsidR="000D319E" w:rsidRDefault="000D319E" w:rsidP="004C637D">
      <w:pPr>
        <w:pStyle w:val="AssignSubHeader"/>
      </w:pPr>
      <w:r>
        <w:lastRenderedPageBreak/>
        <w:t>References</w:t>
      </w:r>
    </w:p>
    <w:p w14:paraId="4799B080" w14:textId="77777777" w:rsidR="004C637D" w:rsidRPr="004C637D" w:rsidRDefault="004C637D" w:rsidP="004C637D">
      <w:pPr>
        <w:pStyle w:val="AssignBody"/>
      </w:pPr>
    </w:p>
    <w:p w14:paraId="31496619" w14:textId="6E14F364" w:rsidR="000D319E" w:rsidRDefault="000D319E" w:rsidP="000D319E">
      <w:pPr>
        <w:pStyle w:val="AssignBody"/>
      </w:pPr>
      <w:r>
        <w:t xml:space="preserve">Adair, J. G. (1984). ‘The Hawthorne effect: A reconsideration of the methodological artifact’, Journal of Applied Psychology, 69(2), pp.334–345. DOI: https://doi.org/10.1037/0021-9010.69.2.334. </w:t>
      </w:r>
    </w:p>
    <w:p w14:paraId="34CA3BD0" w14:textId="77777777" w:rsidR="004C637D" w:rsidRDefault="004C637D" w:rsidP="000D319E">
      <w:pPr>
        <w:pStyle w:val="AssignBody"/>
      </w:pPr>
    </w:p>
    <w:p w14:paraId="67DEAB57" w14:textId="5381E888" w:rsidR="000D319E" w:rsidRDefault="000D319E" w:rsidP="000D319E">
      <w:pPr>
        <w:pStyle w:val="AssignBody"/>
      </w:pPr>
      <w:r>
        <w:t xml:space="preserve">BERA (2018) Ethical Guidelines for Educational Research, fourth edition. Available at: https://www.bera.ac.uk/publication/ethical-guidelines-for-educational-research-2018 (Accessed 8 February 2020). </w:t>
      </w:r>
    </w:p>
    <w:p w14:paraId="39C28B30" w14:textId="77777777" w:rsidR="004C637D" w:rsidRDefault="004C637D" w:rsidP="000D319E">
      <w:pPr>
        <w:pStyle w:val="AssignBody"/>
      </w:pPr>
    </w:p>
    <w:p w14:paraId="646015C6" w14:textId="77777777" w:rsidR="000D319E" w:rsidRDefault="000D319E" w:rsidP="000D319E">
      <w:pPr>
        <w:pStyle w:val="AssignBody"/>
      </w:pPr>
      <w:r>
        <w:t xml:space="preserve">CAREY, M. and ASBURY, J. (2012) Focus Group Research. Oxon: Routledge. </w:t>
      </w:r>
    </w:p>
    <w:p w14:paraId="55303FB8" w14:textId="77777777" w:rsidR="000D319E" w:rsidRDefault="000D319E" w:rsidP="000D319E">
      <w:pPr>
        <w:pStyle w:val="AssignBody"/>
      </w:pPr>
      <w:r>
        <w:t>file:///C:/Users/Abigail/Downloads/9781315428376_googlepreview.pdf</w:t>
      </w:r>
    </w:p>
    <w:p w14:paraId="37095A2C" w14:textId="77628BD9" w:rsidR="000D319E" w:rsidRDefault="000D319E" w:rsidP="000D319E">
      <w:pPr>
        <w:pStyle w:val="AssignBody"/>
      </w:pPr>
      <w:r>
        <w:t>CRICHTON, H. and MCDAID, A. (2016) ‘Learning intentions and success criteria: learners' and teachers' views’, Curriculum Journal, 27(2), pp. 190-203. DOI:10.1080/09585176.2015.1103278</w:t>
      </w:r>
    </w:p>
    <w:p w14:paraId="1A9BF4C0" w14:textId="77777777" w:rsidR="004C637D" w:rsidRDefault="004C637D" w:rsidP="000D319E">
      <w:pPr>
        <w:pStyle w:val="AssignBody"/>
      </w:pPr>
    </w:p>
    <w:p w14:paraId="7CD52C23" w14:textId="6C093965" w:rsidR="000D319E" w:rsidRDefault="000D319E" w:rsidP="000D319E">
      <w:pPr>
        <w:pStyle w:val="AssignBody"/>
      </w:pPr>
      <w:r>
        <w:t>DAVIES, D. et al. (2014) Approaches to Science Assessment in English Primary Schools. Available at: https://pstt.org.uk/application/files/6514/5761/9873/Approaches_to_science_asst_Full_report_Oct14.pdf (Accessed 10 February 2020).</w:t>
      </w:r>
    </w:p>
    <w:p w14:paraId="38EBDB1E" w14:textId="77777777" w:rsidR="004C637D" w:rsidRDefault="004C637D" w:rsidP="000D319E">
      <w:pPr>
        <w:pStyle w:val="AssignBody"/>
      </w:pPr>
    </w:p>
    <w:p w14:paraId="190B38F9" w14:textId="4B41D874" w:rsidR="000D319E" w:rsidRDefault="000D319E" w:rsidP="000D319E">
      <w:pPr>
        <w:pStyle w:val="AssignBody"/>
      </w:pPr>
      <w:r>
        <w:t>DIDAU, D. (2015) What if everything you knew about education was wrong? Carmarthen: Crown House Publishing Limited.</w:t>
      </w:r>
    </w:p>
    <w:p w14:paraId="3819A9B7" w14:textId="77777777" w:rsidR="004C637D" w:rsidRDefault="004C637D" w:rsidP="000D319E">
      <w:pPr>
        <w:pStyle w:val="AssignBody"/>
      </w:pPr>
    </w:p>
    <w:p w14:paraId="5E955E7B" w14:textId="4B90A793" w:rsidR="000D319E" w:rsidRDefault="000D319E" w:rsidP="000D319E">
      <w:pPr>
        <w:pStyle w:val="AssignBody"/>
      </w:pPr>
      <w:r>
        <w:t xml:space="preserve">DUDLEY, P. (2014) Lesson Study: a handbook. https://uwtsd.ac.uk/media/uwtsd-website/content-assets/documents/library-and-learning-resources/infoskills/Harvard-eng_v.1.2.pdf (Accessed 8 February 2020). </w:t>
      </w:r>
    </w:p>
    <w:p w14:paraId="077980EE" w14:textId="77777777" w:rsidR="004C637D" w:rsidRDefault="004C637D" w:rsidP="000D319E">
      <w:pPr>
        <w:pStyle w:val="AssignBody"/>
      </w:pPr>
    </w:p>
    <w:p w14:paraId="23566D1A" w14:textId="5B53EBB9" w:rsidR="000D319E" w:rsidRDefault="000D319E" w:rsidP="000D319E">
      <w:pPr>
        <w:pStyle w:val="AssignBody"/>
      </w:pPr>
      <w:r>
        <w:t>DURDEN, G. (2019) ‘Beginner Teachers’ conceptions of a successful lesson in English secondary schools: structure and implications’, Teaching and Teacher Education, 77(1), pp.10-18. DOI: https://doi.org/10.1016/j.tate.2018.09.013</w:t>
      </w:r>
    </w:p>
    <w:p w14:paraId="3D86FA10" w14:textId="77777777" w:rsidR="004C637D" w:rsidRDefault="004C637D" w:rsidP="000D319E">
      <w:pPr>
        <w:pStyle w:val="AssignBody"/>
      </w:pPr>
    </w:p>
    <w:p w14:paraId="45A43ECF" w14:textId="0A162505" w:rsidR="000D319E" w:rsidRDefault="000D319E" w:rsidP="000D319E">
      <w:pPr>
        <w:pStyle w:val="AssignBody"/>
      </w:pPr>
      <w:r>
        <w:t>Education Services Australia (n.d.a) Success Criteria and Rubrics. Available at: https://www.assessmentforlearning.edu.au/professional_learning/modules/success_criteria_and_rubrics/success_criteria_landing_page.html (Accessed 12 February 2020).</w:t>
      </w:r>
    </w:p>
    <w:p w14:paraId="0E96EF16" w14:textId="77777777" w:rsidR="004C637D" w:rsidRDefault="004C637D" w:rsidP="000D319E">
      <w:pPr>
        <w:pStyle w:val="AssignBody"/>
      </w:pPr>
    </w:p>
    <w:p w14:paraId="490A6629" w14:textId="4F5ED04B" w:rsidR="000D319E" w:rsidRDefault="000D319E" w:rsidP="000D319E">
      <w:pPr>
        <w:pStyle w:val="AssignBody"/>
      </w:pPr>
      <w:r>
        <w:lastRenderedPageBreak/>
        <w:t>Education Services Australia (n.d.b) Uses of Success Criteria and Rubrics. Available at: https://www.assessmentforlearning.edu.au/professional_learning/success_criteria_and_rubrics/success_criteria_rubrics.html (Accessed 12 February 2020).</w:t>
      </w:r>
    </w:p>
    <w:p w14:paraId="0369BB05" w14:textId="77777777" w:rsidR="004C637D" w:rsidRDefault="004C637D" w:rsidP="000D319E">
      <w:pPr>
        <w:pStyle w:val="AssignBody"/>
      </w:pPr>
    </w:p>
    <w:p w14:paraId="2EFE205E" w14:textId="0A386644" w:rsidR="000D319E" w:rsidRDefault="000D319E" w:rsidP="000D319E">
      <w:pPr>
        <w:pStyle w:val="AssignBody"/>
      </w:pPr>
      <w:r>
        <w:t xml:space="preserve">HARGREAVES, E., GIPPS, C. and PICKERING, A. (2014) ‘Assessment for Learning’, in Cremin, T. and Arthur, J. (ed.) Learning to Teaching in the Primary School. Oxon: Routledge. </w:t>
      </w:r>
    </w:p>
    <w:p w14:paraId="30B80211" w14:textId="77777777" w:rsidR="004C637D" w:rsidRDefault="004C637D" w:rsidP="000D319E">
      <w:pPr>
        <w:pStyle w:val="AssignBody"/>
      </w:pPr>
    </w:p>
    <w:p w14:paraId="662C7815" w14:textId="1E3404F8" w:rsidR="000D319E" w:rsidRDefault="000D319E" w:rsidP="000D319E">
      <w:pPr>
        <w:pStyle w:val="AssignBody"/>
      </w:pPr>
      <w:r>
        <w:t>HUSEBO, S. et al. (2015) ‘Reflective Practice and its Role in Simulation’, Clinical Simulation in Nursing, 11(8) pp.368-375. DOI: https://doi.org/10.1016/j.ecns.2015.04.005</w:t>
      </w:r>
    </w:p>
    <w:p w14:paraId="4CAF59D0" w14:textId="77777777" w:rsidR="004C637D" w:rsidRDefault="004C637D" w:rsidP="000D319E">
      <w:pPr>
        <w:pStyle w:val="AssignBody"/>
      </w:pPr>
    </w:p>
    <w:p w14:paraId="5307B7D6" w14:textId="71E27654" w:rsidR="000D319E" w:rsidRDefault="000D319E" w:rsidP="000D319E">
      <w:pPr>
        <w:pStyle w:val="AssignBody"/>
      </w:pPr>
      <w:r>
        <w:t>JOYCE-GIBBONS, A. (2015) ‘Observe, interact and act: teachers’ initiation of mini-plenaries to scaffold small-group collaboration’, Technology, Pedagogy and Education, 26(1), pp.51-68. DOI: https://doi.org/10.1080/1475939X.2016.1173089</w:t>
      </w:r>
    </w:p>
    <w:p w14:paraId="17E25CAB" w14:textId="77777777" w:rsidR="004C637D" w:rsidRDefault="004C637D" w:rsidP="000D319E">
      <w:pPr>
        <w:pStyle w:val="AssignBody"/>
      </w:pPr>
    </w:p>
    <w:p w14:paraId="6A247065" w14:textId="0F618E9A" w:rsidR="000D319E" w:rsidRDefault="000D319E" w:rsidP="000D319E">
      <w:pPr>
        <w:pStyle w:val="AssignBody"/>
      </w:pPr>
      <w:r>
        <w:t>PERIAM, A. (n.d.) Scaffolding CLIL – Teaching ‘Electric circuits’ in French in an English Primary School. Available at: https://www.all-languages.org.uk/wp-content/uploads/2017/10/Primary-CLIL.pdf (Accessed 10 February 2020).</w:t>
      </w:r>
    </w:p>
    <w:p w14:paraId="2CA87673" w14:textId="77777777" w:rsidR="004C637D" w:rsidRDefault="004C637D" w:rsidP="000D319E">
      <w:pPr>
        <w:pStyle w:val="AssignBody"/>
      </w:pPr>
    </w:p>
    <w:p w14:paraId="12F8C2DD" w14:textId="6270CA27" w:rsidR="000D319E" w:rsidRDefault="000D319E" w:rsidP="000D319E">
      <w:pPr>
        <w:pStyle w:val="AssignBody"/>
      </w:pPr>
      <w:r>
        <w:t>READ, A. and HURFORD, D. (2010) ‘I know how to read longer novels’ – developing pupils' success criteria in the classroom’, Education 3-13, 38(1), pp.87-100. DOI: 10.1080/03004270903099843</w:t>
      </w:r>
    </w:p>
    <w:p w14:paraId="1C081270" w14:textId="77777777" w:rsidR="004C637D" w:rsidRDefault="004C637D" w:rsidP="000D319E">
      <w:pPr>
        <w:pStyle w:val="AssignBody"/>
      </w:pPr>
    </w:p>
    <w:p w14:paraId="6C584889" w14:textId="684033B5" w:rsidR="000D319E" w:rsidRDefault="000D319E" w:rsidP="000D319E">
      <w:pPr>
        <w:pStyle w:val="AssignBody"/>
      </w:pPr>
      <w:r>
        <w:t>RICKS, E.T. (2011) ‘Process reflection during Japanese lesson study experiences by prospective secondary mathematics teachers’, Journal of Mathematics Teacher Education, pp.251-267. DOI:</w:t>
      </w:r>
      <w:r w:rsidR="004C637D">
        <w:t xml:space="preserve"> </w:t>
      </w:r>
      <w:r>
        <w:t xml:space="preserve">https://doi.org/10.1007/s10857-010-9155-7 </w:t>
      </w:r>
    </w:p>
    <w:p w14:paraId="3AA90CBE" w14:textId="77777777" w:rsidR="004C637D" w:rsidRDefault="004C637D" w:rsidP="000D319E">
      <w:pPr>
        <w:pStyle w:val="AssignBody"/>
      </w:pPr>
    </w:p>
    <w:p w14:paraId="66C036C1" w14:textId="6792669B" w:rsidR="000D319E" w:rsidRDefault="000D319E" w:rsidP="000D319E">
      <w:pPr>
        <w:pStyle w:val="AssignBody"/>
      </w:pPr>
      <w:r>
        <w:t xml:space="preserve">ROONEY, R. (2007) ‘Using Success Criteria’, ResearchGate. Available at: https://www.researchgate.net/publication/296799050_Using_success_criteria (Accessed 18 February 2020). </w:t>
      </w:r>
    </w:p>
    <w:p w14:paraId="7677401B" w14:textId="77777777" w:rsidR="00E309B0" w:rsidRDefault="00E309B0" w:rsidP="000D319E">
      <w:pPr>
        <w:pStyle w:val="AssignBody"/>
      </w:pPr>
    </w:p>
    <w:p w14:paraId="7701758F" w14:textId="57E34DBC" w:rsidR="000D319E" w:rsidRDefault="000D319E" w:rsidP="000D319E">
      <w:pPr>
        <w:pStyle w:val="AssignBody"/>
      </w:pPr>
      <w:r>
        <w:t xml:space="preserve">THOMSPON, K. (2016) ‘Non-Participant Observation’ ReviseSociology.com. Available at: https://revisesociology.com/2016/04/01/non-participant-observation/ (Accessed 18 February 2020). </w:t>
      </w:r>
    </w:p>
    <w:p w14:paraId="4629FDF0" w14:textId="77777777" w:rsidR="00E309B0" w:rsidRDefault="00E309B0" w:rsidP="000D319E">
      <w:pPr>
        <w:pStyle w:val="AssignBody"/>
      </w:pPr>
    </w:p>
    <w:p w14:paraId="0E07DAED" w14:textId="53FFB574" w:rsidR="000D319E" w:rsidRDefault="000D319E" w:rsidP="000D319E">
      <w:pPr>
        <w:pStyle w:val="AssignBody"/>
      </w:pPr>
      <w:r>
        <w:t xml:space="preserve">TORRANCE, H. (2007) ‘Assessment as learning? How the use of explicit learning objectives, assessment criteria and feedback in post-secondary education and training can </w:t>
      </w:r>
      <w:r>
        <w:lastRenderedPageBreak/>
        <w:t>come to dominate learning’, Assessment in Education, 14(3), pp.281–294. DOI: 10.1080/09695940701591867</w:t>
      </w:r>
    </w:p>
    <w:p w14:paraId="13E1181B" w14:textId="77777777" w:rsidR="00E309B0" w:rsidRDefault="00E309B0" w:rsidP="000D319E">
      <w:pPr>
        <w:pStyle w:val="AssignBody"/>
      </w:pPr>
    </w:p>
    <w:p w14:paraId="5E665FD5" w14:textId="3D668C0A" w:rsidR="000D319E" w:rsidRDefault="000D319E" w:rsidP="000D319E">
      <w:pPr>
        <w:pStyle w:val="AssignBody"/>
      </w:pPr>
      <w:r>
        <w:t xml:space="preserve">University of Greenwich Primary Partnership (2017) Response to Reducing Teacher Workload Recommendations. Available at: https://gala.gre.ac.uk/id/eprint/17533/7/17533%20GREEN_Reducing_Teacher_Workload_Recommendations_2017.pdf (Access 10 February 2020). </w:t>
      </w:r>
    </w:p>
    <w:p w14:paraId="2217395F" w14:textId="77777777" w:rsidR="00E309B0" w:rsidRDefault="00E309B0" w:rsidP="000D319E">
      <w:pPr>
        <w:pStyle w:val="AssignBody"/>
      </w:pPr>
    </w:p>
    <w:p w14:paraId="18774EE4" w14:textId="7000ADE7" w:rsidR="000D319E" w:rsidRDefault="000D319E" w:rsidP="000D319E">
      <w:pPr>
        <w:pStyle w:val="AssignBody"/>
      </w:pPr>
      <w:r>
        <w:t xml:space="preserve">UWTSD (2018) Research Data Management Policy. Available at: https://www.uwtsd.ac.uk/media/uwtsd-website/content-assets/documents/strategies-policies/Research-Data-Management-Policy-27.01.16.pdf (Accessed 8 February 2020). </w:t>
      </w:r>
    </w:p>
    <w:p w14:paraId="651C6031" w14:textId="77777777" w:rsidR="00E309B0" w:rsidRDefault="00E309B0" w:rsidP="000D319E">
      <w:pPr>
        <w:pStyle w:val="AssignBody"/>
      </w:pPr>
    </w:p>
    <w:p w14:paraId="341A3282" w14:textId="0CA31996" w:rsidR="000D319E" w:rsidRDefault="000D319E" w:rsidP="000D319E">
      <w:pPr>
        <w:pStyle w:val="AssignBody"/>
      </w:pPr>
      <w:r>
        <w:t xml:space="preserve">UWTSD (2020) Research Ethics &amp; Integrity Code of Practice. Available at: https://www.uwtsd.ac.uk/media/uwtsd-website/content-assets/documents/research/research-ethics-integrity-code-practice.pdf (Accessed 8 February 2020). </w:t>
      </w:r>
    </w:p>
    <w:p w14:paraId="6819448A" w14:textId="77777777" w:rsidR="00E309B0" w:rsidRDefault="00E309B0" w:rsidP="000D319E">
      <w:pPr>
        <w:pStyle w:val="AssignBody"/>
      </w:pPr>
    </w:p>
    <w:p w14:paraId="6C10691C" w14:textId="2C67530D" w:rsidR="000D319E" w:rsidRDefault="000D319E" w:rsidP="000D319E">
      <w:pPr>
        <w:pStyle w:val="AssignBody"/>
      </w:pPr>
      <w:r>
        <w:t>WILIAM, D. (2006) ‘Assessment for Learning: why, what and how’, Cambridge Assessment Network Conference. Faculty of Education, University of Cambridge. 15th September. Available at: https://dylanwiliam.org/Dylan_Wiliams_website/Papers_files/Cambridge%20AfL%20keynote.doc (Accessed 11 February 2020).</w:t>
      </w:r>
    </w:p>
    <w:p w14:paraId="12E9E94D" w14:textId="77777777" w:rsidR="00E309B0" w:rsidRDefault="00E309B0" w:rsidP="000D319E">
      <w:pPr>
        <w:pStyle w:val="AssignBody"/>
      </w:pPr>
    </w:p>
    <w:p w14:paraId="4C9D46BD" w14:textId="32A7DEB4" w:rsidR="000D319E" w:rsidRDefault="000D319E" w:rsidP="000D319E">
      <w:pPr>
        <w:pStyle w:val="AssignBody"/>
      </w:pPr>
      <w:r>
        <w:t>WONG, K.Y. (2015) ‘Use of Student Mathematics Questioning to Promote Active Learning and Metacognition’, Selected Regular Lectures from the 12th International Congress on Mathematical Education, pp.877-895. DOI: https://doi.org/10.1007/978-3-319-17187-6_49 (Accessed 15 February 2020).</w:t>
      </w:r>
    </w:p>
    <w:p w14:paraId="6D176DEA" w14:textId="77777777" w:rsidR="00E309B0" w:rsidRDefault="00E309B0" w:rsidP="000D319E">
      <w:pPr>
        <w:pStyle w:val="AssignBody"/>
      </w:pPr>
    </w:p>
    <w:p w14:paraId="0D2F6EA6" w14:textId="48AFAC55" w:rsidR="00E611D9" w:rsidRPr="00E611D9" w:rsidRDefault="000D319E" w:rsidP="000D319E">
      <w:pPr>
        <w:pStyle w:val="AssignBody"/>
      </w:pPr>
      <w:r>
        <w:t>YARDEN, H. and YARDEN, A. (2011) ‘Studying Biotechnological Methods Using Animations: The Teacher’s Role’, Journal of Science Education and Technology, 20(6), pp.289-702. DOI: 10.1007/s10956-010-9262-3</w:t>
      </w:r>
    </w:p>
    <w:sectPr w:rsidR="00E611D9" w:rsidRPr="00E611D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CDD96" w14:textId="77777777" w:rsidR="00C762BE" w:rsidRDefault="00C762BE" w:rsidP="00E611D9">
      <w:pPr>
        <w:spacing w:after="0" w:line="240" w:lineRule="auto"/>
      </w:pPr>
      <w:r>
        <w:separator/>
      </w:r>
    </w:p>
  </w:endnote>
  <w:endnote w:type="continuationSeparator" w:id="0">
    <w:p w14:paraId="4DE0C82D" w14:textId="77777777" w:rsidR="00C762BE" w:rsidRDefault="00C762B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16FA9" w14:textId="77777777" w:rsidR="00C762BE" w:rsidRDefault="00C762BE" w:rsidP="00E611D9">
      <w:pPr>
        <w:spacing w:after="0" w:line="240" w:lineRule="auto"/>
      </w:pPr>
      <w:r>
        <w:separator/>
      </w:r>
    </w:p>
  </w:footnote>
  <w:footnote w:type="continuationSeparator" w:id="0">
    <w:p w14:paraId="3300CEF4" w14:textId="77777777" w:rsidR="00C762BE" w:rsidRDefault="00C762B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322FD"/>
    <w:rsid w:val="000D319E"/>
    <w:rsid w:val="001A4048"/>
    <w:rsid w:val="001A4CED"/>
    <w:rsid w:val="002229F0"/>
    <w:rsid w:val="003F7CD8"/>
    <w:rsid w:val="004C637D"/>
    <w:rsid w:val="004F0A5F"/>
    <w:rsid w:val="0055366B"/>
    <w:rsid w:val="006419C3"/>
    <w:rsid w:val="006B5861"/>
    <w:rsid w:val="00755E37"/>
    <w:rsid w:val="00817F7A"/>
    <w:rsid w:val="00840774"/>
    <w:rsid w:val="00867AE8"/>
    <w:rsid w:val="009018E5"/>
    <w:rsid w:val="009416E5"/>
    <w:rsid w:val="009C61A3"/>
    <w:rsid w:val="009F0CFA"/>
    <w:rsid w:val="00AB1955"/>
    <w:rsid w:val="00B008FB"/>
    <w:rsid w:val="00B457F0"/>
    <w:rsid w:val="00BB3186"/>
    <w:rsid w:val="00BC651E"/>
    <w:rsid w:val="00C012D3"/>
    <w:rsid w:val="00C10CD1"/>
    <w:rsid w:val="00C35872"/>
    <w:rsid w:val="00C71863"/>
    <w:rsid w:val="00C762BE"/>
    <w:rsid w:val="00CD1240"/>
    <w:rsid w:val="00D638DF"/>
    <w:rsid w:val="00D83A40"/>
    <w:rsid w:val="00E25D84"/>
    <w:rsid w:val="00E309B0"/>
    <w:rsid w:val="00E3708C"/>
    <w:rsid w:val="00E45BC2"/>
    <w:rsid w:val="00E611D9"/>
    <w:rsid w:val="00FC0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637D"/>
    <w:rPr>
      <w:color w:val="0563C1" w:themeColor="hyperlink"/>
      <w:u w:val="single"/>
    </w:rPr>
  </w:style>
  <w:style w:type="character" w:styleId="UnresolvedMention">
    <w:name w:val="Unresolved Mention"/>
    <w:basedOn w:val="DefaultParagraphFont"/>
    <w:uiPriority w:val="99"/>
    <w:semiHidden/>
    <w:unhideWhenUsed/>
    <w:rsid w:val="004C6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18</Pages>
  <Words>6409</Words>
  <Characters>36532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Abigail McFarlane</cp:lastModifiedBy>
  <cp:revision>26</cp:revision>
  <dcterms:created xsi:type="dcterms:W3CDTF">2020-02-21T11:27:00Z</dcterms:created>
  <dcterms:modified xsi:type="dcterms:W3CDTF">2020-02-22T11:11:00Z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