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5922C" w14:textId="75F5BED9" w:rsidR="006C54D7" w:rsidRDefault="006C54D7" w:rsidP="00FA0AA2">
      <w:pPr>
        <w:autoSpaceDE w:val="0"/>
        <w:autoSpaceDN w:val="0"/>
        <w:adjustRightInd w:val="0"/>
        <w:spacing w:after="0" w:line="240" w:lineRule="auto"/>
        <w:jc w:val="both"/>
        <w:rPr>
          <w:rFonts w:ascii="Arial" w:hAnsi="Arial" w:cs="Arial"/>
          <w:b/>
          <w:bCs/>
          <w:color w:val="000000"/>
          <w:kern w:val="0"/>
          <w:sz w:val="24"/>
          <w:szCs w:val="24"/>
        </w:rPr>
      </w:pPr>
    </w:p>
    <w:p w14:paraId="70786EBC" w14:textId="77777777" w:rsidR="00FA0AA2" w:rsidRPr="00FA0AA2" w:rsidRDefault="00FA0AA2" w:rsidP="00FA0AA2">
      <w:pPr>
        <w:autoSpaceDE w:val="0"/>
        <w:autoSpaceDN w:val="0"/>
        <w:adjustRightInd w:val="0"/>
        <w:spacing w:after="0" w:line="240" w:lineRule="auto"/>
        <w:jc w:val="both"/>
        <w:rPr>
          <w:rFonts w:ascii="Arial" w:hAnsi="Arial" w:cs="Arial"/>
          <w:color w:val="000000"/>
          <w:kern w:val="0"/>
          <w:sz w:val="24"/>
          <w:szCs w:val="24"/>
        </w:rPr>
      </w:pPr>
      <w:r w:rsidRPr="00FA0AA2">
        <w:rPr>
          <w:rFonts w:ascii="Arial" w:hAnsi="Arial" w:cs="Arial"/>
          <w:b/>
          <w:bCs/>
          <w:color w:val="000000"/>
          <w:kern w:val="0"/>
          <w:sz w:val="24"/>
          <w:szCs w:val="24"/>
        </w:rPr>
        <w:t xml:space="preserve">Conference Research Paper </w:t>
      </w:r>
    </w:p>
    <w:p w14:paraId="573D2558" w14:textId="77777777" w:rsidR="00FA0AA2" w:rsidRPr="00FA0AA2" w:rsidRDefault="00FA0AA2" w:rsidP="00FA0AA2">
      <w:pPr>
        <w:spacing w:line="360" w:lineRule="auto"/>
        <w:jc w:val="both"/>
        <w:rPr>
          <w:rFonts w:ascii="Arial" w:hAnsi="Arial" w:cs="Arial"/>
          <w:sz w:val="24"/>
          <w:szCs w:val="24"/>
        </w:rPr>
      </w:pPr>
    </w:p>
    <w:p w14:paraId="5FCE9555" w14:textId="71D88779" w:rsidR="00FA0AA2" w:rsidRPr="00D606EE" w:rsidRDefault="00D606EE" w:rsidP="00FA0AA2">
      <w:pPr>
        <w:pStyle w:val="Default"/>
        <w:jc w:val="both"/>
        <w:rPr>
          <w:rFonts w:ascii="Arial" w:hAnsi="Arial" w:cs="Arial"/>
          <w:bCs/>
        </w:rPr>
      </w:pPr>
      <w:r w:rsidRPr="00D606EE">
        <w:rPr>
          <w:rFonts w:ascii="Arial" w:hAnsi="Arial" w:cs="Arial"/>
        </w:rPr>
        <w:t>Lecturer’s name:</w:t>
      </w:r>
      <w:r w:rsidR="00FA0AA2" w:rsidRPr="00D606EE">
        <w:rPr>
          <w:rFonts w:ascii="Arial" w:hAnsi="Arial" w:cs="Arial"/>
        </w:rPr>
        <w:t xml:space="preserve"> </w:t>
      </w:r>
      <w:r w:rsidR="00FA0AA2" w:rsidRPr="00D606EE">
        <w:rPr>
          <w:rFonts w:ascii="Arial" w:hAnsi="Arial" w:cs="Arial"/>
          <w:bCs/>
        </w:rPr>
        <w:t xml:space="preserve">Dr Ernest Balutie Wavei </w:t>
      </w:r>
    </w:p>
    <w:p w14:paraId="1343BB18" w14:textId="77777777" w:rsidR="00FA0AA2" w:rsidRPr="00D606EE" w:rsidRDefault="00FA0AA2" w:rsidP="00FA0AA2">
      <w:pPr>
        <w:pStyle w:val="Default"/>
        <w:jc w:val="both"/>
        <w:rPr>
          <w:rFonts w:ascii="Arial" w:hAnsi="Arial" w:cs="Arial"/>
        </w:rPr>
      </w:pPr>
    </w:p>
    <w:p w14:paraId="286D39B3" w14:textId="77777777" w:rsidR="00FA0AA2" w:rsidRPr="00D606EE" w:rsidRDefault="00FA0AA2" w:rsidP="00FA0AA2">
      <w:pPr>
        <w:spacing w:line="360" w:lineRule="auto"/>
        <w:jc w:val="both"/>
        <w:rPr>
          <w:rFonts w:ascii="Arial" w:hAnsi="Arial" w:cs="Arial"/>
          <w:sz w:val="24"/>
          <w:szCs w:val="24"/>
        </w:rPr>
      </w:pPr>
      <w:r w:rsidRPr="00D606EE">
        <w:rPr>
          <w:rFonts w:ascii="Arial" w:hAnsi="Arial" w:cs="Arial"/>
          <w:sz w:val="24"/>
          <w:szCs w:val="24"/>
        </w:rPr>
        <w:t>Student: Jayson Anthony Luba - 2245377</w:t>
      </w:r>
    </w:p>
    <w:p w14:paraId="74CD7554" w14:textId="77777777" w:rsidR="00FA0AA2" w:rsidRDefault="00FA0AA2" w:rsidP="00FA0AA2">
      <w:pPr>
        <w:spacing w:line="360" w:lineRule="auto"/>
        <w:jc w:val="both"/>
        <w:rPr>
          <w:rFonts w:ascii="Arial" w:hAnsi="Arial" w:cs="Arial"/>
          <w:color w:val="000000"/>
          <w:kern w:val="0"/>
          <w:sz w:val="24"/>
          <w:szCs w:val="24"/>
        </w:rPr>
      </w:pPr>
    </w:p>
    <w:p w14:paraId="2209C437" w14:textId="6BB93317" w:rsidR="00FA0AA2" w:rsidRPr="00FA0AA2" w:rsidRDefault="00FA0AA2" w:rsidP="00FA0AA2">
      <w:pPr>
        <w:spacing w:line="360" w:lineRule="auto"/>
        <w:jc w:val="both"/>
        <w:rPr>
          <w:rFonts w:ascii="Arial" w:hAnsi="Arial" w:cs="Arial"/>
          <w:b/>
          <w:sz w:val="32"/>
          <w:szCs w:val="32"/>
        </w:rPr>
      </w:pPr>
      <w:r w:rsidRPr="00FA0AA2">
        <w:rPr>
          <w:rFonts w:ascii="Arial" w:hAnsi="Arial" w:cs="Arial"/>
          <w:b/>
          <w:color w:val="000000"/>
          <w:kern w:val="0"/>
          <w:sz w:val="32"/>
          <w:szCs w:val="32"/>
        </w:rPr>
        <w:t>Hospitality and Hotel Management (BA)</w:t>
      </w:r>
    </w:p>
    <w:p w14:paraId="014B416D" w14:textId="46178213" w:rsidR="00FA0AA2" w:rsidRPr="00FA0AA2" w:rsidRDefault="00FA0AA2" w:rsidP="00FA0AA2">
      <w:pPr>
        <w:spacing w:line="360" w:lineRule="auto"/>
        <w:jc w:val="both"/>
        <w:rPr>
          <w:rFonts w:ascii="Arial" w:hAnsi="Arial" w:cs="Arial"/>
          <w:b/>
          <w:sz w:val="32"/>
          <w:szCs w:val="32"/>
        </w:rPr>
      </w:pPr>
      <w:r w:rsidRPr="00FA0AA2">
        <w:rPr>
          <w:rFonts w:ascii="Arial" w:hAnsi="Arial" w:cs="Arial"/>
          <w:b/>
          <w:sz w:val="32"/>
          <w:szCs w:val="32"/>
        </w:rPr>
        <w:t>Module Code:</w:t>
      </w:r>
      <w:r w:rsidR="008A7C0D">
        <w:rPr>
          <w:rFonts w:ascii="Arial" w:hAnsi="Arial" w:cs="Arial"/>
          <w:b/>
          <w:sz w:val="32"/>
          <w:szCs w:val="32"/>
        </w:rPr>
        <w:t xml:space="preserve"> BMIH</w:t>
      </w:r>
      <w:r w:rsidRPr="00FA0AA2">
        <w:rPr>
          <w:rFonts w:ascii="Arial" w:hAnsi="Arial" w:cs="Arial"/>
          <w:b/>
          <w:sz w:val="32"/>
          <w:szCs w:val="32"/>
        </w:rPr>
        <w:t xml:space="preserve"> 6001</w:t>
      </w:r>
    </w:p>
    <w:p w14:paraId="56CE2F85" w14:textId="77777777" w:rsidR="00FA0AA2" w:rsidRPr="00FA0AA2" w:rsidRDefault="00FA0AA2" w:rsidP="00FA0AA2">
      <w:pPr>
        <w:autoSpaceDE w:val="0"/>
        <w:autoSpaceDN w:val="0"/>
        <w:adjustRightInd w:val="0"/>
        <w:spacing w:after="0" w:line="240" w:lineRule="auto"/>
        <w:rPr>
          <w:rFonts w:ascii="Arial" w:hAnsi="Arial" w:cs="Arial"/>
          <w:b/>
          <w:bCs/>
          <w:color w:val="000000"/>
          <w:kern w:val="0"/>
          <w:sz w:val="32"/>
          <w:szCs w:val="32"/>
        </w:rPr>
      </w:pPr>
      <w:r w:rsidRPr="00FA0AA2">
        <w:rPr>
          <w:rFonts w:ascii="Arial" w:hAnsi="Arial" w:cs="Arial"/>
          <w:b/>
          <w:bCs/>
          <w:color w:val="000000"/>
          <w:kern w:val="0"/>
          <w:sz w:val="32"/>
          <w:szCs w:val="32"/>
        </w:rPr>
        <w:t xml:space="preserve">Contemporary Themes in the Hotel and Hospitality Sector </w:t>
      </w:r>
    </w:p>
    <w:p w14:paraId="3F01F89A" w14:textId="77777777" w:rsidR="00FA0AA2" w:rsidRPr="00FA0AA2" w:rsidRDefault="00FA0AA2" w:rsidP="00FA0AA2">
      <w:pPr>
        <w:autoSpaceDE w:val="0"/>
        <w:autoSpaceDN w:val="0"/>
        <w:adjustRightInd w:val="0"/>
        <w:spacing w:after="0" w:line="240" w:lineRule="auto"/>
        <w:rPr>
          <w:rFonts w:ascii="Arial" w:hAnsi="Arial" w:cs="Arial"/>
          <w:color w:val="000000"/>
          <w:kern w:val="0"/>
          <w:sz w:val="24"/>
          <w:szCs w:val="24"/>
        </w:rPr>
      </w:pPr>
    </w:p>
    <w:p w14:paraId="091AFDF2" w14:textId="77777777" w:rsidR="00FA0AA2" w:rsidRDefault="00FA0AA2" w:rsidP="00FA0AA2">
      <w:pPr>
        <w:spacing w:line="360" w:lineRule="auto"/>
        <w:jc w:val="both"/>
        <w:rPr>
          <w:rFonts w:ascii="Arial" w:hAnsi="Arial" w:cs="Arial"/>
          <w:sz w:val="24"/>
          <w:szCs w:val="24"/>
        </w:rPr>
      </w:pPr>
    </w:p>
    <w:p w14:paraId="49AB0C61" w14:textId="41F44065" w:rsidR="00FA0AA2" w:rsidRPr="00FA0AA2" w:rsidRDefault="00FA0AA2" w:rsidP="00FA0AA2">
      <w:pPr>
        <w:spacing w:line="360" w:lineRule="auto"/>
        <w:jc w:val="both"/>
        <w:rPr>
          <w:rFonts w:ascii="Arial" w:hAnsi="Arial" w:cs="Arial"/>
          <w:sz w:val="24"/>
          <w:szCs w:val="24"/>
        </w:rPr>
      </w:pPr>
      <w:r w:rsidRPr="00FA0AA2">
        <w:rPr>
          <w:rFonts w:ascii="Arial" w:hAnsi="Arial" w:cs="Arial"/>
          <w:sz w:val="24"/>
          <w:szCs w:val="24"/>
        </w:rPr>
        <w:t xml:space="preserve">Word count: </w:t>
      </w:r>
      <w:r w:rsidR="00911367">
        <w:rPr>
          <w:rFonts w:ascii="Arial" w:hAnsi="Arial" w:cs="Arial"/>
          <w:sz w:val="24"/>
          <w:szCs w:val="24"/>
        </w:rPr>
        <w:t>27</w:t>
      </w:r>
      <w:r w:rsidR="00E376FC">
        <w:rPr>
          <w:rFonts w:ascii="Arial" w:hAnsi="Arial" w:cs="Arial"/>
          <w:sz w:val="24"/>
          <w:szCs w:val="24"/>
        </w:rPr>
        <w:t>5</w:t>
      </w:r>
      <w:r w:rsidR="00E2420A">
        <w:rPr>
          <w:rFonts w:ascii="Arial" w:hAnsi="Arial" w:cs="Arial"/>
          <w:sz w:val="24"/>
          <w:szCs w:val="24"/>
        </w:rPr>
        <w:t>7</w:t>
      </w:r>
    </w:p>
    <w:p w14:paraId="4522F9E7" w14:textId="77777777" w:rsidR="00FA0AA2" w:rsidRDefault="00FA0AA2" w:rsidP="00FA0AA2">
      <w:pPr>
        <w:autoSpaceDE w:val="0"/>
        <w:autoSpaceDN w:val="0"/>
        <w:adjustRightInd w:val="0"/>
        <w:spacing w:after="0" w:line="360" w:lineRule="auto"/>
        <w:jc w:val="both"/>
        <w:rPr>
          <w:rFonts w:ascii="Arial" w:hAnsi="Arial" w:cs="Arial"/>
          <w:b/>
          <w:color w:val="000000"/>
          <w:sz w:val="24"/>
          <w:szCs w:val="24"/>
        </w:rPr>
      </w:pPr>
    </w:p>
    <w:p w14:paraId="4206B650" w14:textId="77777777" w:rsidR="00FA0AA2" w:rsidRPr="00FA0AA2" w:rsidRDefault="00FA0AA2" w:rsidP="00FA0AA2">
      <w:pPr>
        <w:autoSpaceDE w:val="0"/>
        <w:autoSpaceDN w:val="0"/>
        <w:adjustRightInd w:val="0"/>
        <w:spacing w:after="0" w:line="360" w:lineRule="auto"/>
        <w:jc w:val="both"/>
        <w:rPr>
          <w:rFonts w:ascii="Arial" w:hAnsi="Arial" w:cs="Arial"/>
          <w:b/>
          <w:color w:val="000000"/>
          <w:sz w:val="24"/>
          <w:szCs w:val="24"/>
        </w:rPr>
      </w:pPr>
      <w:r w:rsidRPr="00FA0AA2">
        <w:rPr>
          <w:rFonts w:ascii="Arial" w:hAnsi="Arial" w:cs="Arial"/>
          <w:b/>
          <w:color w:val="000000"/>
          <w:sz w:val="24"/>
          <w:szCs w:val="24"/>
        </w:rPr>
        <w:t xml:space="preserve">AI Acknowledgement </w:t>
      </w:r>
    </w:p>
    <w:p w14:paraId="168CE312" w14:textId="77777777" w:rsidR="00FA0AA2" w:rsidRPr="00FA0AA2" w:rsidRDefault="00FA0AA2" w:rsidP="00FA0AA2">
      <w:pPr>
        <w:autoSpaceDE w:val="0"/>
        <w:autoSpaceDN w:val="0"/>
        <w:adjustRightInd w:val="0"/>
        <w:spacing w:after="0" w:line="360" w:lineRule="auto"/>
        <w:jc w:val="both"/>
        <w:rPr>
          <w:rFonts w:ascii="Arial" w:hAnsi="Arial" w:cs="Arial"/>
          <w:sz w:val="24"/>
          <w:szCs w:val="24"/>
        </w:rPr>
      </w:pPr>
      <w:r w:rsidRPr="00FA0AA2">
        <w:rPr>
          <w:rFonts w:ascii="Arial" w:hAnsi="Arial" w:cs="Arial"/>
          <w:sz w:val="24"/>
          <w:szCs w:val="24"/>
        </w:rPr>
        <w:t xml:space="preserve">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 </w:t>
      </w:r>
    </w:p>
    <w:p w14:paraId="35EFF25F" w14:textId="77777777" w:rsidR="00FA0AA2" w:rsidRPr="00FA0AA2" w:rsidRDefault="00FA0AA2" w:rsidP="00FA0AA2">
      <w:pPr>
        <w:autoSpaceDE w:val="0"/>
        <w:autoSpaceDN w:val="0"/>
        <w:adjustRightInd w:val="0"/>
        <w:spacing w:after="0" w:line="360" w:lineRule="auto"/>
        <w:jc w:val="both"/>
        <w:rPr>
          <w:rFonts w:ascii="Arial" w:hAnsi="Arial" w:cs="Arial"/>
          <w:sz w:val="24"/>
          <w:szCs w:val="24"/>
        </w:rPr>
      </w:pPr>
    </w:p>
    <w:p w14:paraId="03B4EBDC" w14:textId="77777777" w:rsidR="00FA0AA2" w:rsidRDefault="00FA0AA2">
      <w:pPr>
        <w:rPr>
          <w:rFonts w:ascii="Times New Roman" w:hAnsi="Times New Roman" w:cs="Times New Roman"/>
          <w:b/>
          <w:bCs/>
          <w:sz w:val="36"/>
          <w:szCs w:val="36"/>
        </w:rPr>
      </w:pPr>
      <w:r>
        <w:rPr>
          <w:rFonts w:ascii="Times New Roman" w:hAnsi="Times New Roman" w:cs="Times New Roman"/>
          <w:b/>
          <w:bCs/>
          <w:sz w:val="36"/>
          <w:szCs w:val="36"/>
        </w:rPr>
        <w:br w:type="page"/>
      </w:r>
    </w:p>
    <w:p w14:paraId="57AA1A30" w14:textId="5131EF44" w:rsidR="00B80E5C" w:rsidRPr="00A946D5" w:rsidRDefault="00B80E5C" w:rsidP="00B80E5C">
      <w:pPr>
        <w:spacing w:line="360" w:lineRule="auto"/>
        <w:jc w:val="center"/>
        <w:rPr>
          <w:rFonts w:ascii="Times New Roman" w:hAnsi="Times New Roman" w:cs="Times New Roman"/>
          <w:b/>
          <w:bCs/>
          <w:sz w:val="36"/>
          <w:szCs w:val="36"/>
        </w:rPr>
      </w:pPr>
      <w:r w:rsidRPr="00A946D5">
        <w:rPr>
          <w:rFonts w:ascii="Times New Roman" w:hAnsi="Times New Roman" w:cs="Times New Roman"/>
          <w:b/>
          <w:bCs/>
          <w:sz w:val="36"/>
          <w:szCs w:val="36"/>
        </w:rPr>
        <w:lastRenderedPageBreak/>
        <w:t>Sustainability, Food Waste, and Operational Efficacy in Hotels</w:t>
      </w:r>
    </w:p>
    <w:p w14:paraId="732C1985" w14:textId="10563E8B" w:rsidR="00D3561D" w:rsidRPr="00A946D5" w:rsidRDefault="00D3561D" w:rsidP="00D3561D">
      <w:pPr>
        <w:spacing w:line="360" w:lineRule="auto"/>
        <w:jc w:val="both"/>
        <w:rPr>
          <w:rFonts w:ascii="Times New Roman" w:hAnsi="Times New Roman" w:cs="Times New Roman"/>
          <w:b/>
          <w:bCs/>
          <w:sz w:val="32"/>
          <w:szCs w:val="32"/>
        </w:rPr>
      </w:pPr>
      <w:r w:rsidRPr="00A946D5">
        <w:rPr>
          <w:rFonts w:ascii="Times New Roman" w:hAnsi="Times New Roman" w:cs="Times New Roman"/>
          <w:b/>
          <w:bCs/>
          <w:sz w:val="32"/>
          <w:szCs w:val="32"/>
        </w:rPr>
        <w:t>Abstract</w:t>
      </w:r>
    </w:p>
    <w:p w14:paraId="0A0C1A99" w14:textId="1128FB11" w:rsidR="00650DAC"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 xml:space="preserve">Food waste is a core sustainability failure in hospitality because it converts purchased inputs into disposal costs while embedding avoidable upstream environmental burdens. </w:t>
      </w:r>
      <w:r w:rsidR="008D1EAF" w:rsidRPr="00A946D5">
        <w:rPr>
          <w:rFonts w:ascii="Times New Roman" w:hAnsi="Times New Roman" w:cs="Times New Roman"/>
          <w:sz w:val="24"/>
          <w:szCs w:val="24"/>
        </w:rPr>
        <w:t>My</w:t>
      </w:r>
      <w:r w:rsidRPr="00A946D5">
        <w:rPr>
          <w:rFonts w:ascii="Times New Roman" w:hAnsi="Times New Roman" w:cs="Times New Roman"/>
          <w:sz w:val="24"/>
          <w:szCs w:val="24"/>
        </w:rPr>
        <w:t xml:space="preserve"> paper </w:t>
      </w:r>
      <w:r w:rsidR="00770CB2">
        <w:rPr>
          <w:rFonts w:ascii="Times New Roman" w:hAnsi="Times New Roman" w:cs="Times New Roman"/>
          <w:sz w:val="24"/>
          <w:szCs w:val="24"/>
        </w:rPr>
        <w:t xml:space="preserve">reviews the efficacy of hotel food </w:t>
      </w:r>
      <w:r w:rsidRPr="00A946D5">
        <w:rPr>
          <w:rFonts w:ascii="Times New Roman" w:hAnsi="Times New Roman" w:cs="Times New Roman"/>
          <w:sz w:val="24"/>
          <w:szCs w:val="24"/>
        </w:rPr>
        <w:t xml:space="preserve">waste reduction, with emphasis on buffet-style service and hotel restaurants. </w:t>
      </w:r>
      <w:r w:rsidR="008D1EAF" w:rsidRPr="00A946D5">
        <w:rPr>
          <w:rFonts w:ascii="Times New Roman" w:hAnsi="Times New Roman" w:cs="Times New Roman"/>
          <w:sz w:val="24"/>
          <w:szCs w:val="24"/>
        </w:rPr>
        <w:t xml:space="preserve">It </w:t>
      </w:r>
      <w:r w:rsidRPr="00A946D5">
        <w:rPr>
          <w:rFonts w:ascii="Times New Roman" w:hAnsi="Times New Roman" w:cs="Times New Roman"/>
          <w:sz w:val="24"/>
          <w:szCs w:val="24"/>
        </w:rPr>
        <w:t xml:space="preserve">identifies the main drivers of waste across procurement, production, service, and consumption. It then evaluates interventions through an eco-efficiency lens anchored in the waste hierarchy. Evidence converges on a small set of persistent hot spots: volatile demand, buffet overproduction, guest plate waste driven by value cues, fragmented responsibilities, and weak measurement. </w:t>
      </w:r>
      <w:r w:rsidR="00650DAC" w:rsidRPr="00A946D5">
        <w:rPr>
          <w:rFonts w:ascii="Times New Roman" w:hAnsi="Times New Roman" w:cs="Times New Roman"/>
          <w:sz w:val="24"/>
          <w:szCs w:val="24"/>
        </w:rPr>
        <w:t xml:space="preserve">As demonstrated by </w:t>
      </w:r>
      <w:r w:rsidR="00751A41" w:rsidRPr="00A946D5">
        <w:rPr>
          <w:rFonts w:ascii="Times New Roman" w:hAnsi="Times New Roman" w:cs="Times New Roman"/>
          <w:sz w:val="24"/>
          <w:szCs w:val="24"/>
        </w:rPr>
        <w:t>the</w:t>
      </w:r>
      <w:r w:rsidR="00650DAC" w:rsidRPr="00A946D5">
        <w:rPr>
          <w:rFonts w:ascii="Times New Roman" w:hAnsi="Times New Roman" w:cs="Times New Roman"/>
          <w:sz w:val="24"/>
          <w:szCs w:val="24"/>
        </w:rPr>
        <w:t xml:space="preserve"> analysis, prevention-based strategies (forecasting discipline, lean routines, development of chef practices, and buffet choice architecture) offer the best overall environmental and financial benefits. Secondary strategies of redistribution, composting, and recovery are also important but are limited </w:t>
      </w:r>
      <w:r w:rsidR="00770CB2">
        <w:rPr>
          <w:rFonts w:ascii="Times New Roman" w:hAnsi="Times New Roman" w:cs="Times New Roman"/>
          <w:sz w:val="24"/>
          <w:szCs w:val="24"/>
        </w:rPr>
        <w:t>because of</w:t>
      </w:r>
      <w:r w:rsidR="00650DAC" w:rsidRPr="00A946D5">
        <w:rPr>
          <w:rFonts w:ascii="Times New Roman" w:hAnsi="Times New Roman" w:cs="Times New Roman"/>
          <w:sz w:val="24"/>
          <w:szCs w:val="24"/>
        </w:rPr>
        <w:t xml:space="preserve"> factors including feasibility, compliance, and cost</w:t>
      </w:r>
      <w:r w:rsidR="008D1EAF" w:rsidRPr="00A946D5">
        <w:rPr>
          <w:rFonts w:ascii="Times New Roman" w:hAnsi="Times New Roman" w:cs="Times New Roman"/>
          <w:sz w:val="24"/>
          <w:szCs w:val="24"/>
        </w:rPr>
        <w:t xml:space="preserve"> – </w:t>
      </w:r>
      <w:r w:rsidR="00650DAC" w:rsidRPr="00A946D5">
        <w:rPr>
          <w:rFonts w:ascii="Times New Roman" w:hAnsi="Times New Roman" w:cs="Times New Roman"/>
          <w:sz w:val="24"/>
          <w:szCs w:val="24"/>
        </w:rPr>
        <w:t>especially in smaller hotels.</w:t>
      </w:r>
    </w:p>
    <w:p w14:paraId="00E8788E" w14:textId="09A6526B" w:rsidR="00D3561D"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b/>
          <w:bCs/>
          <w:sz w:val="24"/>
          <w:szCs w:val="24"/>
        </w:rPr>
        <w:t>Keywords:</w:t>
      </w:r>
      <w:r w:rsidRPr="00A946D5">
        <w:rPr>
          <w:rFonts w:ascii="Times New Roman" w:hAnsi="Times New Roman" w:cs="Times New Roman"/>
          <w:sz w:val="24"/>
          <w:szCs w:val="24"/>
        </w:rPr>
        <w:t xml:space="preserve"> </w:t>
      </w:r>
      <w:r w:rsidR="00580AE1" w:rsidRPr="00A946D5">
        <w:rPr>
          <w:rFonts w:ascii="Times New Roman" w:hAnsi="Times New Roman" w:cs="Times New Roman"/>
          <w:sz w:val="24"/>
          <w:szCs w:val="24"/>
        </w:rPr>
        <w:t xml:space="preserve">sustainability; </w:t>
      </w:r>
      <w:r w:rsidRPr="00A946D5">
        <w:rPr>
          <w:rFonts w:ascii="Times New Roman" w:hAnsi="Times New Roman" w:cs="Times New Roman"/>
          <w:sz w:val="24"/>
          <w:szCs w:val="24"/>
        </w:rPr>
        <w:t>food waste; hotels; breakfast buffet; eco-efficiency; waste hierarchy; hospitality management</w:t>
      </w:r>
    </w:p>
    <w:p w14:paraId="7165A2A5" w14:textId="56068C06" w:rsidR="00D3561D" w:rsidRPr="00A946D5" w:rsidRDefault="00D3561D" w:rsidP="00D3561D">
      <w:pPr>
        <w:spacing w:line="360" w:lineRule="auto"/>
        <w:jc w:val="both"/>
        <w:rPr>
          <w:rFonts w:ascii="Times New Roman" w:hAnsi="Times New Roman" w:cs="Times New Roman"/>
          <w:b/>
          <w:bCs/>
          <w:sz w:val="32"/>
          <w:szCs w:val="32"/>
        </w:rPr>
      </w:pPr>
      <w:r w:rsidRPr="00A946D5">
        <w:rPr>
          <w:rFonts w:ascii="Times New Roman" w:hAnsi="Times New Roman" w:cs="Times New Roman"/>
          <w:b/>
          <w:bCs/>
          <w:sz w:val="32"/>
          <w:szCs w:val="32"/>
        </w:rPr>
        <w:t>1. Introduction</w:t>
      </w:r>
    </w:p>
    <w:p w14:paraId="631D8395" w14:textId="498F7367" w:rsidR="00D3561D"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Hotels sell comfort, abundance, and predictable service. Food waste grows where those service promises meet variable demand. The scale is material. In the UK, WRAP estimates total food waste at 10.2 million tonnes (</w:t>
      </w:r>
      <w:r w:rsidR="00FE6D67" w:rsidRPr="00A946D5">
        <w:rPr>
          <w:rFonts w:ascii="Times New Roman" w:hAnsi="Times New Roman" w:cs="Times New Roman"/>
          <w:sz w:val="24"/>
          <w:szCs w:val="24"/>
        </w:rPr>
        <w:t xml:space="preserve">in </w:t>
      </w:r>
      <w:r w:rsidRPr="00A946D5">
        <w:rPr>
          <w:rFonts w:ascii="Times New Roman" w:hAnsi="Times New Roman" w:cs="Times New Roman"/>
          <w:sz w:val="24"/>
          <w:szCs w:val="24"/>
        </w:rPr>
        <w:t>2021</w:t>
      </w:r>
      <w:r w:rsidR="00FE6D67" w:rsidRPr="00A946D5">
        <w:rPr>
          <w:rFonts w:ascii="Times New Roman" w:hAnsi="Times New Roman" w:cs="Times New Roman"/>
          <w:sz w:val="24"/>
          <w:szCs w:val="24"/>
        </w:rPr>
        <w:t>-</w:t>
      </w:r>
      <w:r w:rsidRPr="00A946D5">
        <w:rPr>
          <w:rFonts w:ascii="Times New Roman" w:hAnsi="Times New Roman" w:cs="Times New Roman"/>
          <w:sz w:val="24"/>
          <w:szCs w:val="24"/>
        </w:rPr>
        <w:t xml:space="preserve">22), with hospitality and food service contributing 1.1 million tonnes, about 11% by weight (WRAP, 2025). Within wasted food (edible parts), hospitality and food service are estimated at 800,000 tonnes valued at £3.21 billion in 2021 prices (WRAP, 2025). Food waste is therefore a sustainability issue with </w:t>
      </w:r>
      <w:r w:rsidR="00770CB2">
        <w:rPr>
          <w:rFonts w:ascii="Times New Roman" w:hAnsi="Times New Roman" w:cs="Times New Roman"/>
          <w:sz w:val="24"/>
          <w:szCs w:val="24"/>
        </w:rPr>
        <w:t>urgent</w:t>
      </w:r>
      <w:r w:rsidRPr="00A946D5">
        <w:rPr>
          <w:rFonts w:ascii="Times New Roman" w:hAnsi="Times New Roman" w:cs="Times New Roman"/>
          <w:sz w:val="24"/>
          <w:szCs w:val="24"/>
        </w:rPr>
        <w:t xml:space="preserve"> operational relevance.</w:t>
      </w:r>
    </w:p>
    <w:p w14:paraId="3D459C6C" w14:textId="7C895CC3" w:rsidR="00A06572" w:rsidRDefault="00A06572" w:rsidP="00D3561D">
      <w:pPr>
        <w:spacing w:line="360" w:lineRule="auto"/>
        <w:jc w:val="both"/>
        <w:rPr>
          <w:rFonts w:ascii="Times New Roman" w:hAnsi="Times New Roman" w:cs="Times New Roman"/>
          <w:sz w:val="24"/>
          <w:szCs w:val="24"/>
        </w:rPr>
      </w:pPr>
      <w:r w:rsidRPr="00A06572">
        <w:rPr>
          <w:rFonts w:ascii="Times New Roman" w:hAnsi="Times New Roman" w:cs="Times New Roman"/>
          <w:sz w:val="24"/>
          <w:szCs w:val="24"/>
        </w:rPr>
        <w:t xml:space="preserve">This paper </w:t>
      </w:r>
      <w:r w:rsidR="00770CB2">
        <w:rPr>
          <w:rFonts w:ascii="Times New Roman" w:hAnsi="Times New Roman" w:cs="Times New Roman"/>
          <w:sz w:val="24"/>
          <w:szCs w:val="24"/>
        </w:rPr>
        <w:t>studies</w:t>
      </w:r>
      <w:r w:rsidRPr="00A06572">
        <w:rPr>
          <w:rFonts w:ascii="Times New Roman" w:hAnsi="Times New Roman" w:cs="Times New Roman"/>
          <w:sz w:val="24"/>
          <w:szCs w:val="24"/>
        </w:rPr>
        <w:t xml:space="preserve"> hotel food waste through </w:t>
      </w:r>
      <w:r w:rsidR="008856C2">
        <w:rPr>
          <w:rFonts w:ascii="Times New Roman" w:hAnsi="Times New Roman" w:cs="Times New Roman"/>
          <w:sz w:val="24"/>
          <w:szCs w:val="24"/>
        </w:rPr>
        <w:t>a</w:t>
      </w:r>
      <w:r w:rsidRPr="00A06572">
        <w:rPr>
          <w:rFonts w:ascii="Times New Roman" w:hAnsi="Times New Roman" w:cs="Times New Roman"/>
          <w:sz w:val="24"/>
          <w:szCs w:val="24"/>
        </w:rPr>
        <w:t xml:space="preserve"> </w:t>
      </w:r>
      <w:r w:rsidR="00770CB2">
        <w:rPr>
          <w:rFonts w:ascii="Times New Roman" w:hAnsi="Times New Roman" w:cs="Times New Roman"/>
          <w:sz w:val="24"/>
          <w:szCs w:val="24"/>
        </w:rPr>
        <w:t>functional</w:t>
      </w:r>
      <w:r w:rsidRPr="00A06572">
        <w:rPr>
          <w:rFonts w:ascii="Times New Roman" w:hAnsi="Times New Roman" w:cs="Times New Roman"/>
          <w:sz w:val="24"/>
          <w:szCs w:val="24"/>
        </w:rPr>
        <w:t xml:space="preserve"> efficacy lens, defined as the capacity of hotel practices to prevent or minimise waste without </w:t>
      </w:r>
      <w:r w:rsidR="00770CB2">
        <w:rPr>
          <w:rFonts w:ascii="Times New Roman" w:hAnsi="Times New Roman" w:cs="Times New Roman"/>
          <w:sz w:val="24"/>
          <w:szCs w:val="24"/>
        </w:rPr>
        <w:t>impairing</w:t>
      </w:r>
      <w:r w:rsidRPr="00A06572">
        <w:rPr>
          <w:rFonts w:ascii="Times New Roman" w:hAnsi="Times New Roman" w:cs="Times New Roman"/>
          <w:sz w:val="24"/>
          <w:szCs w:val="24"/>
        </w:rPr>
        <w:t xml:space="preserve"> profitability or customer satisfaction. Food-waste management is contested because sustainability measures can impose financial pressure on hotels, particularly smaller properties with limited procurement power (Amicarelli et al., 2021; Moliner et al., 2021).</w:t>
      </w:r>
    </w:p>
    <w:p w14:paraId="3D9CD7A1" w14:textId="54E51720" w:rsidR="00F86466" w:rsidRDefault="00DB4402" w:rsidP="00D3561D">
      <w:pPr>
        <w:spacing w:line="360" w:lineRule="auto"/>
        <w:jc w:val="both"/>
        <w:rPr>
          <w:rFonts w:ascii="Times New Roman" w:hAnsi="Times New Roman" w:cs="Times New Roman"/>
          <w:sz w:val="24"/>
          <w:szCs w:val="24"/>
        </w:rPr>
      </w:pPr>
      <w:r w:rsidRPr="00DB4402">
        <w:rPr>
          <w:rFonts w:ascii="Times New Roman" w:hAnsi="Times New Roman" w:cs="Times New Roman"/>
          <w:sz w:val="24"/>
          <w:szCs w:val="24"/>
        </w:rPr>
        <w:lastRenderedPageBreak/>
        <w:t>This paper uses secondary data to examine hotel food waste through an eco-efficiency lens, applying the waste hierarchy to identify key drivers and evidence-based interventions, with findings translated into practical priorities supported by PEST, PESTLE and SWOT analyses.</w:t>
      </w:r>
      <w:r>
        <w:rPr>
          <w:rFonts w:ascii="Times New Roman" w:hAnsi="Times New Roman" w:cs="Times New Roman"/>
          <w:sz w:val="24"/>
          <w:szCs w:val="24"/>
        </w:rPr>
        <w:t xml:space="preserve"> </w:t>
      </w:r>
      <w:r w:rsidR="00F86466" w:rsidRPr="00A946D5">
        <w:rPr>
          <w:rFonts w:ascii="Times New Roman" w:hAnsi="Times New Roman" w:cs="Times New Roman"/>
          <w:sz w:val="24"/>
          <w:szCs w:val="24"/>
        </w:rPr>
        <w:t xml:space="preserve">To translate the </w:t>
      </w:r>
      <w:r w:rsidR="00770CB2">
        <w:rPr>
          <w:rFonts w:ascii="Times New Roman" w:hAnsi="Times New Roman" w:cs="Times New Roman"/>
          <w:sz w:val="24"/>
          <w:szCs w:val="24"/>
        </w:rPr>
        <w:t>results</w:t>
      </w:r>
      <w:r w:rsidR="00F86466" w:rsidRPr="00A946D5">
        <w:rPr>
          <w:rFonts w:ascii="Times New Roman" w:hAnsi="Times New Roman" w:cs="Times New Roman"/>
          <w:sz w:val="24"/>
          <w:szCs w:val="24"/>
        </w:rPr>
        <w:t xml:space="preserve"> into actionable priorities, the recommendations are supported by simple strategic diagnostics (PEST, PESTLE and SWOT), presented as figures in the recommendations section.</w:t>
      </w:r>
    </w:p>
    <w:p w14:paraId="7D986247" w14:textId="76635390" w:rsidR="005E764C" w:rsidRPr="00A946D5" w:rsidRDefault="005E764C" w:rsidP="00D3561D">
      <w:pPr>
        <w:spacing w:line="360" w:lineRule="auto"/>
        <w:jc w:val="both"/>
        <w:rPr>
          <w:rFonts w:ascii="Times New Roman" w:hAnsi="Times New Roman" w:cs="Times New Roman"/>
          <w:sz w:val="24"/>
          <w:szCs w:val="24"/>
        </w:rPr>
      </w:pPr>
      <w:r w:rsidRPr="005E764C">
        <w:rPr>
          <w:rFonts w:ascii="Times New Roman" w:hAnsi="Times New Roman" w:cs="Times New Roman"/>
          <w:sz w:val="24"/>
          <w:szCs w:val="24"/>
        </w:rPr>
        <w:t xml:space="preserve">The paper is structured as follows: Section 2 reviews the literature on hotel food waste drivers and interventions; Section 3 outlines the secondary-data methodology and analytical </w:t>
      </w:r>
      <w:r w:rsidR="00770CB2">
        <w:rPr>
          <w:rFonts w:ascii="Times New Roman" w:hAnsi="Times New Roman" w:cs="Times New Roman"/>
          <w:sz w:val="24"/>
          <w:szCs w:val="24"/>
        </w:rPr>
        <w:t>system</w:t>
      </w:r>
      <w:r w:rsidRPr="005E764C">
        <w:rPr>
          <w:rFonts w:ascii="Times New Roman" w:hAnsi="Times New Roman" w:cs="Times New Roman"/>
          <w:sz w:val="24"/>
          <w:szCs w:val="24"/>
        </w:rPr>
        <w:t>; Sections 4 and 5 analyse impacts and translate findings into evidence-based recommendations supported by PEST, PESTLE and SWOT analyses.</w:t>
      </w:r>
    </w:p>
    <w:p w14:paraId="35777ED3" w14:textId="632258EA" w:rsidR="00D3561D" w:rsidRPr="00A946D5" w:rsidRDefault="00D3561D" w:rsidP="00D3561D">
      <w:pPr>
        <w:spacing w:line="360" w:lineRule="auto"/>
        <w:jc w:val="both"/>
        <w:rPr>
          <w:rFonts w:ascii="Times New Roman" w:hAnsi="Times New Roman" w:cs="Times New Roman"/>
          <w:b/>
          <w:bCs/>
          <w:sz w:val="32"/>
          <w:szCs w:val="32"/>
        </w:rPr>
      </w:pPr>
      <w:r w:rsidRPr="00A946D5">
        <w:rPr>
          <w:rFonts w:ascii="Times New Roman" w:hAnsi="Times New Roman" w:cs="Times New Roman"/>
          <w:b/>
          <w:bCs/>
          <w:sz w:val="32"/>
          <w:szCs w:val="32"/>
        </w:rPr>
        <w:t>2. Literature review</w:t>
      </w:r>
    </w:p>
    <w:p w14:paraId="44493653" w14:textId="6D6F37CD" w:rsidR="00D3561D" w:rsidRPr="00A946D5" w:rsidRDefault="00D3561D" w:rsidP="00D3561D">
      <w:pPr>
        <w:spacing w:line="360" w:lineRule="auto"/>
        <w:jc w:val="both"/>
        <w:rPr>
          <w:rFonts w:ascii="Times New Roman" w:hAnsi="Times New Roman" w:cs="Times New Roman"/>
          <w:b/>
          <w:bCs/>
          <w:sz w:val="28"/>
          <w:szCs w:val="28"/>
        </w:rPr>
      </w:pPr>
      <w:r w:rsidRPr="00A946D5">
        <w:rPr>
          <w:rFonts w:ascii="Times New Roman" w:hAnsi="Times New Roman" w:cs="Times New Roman"/>
          <w:b/>
          <w:bCs/>
          <w:sz w:val="28"/>
          <w:szCs w:val="28"/>
        </w:rPr>
        <w:t>2.1 Food waste in hospitality – recurring patterns</w:t>
      </w:r>
    </w:p>
    <w:p w14:paraId="47B5E78B" w14:textId="7205D0D5" w:rsidR="00D3561D"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 xml:space="preserve">Hospitality food waste is systemic and distributed across actors. Reviews show drivers spanning procurement, storage, production, service, and consumption, with behavioural and organisational factors interacting (Dhir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xml:space="preserve">, 2020; Crocker, Sucheran and Dorasamy, 2025). Hotel-focused overviews position hotels as high-risk settings due to </w:t>
      </w:r>
      <w:r w:rsidR="00770CB2">
        <w:rPr>
          <w:rFonts w:ascii="Times New Roman" w:hAnsi="Times New Roman" w:cs="Times New Roman"/>
          <w:sz w:val="24"/>
          <w:szCs w:val="24"/>
        </w:rPr>
        <w:t>oscillating</w:t>
      </w:r>
      <w:r w:rsidRPr="00A946D5">
        <w:rPr>
          <w:rFonts w:ascii="Times New Roman" w:hAnsi="Times New Roman" w:cs="Times New Roman"/>
          <w:sz w:val="24"/>
          <w:szCs w:val="24"/>
        </w:rPr>
        <w:t xml:space="preserve"> demand and service norms that reward surplus (Májková, Večeřová and Provazník Ryglová, 2025).</w:t>
      </w:r>
    </w:p>
    <w:p w14:paraId="28808DB9" w14:textId="68DC3D98" w:rsidR="00D3561D"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Breakfast buffets are repeatedly identified as a hot</w:t>
      </w:r>
      <w:r w:rsidR="00856B64" w:rsidRPr="00A946D5">
        <w:rPr>
          <w:rFonts w:ascii="Times New Roman" w:hAnsi="Times New Roman" w:cs="Times New Roman"/>
          <w:sz w:val="24"/>
          <w:szCs w:val="24"/>
        </w:rPr>
        <w:t xml:space="preserve"> </w:t>
      </w:r>
      <w:r w:rsidRPr="00A946D5">
        <w:rPr>
          <w:rFonts w:ascii="Times New Roman" w:hAnsi="Times New Roman" w:cs="Times New Roman"/>
          <w:sz w:val="24"/>
          <w:szCs w:val="24"/>
        </w:rPr>
        <w:t>spot. Empirical evidence shows guests often take more than they can eat, leaving plate waste consistent with variety-seeking under an all</w:t>
      </w:r>
      <w:r w:rsidR="00C0411B" w:rsidRPr="00A946D5">
        <w:rPr>
          <w:rFonts w:ascii="Times New Roman" w:hAnsi="Times New Roman" w:cs="Times New Roman"/>
          <w:sz w:val="24"/>
          <w:szCs w:val="24"/>
        </w:rPr>
        <w:t>-</w:t>
      </w:r>
      <w:r w:rsidRPr="00A946D5">
        <w:rPr>
          <w:rFonts w:ascii="Times New Roman" w:hAnsi="Times New Roman" w:cs="Times New Roman"/>
          <w:sz w:val="24"/>
          <w:szCs w:val="24"/>
        </w:rPr>
        <w:t>you</w:t>
      </w:r>
      <w:r w:rsidR="00C0411B" w:rsidRPr="00A946D5">
        <w:rPr>
          <w:rFonts w:ascii="Times New Roman" w:hAnsi="Times New Roman" w:cs="Times New Roman"/>
          <w:sz w:val="24"/>
          <w:szCs w:val="24"/>
        </w:rPr>
        <w:t>-</w:t>
      </w:r>
      <w:r w:rsidRPr="00A946D5">
        <w:rPr>
          <w:rFonts w:ascii="Times New Roman" w:hAnsi="Times New Roman" w:cs="Times New Roman"/>
          <w:sz w:val="24"/>
          <w:szCs w:val="24"/>
        </w:rPr>
        <w:t>can</w:t>
      </w:r>
      <w:r w:rsidR="00C0411B" w:rsidRPr="00A946D5">
        <w:rPr>
          <w:rFonts w:ascii="Times New Roman" w:hAnsi="Times New Roman" w:cs="Times New Roman"/>
          <w:sz w:val="24"/>
          <w:szCs w:val="24"/>
        </w:rPr>
        <w:t>-</w:t>
      </w:r>
      <w:r w:rsidRPr="00A946D5">
        <w:rPr>
          <w:rFonts w:ascii="Times New Roman" w:hAnsi="Times New Roman" w:cs="Times New Roman"/>
          <w:sz w:val="24"/>
          <w:szCs w:val="24"/>
        </w:rPr>
        <w:t xml:space="preserve">eat frame (Juvan, Grün and Dolnicar, 2017). Behaviour modelling reinforces the same conclusion: waste depends on situational cues and service design, not only on stated attitudes (Puga-Gonzalez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xml:space="preserve">, 2025). Customer-focused analysis of buffet menu setting links waste to the way options are presented and to drivers of plate waste and awareness (Ariffin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2023).</w:t>
      </w:r>
    </w:p>
    <w:p w14:paraId="66C9BDF5" w14:textId="77777777" w:rsidR="00D3561D" w:rsidRPr="00A946D5" w:rsidRDefault="00D3561D" w:rsidP="00D3561D">
      <w:pPr>
        <w:spacing w:line="360" w:lineRule="auto"/>
        <w:jc w:val="both"/>
        <w:rPr>
          <w:rFonts w:ascii="Times New Roman" w:hAnsi="Times New Roman" w:cs="Times New Roman"/>
          <w:b/>
          <w:bCs/>
          <w:sz w:val="28"/>
          <w:szCs w:val="28"/>
        </w:rPr>
      </w:pPr>
      <w:r w:rsidRPr="00A946D5">
        <w:rPr>
          <w:rFonts w:ascii="Times New Roman" w:hAnsi="Times New Roman" w:cs="Times New Roman"/>
          <w:b/>
          <w:bCs/>
          <w:sz w:val="28"/>
          <w:szCs w:val="28"/>
        </w:rPr>
        <w:t>2.2 Drivers across the service cycle</w:t>
      </w:r>
    </w:p>
    <w:p w14:paraId="4A3C43D7" w14:textId="4107D967" w:rsidR="00480E9F" w:rsidRDefault="00480E9F" w:rsidP="00D3561D">
      <w:pPr>
        <w:spacing w:line="360" w:lineRule="auto"/>
        <w:jc w:val="both"/>
        <w:rPr>
          <w:rFonts w:ascii="Times New Roman" w:hAnsi="Times New Roman" w:cs="Times New Roman"/>
          <w:sz w:val="24"/>
          <w:szCs w:val="24"/>
        </w:rPr>
      </w:pPr>
      <w:r w:rsidRPr="00480E9F">
        <w:rPr>
          <w:rFonts w:ascii="Times New Roman" w:hAnsi="Times New Roman" w:cs="Times New Roman"/>
          <w:sz w:val="24"/>
          <w:szCs w:val="24"/>
        </w:rPr>
        <w:t xml:space="preserve">Managerial perspectives often blame guests, yet interviews with hotel managers and chefs show waste is co-produced through guest behaviours (e.g., pay-rider behaviour and fear of loss) alongside hotel overproduction and overserving </w:t>
      </w:r>
      <w:r w:rsidR="00770CB2">
        <w:rPr>
          <w:rFonts w:ascii="Times New Roman" w:hAnsi="Times New Roman" w:cs="Times New Roman"/>
          <w:sz w:val="24"/>
          <w:szCs w:val="24"/>
        </w:rPr>
        <w:t>determined</w:t>
      </w:r>
      <w:r w:rsidRPr="00480E9F">
        <w:rPr>
          <w:rFonts w:ascii="Times New Roman" w:hAnsi="Times New Roman" w:cs="Times New Roman"/>
          <w:sz w:val="24"/>
          <w:szCs w:val="24"/>
        </w:rPr>
        <w:t xml:space="preserve"> by norms, layout, and operational choices (Appel, Ayalon and Collins-Kreiner, 2025).</w:t>
      </w:r>
    </w:p>
    <w:p w14:paraId="46903C64" w14:textId="71A36299" w:rsidR="003168B0" w:rsidRDefault="00C639D0" w:rsidP="00D3561D">
      <w:pPr>
        <w:spacing w:line="360" w:lineRule="auto"/>
        <w:jc w:val="both"/>
        <w:rPr>
          <w:rFonts w:ascii="Times New Roman" w:hAnsi="Times New Roman" w:cs="Times New Roman"/>
          <w:sz w:val="24"/>
          <w:szCs w:val="24"/>
        </w:rPr>
      </w:pPr>
      <w:r w:rsidRPr="00C639D0">
        <w:rPr>
          <w:rFonts w:ascii="Times New Roman" w:hAnsi="Times New Roman" w:cs="Times New Roman"/>
          <w:sz w:val="24"/>
          <w:szCs w:val="24"/>
        </w:rPr>
        <w:t xml:space="preserve">Beyond buffets, food waste in hotels emerges from competing service priorities, fragmented responsibilities, and quality cues that reward surplus, alongside poor menu planning and low </w:t>
      </w:r>
      <w:r w:rsidRPr="00C639D0">
        <w:rPr>
          <w:rFonts w:ascii="Times New Roman" w:hAnsi="Times New Roman" w:cs="Times New Roman"/>
          <w:sz w:val="24"/>
          <w:szCs w:val="24"/>
        </w:rPr>
        <w:lastRenderedPageBreak/>
        <w:t>awareness at the consumption stage (Chawla, Lugosi and Hawkins, 2021; Rady et al., 2021).</w:t>
      </w:r>
      <w:r>
        <w:rPr>
          <w:rFonts w:ascii="Times New Roman" w:hAnsi="Times New Roman" w:cs="Times New Roman"/>
          <w:sz w:val="24"/>
          <w:szCs w:val="24"/>
        </w:rPr>
        <w:t xml:space="preserve"> </w:t>
      </w:r>
      <w:r w:rsidR="003168B0" w:rsidRPr="003168B0">
        <w:rPr>
          <w:rFonts w:ascii="Times New Roman" w:hAnsi="Times New Roman" w:cs="Times New Roman"/>
          <w:sz w:val="24"/>
          <w:szCs w:val="24"/>
        </w:rPr>
        <w:t xml:space="preserve">The same study </w:t>
      </w:r>
      <w:r w:rsidR="00770CB2">
        <w:rPr>
          <w:rFonts w:ascii="Times New Roman" w:hAnsi="Times New Roman" w:cs="Times New Roman"/>
          <w:sz w:val="24"/>
          <w:szCs w:val="24"/>
        </w:rPr>
        <w:t>shows</w:t>
      </w:r>
      <w:r w:rsidR="003168B0" w:rsidRPr="003168B0">
        <w:rPr>
          <w:rFonts w:ascii="Times New Roman" w:hAnsi="Times New Roman" w:cs="Times New Roman"/>
          <w:sz w:val="24"/>
          <w:szCs w:val="24"/>
        </w:rPr>
        <w:t xml:space="preserve"> barriers to improvement, including buffet service itself, weak training, limited customer awareness, and planning shortcomings (Rady et al., 2021).</w:t>
      </w:r>
    </w:p>
    <w:p w14:paraId="5160B1B7" w14:textId="06D9BB01" w:rsidR="00D3561D"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 xml:space="preserve">Operational hot spots recur across studies. Exploratory research comparing an Italian and a Romanian hotel identifies three leverage points: accurate prediction and checking of guest attendance, </w:t>
      </w:r>
      <w:r w:rsidR="00770CB2">
        <w:rPr>
          <w:rFonts w:ascii="Times New Roman" w:hAnsi="Times New Roman" w:cs="Times New Roman"/>
          <w:sz w:val="24"/>
          <w:szCs w:val="24"/>
        </w:rPr>
        <w:t>openness</w:t>
      </w:r>
      <w:r w:rsidRPr="00A946D5">
        <w:rPr>
          <w:rFonts w:ascii="Times New Roman" w:hAnsi="Times New Roman" w:cs="Times New Roman"/>
          <w:sz w:val="24"/>
          <w:szCs w:val="24"/>
        </w:rPr>
        <w:t xml:space="preserve"> and communication with local suppliers and a</w:t>
      </w:r>
      <w:r w:rsidR="00770CB2">
        <w:rPr>
          <w:rFonts w:ascii="Times New Roman" w:hAnsi="Times New Roman" w:cs="Times New Roman"/>
          <w:sz w:val="24"/>
          <w:szCs w:val="24"/>
        </w:rPr>
        <w:t>mong</w:t>
      </w:r>
      <w:r w:rsidRPr="00A946D5">
        <w:rPr>
          <w:rFonts w:ascii="Times New Roman" w:hAnsi="Times New Roman" w:cs="Times New Roman"/>
          <w:sz w:val="24"/>
          <w:szCs w:val="24"/>
        </w:rPr>
        <w:t xml:space="preserve"> departments, plus purchasing frequency for perishables (Amicarelli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xml:space="preserve">, 2021). Evidence from food service outside hotels is consistent: forecasting is widely used as prevention, yet it fails under volatility. A UK–Netherlands comparison shows forecasting dominates, while repurposing, redistribution, and choice architecture are often seen as commercially unviable when forecasting fails (Filimonau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2020).</w:t>
      </w:r>
    </w:p>
    <w:p w14:paraId="058E8F21" w14:textId="77777777" w:rsidR="00D3561D" w:rsidRPr="00A946D5" w:rsidRDefault="00D3561D" w:rsidP="00D3561D">
      <w:pPr>
        <w:spacing w:line="360" w:lineRule="auto"/>
        <w:jc w:val="both"/>
        <w:rPr>
          <w:rFonts w:ascii="Times New Roman" w:hAnsi="Times New Roman" w:cs="Times New Roman"/>
          <w:b/>
          <w:bCs/>
          <w:sz w:val="28"/>
          <w:szCs w:val="28"/>
        </w:rPr>
      </w:pPr>
      <w:r w:rsidRPr="00A946D5">
        <w:rPr>
          <w:rFonts w:ascii="Times New Roman" w:hAnsi="Times New Roman" w:cs="Times New Roman"/>
          <w:b/>
          <w:bCs/>
          <w:sz w:val="28"/>
          <w:szCs w:val="28"/>
        </w:rPr>
        <w:t>2.3 Behavioural and practice-based explanations</w:t>
      </w:r>
    </w:p>
    <w:p w14:paraId="7CA76954" w14:textId="05DDCCBA" w:rsidR="00480E9F" w:rsidRDefault="00A06572" w:rsidP="00D3561D">
      <w:pPr>
        <w:spacing w:line="360" w:lineRule="auto"/>
        <w:jc w:val="both"/>
        <w:rPr>
          <w:rFonts w:ascii="Times New Roman" w:hAnsi="Times New Roman" w:cs="Times New Roman"/>
          <w:sz w:val="24"/>
          <w:szCs w:val="24"/>
        </w:rPr>
      </w:pPr>
      <w:r w:rsidRPr="00A06572">
        <w:rPr>
          <w:rFonts w:ascii="Times New Roman" w:hAnsi="Times New Roman" w:cs="Times New Roman"/>
          <w:sz w:val="24"/>
          <w:szCs w:val="24"/>
        </w:rPr>
        <w:t>Because buffet waste reduction is largely behavioural, this paper draws on behavioural economics and social practice theory. Dynamic inconsistency explains why guests may intend to waste less but over-serve themselves in response to variety and perceived value (Danzer and Zeidler, 2025), while social practice theory emphasises changing routines and material arrangements to reduce waste (Nand et al., 2025).</w:t>
      </w:r>
      <w:r>
        <w:rPr>
          <w:rFonts w:ascii="Times New Roman" w:hAnsi="Times New Roman" w:cs="Times New Roman"/>
          <w:sz w:val="24"/>
          <w:szCs w:val="24"/>
        </w:rPr>
        <w:t xml:space="preserve"> </w:t>
      </w:r>
      <w:r w:rsidR="00650DAC" w:rsidRPr="00A946D5">
        <w:rPr>
          <w:rFonts w:ascii="Times New Roman" w:hAnsi="Times New Roman" w:cs="Times New Roman"/>
          <w:sz w:val="24"/>
          <w:szCs w:val="24"/>
        </w:rPr>
        <w:t xml:space="preserve">Culture can be an issue in this context. </w:t>
      </w:r>
      <w:r w:rsidR="00D3561D" w:rsidRPr="00A946D5">
        <w:rPr>
          <w:rFonts w:ascii="Times New Roman" w:hAnsi="Times New Roman" w:cs="Times New Roman"/>
          <w:sz w:val="24"/>
          <w:szCs w:val="24"/>
        </w:rPr>
        <w:t xml:space="preserve">Religion and religiosity can influence waste generation among restaurant clienteles, implying that guest norms and moral frames vary across segments (Hassan </w:t>
      </w:r>
      <w:r w:rsidR="00D3561D" w:rsidRPr="00A946D5">
        <w:rPr>
          <w:rFonts w:ascii="Times New Roman" w:hAnsi="Times New Roman" w:cs="Times New Roman"/>
          <w:i/>
          <w:iCs/>
          <w:sz w:val="24"/>
          <w:szCs w:val="24"/>
        </w:rPr>
        <w:t>et al.</w:t>
      </w:r>
      <w:r w:rsidR="00D3561D" w:rsidRPr="00A946D5">
        <w:rPr>
          <w:rFonts w:ascii="Times New Roman" w:hAnsi="Times New Roman" w:cs="Times New Roman"/>
          <w:sz w:val="24"/>
          <w:szCs w:val="24"/>
        </w:rPr>
        <w:t xml:space="preserve">, 2022). </w:t>
      </w:r>
      <w:r w:rsidR="00480E9F" w:rsidRPr="00480E9F">
        <w:rPr>
          <w:rFonts w:ascii="Times New Roman" w:hAnsi="Times New Roman" w:cs="Times New Roman"/>
          <w:sz w:val="24"/>
          <w:szCs w:val="24"/>
        </w:rPr>
        <w:t xml:space="preserve">Hotels </w:t>
      </w:r>
      <w:r w:rsidR="00770CB2">
        <w:rPr>
          <w:rFonts w:ascii="Times New Roman" w:hAnsi="Times New Roman" w:cs="Times New Roman"/>
          <w:sz w:val="24"/>
          <w:szCs w:val="24"/>
        </w:rPr>
        <w:t>providing for</w:t>
      </w:r>
      <w:r w:rsidR="00480E9F" w:rsidRPr="00480E9F">
        <w:rPr>
          <w:rFonts w:ascii="Times New Roman" w:hAnsi="Times New Roman" w:cs="Times New Roman"/>
          <w:sz w:val="24"/>
          <w:szCs w:val="24"/>
        </w:rPr>
        <w:t xml:space="preserve"> diverse markets should not assume one intervention fits all.</w:t>
      </w:r>
    </w:p>
    <w:p w14:paraId="1F639D48" w14:textId="3D80AC5C" w:rsidR="00D3561D" w:rsidRPr="00A946D5" w:rsidRDefault="00D3561D" w:rsidP="00D3561D">
      <w:pPr>
        <w:spacing w:line="360" w:lineRule="auto"/>
        <w:jc w:val="both"/>
        <w:rPr>
          <w:rFonts w:ascii="Times New Roman" w:hAnsi="Times New Roman" w:cs="Times New Roman"/>
          <w:b/>
          <w:bCs/>
          <w:sz w:val="28"/>
          <w:szCs w:val="28"/>
        </w:rPr>
      </w:pPr>
      <w:r w:rsidRPr="00A946D5">
        <w:rPr>
          <w:rFonts w:ascii="Times New Roman" w:hAnsi="Times New Roman" w:cs="Times New Roman"/>
          <w:b/>
          <w:bCs/>
          <w:sz w:val="28"/>
          <w:szCs w:val="28"/>
        </w:rPr>
        <w:t>2.4 Intervention types reported in the literature</w:t>
      </w:r>
    </w:p>
    <w:p w14:paraId="4B95A43A" w14:textId="57AD9CBB" w:rsidR="00D3561D" w:rsidRPr="00A946D5" w:rsidRDefault="003168B0" w:rsidP="00D3561D">
      <w:pPr>
        <w:spacing w:line="360" w:lineRule="auto"/>
        <w:jc w:val="both"/>
        <w:rPr>
          <w:rFonts w:ascii="Times New Roman" w:hAnsi="Times New Roman" w:cs="Times New Roman"/>
          <w:sz w:val="24"/>
          <w:szCs w:val="24"/>
        </w:rPr>
      </w:pPr>
      <w:r w:rsidRPr="003168B0">
        <w:rPr>
          <w:rFonts w:ascii="Times New Roman" w:hAnsi="Times New Roman" w:cs="Times New Roman"/>
          <w:sz w:val="24"/>
          <w:szCs w:val="24"/>
        </w:rPr>
        <w:t xml:space="preserve">Interventions cluster into operational controls, behavioural design, and downstream management. Operational controls include menu engineering, purchasing discipline, portioning, and training, supported by practices such as menu revision, reduced buffet quantities, informational prompts, and staff </w:t>
      </w:r>
      <w:r w:rsidR="004524B9">
        <w:rPr>
          <w:rFonts w:ascii="Times New Roman" w:hAnsi="Times New Roman" w:cs="Times New Roman"/>
          <w:sz w:val="24"/>
          <w:szCs w:val="24"/>
        </w:rPr>
        <w:t>outreach</w:t>
      </w:r>
      <w:r w:rsidRPr="003168B0">
        <w:rPr>
          <w:rFonts w:ascii="Times New Roman" w:hAnsi="Times New Roman" w:cs="Times New Roman"/>
          <w:sz w:val="24"/>
          <w:szCs w:val="24"/>
        </w:rPr>
        <w:t xml:space="preserve"> campaigns (Rady et al., 2021).</w:t>
      </w:r>
      <w:r>
        <w:rPr>
          <w:rFonts w:ascii="Times New Roman" w:hAnsi="Times New Roman" w:cs="Times New Roman"/>
          <w:sz w:val="24"/>
          <w:szCs w:val="24"/>
        </w:rPr>
        <w:t xml:space="preserve"> </w:t>
      </w:r>
      <w:r w:rsidR="00D3561D" w:rsidRPr="00A946D5">
        <w:rPr>
          <w:rFonts w:ascii="Times New Roman" w:hAnsi="Times New Roman" w:cs="Times New Roman"/>
          <w:sz w:val="24"/>
          <w:szCs w:val="24"/>
        </w:rPr>
        <w:t xml:space="preserve">Chef-focused research shows waste management improves when it becomes an embodied professional practice developed through routines, feedback, and learning (Filimonau </w:t>
      </w:r>
      <w:r w:rsidR="00D3561D" w:rsidRPr="00A946D5">
        <w:rPr>
          <w:rFonts w:ascii="Times New Roman" w:hAnsi="Times New Roman" w:cs="Times New Roman"/>
          <w:i/>
          <w:iCs/>
          <w:sz w:val="24"/>
          <w:szCs w:val="24"/>
        </w:rPr>
        <w:t>et al.</w:t>
      </w:r>
      <w:r w:rsidR="00D3561D" w:rsidRPr="00A946D5">
        <w:rPr>
          <w:rFonts w:ascii="Times New Roman" w:hAnsi="Times New Roman" w:cs="Times New Roman"/>
          <w:sz w:val="24"/>
          <w:szCs w:val="24"/>
        </w:rPr>
        <w:t>, 2024).</w:t>
      </w:r>
    </w:p>
    <w:p w14:paraId="273CF7A6" w14:textId="77777777" w:rsidR="00A06572" w:rsidRDefault="00A06572" w:rsidP="00C639D0">
      <w:pPr>
        <w:spacing w:line="360" w:lineRule="auto"/>
        <w:jc w:val="both"/>
        <w:rPr>
          <w:rFonts w:ascii="Times New Roman" w:hAnsi="Times New Roman" w:cs="Times New Roman"/>
          <w:sz w:val="24"/>
          <w:szCs w:val="24"/>
        </w:rPr>
      </w:pPr>
      <w:r w:rsidRPr="00A06572">
        <w:rPr>
          <w:rFonts w:ascii="Times New Roman" w:hAnsi="Times New Roman" w:cs="Times New Roman"/>
          <w:sz w:val="24"/>
          <w:szCs w:val="24"/>
        </w:rPr>
        <w:t xml:space="preserve">Lean management is frequently proposed to reduce process-driven waste. In HoReCa and hotel kitchens, lean approaches emphasise standardisation, reduced variability, and making waste </w:t>
      </w:r>
      <w:r w:rsidRPr="00A06572">
        <w:rPr>
          <w:rFonts w:ascii="Times New Roman" w:hAnsi="Times New Roman" w:cs="Times New Roman"/>
          <w:sz w:val="24"/>
          <w:szCs w:val="24"/>
        </w:rPr>
        <w:lastRenderedPageBreak/>
        <w:t>visible to limit overproduction and inventory errors (Gładysz, Buczacki and Haskins, 2020; Kartinawati, Risyahadi and Bashar, 2022).</w:t>
      </w:r>
    </w:p>
    <w:p w14:paraId="38591DA8" w14:textId="017910A1" w:rsidR="00C639D0" w:rsidRDefault="00C639D0" w:rsidP="00C639D0">
      <w:pPr>
        <w:spacing w:line="360" w:lineRule="auto"/>
        <w:jc w:val="both"/>
        <w:rPr>
          <w:rFonts w:ascii="Times New Roman" w:hAnsi="Times New Roman" w:cs="Times New Roman"/>
          <w:sz w:val="24"/>
          <w:szCs w:val="24"/>
        </w:rPr>
      </w:pPr>
      <w:r w:rsidRPr="00C639D0">
        <w:rPr>
          <w:rFonts w:ascii="Times New Roman" w:hAnsi="Times New Roman" w:cs="Times New Roman"/>
          <w:sz w:val="24"/>
          <w:szCs w:val="24"/>
        </w:rPr>
        <w:t xml:space="preserve">Behavioural design is critical for buffets. Experimental evidence shows that persuasive messages can reduce plate waste at hotel breakfast buffets, supporting the use of low-cost nudges (Cozzio, Tokarchuk and Maurer, 2021). Sustained reductions depend on clear roles and systems (Wu and Teng, 2022), while guidance on psychology, layout, batch ordering, and other buffet-specific factors </w:t>
      </w:r>
      <w:r w:rsidR="004524B9">
        <w:rPr>
          <w:rFonts w:ascii="Times New Roman" w:hAnsi="Times New Roman" w:cs="Times New Roman"/>
          <w:sz w:val="24"/>
          <w:szCs w:val="24"/>
        </w:rPr>
        <w:t>in consistent</w:t>
      </w:r>
      <w:r w:rsidRPr="00C639D0">
        <w:rPr>
          <w:rFonts w:ascii="Times New Roman" w:hAnsi="Times New Roman" w:cs="Times New Roman"/>
          <w:sz w:val="24"/>
          <w:szCs w:val="24"/>
        </w:rPr>
        <w:t xml:space="preserve"> with both academic and industry sources (Wood, 2025; FoodSight Team, 2025; Szallabek, 2024).</w:t>
      </w:r>
    </w:p>
    <w:p w14:paraId="512D36F6" w14:textId="2FB37853" w:rsidR="002F61A0" w:rsidRPr="00A946D5" w:rsidRDefault="00C639D0" w:rsidP="00C639D0">
      <w:pPr>
        <w:spacing w:line="360" w:lineRule="auto"/>
        <w:jc w:val="both"/>
        <w:rPr>
          <w:rFonts w:ascii="Times New Roman" w:hAnsi="Times New Roman" w:cs="Times New Roman"/>
          <w:sz w:val="24"/>
          <w:szCs w:val="24"/>
        </w:rPr>
      </w:pPr>
      <w:r w:rsidRPr="00C639D0">
        <w:rPr>
          <w:rFonts w:ascii="Times New Roman" w:hAnsi="Times New Roman" w:cs="Times New Roman"/>
          <w:sz w:val="24"/>
          <w:szCs w:val="24"/>
        </w:rPr>
        <w:t xml:space="preserve">Food waste management also includes redistribution, composting, and recovery. Industry guidelines frame these options within the waste-hierarchy logic and highlight </w:t>
      </w:r>
      <w:r w:rsidR="004524B9">
        <w:rPr>
          <w:rFonts w:ascii="Times New Roman" w:hAnsi="Times New Roman" w:cs="Times New Roman"/>
          <w:sz w:val="24"/>
          <w:szCs w:val="24"/>
        </w:rPr>
        <w:t>pragmatic</w:t>
      </w:r>
      <w:r w:rsidRPr="00C639D0">
        <w:rPr>
          <w:rFonts w:ascii="Times New Roman" w:hAnsi="Times New Roman" w:cs="Times New Roman"/>
          <w:sz w:val="24"/>
          <w:szCs w:val="24"/>
        </w:rPr>
        <w:t xml:space="preserve"> constraints related to space, regulation, and cost (Metro Turkey, Ministry of Agriculture and Forestry and FAO, 2019). Such practices are reported as more feasible in five-star hotels (Kattiyapornpong et al., 2023).</w:t>
      </w:r>
      <w:r w:rsidR="00F86466" w:rsidRPr="00A946D5">
        <w:rPr>
          <w:rFonts w:ascii="Times New Roman" w:hAnsi="Times New Roman" w:cs="Times New Roman"/>
          <w:sz w:val="24"/>
          <w:szCs w:val="24"/>
        </w:rPr>
        <w:br w:type="page"/>
      </w:r>
    </w:p>
    <w:p w14:paraId="7F8DCD06" w14:textId="41568742" w:rsidR="00D3561D" w:rsidRPr="00A946D5" w:rsidRDefault="00D3561D" w:rsidP="002F61A0">
      <w:pPr>
        <w:spacing w:line="360" w:lineRule="auto"/>
        <w:jc w:val="both"/>
        <w:rPr>
          <w:rFonts w:ascii="Times New Roman" w:hAnsi="Times New Roman" w:cs="Times New Roman"/>
          <w:b/>
          <w:bCs/>
          <w:sz w:val="32"/>
          <w:szCs w:val="32"/>
        </w:rPr>
      </w:pPr>
      <w:r w:rsidRPr="00A946D5">
        <w:rPr>
          <w:rFonts w:ascii="Times New Roman" w:hAnsi="Times New Roman" w:cs="Times New Roman"/>
          <w:b/>
          <w:bCs/>
          <w:sz w:val="32"/>
          <w:szCs w:val="32"/>
        </w:rPr>
        <w:lastRenderedPageBreak/>
        <w:t>3. Method</w:t>
      </w:r>
    </w:p>
    <w:p w14:paraId="1602092C" w14:textId="55742C15" w:rsidR="009D5C82" w:rsidRPr="009D5C82" w:rsidRDefault="009D5C82" w:rsidP="009D5C82">
      <w:pPr>
        <w:spacing w:line="360" w:lineRule="auto"/>
        <w:jc w:val="both"/>
        <w:rPr>
          <w:rFonts w:ascii="Times New Roman" w:hAnsi="Times New Roman" w:cs="Times New Roman"/>
          <w:sz w:val="24"/>
          <w:szCs w:val="24"/>
        </w:rPr>
      </w:pPr>
      <w:r w:rsidRPr="009D5C82">
        <w:rPr>
          <w:rFonts w:ascii="Times New Roman" w:hAnsi="Times New Roman" w:cs="Times New Roman"/>
          <w:sz w:val="24"/>
          <w:szCs w:val="24"/>
        </w:rPr>
        <w:t>This paper uses secondary data for analysis. I apply a structured, desk-based synthesis restricted to the sources provided in the reference list. Each source was analysed to distil four aspects: (1) the causes of food waste in hotels from procurement to consumption; (2) interventions that are reported as effective; (3) barriers that hinder implementation; (4) impacts on performance, including costs, service quality, and sustainability. I then organised the evidence u</w:t>
      </w:r>
      <w:r w:rsidR="004524B9">
        <w:rPr>
          <w:rFonts w:ascii="Times New Roman" w:hAnsi="Times New Roman" w:cs="Times New Roman"/>
          <w:sz w:val="24"/>
          <w:szCs w:val="24"/>
        </w:rPr>
        <w:t>sing a service-cycle structure aligned</w:t>
      </w:r>
      <w:r w:rsidRPr="009D5C82">
        <w:rPr>
          <w:rFonts w:ascii="Times New Roman" w:hAnsi="Times New Roman" w:cs="Times New Roman"/>
          <w:sz w:val="24"/>
          <w:szCs w:val="24"/>
        </w:rPr>
        <w:t xml:space="preserve"> with hospitality reviews (Dhir et al., 2020).</w:t>
      </w:r>
    </w:p>
    <w:p w14:paraId="6726A60A" w14:textId="3F34276B" w:rsidR="009D5C82" w:rsidRPr="009D5C82" w:rsidRDefault="00AB59B8" w:rsidP="009D5C82">
      <w:pPr>
        <w:spacing w:line="360" w:lineRule="auto"/>
        <w:jc w:val="both"/>
        <w:rPr>
          <w:rFonts w:ascii="Times New Roman" w:hAnsi="Times New Roman" w:cs="Times New Roman"/>
          <w:sz w:val="24"/>
          <w:szCs w:val="24"/>
        </w:rPr>
      </w:pPr>
      <w:r w:rsidRPr="00AB59B8">
        <w:rPr>
          <w:rFonts w:ascii="Times New Roman" w:hAnsi="Times New Roman" w:cs="Times New Roman"/>
          <w:sz w:val="24"/>
          <w:szCs w:val="24"/>
        </w:rPr>
        <w:t xml:space="preserve">To assess efficacy, I interpret the synthesised findings </w:t>
      </w:r>
      <w:r w:rsidR="004524B9">
        <w:rPr>
          <w:rFonts w:ascii="Times New Roman" w:hAnsi="Times New Roman" w:cs="Times New Roman"/>
          <w:sz w:val="24"/>
          <w:szCs w:val="24"/>
        </w:rPr>
        <w:t>via</w:t>
      </w:r>
      <w:r w:rsidRPr="00AB59B8">
        <w:rPr>
          <w:rFonts w:ascii="Times New Roman" w:hAnsi="Times New Roman" w:cs="Times New Roman"/>
          <w:sz w:val="24"/>
          <w:szCs w:val="24"/>
        </w:rPr>
        <w:t xml:space="preserve"> an eco-efficiency lens anchored in the waste hierarchy</w:t>
      </w:r>
      <w:r w:rsidR="009D5C82" w:rsidRPr="00A946D5">
        <w:rPr>
          <w:rFonts w:ascii="Times New Roman" w:hAnsi="Times New Roman" w:cs="Times New Roman"/>
          <w:sz w:val="24"/>
          <w:szCs w:val="24"/>
        </w:rPr>
        <w:t xml:space="preserve">. The waste hierarchy organizes priorities according to prevention, redistribution or reuse, recycling and recovery (Metro Turkey, Ministry of Agriculture and Forestry and Food and Agriculture Organization of the United Nations (FAO), 2019). </w:t>
      </w:r>
      <w:r w:rsidR="009D5C82" w:rsidRPr="009D5C82">
        <w:rPr>
          <w:rFonts w:ascii="Times New Roman" w:hAnsi="Times New Roman" w:cs="Times New Roman"/>
          <w:sz w:val="24"/>
          <w:szCs w:val="24"/>
        </w:rPr>
        <w:t>UK sector estimates from WRAP are used as contextual evidence to illustrate scale and economic significance (WRAP, 2025).</w:t>
      </w:r>
    </w:p>
    <w:p w14:paraId="50BCAB4B" w14:textId="77777777" w:rsidR="009D5C82" w:rsidRPr="009D5C82" w:rsidRDefault="009D5C82" w:rsidP="009D5C82">
      <w:pPr>
        <w:spacing w:line="360" w:lineRule="auto"/>
        <w:jc w:val="both"/>
        <w:rPr>
          <w:rFonts w:ascii="Times New Roman" w:hAnsi="Times New Roman" w:cs="Times New Roman"/>
          <w:sz w:val="24"/>
          <w:szCs w:val="24"/>
        </w:rPr>
      </w:pPr>
      <w:r w:rsidRPr="009D5C82">
        <w:rPr>
          <w:rFonts w:ascii="Times New Roman" w:hAnsi="Times New Roman" w:cs="Times New Roman"/>
          <w:sz w:val="24"/>
          <w:szCs w:val="24"/>
        </w:rPr>
        <w:t>To support the translation from findings to recommendations, I also use three lecture-relevant strategic tools: PEST, PESTLE, and SWOT. These are presented as figures in the recommendations section and are explicitly grounded in the evidence discussed in Sections 4.2–4.5.</w:t>
      </w:r>
    </w:p>
    <w:p w14:paraId="3E478296" w14:textId="4FB557DE" w:rsidR="009D5C82" w:rsidRPr="00A946D5" w:rsidRDefault="009D5C82"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 xml:space="preserve">Before submitting this paper, I </w:t>
      </w:r>
      <w:r w:rsidR="001C37BB">
        <w:rPr>
          <w:rFonts w:ascii="Times New Roman" w:hAnsi="Times New Roman" w:cs="Times New Roman"/>
          <w:sz w:val="24"/>
          <w:szCs w:val="24"/>
        </w:rPr>
        <w:t>have reviewed</w:t>
      </w:r>
      <w:r w:rsidRPr="00A946D5">
        <w:rPr>
          <w:rFonts w:ascii="Times New Roman" w:hAnsi="Times New Roman" w:cs="Times New Roman"/>
          <w:sz w:val="24"/>
          <w:szCs w:val="24"/>
        </w:rPr>
        <w:t xml:space="preserve"> it for clarity, consistency of referencing, and </w:t>
      </w:r>
      <w:r w:rsidR="004524B9">
        <w:rPr>
          <w:rFonts w:ascii="Times New Roman" w:hAnsi="Times New Roman" w:cs="Times New Roman"/>
          <w:sz w:val="24"/>
          <w:szCs w:val="24"/>
        </w:rPr>
        <w:t>accurate</w:t>
      </w:r>
      <w:r w:rsidRPr="00A946D5">
        <w:rPr>
          <w:rFonts w:ascii="Times New Roman" w:hAnsi="Times New Roman" w:cs="Times New Roman"/>
          <w:sz w:val="24"/>
          <w:szCs w:val="24"/>
        </w:rPr>
        <w:t xml:space="preserve"> formatting. I </w:t>
      </w:r>
      <w:r w:rsidR="001C37BB">
        <w:rPr>
          <w:rFonts w:ascii="Times New Roman" w:hAnsi="Times New Roman" w:cs="Times New Roman"/>
          <w:sz w:val="24"/>
          <w:szCs w:val="24"/>
        </w:rPr>
        <w:t>have also</w:t>
      </w:r>
      <w:r w:rsidRPr="00A946D5">
        <w:rPr>
          <w:rFonts w:ascii="Times New Roman" w:hAnsi="Times New Roman" w:cs="Times New Roman"/>
          <w:sz w:val="24"/>
          <w:szCs w:val="24"/>
        </w:rPr>
        <w:t xml:space="preserve"> conduct</w:t>
      </w:r>
      <w:r w:rsidR="001C37BB">
        <w:rPr>
          <w:rFonts w:ascii="Times New Roman" w:hAnsi="Times New Roman" w:cs="Times New Roman"/>
          <w:sz w:val="24"/>
          <w:szCs w:val="24"/>
        </w:rPr>
        <w:t>ed</w:t>
      </w:r>
      <w:r w:rsidRPr="00A946D5">
        <w:rPr>
          <w:rFonts w:ascii="Times New Roman" w:hAnsi="Times New Roman" w:cs="Times New Roman"/>
          <w:sz w:val="24"/>
          <w:szCs w:val="24"/>
        </w:rPr>
        <w:t xml:space="preserve"> a similarity review (Similarity Index: </w:t>
      </w:r>
      <w:r w:rsidR="001C37BB">
        <w:rPr>
          <w:rFonts w:ascii="Times New Roman" w:hAnsi="Times New Roman" w:cs="Times New Roman"/>
          <w:sz w:val="24"/>
          <w:szCs w:val="24"/>
        </w:rPr>
        <w:t>0%).</w:t>
      </w:r>
    </w:p>
    <w:p w14:paraId="06AEA170" w14:textId="608A8CC6" w:rsidR="00D3561D" w:rsidRPr="00A946D5" w:rsidRDefault="00D3561D" w:rsidP="00D3561D">
      <w:pPr>
        <w:spacing w:line="360" w:lineRule="auto"/>
        <w:jc w:val="both"/>
        <w:rPr>
          <w:rFonts w:ascii="Times New Roman" w:hAnsi="Times New Roman" w:cs="Times New Roman"/>
          <w:b/>
          <w:bCs/>
          <w:sz w:val="32"/>
          <w:szCs w:val="32"/>
        </w:rPr>
      </w:pPr>
      <w:r w:rsidRPr="00A946D5">
        <w:rPr>
          <w:rFonts w:ascii="Times New Roman" w:hAnsi="Times New Roman" w:cs="Times New Roman"/>
          <w:b/>
          <w:bCs/>
          <w:sz w:val="32"/>
          <w:szCs w:val="32"/>
        </w:rPr>
        <w:t>4. Theme impact analysis</w:t>
      </w:r>
    </w:p>
    <w:p w14:paraId="74740898" w14:textId="04681C49" w:rsidR="00D3561D" w:rsidRPr="00A946D5" w:rsidRDefault="00D3561D" w:rsidP="00D3561D">
      <w:pPr>
        <w:spacing w:line="360" w:lineRule="auto"/>
        <w:jc w:val="both"/>
        <w:rPr>
          <w:rFonts w:ascii="Times New Roman" w:hAnsi="Times New Roman" w:cs="Times New Roman"/>
          <w:b/>
          <w:bCs/>
          <w:sz w:val="28"/>
          <w:szCs w:val="28"/>
        </w:rPr>
      </w:pPr>
      <w:r w:rsidRPr="00A946D5">
        <w:rPr>
          <w:rFonts w:ascii="Times New Roman" w:hAnsi="Times New Roman" w:cs="Times New Roman"/>
          <w:b/>
          <w:bCs/>
          <w:sz w:val="28"/>
          <w:szCs w:val="28"/>
        </w:rPr>
        <w:t xml:space="preserve">4.1 </w:t>
      </w:r>
      <w:r w:rsidR="002F61A0" w:rsidRPr="00A946D5">
        <w:rPr>
          <w:rFonts w:ascii="Times New Roman" w:hAnsi="Times New Roman" w:cs="Times New Roman"/>
          <w:b/>
          <w:bCs/>
          <w:sz w:val="28"/>
          <w:szCs w:val="28"/>
        </w:rPr>
        <w:t>Methodology – analysis by eco-efficiency and the waste hierarchy</w:t>
      </w:r>
    </w:p>
    <w:p w14:paraId="227AB74A" w14:textId="5B92CB9F" w:rsidR="00A946D5" w:rsidRPr="00A946D5" w:rsidRDefault="002F61A0"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 xml:space="preserve">Eco-efficiency is the question of whether hotels can provide value to their customers while using fewer resources and remaining financially sound. The waste hierarchy translates this into practical action: preventing waste reduces upstream effects and purchase costs. </w:t>
      </w:r>
      <w:r w:rsidR="00D3561D" w:rsidRPr="00A946D5">
        <w:rPr>
          <w:rFonts w:ascii="Times New Roman" w:hAnsi="Times New Roman" w:cs="Times New Roman"/>
          <w:sz w:val="24"/>
          <w:szCs w:val="24"/>
        </w:rPr>
        <w:t>Redistribution, composting, and recovery reduce harm but address waste after value has already been destroyed. This framing is necessary in hospitality because measures that look green can fail operationally if they disrupt service or impose disproportionate cost</w:t>
      </w:r>
      <w:r w:rsidR="002746FB">
        <w:rPr>
          <w:rFonts w:ascii="Times New Roman" w:hAnsi="Times New Roman" w:cs="Times New Roman"/>
          <w:sz w:val="24"/>
          <w:szCs w:val="24"/>
        </w:rPr>
        <w:t>s</w:t>
      </w:r>
      <w:r w:rsidR="00D3561D" w:rsidRPr="00A946D5">
        <w:rPr>
          <w:rFonts w:ascii="Times New Roman" w:hAnsi="Times New Roman" w:cs="Times New Roman"/>
          <w:sz w:val="24"/>
          <w:szCs w:val="24"/>
        </w:rPr>
        <w:t>.</w:t>
      </w:r>
    </w:p>
    <w:p w14:paraId="718FF725" w14:textId="67AF205B" w:rsidR="00D3561D" w:rsidRPr="00A946D5" w:rsidRDefault="00A946D5" w:rsidP="00A946D5">
      <w:pPr>
        <w:rPr>
          <w:rFonts w:ascii="Times New Roman" w:hAnsi="Times New Roman" w:cs="Times New Roman"/>
          <w:sz w:val="24"/>
          <w:szCs w:val="24"/>
        </w:rPr>
      </w:pPr>
      <w:r w:rsidRPr="00A946D5">
        <w:rPr>
          <w:rFonts w:ascii="Times New Roman" w:hAnsi="Times New Roman" w:cs="Times New Roman"/>
          <w:sz w:val="24"/>
          <w:szCs w:val="24"/>
        </w:rPr>
        <w:br w:type="page"/>
      </w:r>
    </w:p>
    <w:p w14:paraId="58D66653" w14:textId="77777777" w:rsidR="00D3561D" w:rsidRPr="00A946D5" w:rsidRDefault="00D3561D" w:rsidP="00D3561D">
      <w:pPr>
        <w:spacing w:line="360" w:lineRule="auto"/>
        <w:jc w:val="both"/>
        <w:rPr>
          <w:rFonts w:ascii="Times New Roman" w:hAnsi="Times New Roman" w:cs="Times New Roman"/>
          <w:b/>
          <w:bCs/>
          <w:sz w:val="28"/>
          <w:szCs w:val="28"/>
        </w:rPr>
      </w:pPr>
      <w:r w:rsidRPr="00A946D5">
        <w:rPr>
          <w:rFonts w:ascii="Times New Roman" w:hAnsi="Times New Roman" w:cs="Times New Roman"/>
          <w:b/>
          <w:bCs/>
          <w:sz w:val="28"/>
          <w:szCs w:val="28"/>
        </w:rPr>
        <w:lastRenderedPageBreak/>
        <w:t>4.2 Environmental impact</w:t>
      </w:r>
    </w:p>
    <w:p w14:paraId="34207331" w14:textId="35830478" w:rsidR="00D3561D"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Food waste embodies upstream impacts plus disposal burdens. With hospitality and food service contributing 1.1 million tonnes of UK food waste, hotels are a relevant site for system</w:t>
      </w:r>
      <w:r w:rsidR="004524B9">
        <w:rPr>
          <w:rFonts w:ascii="Times New Roman" w:hAnsi="Times New Roman" w:cs="Times New Roman"/>
          <w:sz w:val="24"/>
          <w:szCs w:val="24"/>
        </w:rPr>
        <w:t>ic</w:t>
      </w:r>
      <w:r w:rsidRPr="00A946D5">
        <w:rPr>
          <w:rFonts w:ascii="Times New Roman" w:hAnsi="Times New Roman" w:cs="Times New Roman"/>
          <w:sz w:val="24"/>
          <w:szCs w:val="24"/>
        </w:rPr>
        <w:t xml:space="preserve">-level reduction (WRAP, 2025). </w:t>
      </w:r>
      <w:r w:rsidR="00EC7BA1" w:rsidRPr="00EC7BA1">
        <w:rPr>
          <w:rFonts w:ascii="Times New Roman" w:hAnsi="Times New Roman" w:cs="Times New Roman"/>
          <w:sz w:val="24"/>
          <w:szCs w:val="24"/>
        </w:rPr>
        <w:t>As discussed in Section 2.1, breakfast buffets are particularly sensitive because abundance cues increase overproduction,</w:t>
      </w:r>
      <w:r w:rsidRPr="00EC7BA1">
        <w:rPr>
          <w:rFonts w:ascii="Times New Roman" w:hAnsi="Times New Roman" w:cs="Times New Roman"/>
          <w:sz w:val="24"/>
          <w:szCs w:val="24"/>
        </w:rPr>
        <w:t xml:space="preserve"> </w:t>
      </w:r>
      <w:r w:rsidRPr="00A946D5">
        <w:rPr>
          <w:rFonts w:ascii="Times New Roman" w:hAnsi="Times New Roman" w:cs="Times New Roman"/>
          <w:sz w:val="24"/>
          <w:szCs w:val="24"/>
        </w:rPr>
        <w:t>then accelerate spoilage once foods are displayed (Appel, Ayalon and Collins-Kreiner, 2025; Juvan, Grün and Dolnicar, 2017). Environmental efficacy therefore depends on prevention at source through tighter forecasting and production control.</w:t>
      </w:r>
    </w:p>
    <w:p w14:paraId="5BEFEE00" w14:textId="0A5D838D" w:rsidR="00D3561D"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 xml:space="preserve">Operational prevention measures with strong environmental upside include demand forecasting linked to purchasing frequency for perishables, plus improved communication with suppliers and between departments so occupancy signals translate into production decisions (Amicarelli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xml:space="preserve">, 2021). Lean routines strengthen prevention by reducing variability, improving stock rotation, and exposing process waste (Gładysz, Buczacki and Haskins, 2020; Kartinawati, Risyahadi and Bashar, 2022). Behavioural interventions also support prevention by reducing guest plate waste. Experimental evidence shows persuasive messages can cut plate waste in breakfast buffets, meaning </w:t>
      </w:r>
      <w:r w:rsidR="004524B9">
        <w:rPr>
          <w:rFonts w:ascii="Times New Roman" w:hAnsi="Times New Roman" w:cs="Times New Roman"/>
          <w:sz w:val="24"/>
          <w:szCs w:val="24"/>
        </w:rPr>
        <w:t>ecological improvements</w:t>
      </w:r>
      <w:r w:rsidRPr="00A946D5">
        <w:rPr>
          <w:rFonts w:ascii="Times New Roman" w:hAnsi="Times New Roman" w:cs="Times New Roman"/>
          <w:sz w:val="24"/>
          <w:szCs w:val="24"/>
        </w:rPr>
        <w:t xml:space="preserve"> can be achieved without heavy infrastructure (Cozzio, Tokarchuk and Maurer, 2021).</w:t>
      </w:r>
    </w:p>
    <w:p w14:paraId="5D94BA3E" w14:textId="1CC0C3EB" w:rsidR="00A06572" w:rsidRDefault="00A06572" w:rsidP="00D3561D">
      <w:pPr>
        <w:spacing w:line="360" w:lineRule="auto"/>
        <w:jc w:val="both"/>
        <w:rPr>
          <w:rFonts w:ascii="Times New Roman" w:hAnsi="Times New Roman" w:cs="Times New Roman"/>
          <w:sz w:val="24"/>
          <w:szCs w:val="24"/>
        </w:rPr>
      </w:pPr>
      <w:r w:rsidRPr="00A06572">
        <w:rPr>
          <w:rFonts w:ascii="Times New Roman" w:hAnsi="Times New Roman" w:cs="Times New Roman"/>
          <w:sz w:val="24"/>
          <w:szCs w:val="24"/>
        </w:rPr>
        <w:t xml:space="preserve">Downstream options still matter for residual streams, but </w:t>
      </w:r>
      <w:r w:rsidR="004524B9">
        <w:rPr>
          <w:rFonts w:ascii="Times New Roman" w:hAnsi="Times New Roman" w:cs="Times New Roman"/>
          <w:sz w:val="24"/>
          <w:szCs w:val="24"/>
        </w:rPr>
        <w:t>pragmatic</w:t>
      </w:r>
      <w:r w:rsidRPr="00A06572">
        <w:rPr>
          <w:rFonts w:ascii="Times New Roman" w:hAnsi="Times New Roman" w:cs="Times New Roman"/>
          <w:sz w:val="24"/>
          <w:szCs w:val="24"/>
        </w:rPr>
        <w:t xml:space="preserve"> constraints related to space, regulation, logistics, and cost limit feasibility (Karvounidi, Alexandropoulou and Fousteris, 2024). Industry guidance therefore prioritises prevention, with downstream options adopted only where viable (Metro Turkey, Ministry of Agriculture and Forestry and FAO, 2019).</w:t>
      </w:r>
    </w:p>
    <w:p w14:paraId="3B1D1D2A" w14:textId="2DB9B218" w:rsidR="00D3561D" w:rsidRPr="00A946D5" w:rsidRDefault="00D3561D" w:rsidP="00D3561D">
      <w:pPr>
        <w:spacing w:line="360" w:lineRule="auto"/>
        <w:jc w:val="both"/>
        <w:rPr>
          <w:rFonts w:ascii="Times New Roman" w:hAnsi="Times New Roman" w:cs="Times New Roman"/>
          <w:b/>
          <w:bCs/>
          <w:sz w:val="28"/>
          <w:szCs w:val="28"/>
        </w:rPr>
      </w:pPr>
      <w:r w:rsidRPr="00A946D5">
        <w:rPr>
          <w:rFonts w:ascii="Times New Roman" w:hAnsi="Times New Roman" w:cs="Times New Roman"/>
          <w:b/>
          <w:bCs/>
          <w:sz w:val="28"/>
          <w:szCs w:val="28"/>
        </w:rPr>
        <w:t>4.3 Economic impact</w:t>
      </w:r>
    </w:p>
    <w:p w14:paraId="7EA255BC" w14:textId="110FA6C2" w:rsidR="00911367" w:rsidRDefault="00D3561D" w:rsidP="0019473C">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 xml:space="preserve">Food waste is an operating cost disguised as service. The estimated value of hospitality and food service wasted food (£3.21 billion) implies substantial savings are available in principle (WRAP, 2025). Hotels, however, face asymmetric risk: shortages are visible to guests, waste is often hidden. Corporate luxury hotel evidence shows that quality cues and departmental priorities </w:t>
      </w:r>
      <w:r w:rsidR="00C80AB5">
        <w:rPr>
          <w:rFonts w:ascii="Times New Roman" w:hAnsi="Times New Roman" w:cs="Times New Roman"/>
          <w:sz w:val="24"/>
          <w:szCs w:val="24"/>
        </w:rPr>
        <w:t>might</w:t>
      </w:r>
      <w:r w:rsidRPr="00A946D5">
        <w:rPr>
          <w:rFonts w:ascii="Times New Roman" w:hAnsi="Times New Roman" w:cs="Times New Roman"/>
          <w:sz w:val="24"/>
          <w:szCs w:val="24"/>
        </w:rPr>
        <w:t xml:space="preserve"> override sustainab</w:t>
      </w:r>
      <w:r w:rsidR="00C80AB5">
        <w:rPr>
          <w:rFonts w:ascii="Times New Roman" w:hAnsi="Times New Roman" w:cs="Times New Roman"/>
          <w:sz w:val="24"/>
          <w:szCs w:val="24"/>
        </w:rPr>
        <w:t>le</w:t>
      </w:r>
      <w:r w:rsidRPr="00A946D5">
        <w:rPr>
          <w:rFonts w:ascii="Times New Roman" w:hAnsi="Times New Roman" w:cs="Times New Roman"/>
          <w:sz w:val="24"/>
          <w:szCs w:val="24"/>
        </w:rPr>
        <w:t xml:space="preserve"> </w:t>
      </w:r>
      <w:r w:rsidR="00C80AB5">
        <w:rPr>
          <w:rFonts w:ascii="Times New Roman" w:hAnsi="Times New Roman" w:cs="Times New Roman"/>
          <w:sz w:val="24"/>
          <w:szCs w:val="24"/>
        </w:rPr>
        <w:t>objectives</w:t>
      </w:r>
      <w:r w:rsidRPr="00A946D5">
        <w:rPr>
          <w:rFonts w:ascii="Times New Roman" w:hAnsi="Times New Roman" w:cs="Times New Roman"/>
          <w:sz w:val="24"/>
          <w:szCs w:val="24"/>
        </w:rPr>
        <w:t xml:space="preserve"> when managers fear guest dissatisfaction (Chawla, Lugosi and Hawkins, 2021). </w:t>
      </w:r>
      <w:r w:rsidR="00911367" w:rsidRPr="00911367">
        <w:rPr>
          <w:rFonts w:ascii="Times New Roman" w:hAnsi="Times New Roman" w:cs="Times New Roman"/>
          <w:sz w:val="24"/>
          <w:szCs w:val="24"/>
        </w:rPr>
        <w:t>This highlights a core managerial problem: shortages feel immediate, whereas waste penalties are delayed and diffuse.</w:t>
      </w:r>
    </w:p>
    <w:p w14:paraId="2FDC781F" w14:textId="75B04134" w:rsidR="00D3561D" w:rsidRPr="00A946D5" w:rsidRDefault="00D3561D" w:rsidP="0019473C">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The forecasting probl</w:t>
      </w:r>
      <w:r w:rsidRPr="00FE581E">
        <w:rPr>
          <w:rFonts w:ascii="Times New Roman" w:hAnsi="Times New Roman" w:cs="Times New Roman"/>
          <w:sz w:val="24"/>
          <w:szCs w:val="24"/>
        </w:rPr>
        <w:t xml:space="preserve">em illustrates why obvious prevention is hard. </w:t>
      </w:r>
      <w:r w:rsidR="00FE581E" w:rsidRPr="00FE581E">
        <w:rPr>
          <w:rFonts w:ascii="Times New Roman" w:hAnsi="Times New Roman" w:cs="Times New Roman"/>
          <w:sz w:val="24"/>
          <w:szCs w:val="24"/>
        </w:rPr>
        <w:t xml:space="preserve">Building on the forecasting challenges identified in Section 2.2, forecasting is widely used, yet it </w:t>
      </w:r>
      <w:r w:rsidR="00C80AB5">
        <w:rPr>
          <w:rFonts w:ascii="Times New Roman" w:hAnsi="Times New Roman" w:cs="Times New Roman"/>
          <w:sz w:val="24"/>
          <w:szCs w:val="24"/>
        </w:rPr>
        <w:t>regularly</w:t>
      </w:r>
      <w:r w:rsidR="00FE581E" w:rsidRPr="00FE581E">
        <w:rPr>
          <w:rFonts w:ascii="Times New Roman" w:hAnsi="Times New Roman" w:cs="Times New Roman"/>
          <w:sz w:val="24"/>
          <w:szCs w:val="24"/>
        </w:rPr>
        <w:t xml:space="preserve"> fails under </w:t>
      </w:r>
      <w:r w:rsidR="00FE581E" w:rsidRPr="00FE581E">
        <w:rPr>
          <w:rFonts w:ascii="Times New Roman" w:hAnsi="Times New Roman" w:cs="Times New Roman"/>
          <w:sz w:val="24"/>
          <w:szCs w:val="24"/>
        </w:rPr>
        <w:lastRenderedPageBreak/>
        <w:t>demand volatility.</w:t>
      </w:r>
      <w:r w:rsidRPr="00A946D5">
        <w:rPr>
          <w:rFonts w:ascii="Times New Roman" w:hAnsi="Times New Roman" w:cs="Times New Roman"/>
          <w:sz w:val="24"/>
          <w:szCs w:val="24"/>
        </w:rPr>
        <w:t xml:space="preserve"> When it fails, repurposing, redistribution, and choice architecture may be judged commercially unviable, which leaves passive disposal as the default (Filimonau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xml:space="preserve">, 2020). </w:t>
      </w:r>
      <w:r w:rsidR="00480E9F" w:rsidRPr="00480E9F">
        <w:rPr>
          <w:rFonts w:ascii="Times New Roman" w:hAnsi="Times New Roman" w:cs="Times New Roman"/>
          <w:sz w:val="24"/>
          <w:szCs w:val="24"/>
        </w:rPr>
        <w:t xml:space="preserve">Buffet exposure limits surplus suitable for redistribution, meaning success depends on </w:t>
      </w:r>
      <w:r w:rsidR="00C80AB5">
        <w:rPr>
          <w:rFonts w:ascii="Times New Roman" w:hAnsi="Times New Roman" w:cs="Times New Roman"/>
          <w:sz w:val="24"/>
          <w:szCs w:val="24"/>
        </w:rPr>
        <w:t>effective surplus management together with</w:t>
      </w:r>
      <w:r w:rsidR="00480E9F" w:rsidRPr="00480E9F">
        <w:rPr>
          <w:rFonts w:ascii="Times New Roman" w:hAnsi="Times New Roman" w:cs="Times New Roman"/>
          <w:sz w:val="24"/>
          <w:szCs w:val="24"/>
        </w:rPr>
        <w:t xml:space="preserve"> partnerships that may exceed the capacity of small hotels.</w:t>
      </w:r>
      <w:r w:rsidR="00480E9F">
        <w:rPr>
          <w:rFonts w:ascii="Times New Roman" w:hAnsi="Times New Roman" w:cs="Times New Roman"/>
          <w:sz w:val="24"/>
          <w:szCs w:val="24"/>
        </w:rPr>
        <w:t xml:space="preserve"> </w:t>
      </w:r>
      <w:r w:rsidR="00C639D0" w:rsidRPr="00C639D0">
        <w:rPr>
          <w:rFonts w:ascii="Times New Roman" w:hAnsi="Times New Roman" w:cs="Times New Roman"/>
          <w:sz w:val="24"/>
          <w:szCs w:val="24"/>
        </w:rPr>
        <w:t xml:space="preserve">However, several low-capital strategies </w:t>
      </w:r>
      <w:r w:rsidR="00C80AB5">
        <w:rPr>
          <w:rFonts w:ascii="Times New Roman" w:hAnsi="Times New Roman" w:cs="Times New Roman"/>
          <w:sz w:val="24"/>
          <w:szCs w:val="24"/>
        </w:rPr>
        <w:t xml:space="preserve">keep </w:t>
      </w:r>
      <w:r w:rsidR="00C639D0" w:rsidRPr="00C639D0">
        <w:rPr>
          <w:rFonts w:ascii="Times New Roman" w:hAnsi="Times New Roman" w:cs="Times New Roman"/>
          <w:sz w:val="24"/>
          <w:szCs w:val="24"/>
        </w:rPr>
        <w:t>highly eco-efficient, including attendance monitoring, shorter ordering cycles, supplier transparency, and improved internal coordination (Amicarelli et al., 2021).</w:t>
      </w:r>
      <w:r w:rsidR="00C639D0">
        <w:rPr>
          <w:rFonts w:ascii="Times New Roman" w:hAnsi="Times New Roman" w:cs="Times New Roman"/>
          <w:sz w:val="24"/>
          <w:szCs w:val="24"/>
        </w:rPr>
        <w:t xml:space="preserve"> </w:t>
      </w:r>
      <w:r w:rsidR="00911367" w:rsidRPr="00911367">
        <w:rPr>
          <w:rFonts w:ascii="Times New Roman" w:hAnsi="Times New Roman" w:cs="Times New Roman"/>
          <w:sz w:val="24"/>
          <w:szCs w:val="24"/>
        </w:rPr>
        <w:t>Lean routines can reduce costs without heavy technological investment (Gładysz, Buczacki and Haskins, 2020).</w:t>
      </w:r>
      <w:r w:rsidR="0019473C" w:rsidRPr="00A946D5">
        <w:t xml:space="preserve"> </w:t>
      </w:r>
      <w:r w:rsidRPr="00A946D5">
        <w:rPr>
          <w:rFonts w:ascii="Times New Roman" w:hAnsi="Times New Roman" w:cs="Times New Roman"/>
          <w:sz w:val="24"/>
          <w:szCs w:val="24"/>
        </w:rPr>
        <w:t xml:space="preserve">Chef practice development supports consistency, which reduces mistakes and overproduction over time (Filimonau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2024).</w:t>
      </w:r>
    </w:p>
    <w:p w14:paraId="05A72F70" w14:textId="77777777" w:rsidR="00A06572" w:rsidRDefault="00A06572" w:rsidP="00D3561D">
      <w:pPr>
        <w:spacing w:line="360" w:lineRule="auto"/>
        <w:jc w:val="both"/>
        <w:rPr>
          <w:rFonts w:ascii="Times New Roman" w:hAnsi="Times New Roman" w:cs="Times New Roman"/>
          <w:sz w:val="24"/>
          <w:szCs w:val="24"/>
        </w:rPr>
      </w:pPr>
      <w:r w:rsidRPr="00A06572">
        <w:rPr>
          <w:rFonts w:ascii="Times New Roman" w:hAnsi="Times New Roman" w:cs="Times New Roman"/>
          <w:sz w:val="24"/>
          <w:szCs w:val="24"/>
        </w:rPr>
        <w:t>Net-zero commitments complicate the economics because monitoring, reporting, and redesign can be costly for smaller hotels (Amicarelli et al., 2021). However, integrated sustainability strategies are associated with competitive advantage and improved performance at firm and regional levels (Moliner et al., 2021; Lee and Huang, 2023).</w:t>
      </w:r>
    </w:p>
    <w:p w14:paraId="65A843C7" w14:textId="79D39E85" w:rsidR="00D3561D" w:rsidRPr="00A946D5" w:rsidRDefault="00D3561D" w:rsidP="00D3561D">
      <w:pPr>
        <w:spacing w:line="360" w:lineRule="auto"/>
        <w:jc w:val="both"/>
        <w:rPr>
          <w:rFonts w:ascii="Times New Roman" w:hAnsi="Times New Roman" w:cs="Times New Roman"/>
          <w:b/>
          <w:bCs/>
          <w:sz w:val="28"/>
          <w:szCs w:val="28"/>
        </w:rPr>
      </w:pPr>
      <w:r w:rsidRPr="00A946D5">
        <w:rPr>
          <w:rFonts w:ascii="Times New Roman" w:hAnsi="Times New Roman" w:cs="Times New Roman"/>
          <w:b/>
          <w:bCs/>
          <w:sz w:val="28"/>
          <w:szCs w:val="28"/>
        </w:rPr>
        <w:t>4.4 Social impact</w:t>
      </w:r>
    </w:p>
    <w:p w14:paraId="3463E753" w14:textId="77777777" w:rsidR="00480E9F" w:rsidRDefault="00D3561D" w:rsidP="003168B0">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Food waste reduction in</w:t>
      </w:r>
      <w:r w:rsidRPr="000A2828">
        <w:rPr>
          <w:rFonts w:ascii="Times New Roman" w:hAnsi="Times New Roman" w:cs="Times New Roman"/>
          <w:sz w:val="24"/>
          <w:szCs w:val="24"/>
        </w:rPr>
        <w:t xml:space="preserve">tersects with guest expectations, staff workload, and community legitimacy. </w:t>
      </w:r>
      <w:r w:rsidR="000A2828" w:rsidRPr="000A2828">
        <w:rPr>
          <w:rFonts w:ascii="Times New Roman" w:hAnsi="Times New Roman" w:cs="Times New Roman"/>
          <w:sz w:val="24"/>
          <w:szCs w:val="24"/>
        </w:rPr>
        <w:t xml:space="preserve">Building on the buffet-related waste drivers outlined in Sections 2.1 and 4.2, breakfast-buffet studies show that guests’ wasteful selections are driven by norms of value, indulgence, and variety, </w:t>
      </w:r>
      <w:r w:rsidRPr="00A946D5">
        <w:rPr>
          <w:rFonts w:ascii="Times New Roman" w:hAnsi="Times New Roman" w:cs="Times New Roman"/>
          <w:sz w:val="24"/>
          <w:szCs w:val="24"/>
        </w:rPr>
        <w:t xml:space="preserve">expressed in pay rider behaviour and fear of missing out (Appel, Ayalon and Collins-Kreiner, 2025). Customer evidence suggests waste awareness interacts with menu setting and selection context (Ariffin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xml:space="preserve">, 2023). </w:t>
      </w:r>
      <w:r w:rsidR="00C639D0" w:rsidRPr="00C639D0">
        <w:rPr>
          <w:rFonts w:ascii="Times New Roman" w:hAnsi="Times New Roman" w:cs="Times New Roman"/>
          <w:sz w:val="24"/>
          <w:szCs w:val="24"/>
        </w:rPr>
        <w:t>Behavioural economics explains why information alone often fails: dynamic inconsistency means guests may intend to waste less but over-serve themselves in situ (Danzer and Zeidler, 2025). On the staff side, durable reductions depend on embedding waste management into everyday routines supported by training, feedback, and learning (Rady et al., 2021; Filimonau et al., 2024).</w:t>
      </w:r>
      <w:r w:rsidR="00C639D0">
        <w:rPr>
          <w:rFonts w:ascii="Times New Roman" w:hAnsi="Times New Roman" w:cs="Times New Roman"/>
          <w:sz w:val="24"/>
          <w:szCs w:val="24"/>
        </w:rPr>
        <w:t xml:space="preserve"> </w:t>
      </w:r>
      <w:r w:rsidR="003168B0" w:rsidRPr="003168B0">
        <w:rPr>
          <w:rFonts w:ascii="Times New Roman" w:hAnsi="Times New Roman" w:cs="Times New Roman"/>
          <w:sz w:val="24"/>
          <w:szCs w:val="24"/>
        </w:rPr>
        <w:t>Social practice theory implies efficacy increases when interventions reshape routines across procurement, kitchen work, and service (Nand et al., 2025).</w:t>
      </w:r>
      <w:r w:rsidR="003168B0">
        <w:rPr>
          <w:rFonts w:ascii="Times New Roman" w:hAnsi="Times New Roman" w:cs="Times New Roman"/>
          <w:sz w:val="24"/>
          <w:szCs w:val="24"/>
        </w:rPr>
        <w:t xml:space="preserve"> </w:t>
      </w:r>
      <w:r w:rsidR="00480E9F" w:rsidRPr="00480E9F">
        <w:rPr>
          <w:rFonts w:ascii="Times New Roman" w:hAnsi="Times New Roman" w:cs="Times New Roman"/>
          <w:sz w:val="24"/>
          <w:szCs w:val="24"/>
        </w:rPr>
        <w:t>Cultural norms, including religiosity, shape waste behaviour, so communication should be tested by segment (Hassan et al., 2022).</w:t>
      </w:r>
    </w:p>
    <w:p w14:paraId="79F8933B" w14:textId="77AE2E52" w:rsidR="00D3561D" w:rsidRPr="00A946D5" w:rsidRDefault="00D3561D" w:rsidP="003168B0">
      <w:pPr>
        <w:spacing w:line="360" w:lineRule="auto"/>
        <w:jc w:val="both"/>
        <w:rPr>
          <w:rFonts w:ascii="Times New Roman" w:hAnsi="Times New Roman" w:cs="Times New Roman"/>
          <w:sz w:val="24"/>
          <w:szCs w:val="24"/>
        </w:rPr>
      </w:pPr>
      <w:r w:rsidRPr="00A946D5">
        <w:rPr>
          <w:rFonts w:ascii="Times New Roman" w:hAnsi="Times New Roman" w:cs="Times New Roman"/>
          <w:b/>
          <w:bCs/>
          <w:sz w:val="28"/>
          <w:szCs w:val="28"/>
        </w:rPr>
        <w:t>4.5 Governance: the difference between symbolic and effective action</w:t>
      </w:r>
    </w:p>
    <w:p w14:paraId="22BFA6D9" w14:textId="503C556C" w:rsidR="00D3561D"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 xml:space="preserve">Across the literature, governance differentiates symbolic sustainability from measurable efficacy. Comparative evidence argues that mitigation improves when waste reduction becomes a monitored corporate target supported by management attention (Filimonau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xml:space="preserve">, 2020). </w:t>
      </w:r>
      <w:r w:rsidRPr="00A946D5">
        <w:rPr>
          <w:rFonts w:ascii="Times New Roman" w:hAnsi="Times New Roman" w:cs="Times New Roman"/>
          <w:sz w:val="24"/>
          <w:szCs w:val="24"/>
        </w:rPr>
        <w:lastRenderedPageBreak/>
        <w:t>Corporate management approaches in buffet settings also stress responsibility assignment and monitoring to sustain outcomes (Wu and Teng, 2022). Without measurement and ownership, interventions become sporadic, then decay. Larger and higher-star properties often have stronger governance capacity and resources, which helps explain why more structured programmes are reported in five-star hotels (Kattiyapornpong, Ditta-Apichai and Chuntamara, 2023).</w:t>
      </w:r>
    </w:p>
    <w:p w14:paraId="1C6903CA" w14:textId="4979D02D" w:rsidR="00D3561D" w:rsidRPr="00A946D5" w:rsidRDefault="00D3561D" w:rsidP="00D3561D">
      <w:pPr>
        <w:spacing w:line="360" w:lineRule="auto"/>
        <w:jc w:val="both"/>
        <w:rPr>
          <w:rFonts w:ascii="Times New Roman" w:hAnsi="Times New Roman" w:cs="Times New Roman"/>
          <w:b/>
          <w:bCs/>
          <w:sz w:val="32"/>
          <w:szCs w:val="32"/>
        </w:rPr>
      </w:pPr>
      <w:r w:rsidRPr="00A946D5">
        <w:rPr>
          <w:rFonts w:ascii="Times New Roman" w:hAnsi="Times New Roman" w:cs="Times New Roman"/>
          <w:b/>
          <w:bCs/>
          <w:sz w:val="32"/>
          <w:szCs w:val="32"/>
        </w:rPr>
        <w:t>5. Recommendations</w:t>
      </w:r>
    </w:p>
    <w:p w14:paraId="4500DDD7" w14:textId="5798BC60" w:rsidR="008125B0" w:rsidRDefault="00A946D5" w:rsidP="00C069D7">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The recommendations below follow directly from the efficacy analysis in Sections 4.2–4.5 (environmental, economic, social, governance impacts). Figures 1–3 summarise the external context (PEST and PESTLE) and translate the evidence into an internal–external diagnosis (SWOT). The figures are based on the reviewed sources and are provided as supporting materia</w:t>
      </w:r>
      <w:r w:rsidR="008125B0">
        <w:rPr>
          <w:rFonts w:ascii="Times New Roman" w:hAnsi="Times New Roman" w:cs="Times New Roman"/>
          <w:sz w:val="24"/>
          <w:szCs w:val="24"/>
        </w:rPr>
        <w:t>l.</w:t>
      </w:r>
      <w:r w:rsidR="00DB4402">
        <w:rPr>
          <w:rFonts w:ascii="Times New Roman" w:hAnsi="Times New Roman" w:cs="Times New Roman"/>
          <w:sz w:val="24"/>
          <w:szCs w:val="24"/>
        </w:rPr>
        <w:t xml:space="preserve"> </w:t>
      </w:r>
      <w:r w:rsidR="00DB4402" w:rsidRPr="00DB4402">
        <w:rPr>
          <w:rFonts w:ascii="Times New Roman" w:hAnsi="Times New Roman" w:cs="Times New Roman"/>
          <w:sz w:val="24"/>
          <w:szCs w:val="24"/>
        </w:rPr>
        <w:t>Tables 1–3 (PEST, PESTLE and SWOT) are provided as supporting analytical material and are not included in the word count.</w:t>
      </w:r>
    </w:p>
    <w:p w14:paraId="79F36CFC" w14:textId="6A5DB594" w:rsidR="00C069D7" w:rsidRPr="00A946D5" w:rsidRDefault="000476CE" w:rsidP="00C069D7">
      <w:pPr>
        <w:spacing w:line="360" w:lineRule="auto"/>
        <w:jc w:val="both"/>
        <w:rPr>
          <w:rFonts w:ascii="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60288" behindDoc="0" locked="0" layoutInCell="1" allowOverlap="1" wp14:anchorId="280BE50B" wp14:editId="370E25D3">
                <wp:simplePos x="0" y="0"/>
                <wp:positionH relativeFrom="page">
                  <wp:align>center</wp:align>
                </wp:positionH>
                <wp:positionV relativeFrom="paragraph">
                  <wp:posOffset>4275455</wp:posOffset>
                </wp:positionV>
                <wp:extent cx="6203950" cy="635"/>
                <wp:effectExtent l="0" t="0" r="6350" b="9525"/>
                <wp:wrapSquare wrapText="bothSides"/>
                <wp:docPr id="601654729" name="Szövegdoboz 1"/>
                <wp:cNvGraphicFramePr/>
                <a:graphic xmlns:a="http://schemas.openxmlformats.org/drawingml/2006/main">
                  <a:graphicData uri="http://schemas.microsoft.com/office/word/2010/wordprocessingShape">
                    <wps:wsp>
                      <wps:cNvSpPr txBox="1"/>
                      <wps:spPr>
                        <a:xfrm>
                          <a:off x="0" y="0"/>
                          <a:ext cx="6203950" cy="635"/>
                        </a:xfrm>
                        <a:prstGeom prst="rect">
                          <a:avLst/>
                        </a:prstGeom>
                        <a:solidFill>
                          <a:prstClr val="white"/>
                        </a:solidFill>
                        <a:ln>
                          <a:noFill/>
                        </a:ln>
                      </wps:spPr>
                      <wps:txbx>
                        <w:txbxContent>
                          <w:p w14:paraId="00CBB60D" w14:textId="35CC5DA4" w:rsidR="008856C2" w:rsidRPr="008125B0" w:rsidRDefault="008856C2" w:rsidP="000476CE">
                            <w:pPr>
                              <w:pStyle w:val="Caption"/>
                              <w:jc w:val="center"/>
                              <w:rPr>
                                <w:rFonts w:ascii="Times New Roman" w:hAnsi="Times New Roman" w:cs="Times New Roman"/>
                                <w:color w:val="000000" w:themeColor="text1"/>
                                <w:sz w:val="20"/>
                                <w:szCs w:val="20"/>
                              </w:rPr>
                            </w:pPr>
                            <w:r w:rsidRPr="008125B0">
                              <w:rPr>
                                <w:rFonts w:ascii="Times New Roman" w:hAnsi="Times New Roman" w:cs="Times New Roman"/>
                                <w:color w:val="000000" w:themeColor="text1"/>
                                <w:sz w:val="20"/>
                                <w:szCs w:val="20"/>
                              </w:rPr>
                              <w:t xml:space="preserve">Figure 1. PEST </w:t>
                            </w:r>
                            <w:r>
                              <w:rPr>
                                <w:rFonts w:ascii="Times New Roman" w:hAnsi="Times New Roman" w:cs="Times New Roman"/>
                                <w:color w:val="000000" w:themeColor="text1"/>
                                <w:sz w:val="20"/>
                                <w:szCs w:val="20"/>
                              </w:rPr>
                              <w:t>analysis for</w:t>
                            </w:r>
                            <w:r w:rsidRPr="003F4E30">
                              <w:rPr>
                                <w:rFonts w:ascii="Times New Roman" w:hAnsi="Times New Roman" w:cs="Times New Roman"/>
                                <w:color w:val="000000" w:themeColor="text1"/>
                                <w:sz w:val="20"/>
                                <w:szCs w:val="20"/>
                              </w:rPr>
                              <w:t xml:space="preserve"> hotel food-waste reductio</w:t>
                            </w:r>
                            <w:r>
                              <w:rPr>
                                <w:rFonts w:ascii="Times New Roman" w:hAnsi="Times New Roman" w:cs="Times New Roman"/>
                                <w:color w:val="000000" w:themeColor="text1"/>
                                <w:sz w:val="20"/>
                                <w:szCs w:val="20"/>
                              </w:rPr>
                              <w:t>n – evidence-based synthesis</w:t>
                            </w:r>
                          </w:p>
                          <w:p w14:paraId="511ADEC7" w14:textId="28A7FE0B" w:rsidR="008856C2" w:rsidRPr="000476CE" w:rsidRDefault="008856C2" w:rsidP="002B186D">
                            <w:pPr>
                              <w:jc w:val="both"/>
                              <w:rPr>
                                <w:rFonts w:ascii="Times New Roman" w:hAnsi="Times New Roman" w:cs="Times New Roman"/>
                                <w:sz w:val="20"/>
                                <w:szCs w:val="20"/>
                              </w:rPr>
                            </w:pPr>
                            <w:r w:rsidRPr="000476CE">
                              <w:rPr>
                                <w:rFonts w:ascii="Times New Roman" w:hAnsi="Times New Roman" w:cs="Times New Roman"/>
                                <w:sz w:val="20"/>
                                <w:szCs w:val="20"/>
                              </w:rPr>
                              <w:t>Source</w:t>
                            </w:r>
                            <w:r>
                              <w:rPr>
                                <w:rFonts w:ascii="Times New Roman" w:hAnsi="Times New Roman" w:cs="Times New Roman"/>
                                <w:sz w:val="20"/>
                                <w:szCs w:val="20"/>
                              </w:rPr>
                              <w:t>s</w:t>
                            </w:r>
                            <w:r w:rsidRPr="000476CE">
                              <w:rPr>
                                <w:rFonts w:ascii="Times New Roman" w:hAnsi="Times New Roman" w:cs="Times New Roman"/>
                                <w:sz w:val="20"/>
                                <w:szCs w:val="20"/>
                              </w:rPr>
                              <w:t>: WRAP (2025), Amicarelli et al. (2021), Chawla, Lugosi and Hawkins (2021), Appel, Ayalon and Collins-Kreiner (2025), Danzer and Zeidler (202</w:t>
                            </w:r>
                            <w:r>
                              <w:rPr>
                                <w:rFonts w:ascii="Times New Roman" w:hAnsi="Times New Roman" w:cs="Times New Roman"/>
                                <w:sz w:val="20"/>
                                <w:szCs w:val="20"/>
                              </w:rPr>
                              <w:t>5</w:t>
                            </w:r>
                            <w:r w:rsidRPr="000476CE">
                              <w:rPr>
                                <w:rFonts w:ascii="Times New Roman" w:hAnsi="Times New Roman" w:cs="Times New Roman"/>
                                <w:sz w:val="20"/>
                                <w:szCs w:val="20"/>
                              </w:rPr>
                              <w:t>), Gładysz, Buczacki and Haskins (2020), Juvan, Grün and Dolnicar (2017), Wu and Teng (2022), Filimonau et al.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80BE50B" id="_x0000_t202" coordsize="21600,21600" o:spt="202" path="m,l,21600r21600,l21600,xe">
                <v:stroke joinstyle="miter"/>
                <v:path gradientshapeok="t" o:connecttype="rect"/>
              </v:shapetype>
              <v:shape id="Szövegdoboz 1" o:spid="_x0000_s1026" type="#_x0000_t202" style="position:absolute;left:0;text-align:left;margin-left:0;margin-top:336.65pt;width:488.5pt;height:.05pt;z-index:251660288;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" stroked="f">
                <v:textbox style="mso-fit-shape-to-text:t" inset="0,0,0,0">
                  <w:txbxContent>
                    <w:p w14:paraId="00CBB60D" w14:textId="35CC5DA4" w:rsidR="008856C2" w:rsidRPr="008125B0" w:rsidRDefault="008856C2" w:rsidP="000476CE">
                      <w:pPr>
                        <w:pStyle w:val="Caption"/>
                        <w:jc w:val="center"/>
                        <w:rPr>
                          <w:rFonts w:ascii="Times New Roman" w:hAnsi="Times New Roman" w:cs="Times New Roman"/>
                          <w:color w:val="000000" w:themeColor="text1"/>
                          <w:sz w:val="20"/>
                          <w:szCs w:val="20"/>
                        </w:rPr>
                      </w:pPr>
                      <w:r w:rsidRPr="008125B0">
                        <w:rPr>
                          <w:rFonts w:ascii="Times New Roman" w:hAnsi="Times New Roman" w:cs="Times New Roman"/>
                          <w:color w:val="000000" w:themeColor="text1"/>
                          <w:sz w:val="20"/>
                          <w:szCs w:val="20"/>
                        </w:rPr>
                        <w:t xml:space="preserve">Figure 1. PEST </w:t>
                      </w:r>
                      <w:r>
                        <w:rPr>
                          <w:rFonts w:ascii="Times New Roman" w:hAnsi="Times New Roman" w:cs="Times New Roman"/>
                          <w:color w:val="000000" w:themeColor="text1"/>
                          <w:sz w:val="20"/>
                          <w:szCs w:val="20"/>
                        </w:rPr>
                        <w:t>analysis for</w:t>
                      </w:r>
                      <w:r w:rsidRPr="003F4E30">
                        <w:rPr>
                          <w:rFonts w:ascii="Times New Roman" w:hAnsi="Times New Roman" w:cs="Times New Roman"/>
                          <w:color w:val="000000" w:themeColor="text1"/>
                          <w:sz w:val="20"/>
                          <w:szCs w:val="20"/>
                        </w:rPr>
                        <w:t xml:space="preserve"> hotel food-waste reductio</w:t>
                      </w:r>
                      <w:r>
                        <w:rPr>
                          <w:rFonts w:ascii="Times New Roman" w:hAnsi="Times New Roman" w:cs="Times New Roman"/>
                          <w:color w:val="000000" w:themeColor="text1"/>
                          <w:sz w:val="20"/>
                          <w:szCs w:val="20"/>
                        </w:rPr>
                        <w:t>n – evidence-based synthesis</w:t>
                      </w:r>
                    </w:p>
                    <w:p w14:paraId="511ADEC7" w14:textId="28A7FE0B" w:rsidR="008856C2" w:rsidRPr="000476CE" w:rsidRDefault="008856C2" w:rsidP="002B186D">
                      <w:pPr>
                        <w:jc w:val="both"/>
                        <w:rPr>
                          <w:rFonts w:ascii="Times New Roman" w:hAnsi="Times New Roman" w:cs="Times New Roman"/>
                          <w:sz w:val="20"/>
                          <w:szCs w:val="20"/>
                        </w:rPr>
                      </w:pPr>
                      <w:r w:rsidRPr="000476CE">
                        <w:rPr>
                          <w:rFonts w:ascii="Times New Roman" w:hAnsi="Times New Roman" w:cs="Times New Roman"/>
                          <w:sz w:val="20"/>
                          <w:szCs w:val="20"/>
                        </w:rPr>
                        <w:t>Source</w:t>
                      </w:r>
                      <w:r>
                        <w:rPr>
                          <w:rFonts w:ascii="Times New Roman" w:hAnsi="Times New Roman" w:cs="Times New Roman"/>
                          <w:sz w:val="20"/>
                          <w:szCs w:val="20"/>
                        </w:rPr>
                        <w:t>s</w:t>
                      </w:r>
                      <w:r w:rsidRPr="000476CE">
                        <w:rPr>
                          <w:rFonts w:ascii="Times New Roman" w:hAnsi="Times New Roman" w:cs="Times New Roman"/>
                          <w:sz w:val="20"/>
                          <w:szCs w:val="20"/>
                        </w:rPr>
                        <w:t>: WRAP (2025), Amicarelli et al. (2021), Chawla, Lugosi and Hawkins (2021), Appel, Ayalon and Collins-Kreiner (2025), Danzer and Zeidler (202</w:t>
                      </w:r>
                      <w:r>
                        <w:rPr>
                          <w:rFonts w:ascii="Times New Roman" w:hAnsi="Times New Roman" w:cs="Times New Roman"/>
                          <w:sz w:val="20"/>
                          <w:szCs w:val="20"/>
                        </w:rPr>
                        <w:t>5</w:t>
                      </w:r>
                      <w:r w:rsidRPr="000476CE">
                        <w:rPr>
                          <w:rFonts w:ascii="Times New Roman" w:hAnsi="Times New Roman" w:cs="Times New Roman"/>
                          <w:sz w:val="20"/>
                          <w:szCs w:val="20"/>
                        </w:rPr>
                        <w:t>), Gładysz, Buczacki and Haskins (2020), Juvan, Grün and Dolnicar (2017), Wu and Teng (2022), Filimonau et al. (2020).</w:t>
                      </w:r>
                    </w:p>
                  </w:txbxContent>
                </v:textbox>
                <w10:wrap type="square" anchorx="page"/>
              </v:shape>
            </w:pict>
          </mc:Fallback>
        </mc:AlternateContent>
      </w:r>
      <w:r>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420AF672" wp14:editId="7A398C8E">
            <wp:simplePos x="0" y="0"/>
            <wp:positionH relativeFrom="column">
              <wp:align>center</wp:align>
            </wp:positionH>
            <wp:positionV relativeFrom="paragraph">
              <wp:posOffset>3810</wp:posOffset>
            </wp:positionV>
            <wp:extent cx="6649200" cy="4147200"/>
            <wp:effectExtent l="0" t="0" r="0" b="5715"/>
            <wp:wrapSquare wrapText="bothSides"/>
            <wp:docPr id="36679965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7AA5F972" w14:textId="689DFA53" w:rsidR="00715954" w:rsidRPr="00FE581E" w:rsidRDefault="00715954" w:rsidP="00D3561D">
      <w:pPr>
        <w:spacing w:line="360" w:lineRule="auto"/>
        <w:jc w:val="both"/>
        <w:rPr>
          <w:rFonts w:ascii="Times New Roman" w:hAnsi="Times New Roman" w:cs="Times New Roman"/>
          <w:sz w:val="24"/>
          <w:szCs w:val="24"/>
        </w:rPr>
      </w:pPr>
      <w:r w:rsidRPr="00715954">
        <w:rPr>
          <w:rFonts w:ascii="Times New Roman" w:hAnsi="Times New Roman" w:cs="Times New Roman"/>
          <w:sz w:val="24"/>
          <w:szCs w:val="24"/>
        </w:rPr>
        <w:t xml:space="preserve">Based on the evidence reviewed and the theme impact analysis (Sections 4.2–4.5), I recommend the following actions, prioritised </w:t>
      </w:r>
      <w:r w:rsidR="00D040CD">
        <w:rPr>
          <w:rFonts w:ascii="Times New Roman" w:hAnsi="Times New Roman" w:cs="Times New Roman"/>
          <w:sz w:val="24"/>
          <w:szCs w:val="24"/>
        </w:rPr>
        <w:t>for</w:t>
      </w:r>
      <w:r w:rsidRPr="00FE581E">
        <w:rPr>
          <w:rFonts w:ascii="Times New Roman" w:hAnsi="Times New Roman" w:cs="Times New Roman"/>
          <w:sz w:val="24"/>
          <w:szCs w:val="24"/>
        </w:rPr>
        <w:t xml:space="preserve"> prevention and operational durability:</w:t>
      </w:r>
    </w:p>
    <w:p w14:paraId="2F3D9D02" w14:textId="0DB00F66" w:rsidR="00715954" w:rsidRDefault="00FE581E" w:rsidP="00D3561D">
      <w:pPr>
        <w:spacing w:line="360" w:lineRule="auto"/>
        <w:jc w:val="both"/>
        <w:rPr>
          <w:rFonts w:ascii="Times New Roman" w:hAnsi="Times New Roman" w:cs="Times New Roman"/>
          <w:sz w:val="24"/>
          <w:szCs w:val="24"/>
        </w:rPr>
      </w:pPr>
      <w:r w:rsidRPr="00FE581E">
        <w:rPr>
          <w:rFonts w:ascii="Times New Roman" w:hAnsi="Times New Roman" w:cs="Times New Roman"/>
          <w:sz w:val="24"/>
          <w:szCs w:val="24"/>
        </w:rPr>
        <w:t xml:space="preserve">Consistent with the governance failures identified in Section 4.5, food waste reduction should be treated as a monitored corporate objective </w:t>
      </w:r>
      <w:r w:rsidR="00715954" w:rsidRPr="00715954">
        <w:rPr>
          <w:rFonts w:ascii="Times New Roman" w:hAnsi="Times New Roman" w:cs="Times New Roman"/>
          <w:sz w:val="24"/>
          <w:szCs w:val="24"/>
        </w:rPr>
        <w:t xml:space="preserve">(responds to the finding on governance in Section 4.5). Set food waste reduction as a tracked corporate goal, and own and monitor progress on this goal regularly. This is because, without monitoring and owning the goal, the interventions become mere symbolic actions (Filimonau et al., 2020; Wu and Teng, 2022). </w:t>
      </w:r>
    </w:p>
    <w:p w14:paraId="46E69C43" w14:textId="6D6B012E" w:rsidR="008125B0" w:rsidRDefault="00671C32" w:rsidP="00D3561D">
      <w:pPr>
        <w:spacing w:line="360" w:lineRule="auto"/>
        <w:jc w:val="both"/>
        <w:rPr>
          <w:rFonts w:ascii="Times New Roman" w:hAnsi="Times New Roman" w:cs="Times New Roman"/>
          <w:sz w:val="24"/>
          <w:szCs w:val="24"/>
        </w:rPr>
      </w:pPr>
      <w:r w:rsidRPr="00671C32">
        <w:rPr>
          <w:rFonts w:ascii="Times New Roman" w:hAnsi="Times New Roman" w:cs="Times New Roman"/>
          <w:sz w:val="24"/>
          <w:szCs w:val="24"/>
        </w:rPr>
        <w:t>Improve forecasting and internal coordination (responds to the issues on demand volatility and overproduction in Sections 4.2</w:t>
      </w:r>
      <w:r>
        <w:rPr>
          <w:rFonts w:ascii="Times New Roman" w:hAnsi="Times New Roman" w:cs="Times New Roman"/>
          <w:sz w:val="24"/>
          <w:szCs w:val="24"/>
        </w:rPr>
        <w:t>–</w:t>
      </w:r>
      <w:r w:rsidRPr="00671C32">
        <w:rPr>
          <w:rFonts w:ascii="Times New Roman" w:hAnsi="Times New Roman" w:cs="Times New Roman"/>
          <w:sz w:val="24"/>
          <w:szCs w:val="24"/>
        </w:rPr>
        <w:t xml:space="preserve">4.3). </w:t>
      </w:r>
      <w:r w:rsidR="00715954" w:rsidRPr="00715954">
        <w:rPr>
          <w:rFonts w:ascii="Times New Roman" w:hAnsi="Times New Roman" w:cs="Times New Roman"/>
          <w:sz w:val="24"/>
          <w:szCs w:val="24"/>
        </w:rPr>
        <w:t>Use forecast bands tied to standard production plans. Build a fast feedback loop between front office, events, and kitchens so occupancy updates translate into production changes. Reduce purchasing frequency for perishables. Tighten supplier communication to reduce spoilage risk (Amicarelli et al., 2021; Dhir et al., 2020).</w:t>
      </w:r>
    </w:p>
    <w:p w14:paraId="791D7825" w14:textId="24B30B61" w:rsidR="008125B0" w:rsidRDefault="003F4E30" w:rsidP="00D3561D">
      <w:pPr>
        <w:spacing w:line="360" w:lineRule="auto"/>
        <w:jc w:val="both"/>
        <w:rPr>
          <w:rFonts w:ascii="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63360" behindDoc="0" locked="0" layoutInCell="1" allowOverlap="1" wp14:anchorId="03C844C9" wp14:editId="372730F5">
                <wp:simplePos x="0" y="0"/>
                <wp:positionH relativeFrom="page">
                  <wp:align>center</wp:align>
                </wp:positionH>
                <wp:positionV relativeFrom="paragraph">
                  <wp:posOffset>4631055</wp:posOffset>
                </wp:positionV>
                <wp:extent cx="6356350" cy="825500"/>
                <wp:effectExtent l="0" t="0" r="6350" b="0"/>
                <wp:wrapSquare wrapText="bothSides"/>
                <wp:docPr id="2134586188" name="Szövegdoboz 1"/>
                <wp:cNvGraphicFramePr/>
                <a:graphic xmlns:a="http://schemas.openxmlformats.org/drawingml/2006/main">
                  <a:graphicData uri="http://schemas.microsoft.com/office/word/2010/wordprocessingShape">
                    <wps:wsp>
                      <wps:cNvSpPr txBox="1"/>
                      <wps:spPr>
                        <a:xfrm>
                          <a:off x="0" y="0"/>
                          <a:ext cx="6356350" cy="825500"/>
                        </a:xfrm>
                        <a:prstGeom prst="rect">
                          <a:avLst/>
                        </a:prstGeom>
                        <a:solidFill>
                          <a:prstClr val="white"/>
                        </a:solidFill>
                        <a:ln>
                          <a:noFill/>
                        </a:ln>
                      </wps:spPr>
                      <wps:txbx>
                        <w:txbxContent>
                          <w:p w14:paraId="081C4DFA" w14:textId="3FAD0781" w:rsidR="008856C2" w:rsidRPr="00ED27F9" w:rsidRDefault="008856C2" w:rsidP="002B186D">
                            <w:pPr>
                              <w:pStyle w:val="Caption"/>
                              <w:jc w:val="center"/>
                              <w:rPr>
                                <w:rFonts w:ascii="Times New Roman" w:hAnsi="Times New Roman" w:cs="Times New Roman"/>
                                <w:color w:val="000000" w:themeColor="text1"/>
                                <w:sz w:val="20"/>
                                <w:szCs w:val="20"/>
                              </w:rPr>
                            </w:pPr>
                            <w:r w:rsidRPr="00ED27F9">
                              <w:rPr>
                                <w:rFonts w:ascii="Times New Roman" w:hAnsi="Times New Roman" w:cs="Times New Roman"/>
                                <w:color w:val="000000" w:themeColor="text1"/>
                                <w:sz w:val="20"/>
                                <w:szCs w:val="20"/>
                              </w:rPr>
                              <w:t xml:space="preserve">Figure 2. PESTLE </w:t>
                            </w:r>
                            <w:r>
                              <w:rPr>
                                <w:rFonts w:ascii="Times New Roman" w:hAnsi="Times New Roman" w:cs="Times New Roman"/>
                                <w:color w:val="000000" w:themeColor="text1"/>
                                <w:sz w:val="20"/>
                                <w:szCs w:val="20"/>
                              </w:rPr>
                              <w:t>analysis</w:t>
                            </w:r>
                            <w:r w:rsidRPr="00ED27F9">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for</w:t>
                            </w:r>
                            <w:r w:rsidRPr="00ED27F9">
                              <w:rPr>
                                <w:rFonts w:ascii="Times New Roman" w:hAnsi="Times New Roman" w:cs="Times New Roman"/>
                                <w:color w:val="000000" w:themeColor="text1"/>
                                <w:sz w:val="20"/>
                                <w:szCs w:val="20"/>
                              </w:rPr>
                              <w:t xml:space="preserve"> hotel food-waste reduction – extended macro factors</w:t>
                            </w:r>
                          </w:p>
                          <w:p w14:paraId="6066153C" w14:textId="3AD0B6AC" w:rsidR="008856C2" w:rsidRPr="00327220" w:rsidRDefault="008856C2" w:rsidP="002B186D">
                            <w:pPr>
                              <w:jc w:val="both"/>
                              <w:rPr>
                                <w:rFonts w:ascii="Times New Roman" w:hAnsi="Times New Roman" w:cs="Times New Roman"/>
                                <w:sz w:val="20"/>
                                <w:szCs w:val="20"/>
                              </w:rPr>
                            </w:pPr>
                            <w:r w:rsidRPr="00327220">
                              <w:rPr>
                                <w:rFonts w:ascii="Times New Roman" w:hAnsi="Times New Roman" w:cs="Times New Roman"/>
                                <w:sz w:val="20"/>
                                <w:szCs w:val="20"/>
                              </w:rPr>
                              <w:t>Source</w:t>
                            </w:r>
                            <w:r>
                              <w:rPr>
                                <w:rFonts w:ascii="Times New Roman" w:hAnsi="Times New Roman" w:cs="Times New Roman"/>
                                <w:sz w:val="20"/>
                                <w:szCs w:val="20"/>
                              </w:rPr>
                              <w:t>s</w:t>
                            </w:r>
                            <w:r w:rsidRPr="00327220">
                              <w:rPr>
                                <w:rFonts w:ascii="Times New Roman" w:hAnsi="Times New Roman" w:cs="Times New Roman"/>
                                <w:sz w:val="20"/>
                                <w:szCs w:val="20"/>
                              </w:rPr>
                              <w:t>: WRAP (2025), Amicarelli et al. (2021), Metro Turkey, Ministry of Agriculture and Forestry and FAO (2019), Cozzio, Tokarchuk and Maurer (2021), Hassan et al. (2022), Appel, Ayalon and Collins-Kreiner (2025), Gładysz, Buczacki and Haskins</w:t>
                            </w:r>
                            <w:r w:rsidRPr="00327220">
                              <w:rPr>
                                <w:rFonts w:ascii="Times New Roman" w:hAnsi="Times New Roman" w:cs="Times New Roman"/>
                                <w:b/>
                                <w:bCs/>
                                <w:sz w:val="20"/>
                                <w:szCs w:val="20"/>
                              </w:rPr>
                              <w:t xml:space="preserve"> </w:t>
                            </w:r>
                            <w:r w:rsidRPr="00327220">
                              <w:rPr>
                                <w:rFonts w:ascii="Times New Roman" w:hAnsi="Times New Roman" w:cs="Times New Roman"/>
                                <w:sz w:val="20"/>
                                <w:szCs w:val="20"/>
                              </w:rPr>
                              <w:t>(2020), Lee and Huang (2023),</w:t>
                            </w:r>
                            <w:r w:rsidRPr="00327220">
                              <w:rPr>
                                <w:rFonts w:ascii="Times New Roman" w:hAnsi="Times New Roman" w:cs="Times New Roman"/>
                                <w:b/>
                                <w:bCs/>
                                <w:sz w:val="20"/>
                                <w:szCs w:val="20"/>
                              </w:rPr>
                              <w:t xml:space="preserve"> </w:t>
                            </w:r>
                            <w:r w:rsidRPr="00327220">
                              <w:rPr>
                                <w:rFonts w:ascii="Times New Roman" w:hAnsi="Times New Roman" w:cs="Times New Roman"/>
                                <w:sz w:val="20"/>
                                <w:szCs w:val="20"/>
                              </w:rPr>
                              <w:t>Filimonau et al.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844C9" id="_x0000_s1027" type="#_x0000_t202" style="position:absolute;left:0;text-align:left;margin-left:0;margin-top:364.65pt;width:500.5pt;height:65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" stroked="f">
                <v:textbox inset="0,0,0,0">
                  <w:txbxContent>
                    <w:p w14:paraId="081C4DFA" w14:textId="3FAD0781" w:rsidR="008856C2" w:rsidRPr="00ED27F9" w:rsidRDefault="008856C2" w:rsidP="002B186D">
                      <w:pPr>
                        <w:pStyle w:val="Caption"/>
                        <w:jc w:val="center"/>
                        <w:rPr>
                          <w:rFonts w:ascii="Times New Roman" w:hAnsi="Times New Roman" w:cs="Times New Roman"/>
                          <w:color w:val="000000" w:themeColor="text1"/>
                          <w:sz w:val="20"/>
                          <w:szCs w:val="20"/>
                        </w:rPr>
                      </w:pPr>
                      <w:r w:rsidRPr="00ED27F9">
                        <w:rPr>
                          <w:rFonts w:ascii="Times New Roman" w:hAnsi="Times New Roman" w:cs="Times New Roman"/>
                          <w:color w:val="000000" w:themeColor="text1"/>
                          <w:sz w:val="20"/>
                          <w:szCs w:val="20"/>
                        </w:rPr>
                        <w:t xml:space="preserve">Figure 2. PESTLE </w:t>
                      </w:r>
                      <w:r>
                        <w:rPr>
                          <w:rFonts w:ascii="Times New Roman" w:hAnsi="Times New Roman" w:cs="Times New Roman"/>
                          <w:color w:val="000000" w:themeColor="text1"/>
                          <w:sz w:val="20"/>
                          <w:szCs w:val="20"/>
                        </w:rPr>
                        <w:t>analysis</w:t>
                      </w:r>
                      <w:r w:rsidRPr="00ED27F9">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for</w:t>
                      </w:r>
                      <w:r w:rsidRPr="00ED27F9">
                        <w:rPr>
                          <w:rFonts w:ascii="Times New Roman" w:hAnsi="Times New Roman" w:cs="Times New Roman"/>
                          <w:color w:val="000000" w:themeColor="text1"/>
                          <w:sz w:val="20"/>
                          <w:szCs w:val="20"/>
                        </w:rPr>
                        <w:t xml:space="preserve"> hotel food-waste reduction – extended macro factors</w:t>
                      </w:r>
                    </w:p>
                    <w:p w14:paraId="6066153C" w14:textId="3AD0B6AC" w:rsidR="008856C2" w:rsidRPr="00327220" w:rsidRDefault="008856C2" w:rsidP="002B186D">
                      <w:pPr>
                        <w:jc w:val="both"/>
                        <w:rPr>
                          <w:rFonts w:ascii="Times New Roman" w:hAnsi="Times New Roman" w:cs="Times New Roman"/>
                          <w:sz w:val="20"/>
                          <w:szCs w:val="20"/>
                        </w:rPr>
                      </w:pPr>
                      <w:r w:rsidRPr="00327220">
                        <w:rPr>
                          <w:rFonts w:ascii="Times New Roman" w:hAnsi="Times New Roman" w:cs="Times New Roman"/>
                          <w:sz w:val="20"/>
                          <w:szCs w:val="20"/>
                        </w:rPr>
                        <w:t>Source</w:t>
                      </w:r>
                      <w:r>
                        <w:rPr>
                          <w:rFonts w:ascii="Times New Roman" w:hAnsi="Times New Roman" w:cs="Times New Roman"/>
                          <w:sz w:val="20"/>
                          <w:szCs w:val="20"/>
                        </w:rPr>
                        <w:t>s</w:t>
                      </w:r>
                      <w:r w:rsidRPr="00327220">
                        <w:rPr>
                          <w:rFonts w:ascii="Times New Roman" w:hAnsi="Times New Roman" w:cs="Times New Roman"/>
                          <w:sz w:val="20"/>
                          <w:szCs w:val="20"/>
                        </w:rPr>
                        <w:t>: WRAP (2025), Amicarelli et al. (2021), Metro Turkey, Ministry of Agriculture and Forestry and FAO (2019), Cozzio, Tokarchuk and Maurer (2021), Hassan et al. (2022), Appel, Ayalon and Collins-Kreiner (2025), Gładysz, Buczacki and Haskins</w:t>
                      </w:r>
                      <w:r w:rsidRPr="00327220">
                        <w:rPr>
                          <w:rFonts w:ascii="Times New Roman" w:hAnsi="Times New Roman" w:cs="Times New Roman"/>
                          <w:b/>
                          <w:bCs/>
                          <w:sz w:val="20"/>
                          <w:szCs w:val="20"/>
                        </w:rPr>
                        <w:t xml:space="preserve"> </w:t>
                      </w:r>
                      <w:r w:rsidRPr="00327220">
                        <w:rPr>
                          <w:rFonts w:ascii="Times New Roman" w:hAnsi="Times New Roman" w:cs="Times New Roman"/>
                          <w:sz w:val="20"/>
                          <w:szCs w:val="20"/>
                        </w:rPr>
                        <w:t>(2020), Lee and Huang (2023),</w:t>
                      </w:r>
                      <w:r w:rsidRPr="00327220">
                        <w:rPr>
                          <w:rFonts w:ascii="Times New Roman" w:hAnsi="Times New Roman" w:cs="Times New Roman"/>
                          <w:b/>
                          <w:bCs/>
                          <w:sz w:val="20"/>
                          <w:szCs w:val="20"/>
                        </w:rPr>
                        <w:t xml:space="preserve"> </w:t>
                      </w:r>
                      <w:r w:rsidRPr="00327220">
                        <w:rPr>
                          <w:rFonts w:ascii="Times New Roman" w:hAnsi="Times New Roman" w:cs="Times New Roman"/>
                          <w:sz w:val="20"/>
                          <w:szCs w:val="20"/>
                        </w:rPr>
                        <w:t>Filimonau et al. (2020).</w:t>
                      </w:r>
                    </w:p>
                  </w:txbxContent>
                </v:textbox>
                <w10:wrap type="square" anchorx="page"/>
              </v:shape>
            </w:pict>
          </mc:Fallback>
        </mc:AlternateContent>
      </w:r>
      <w:r w:rsidR="008125B0">
        <w:rPr>
          <w:rFonts w:ascii="Times New Roman" w:hAnsi="Times New Roman" w:cs="Times New Roman"/>
          <w:noProof/>
          <w:sz w:val="24"/>
          <w:szCs w:val="24"/>
          <w:lang w:eastAsia="en-GB"/>
        </w:rPr>
        <w:drawing>
          <wp:anchor distT="0" distB="0" distL="114300" distR="114300" simplePos="0" relativeHeight="251661312" behindDoc="0" locked="0" layoutInCell="1" allowOverlap="1" wp14:anchorId="3810C2FA" wp14:editId="1EF3874A">
            <wp:simplePos x="0" y="0"/>
            <wp:positionH relativeFrom="column">
              <wp:align>center</wp:align>
            </wp:positionH>
            <wp:positionV relativeFrom="paragraph">
              <wp:posOffset>3810</wp:posOffset>
            </wp:positionV>
            <wp:extent cx="7390800" cy="4057200"/>
            <wp:effectExtent l="0" t="323850" r="0" b="191135"/>
            <wp:wrapSquare wrapText="bothSides"/>
            <wp:docPr id="117310818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1028484C" w14:textId="30E2FF6E" w:rsidR="00671C32" w:rsidRDefault="00715954" w:rsidP="00671C32">
      <w:pPr>
        <w:spacing w:line="360" w:lineRule="auto"/>
        <w:jc w:val="both"/>
        <w:rPr>
          <w:rFonts w:ascii="Times New Roman" w:hAnsi="Times New Roman" w:cs="Times New Roman"/>
          <w:sz w:val="24"/>
          <w:szCs w:val="24"/>
        </w:rPr>
      </w:pPr>
      <w:r w:rsidRPr="00715954">
        <w:rPr>
          <w:rFonts w:ascii="Times New Roman" w:hAnsi="Times New Roman" w:cs="Times New Roman"/>
          <w:sz w:val="24"/>
          <w:szCs w:val="24"/>
        </w:rPr>
        <w:t>Apply lean routines and embed chef practice development (addresses operational hot spots and skill</w:t>
      </w:r>
      <w:r>
        <w:rPr>
          <w:rFonts w:ascii="Times New Roman" w:hAnsi="Times New Roman" w:cs="Times New Roman"/>
          <w:sz w:val="24"/>
          <w:szCs w:val="24"/>
        </w:rPr>
        <w:t xml:space="preserve"> or </w:t>
      </w:r>
      <w:r w:rsidRPr="00715954">
        <w:rPr>
          <w:rFonts w:ascii="Times New Roman" w:hAnsi="Times New Roman" w:cs="Times New Roman"/>
          <w:sz w:val="24"/>
          <w:szCs w:val="24"/>
        </w:rPr>
        <w:t xml:space="preserve">routine gaps in Sections 4.2–4.4). Enforce stock rotation, labelling, and standardised prep. Run short continuous improvement cycles focused on recurring causes of overproduction and spoilage. </w:t>
      </w:r>
      <w:r w:rsidR="00671C32" w:rsidRPr="00671C32">
        <w:rPr>
          <w:rFonts w:ascii="Times New Roman" w:hAnsi="Times New Roman" w:cs="Times New Roman"/>
          <w:sz w:val="24"/>
          <w:szCs w:val="24"/>
        </w:rPr>
        <w:t xml:space="preserve">Link process control with chef-led learning because the development of practice </w:t>
      </w:r>
      <w:r w:rsidR="00C742BE">
        <w:rPr>
          <w:rFonts w:ascii="Times New Roman" w:hAnsi="Times New Roman" w:cs="Times New Roman"/>
          <w:sz w:val="24"/>
          <w:szCs w:val="24"/>
        </w:rPr>
        <w:t xml:space="preserve">adds </w:t>
      </w:r>
      <w:r w:rsidR="00671C32" w:rsidRPr="00671C32">
        <w:rPr>
          <w:rFonts w:ascii="Times New Roman" w:hAnsi="Times New Roman" w:cs="Times New Roman"/>
          <w:sz w:val="24"/>
          <w:szCs w:val="24"/>
        </w:rPr>
        <w:t>to the long-term effectiveness of the solutions (Gładysz, Buczacki, and Haskins, 2020; Kartinawati, Risyahadi, and Bashar, 2022; Filimonau et al., 2024).</w:t>
      </w:r>
    </w:p>
    <w:p w14:paraId="302176D8" w14:textId="457F3BE3" w:rsidR="002B186D" w:rsidRPr="00A56D0B" w:rsidRDefault="008F17A4" w:rsidP="00671C32">
      <w:pPr>
        <w:spacing w:line="360" w:lineRule="auto"/>
        <w:jc w:val="both"/>
        <w:rPr>
          <w:rFonts w:ascii="Times New Roman" w:hAnsi="Times New Roman" w:cs="Times New Roman"/>
          <w:sz w:val="24"/>
          <w:szCs w:val="24"/>
        </w:rPr>
      </w:pPr>
      <w:r w:rsidRPr="008F17A4">
        <w:rPr>
          <w:rFonts w:ascii="Times New Roman" w:hAnsi="Times New Roman" w:cs="Times New Roman"/>
          <w:sz w:val="24"/>
          <w:szCs w:val="24"/>
        </w:rPr>
        <w:t>Modify the buffet</w:t>
      </w:r>
      <w:r w:rsidR="00A56D0B">
        <w:rPr>
          <w:rFonts w:ascii="Times New Roman" w:hAnsi="Times New Roman" w:cs="Times New Roman"/>
          <w:sz w:val="24"/>
          <w:szCs w:val="24"/>
        </w:rPr>
        <w:t>’</w:t>
      </w:r>
      <w:r w:rsidRPr="008F17A4">
        <w:rPr>
          <w:rFonts w:ascii="Times New Roman" w:hAnsi="Times New Roman" w:cs="Times New Roman"/>
          <w:sz w:val="24"/>
          <w:szCs w:val="24"/>
        </w:rPr>
        <w:t>s choice architecture to address plate waste driven by buffets as discussed in Sections 4.2 and 4.4.</w:t>
      </w:r>
      <w:r w:rsidR="00A56D0B">
        <w:rPr>
          <w:rFonts w:ascii="Times New Roman" w:hAnsi="Times New Roman" w:cs="Times New Roman"/>
          <w:sz w:val="24"/>
          <w:szCs w:val="24"/>
        </w:rPr>
        <w:t xml:space="preserve"> </w:t>
      </w:r>
      <w:r w:rsidR="00715954" w:rsidRPr="00715954">
        <w:rPr>
          <w:rFonts w:ascii="Times New Roman" w:hAnsi="Times New Roman" w:cs="Times New Roman"/>
          <w:sz w:val="24"/>
          <w:szCs w:val="24"/>
        </w:rPr>
        <w:t>Reduce display volume. Refill more frequently in smaller quantities. Use smaller plates and serving tools to default guests into smaller first portions. Deploy persuasive messages that normalise taking less and returning, since experiments show measurable plate-</w:t>
      </w:r>
      <w:r w:rsidR="001C37BB">
        <w:rPr>
          <w:noProof/>
          <w:lang w:eastAsia="en-GB"/>
        </w:rPr>
        <w:lastRenderedPageBreak/>
        <mc:AlternateContent>
          <mc:Choice Requires="wps">
            <w:drawing>
              <wp:anchor distT="0" distB="0" distL="114300" distR="114300" simplePos="0" relativeHeight="251666432" behindDoc="0" locked="0" layoutInCell="1" allowOverlap="1" wp14:anchorId="752A3CC6" wp14:editId="3D293C12">
                <wp:simplePos x="0" y="0"/>
                <wp:positionH relativeFrom="margin">
                  <wp:align>center</wp:align>
                </wp:positionH>
                <wp:positionV relativeFrom="paragraph">
                  <wp:posOffset>3321685</wp:posOffset>
                </wp:positionV>
                <wp:extent cx="6242050" cy="635"/>
                <wp:effectExtent l="0" t="0" r="6350" b="3810"/>
                <wp:wrapSquare wrapText="bothSides"/>
                <wp:docPr id="893022377" name="Szövegdoboz 1"/>
                <wp:cNvGraphicFramePr/>
                <a:graphic xmlns:a="http://schemas.openxmlformats.org/drawingml/2006/main">
                  <a:graphicData uri="http://schemas.microsoft.com/office/word/2010/wordprocessingShape">
                    <wps:wsp>
                      <wps:cNvSpPr txBox="1"/>
                      <wps:spPr>
                        <a:xfrm>
                          <a:off x="0" y="0"/>
                          <a:ext cx="6242050" cy="635"/>
                        </a:xfrm>
                        <a:prstGeom prst="rect">
                          <a:avLst/>
                        </a:prstGeom>
                        <a:solidFill>
                          <a:prstClr val="white"/>
                        </a:solidFill>
                        <a:ln>
                          <a:noFill/>
                        </a:ln>
                      </wps:spPr>
                      <wps:txbx>
                        <w:txbxContent>
                          <w:p w14:paraId="178594DE" w14:textId="37961423" w:rsidR="008856C2" w:rsidRPr="002B186D" w:rsidRDefault="008856C2" w:rsidP="002B186D">
                            <w:pPr>
                              <w:pStyle w:val="Caption"/>
                              <w:jc w:val="center"/>
                              <w:rPr>
                                <w:rFonts w:ascii="Times New Roman" w:hAnsi="Times New Roman" w:cs="Times New Roman"/>
                                <w:color w:val="000000" w:themeColor="text1"/>
                                <w:sz w:val="20"/>
                                <w:szCs w:val="20"/>
                              </w:rPr>
                            </w:pPr>
                            <w:r w:rsidRPr="002B186D">
                              <w:rPr>
                                <w:rFonts w:ascii="Times New Roman" w:hAnsi="Times New Roman" w:cs="Times New Roman"/>
                                <w:color w:val="000000" w:themeColor="text1"/>
                                <w:sz w:val="20"/>
                                <w:szCs w:val="20"/>
                              </w:rPr>
                              <w:t>Figure 3. SWOT</w:t>
                            </w:r>
                            <w:r>
                              <w:rPr>
                                <w:rFonts w:ascii="Times New Roman" w:hAnsi="Times New Roman" w:cs="Times New Roman"/>
                                <w:color w:val="000000" w:themeColor="text1"/>
                                <w:sz w:val="20"/>
                                <w:szCs w:val="20"/>
                              </w:rPr>
                              <w:t xml:space="preserve"> analysis for </w:t>
                            </w:r>
                            <w:r w:rsidRPr="002B186D">
                              <w:rPr>
                                <w:rFonts w:ascii="Times New Roman" w:hAnsi="Times New Roman" w:cs="Times New Roman"/>
                                <w:color w:val="000000" w:themeColor="text1"/>
                                <w:sz w:val="20"/>
                                <w:szCs w:val="20"/>
                              </w:rPr>
                              <w:t>implementing food-waste reduction in hotels</w:t>
                            </w:r>
                          </w:p>
                          <w:p w14:paraId="5BE2C16D" w14:textId="6D8CC84E" w:rsidR="008856C2" w:rsidRPr="002B186D" w:rsidRDefault="008856C2" w:rsidP="002B186D">
                            <w:pPr>
                              <w:jc w:val="both"/>
                              <w:rPr>
                                <w:sz w:val="20"/>
                                <w:szCs w:val="20"/>
                              </w:rPr>
                            </w:pPr>
                            <w:r w:rsidRPr="002B186D">
                              <w:rPr>
                                <w:sz w:val="20"/>
                                <w:szCs w:val="20"/>
                              </w:rPr>
                              <w:t>Sources: WRAP (2025), Filimonau et al. (2020), Rady et al. (2021), Chawla, Lugosi and Hawkins (2021), Gładysz, Buczacki and Haskins (2020), Cozzio, Tokarchuk and Maurer (2021), Moliner et al. (2021), Wu and Teng (2022), Metro Turkey, Ministry of Agriculture and Forestry and FAO (2019), Appel, Ayalon and Collins-Kreiner (2025), Amicarelli et al.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2A3CC6" id="_x0000_s1028" type="#_x0000_t202" style="position:absolute;left:0;text-align:left;margin-left:0;margin-top:261.55pt;width:491.5pt;height:.05pt;z-index:2516664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" stroked="f">
                <v:textbox style="mso-fit-shape-to-text:t" inset="0,0,0,0">
                  <w:txbxContent>
                    <w:p w14:paraId="178594DE" w14:textId="37961423" w:rsidR="008856C2" w:rsidRPr="002B186D" w:rsidRDefault="008856C2" w:rsidP="002B186D">
                      <w:pPr>
                        <w:pStyle w:val="Caption"/>
                        <w:jc w:val="center"/>
                        <w:rPr>
                          <w:rFonts w:ascii="Times New Roman" w:hAnsi="Times New Roman" w:cs="Times New Roman"/>
                          <w:color w:val="000000" w:themeColor="text1"/>
                          <w:sz w:val="20"/>
                          <w:szCs w:val="20"/>
                        </w:rPr>
                      </w:pPr>
                      <w:r w:rsidRPr="002B186D">
                        <w:rPr>
                          <w:rFonts w:ascii="Times New Roman" w:hAnsi="Times New Roman" w:cs="Times New Roman"/>
                          <w:color w:val="000000" w:themeColor="text1"/>
                          <w:sz w:val="20"/>
                          <w:szCs w:val="20"/>
                        </w:rPr>
                        <w:t>Figure 3. SWOT</w:t>
                      </w:r>
                      <w:r>
                        <w:rPr>
                          <w:rFonts w:ascii="Times New Roman" w:hAnsi="Times New Roman" w:cs="Times New Roman"/>
                          <w:color w:val="000000" w:themeColor="text1"/>
                          <w:sz w:val="20"/>
                          <w:szCs w:val="20"/>
                        </w:rPr>
                        <w:t xml:space="preserve"> analysis for </w:t>
                      </w:r>
                      <w:r w:rsidRPr="002B186D">
                        <w:rPr>
                          <w:rFonts w:ascii="Times New Roman" w:hAnsi="Times New Roman" w:cs="Times New Roman"/>
                          <w:color w:val="000000" w:themeColor="text1"/>
                          <w:sz w:val="20"/>
                          <w:szCs w:val="20"/>
                        </w:rPr>
                        <w:t>implementing food-waste reduction in hotels</w:t>
                      </w:r>
                    </w:p>
                    <w:p w14:paraId="5BE2C16D" w14:textId="6D8CC84E" w:rsidR="008856C2" w:rsidRPr="002B186D" w:rsidRDefault="008856C2" w:rsidP="002B186D">
                      <w:pPr>
                        <w:jc w:val="both"/>
                        <w:rPr>
                          <w:sz w:val="20"/>
                          <w:szCs w:val="20"/>
                        </w:rPr>
                      </w:pPr>
                      <w:r w:rsidRPr="002B186D">
                        <w:rPr>
                          <w:sz w:val="20"/>
                          <w:szCs w:val="20"/>
                        </w:rPr>
                        <w:t>Sources: WRAP (2025), Filimonau et al. (2020), Rady et al. (2021), Chawla, Lugosi and Hawkins (2021), Gładysz, Buczacki and Haskins (2020), Cozzio, Tokarchuk and Maurer (2021), Moliner et al. (2021), Wu and Teng (2022), Metro Turkey, Ministry of Agriculture and Forestry and FAO (2019), Appel, Ayalon and Collins-Kreiner (2025), Amicarelli et al. (2021).</w:t>
                      </w:r>
                    </w:p>
                  </w:txbxContent>
                </v:textbox>
                <w10:wrap type="square" anchorx="margin"/>
              </v:shape>
            </w:pict>
          </mc:Fallback>
        </mc:AlternateContent>
      </w:r>
      <w:r w:rsidR="00715954" w:rsidRPr="00715954">
        <w:rPr>
          <w:rFonts w:ascii="Times New Roman" w:hAnsi="Times New Roman" w:cs="Times New Roman"/>
          <w:sz w:val="24"/>
          <w:szCs w:val="24"/>
        </w:rPr>
        <w:t>waste reduction (Cozzio, Tokarchuk and Maurer, 2021; Ariffin et al., 2023; Juvan, Grün and Dolnicar, 2017).</w:t>
      </w:r>
      <w:r w:rsidR="000669A0">
        <w:rPr>
          <w:rFonts w:ascii="Times New Roman" w:hAnsi="Times New Roman" w:cs="Times New Roman"/>
          <w:noProof/>
          <w:sz w:val="24"/>
          <w:szCs w:val="24"/>
          <w:lang w:eastAsia="en-GB"/>
        </w:rPr>
        <w:drawing>
          <wp:anchor distT="0" distB="0" distL="114300" distR="114300" simplePos="0" relativeHeight="251664384" behindDoc="0" locked="0" layoutInCell="1" allowOverlap="1" wp14:anchorId="4DEEFC8F" wp14:editId="577D8EC2">
            <wp:simplePos x="0" y="0"/>
            <wp:positionH relativeFrom="column">
              <wp:posOffset>1905</wp:posOffset>
            </wp:positionH>
            <wp:positionV relativeFrom="paragraph">
              <wp:posOffset>635</wp:posOffset>
            </wp:positionV>
            <wp:extent cx="5486400" cy="3200400"/>
            <wp:effectExtent l="0" t="0" r="0" b="19050"/>
            <wp:wrapSquare wrapText="bothSides"/>
            <wp:docPr id="92642938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anchor>
        </w:drawing>
      </w:r>
    </w:p>
    <w:p w14:paraId="0FC777DE" w14:textId="77777777" w:rsidR="00715954" w:rsidRDefault="00715954" w:rsidP="004963D5">
      <w:pPr>
        <w:spacing w:line="360" w:lineRule="auto"/>
        <w:jc w:val="both"/>
        <w:rPr>
          <w:rFonts w:ascii="Times New Roman" w:hAnsi="Times New Roman" w:cs="Times New Roman"/>
          <w:sz w:val="24"/>
          <w:szCs w:val="24"/>
        </w:rPr>
      </w:pPr>
      <w:r w:rsidRPr="00715954">
        <w:rPr>
          <w:rFonts w:ascii="Times New Roman" w:hAnsi="Times New Roman" w:cs="Times New Roman"/>
          <w:sz w:val="24"/>
          <w:szCs w:val="24"/>
        </w:rPr>
        <w:t>Use the waste hierarchy to formalise surplus routes (aligns recommendations with the eco-efficiency logic used in Method and Section 4.1). Prioritise prevention. Where safe, repurpose surplus internally. Pilot redistribution only for unopened or safely handled categories. Improve waste separation for composting or recovery of residual streams where feasible (Metro Turkey, Ministry of Agriculture and Forestry and FAO, 2019; Karvounidi, Alexandropoulou and Fousteris, 2024).</w:t>
      </w:r>
    </w:p>
    <w:p w14:paraId="772DE004" w14:textId="29AFD527" w:rsidR="007D05DF" w:rsidRPr="00A946D5" w:rsidRDefault="00715954" w:rsidP="004963D5">
      <w:pPr>
        <w:spacing w:line="360" w:lineRule="auto"/>
        <w:jc w:val="both"/>
        <w:rPr>
          <w:rFonts w:ascii="Times New Roman" w:hAnsi="Times New Roman" w:cs="Times New Roman"/>
          <w:sz w:val="24"/>
          <w:szCs w:val="24"/>
        </w:rPr>
      </w:pPr>
      <w:r w:rsidRPr="00715954">
        <w:rPr>
          <w:rFonts w:ascii="Times New Roman" w:hAnsi="Times New Roman" w:cs="Times New Roman"/>
          <w:sz w:val="24"/>
          <w:szCs w:val="24"/>
        </w:rPr>
        <w:t>Segment guest communication and test messages (addresses the social finding on behaviour and heterogeneity in Section 4.4). Do not rely on generic moral messaging. Address the intention–action gap by making the low-waste choice the easy choice. Test message variants by segment because culture and religiosity can shape behaviour (Danzer and Zeidler, 202</w:t>
      </w:r>
      <w:r w:rsidR="003C39F6">
        <w:rPr>
          <w:rFonts w:ascii="Times New Roman" w:hAnsi="Times New Roman" w:cs="Times New Roman"/>
          <w:sz w:val="24"/>
          <w:szCs w:val="24"/>
        </w:rPr>
        <w:t>5</w:t>
      </w:r>
      <w:r w:rsidRPr="00715954">
        <w:rPr>
          <w:rFonts w:ascii="Times New Roman" w:hAnsi="Times New Roman" w:cs="Times New Roman"/>
          <w:sz w:val="24"/>
          <w:szCs w:val="24"/>
        </w:rPr>
        <w:t xml:space="preserve">; Hassan et al., 2022). </w:t>
      </w:r>
      <w:r w:rsidR="00A946D5" w:rsidRPr="00A946D5">
        <w:rPr>
          <w:rFonts w:ascii="Times New Roman" w:hAnsi="Times New Roman" w:cs="Times New Roman"/>
          <w:sz w:val="24"/>
          <w:szCs w:val="24"/>
        </w:rPr>
        <w:br w:type="page"/>
      </w:r>
    </w:p>
    <w:p w14:paraId="749B42C4" w14:textId="1ED05592" w:rsidR="00D3561D" w:rsidRPr="00A946D5" w:rsidRDefault="00D3561D" w:rsidP="00D3561D">
      <w:pPr>
        <w:spacing w:line="360" w:lineRule="auto"/>
        <w:jc w:val="both"/>
        <w:rPr>
          <w:rFonts w:ascii="Times New Roman" w:hAnsi="Times New Roman" w:cs="Times New Roman"/>
          <w:b/>
          <w:bCs/>
          <w:sz w:val="32"/>
          <w:szCs w:val="32"/>
        </w:rPr>
      </w:pPr>
      <w:r w:rsidRPr="00A946D5">
        <w:rPr>
          <w:rFonts w:ascii="Times New Roman" w:hAnsi="Times New Roman" w:cs="Times New Roman"/>
          <w:b/>
          <w:bCs/>
          <w:sz w:val="32"/>
          <w:szCs w:val="32"/>
        </w:rPr>
        <w:lastRenderedPageBreak/>
        <w:t>6. Conclusion</w:t>
      </w:r>
    </w:p>
    <w:p w14:paraId="035D4B2C" w14:textId="5E158DCD" w:rsidR="00D3561D" w:rsidRPr="00A946D5" w:rsidRDefault="00D3561D" w:rsidP="00D3561D">
      <w:pPr>
        <w:spacing w:line="360" w:lineRule="auto"/>
        <w:jc w:val="both"/>
        <w:rPr>
          <w:rFonts w:ascii="Times New Roman" w:hAnsi="Times New Roman" w:cs="Times New Roman"/>
          <w:sz w:val="24"/>
          <w:szCs w:val="24"/>
        </w:rPr>
      </w:pPr>
      <w:r w:rsidRPr="00A946D5">
        <w:rPr>
          <w:rFonts w:ascii="Times New Roman" w:hAnsi="Times New Roman" w:cs="Times New Roman"/>
          <w:sz w:val="24"/>
          <w:szCs w:val="24"/>
        </w:rPr>
        <w:t xml:space="preserve">Hotel food waste is produced by service norms plus operational uncertainty. </w:t>
      </w:r>
      <w:r w:rsidR="007B2C84" w:rsidRPr="007B2C84">
        <w:rPr>
          <w:rFonts w:ascii="Times New Roman" w:hAnsi="Times New Roman" w:cs="Times New Roman"/>
          <w:sz w:val="24"/>
          <w:szCs w:val="24"/>
        </w:rPr>
        <w:t>Efficacy is maximised when hotels prioritise prevention-focused strategies such as forecasting discipline, streamlined kitchen processes, chef skills development, and buffet redesign supported by persuasive messages.</w:t>
      </w:r>
      <w:r w:rsidR="007B2C84">
        <w:rPr>
          <w:rFonts w:ascii="Times New Roman" w:hAnsi="Times New Roman" w:cs="Times New Roman"/>
          <w:sz w:val="24"/>
          <w:szCs w:val="24"/>
        </w:rPr>
        <w:t xml:space="preserve"> </w:t>
      </w:r>
      <w:r w:rsidR="00614E1F" w:rsidRPr="00614E1F">
        <w:rPr>
          <w:rFonts w:ascii="Times New Roman" w:hAnsi="Times New Roman" w:cs="Times New Roman"/>
          <w:sz w:val="24"/>
          <w:szCs w:val="24"/>
        </w:rPr>
        <w:t xml:space="preserve">This is supported by Amicarelli et al. (2021), </w:t>
      </w:r>
      <w:r w:rsidR="00614E1F" w:rsidRPr="00FB7AED">
        <w:rPr>
          <w:rFonts w:ascii="Times New Roman" w:hAnsi="Times New Roman" w:cs="Times New Roman"/>
          <w:sz w:val="24"/>
          <w:szCs w:val="24"/>
        </w:rPr>
        <w:t>Cozzio</w:t>
      </w:r>
      <w:r w:rsidR="00614E1F" w:rsidRPr="00614E1F">
        <w:rPr>
          <w:rFonts w:ascii="Times New Roman" w:hAnsi="Times New Roman" w:cs="Times New Roman"/>
          <w:sz w:val="24"/>
          <w:szCs w:val="24"/>
        </w:rPr>
        <w:t xml:space="preserve"> et al. (2021), Filimonau et al. (2024), and Gładysz et al. (2020).</w:t>
      </w:r>
      <w:r w:rsidR="00663885" w:rsidRPr="00A946D5">
        <w:rPr>
          <w:rFonts w:ascii="Times New Roman" w:hAnsi="Times New Roman" w:cs="Times New Roman"/>
          <w:sz w:val="24"/>
          <w:szCs w:val="24"/>
        </w:rPr>
        <w:t xml:space="preserve"> </w:t>
      </w:r>
      <w:r w:rsidRPr="00A946D5">
        <w:rPr>
          <w:rFonts w:ascii="Times New Roman" w:hAnsi="Times New Roman" w:cs="Times New Roman"/>
          <w:sz w:val="24"/>
          <w:szCs w:val="24"/>
        </w:rPr>
        <w:t xml:space="preserve">Downstream solutions add value for residual streams but face feasibility constraints, especially in smaller </w:t>
      </w:r>
      <w:r w:rsidR="00590D78" w:rsidRPr="00A946D5">
        <w:rPr>
          <w:rFonts w:ascii="Times New Roman" w:hAnsi="Times New Roman" w:cs="Times New Roman"/>
          <w:sz w:val="24"/>
          <w:szCs w:val="24"/>
        </w:rPr>
        <w:t>hotels</w:t>
      </w:r>
      <w:r w:rsidRPr="00A946D5">
        <w:rPr>
          <w:rFonts w:ascii="Times New Roman" w:hAnsi="Times New Roman" w:cs="Times New Roman"/>
          <w:sz w:val="24"/>
          <w:szCs w:val="24"/>
        </w:rPr>
        <w:t xml:space="preserve"> (Karvounidi, Alexandropoulou and Fousteris, 2024). Governance, measurement, and segmentation of surplus streams are the enabling conditions for durable improvement (Filimonau </w:t>
      </w:r>
      <w:r w:rsidRPr="00A946D5">
        <w:rPr>
          <w:rFonts w:ascii="Times New Roman" w:hAnsi="Times New Roman" w:cs="Times New Roman"/>
          <w:i/>
          <w:iCs/>
          <w:sz w:val="24"/>
          <w:szCs w:val="24"/>
        </w:rPr>
        <w:t>et al.</w:t>
      </w:r>
      <w:r w:rsidRPr="00A946D5">
        <w:rPr>
          <w:rFonts w:ascii="Times New Roman" w:hAnsi="Times New Roman" w:cs="Times New Roman"/>
          <w:sz w:val="24"/>
          <w:szCs w:val="24"/>
        </w:rPr>
        <w:t>, 2020; Wu and Teng, 2022).</w:t>
      </w:r>
    </w:p>
    <w:p w14:paraId="1A9CE8F7" w14:textId="02E7010C" w:rsidR="00D3561D" w:rsidRPr="00A946D5" w:rsidRDefault="00D3561D" w:rsidP="00D521AF">
      <w:pPr>
        <w:rPr>
          <w:rFonts w:ascii="Times New Roman" w:hAnsi="Times New Roman" w:cs="Times New Roman"/>
          <w:sz w:val="24"/>
          <w:szCs w:val="24"/>
        </w:rPr>
      </w:pPr>
      <w:r w:rsidRPr="00A946D5">
        <w:rPr>
          <w:rFonts w:ascii="Times New Roman" w:hAnsi="Times New Roman" w:cs="Times New Roman"/>
          <w:sz w:val="24"/>
          <w:szCs w:val="24"/>
        </w:rPr>
        <w:br w:type="page"/>
      </w:r>
    </w:p>
    <w:p w14:paraId="35303420" w14:textId="7BE20E2B" w:rsidR="00763F12" w:rsidRDefault="00D521AF" w:rsidP="00D3561D">
      <w:pPr>
        <w:spacing w:line="360" w:lineRule="auto"/>
        <w:jc w:val="both"/>
        <w:rPr>
          <w:rFonts w:ascii="Times New Roman" w:hAnsi="Times New Roman" w:cs="Times New Roman"/>
          <w:b/>
          <w:bCs/>
          <w:sz w:val="32"/>
          <w:szCs w:val="32"/>
        </w:rPr>
      </w:pPr>
      <w:r w:rsidRPr="00A946D5">
        <w:rPr>
          <w:rFonts w:ascii="Times New Roman" w:hAnsi="Times New Roman" w:cs="Times New Roman"/>
          <w:b/>
          <w:bCs/>
          <w:sz w:val="32"/>
          <w:szCs w:val="32"/>
        </w:rPr>
        <w:lastRenderedPageBreak/>
        <w:t>References</w:t>
      </w:r>
    </w:p>
    <w:p w14:paraId="6F38B251" w14:textId="77777777" w:rsidR="008856C2" w:rsidRDefault="008856C2" w:rsidP="00791C1B">
      <w:pPr>
        <w:pStyle w:val="NormalWeb"/>
        <w:spacing w:line="360" w:lineRule="auto"/>
        <w:jc w:val="both"/>
      </w:pPr>
      <w:r>
        <w:t xml:space="preserve">Amicarelli, V., Aluculesei, A.-C., Lagioia, G., Pamfilie, R. and Bux, C. (2021) ‘How to manage and minimise food waste in the hotel industry: an exploratory research’, </w:t>
      </w:r>
      <w:r>
        <w:rPr>
          <w:rStyle w:val="Emphasis"/>
          <w:rFonts w:eastAsiaTheme="majorEastAsia"/>
        </w:rPr>
        <w:t>International Journal of Culture, Tourism and Hospitality Research</w:t>
      </w:r>
      <w:r>
        <w:t xml:space="preserve">, 16(1), pp. 152–167. Available at: </w:t>
      </w:r>
      <w:hyperlink r:id="rId23" w:tgtFrame="_new" w:history="1">
        <w:r>
          <w:rPr>
            <w:rStyle w:val="Hyperlink"/>
            <w:rFonts w:eastAsiaTheme="majorEastAsia"/>
          </w:rPr>
          <w:t>https://www.emerald.com/ijcthr/article/16/1/152/137461/How-to-manage-and-minimize-food-waste-in-the-hotel</w:t>
        </w:r>
      </w:hyperlink>
      <w:r>
        <w:t xml:space="preserve"> (Accessed: 2 February 2026).</w:t>
      </w:r>
    </w:p>
    <w:p w14:paraId="6D1DAF21" w14:textId="77777777" w:rsidR="008856C2" w:rsidRDefault="008856C2" w:rsidP="00791C1B">
      <w:pPr>
        <w:pStyle w:val="NormalWeb"/>
        <w:spacing w:line="360" w:lineRule="auto"/>
        <w:jc w:val="both"/>
      </w:pPr>
      <w:r>
        <w:t xml:space="preserve">Appel, G., Ayalon, O. and Collins-Kreiner, N. (2025) ‘From a full buffet to a full bin: hotel managers’ perspectives on food waste at breakfast buffets’, </w:t>
      </w:r>
      <w:r>
        <w:rPr>
          <w:rStyle w:val="Emphasis"/>
          <w:rFonts w:eastAsiaTheme="majorEastAsia"/>
        </w:rPr>
        <w:t>International Journal of Hospitality Management</w:t>
      </w:r>
      <w:r>
        <w:t xml:space="preserve">, 130, 104276. </w:t>
      </w:r>
      <w:hyperlink r:id="rId24" w:tgtFrame="_new" w:history="1">
        <w:r>
          <w:rPr>
            <w:rStyle w:val="Hyperlink"/>
            <w:rFonts w:eastAsiaTheme="majorEastAsia"/>
          </w:rPr>
          <w:t>https://doi.org/10.1016/j.ijhm.2025.104276</w:t>
        </w:r>
      </w:hyperlink>
    </w:p>
    <w:p w14:paraId="26D47FCC" w14:textId="77777777" w:rsidR="008856C2" w:rsidRDefault="008856C2" w:rsidP="00791C1B">
      <w:pPr>
        <w:pStyle w:val="NormalWeb"/>
        <w:spacing w:line="360" w:lineRule="auto"/>
        <w:jc w:val="both"/>
      </w:pPr>
      <w:r>
        <w:t xml:space="preserve">Ariffin, M.K.A.K., Salwey, M.S., Patah, M.O.R.A., Hadi, H.A., Usman, S.B. and Musa, M. (2023) ‘Customers’ perception on hotel buffet menu setting, drivers of plate waste and food waste awareness’, </w:t>
      </w:r>
      <w:r>
        <w:rPr>
          <w:rStyle w:val="Emphasis"/>
          <w:rFonts w:eastAsiaTheme="majorEastAsia"/>
        </w:rPr>
        <w:t>Journal of Tourism, Hospitality &amp; Culinary Arts</w:t>
      </w:r>
      <w:r>
        <w:t xml:space="preserve">, 15(2), pp. 154–167. Available at: </w:t>
      </w:r>
      <w:hyperlink r:id="rId25" w:tgtFrame="_new" w:history="1">
        <w:r>
          <w:rPr>
            <w:rStyle w:val="Hyperlink"/>
            <w:rFonts w:eastAsiaTheme="majorEastAsia"/>
          </w:rPr>
          <w:t>https://fhtm.uitm.edu.my/images/jthca/Vol15Issue2/Chap_8.pdf</w:t>
        </w:r>
      </w:hyperlink>
      <w:r>
        <w:t xml:space="preserve"> (Accessed: 1 February 2026).</w:t>
      </w:r>
    </w:p>
    <w:p w14:paraId="413783DC" w14:textId="77777777" w:rsidR="008856C2" w:rsidRDefault="008856C2" w:rsidP="00791C1B">
      <w:pPr>
        <w:pStyle w:val="NormalWeb"/>
        <w:spacing w:line="360" w:lineRule="auto"/>
        <w:jc w:val="both"/>
      </w:pPr>
      <w:r>
        <w:t xml:space="preserve">Chawla, G., Lugosi, P. and Hawkins, R. (2021) ‘Food waste drivers in corporate luxury hotels: competing perceptions and priorities across the service cycle’, </w:t>
      </w:r>
      <w:r>
        <w:rPr>
          <w:rStyle w:val="Emphasis"/>
          <w:rFonts w:eastAsiaTheme="majorEastAsia"/>
        </w:rPr>
        <w:t>Tourism and Hospitality</w:t>
      </w:r>
      <w:r>
        <w:t xml:space="preserve">, 2(3), pp. 302–318. Available at: </w:t>
      </w:r>
      <w:hyperlink r:id="rId26" w:tgtFrame="_new" w:history="1">
        <w:r>
          <w:rPr>
            <w:rStyle w:val="Hyperlink"/>
            <w:rFonts w:eastAsiaTheme="majorEastAsia"/>
          </w:rPr>
          <w:t>https://www.mdpi.com/2673-5768/2/3/19</w:t>
        </w:r>
      </w:hyperlink>
      <w:r>
        <w:t xml:space="preserve"> (Accessed: 1 February 2026).</w:t>
      </w:r>
    </w:p>
    <w:p w14:paraId="09CA6518" w14:textId="77777777" w:rsidR="008856C2" w:rsidRDefault="008856C2" w:rsidP="00791C1B">
      <w:pPr>
        <w:pStyle w:val="NormalWeb"/>
        <w:spacing w:line="360" w:lineRule="auto"/>
        <w:jc w:val="both"/>
      </w:pPr>
      <w:r>
        <w:t xml:space="preserve">Cozzio, C., Tokarchuk, O. and Maurer, O. (2021) ‘Minimising plate waste at hotel breakfast buffets: an experimental approach through persuasive messages’, </w:t>
      </w:r>
      <w:r>
        <w:rPr>
          <w:rStyle w:val="Emphasis"/>
          <w:rFonts w:eastAsiaTheme="majorEastAsia"/>
        </w:rPr>
        <w:t>British Food Journal</w:t>
      </w:r>
      <w:r>
        <w:t xml:space="preserve">, 123(9), pp. 3208–3227. Available at: </w:t>
      </w:r>
      <w:hyperlink r:id="rId27" w:tgtFrame="_new" w:history="1">
        <w:r>
          <w:rPr>
            <w:rStyle w:val="Hyperlink"/>
            <w:rFonts w:eastAsiaTheme="majorEastAsia"/>
          </w:rPr>
          <w:t>https://www.emerald.com/bfj/article/123/9/3208/47990/Minimising-plate-waste-at-hotel-breakfast-buffets</w:t>
        </w:r>
      </w:hyperlink>
      <w:r>
        <w:t xml:space="preserve"> (Accessed: 2 February 2026).</w:t>
      </w:r>
    </w:p>
    <w:p w14:paraId="3494F8DA" w14:textId="77777777" w:rsidR="008856C2" w:rsidRDefault="008856C2" w:rsidP="00791C1B">
      <w:pPr>
        <w:pStyle w:val="NormalWeb"/>
        <w:spacing w:line="360" w:lineRule="auto"/>
        <w:jc w:val="both"/>
      </w:pPr>
      <w:r>
        <w:t xml:space="preserve">Crocker, R., Sucheran, R. and Dorasamy, N. (2025) ‘A critical review of factors contributing to food waste in the food service industry’, </w:t>
      </w:r>
      <w:r>
        <w:rPr>
          <w:rStyle w:val="Emphasis"/>
          <w:rFonts w:eastAsiaTheme="majorEastAsia"/>
        </w:rPr>
        <w:t>African Journal of Hospitality, Tourism and Leisure</w:t>
      </w:r>
      <w:r>
        <w:t xml:space="preserve">, 14(3), pp. 537–543. Available at: </w:t>
      </w:r>
      <w:hyperlink r:id="rId28" w:tgtFrame="_new" w:history="1">
        <w:r>
          <w:rPr>
            <w:rStyle w:val="Hyperlink"/>
            <w:rFonts w:eastAsiaTheme="majorEastAsia"/>
          </w:rPr>
          <w:t>https://www.ajhtl.com/uploads/7/1/6/3/7163688/article_1_14_3_537-543.pdf</w:t>
        </w:r>
      </w:hyperlink>
      <w:r>
        <w:t xml:space="preserve"> (Accessed: 2 February 2026).</w:t>
      </w:r>
    </w:p>
    <w:p w14:paraId="521B8056" w14:textId="77777777" w:rsidR="008856C2" w:rsidRDefault="008856C2" w:rsidP="00791C1B">
      <w:pPr>
        <w:pStyle w:val="NormalWeb"/>
        <w:spacing w:line="360" w:lineRule="auto"/>
        <w:jc w:val="both"/>
      </w:pPr>
      <w:r>
        <w:lastRenderedPageBreak/>
        <w:t xml:space="preserve">Danzer, A.M. and Zeidler, H. (2025) </w:t>
      </w:r>
      <w:r>
        <w:rPr>
          <w:rStyle w:val="Emphasis"/>
          <w:rFonts w:eastAsiaTheme="majorEastAsia"/>
        </w:rPr>
        <w:t>Food waste and dynamic inconsistency: a behavioural economics perspective</w:t>
      </w:r>
      <w:r>
        <w:t xml:space="preserve">. Available at: </w:t>
      </w:r>
      <w:hyperlink r:id="rId29" w:tgtFrame="_new" w:history="1">
        <w:r>
          <w:rPr>
            <w:rStyle w:val="Hyperlink"/>
            <w:rFonts w:eastAsiaTheme="majorEastAsia"/>
          </w:rPr>
          <w:t>https://www.econstor.eu/bitstream/10419/316895/1/cesifo1_wp11781.pdf</w:t>
        </w:r>
      </w:hyperlink>
      <w:r>
        <w:t xml:space="preserve"> (Accessed: 2 February 2026).</w:t>
      </w:r>
    </w:p>
    <w:p w14:paraId="0417457A" w14:textId="77777777" w:rsidR="008856C2" w:rsidRDefault="008856C2" w:rsidP="00791C1B">
      <w:pPr>
        <w:pStyle w:val="NormalWeb"/>
        <w:spacing w:line="360" w:lineRule="auto"/>
        <w:jc w:val="both"/>
      </w:pPr>
      <w:r>
        <w:t xml:space="preserve">Dhir, A., Talwar, S., Kaur, P. and Malibari, A. (2020) ‘Food waste in hospitality and food services: a systematic literature review and framework development approach’, </w:t>
      </w:r>
      <w:r>
        <w:rPr>
          <w:rStyle w:val="Emphasis"/>
          <w:rFonts w:eastAsiaTheme="majorEastAsia"/>
        </w:rPr>
        <w:t>Journal of Cleaner Production</w:t>
      </w:r>
      <w:r>
        <w:t xml:space="preserve">, 270, 122861. Available at: </w:t>
      </w:r>
      <w:hyperlink r:id="rId30" w:tgtFrame="_new" w:history="1">
        <w:r>
          <w:rPr>
            <w:rStyle w:val="Hyperlink"/>
            <w:rFonts w:eastAsiaTheme="majorEastAsia"/>
          </w:rPr>
          <w:t>https://www.sciencedirect.com/science/article/pii/S0959652620329061</w:t>
        </w:r>
      </w:hyperlink>
      <w:r>
        <w:t xml:space="preserve"> (Accessed: 2 February 2026).</w:t>
      </w:r>
    </w:p>
    <w:p w14:paraId="0BD111D2" w14:textId="77777777" w:rsidR="008856C2" w:rsidRDefault="008856C2" w:rsidP="00791C1B">
      <w:pPr>
        <w:pStyle w:val="NormalWeb"/>
        <w:spacing w:line="360" w:lineRule="auto"/>
        <w:jc w:val="both"/>
      </w:pPr>
      <w:r>
        <w:t xml:space="preserve">Filimonau, V., Todorova, E., Mzembe, A., Sauer, L. and Yankholmes, A. (2020) ‘A comparative study of food waste management in full-service restaurants of the United Kingdom and the Netherlands’, </w:t>
      </w:r>
      <w:r>
        <w:rPr>
          <w:rStyle w:val="Emphasis"/>
          <w:rFonts w:eastAsiaTheme="majorEastAsia"/>
        </w:rPr>
        <w:t>Journal of Cleaner Production</w:t>
      </w:r>
      <w:r>
        <w:t>, 258, 120775.</w:t>
      </w:r>
    </w:p>
    <w:p w14:paraId="6EA5571D" w14:textId="77777777" w:rsidR="008856C2" w:rsidRDefault="008856C2" w:rsidP="00791C1B">
      <w:pPr>
        <w:pStyle w:val="NormalWeb"/>
        <w:spacing w:line="360" w:lineRule="auto"/>
        <w:jc w:val="both"/>
      </w:pPr>
      <w:r>
        <w:t xml:space="preserve">Filimonau, V., Sezerel, H., Ashton, M., Kubal-Czerwińska, M., Bhaskara, G.I. and Ermolaev, V.A. (2024) ‘How chefs develop the practice to manage food waste in professional kitchens’, </w:t>
      </w:r>
      <w:r>
        <w:rPr>
          <w:rStyle w:val="Emphasis"/>
          <w:rFonts w:eastAsiaTheme="majorEastAsia"/>
        </w:rPr>
        <w:t>International Journal of Hospitality Management</w:t>
      </w:r>
      <w:r>
        <w:t xml:space="preserve">, 119, 103712. Available at: </w:t>
      </w:r>
      <w:hyperlink r:id="rId31" w:tgtFrame="_new" w:history="1">
        <w:r>
          <w:rPr>
            <w:rStyle w:val="Hyperlink"/>
            <w:rFonts w:eastAsiaTheme="majorEastAsia"/>
          </w:rPr>
          <w:t>https://www.sciencedirect.com/science/article/pii/S0278431924000240</w:t>
        </w:r>
      </w:hyperlink>
      <w:r>
        <w:t xml:space="preserve"> (Accessed: 28 February 2024).</w:t>
      </w:r>
    </w:p>
    <w:p w14:paraId="580BEBB8" w14:textId="77777777" w:rsidR="008856C2" w:rsidRDefault="008856C2" w:rsidP="00791C1B">
      <w:pPr>
        <w:pStyle w:val="NormalWeb"/>
        <w:spacing w:line="360" w:lineRule="auto"/>
        <w:jc w:val="both"/>
      </w:pPr>
      <w:r>
        <w:t xml:space="preserve">Food and Agriculture Organization of the United Nations (FAO) (2019) </w:t>
      </w:r>
      <w:r>
        <w:rPr>
          <w:rStyle w:val="Emphasis"/>
          <w:rFonts w:eastAsiaTheme="majorEastAsia"/>
        </w:rPr>
        <w:t>Guidelines on the prevention of food waste at hotels, restaurants and other public consumption points</w:t>
      </w:r>
      <w:r>
        <w:t xml:space="preserve">. Available at: </w:t>
      </w:r>
      <w:hyperlink r:id="rId32" w:tgtFrame="_new" w:history="1">
        <w:r>
          <w:rPr>
            <w:rStyle w:val="Hyperlink"/>
            <w:rFonts w:eastAsiaTheme="majorEastAsia"/>
          </w:rPr>
          <w:t>https://openknowledge.fao.org/server/api/core/bitstreams/7068d8a5-1430-41ea-b9fc-63004075150d/content</w:t>
        </w:r>
      </w:hyperlink>
      <w:r>
        <w:t xml:space="preserve"> (Accessed: 1 February 2026).</w:t>
      </w:r>
    </w:p>
    <w:p w14:paraId="5C5ED92B" w14:textId="77777777" w:rsidR="008856C2" w:rsidRDefault="008856C2" w:rsidP="00791C1B">
      <w:pPr>
        <w:pStyle w:val="NormalWeb"/>
        <w:spacing w:line="360" w:lineRule="auto"/>
        <w:jc w:val="both"/>
      </w:pPr>
      <w:r>
        <w:t xml:space="preserve">FoodSight Team (2025) </w:t>
      </w:r>
      <w:r>
        <w:rPr>
          <w:rStyle w:val="Emphasis"/>
          <w:rFonts w:eastAsiaTheme="majorEastAsia"/>
        </w:rPr>
        <w:t>Reducing buffet waste in hotels: a complete guide</w:t>
      </w:r>
      <w:r>
        <w:t xml:space="preserve">. Available at: </w:t>
      </w:r>
      <w:hyperlink r:id="rId33" w:tgtFrame="_new" w:history="1">
        <w:r>
          <w:rPr>
            <w:rStyle w:val="Hyperlink"/>
            <w:rFonts w:eastAsiaTheme="majorEastAsia"/>
          </w:rPr>
          <w:t>https://www.foodsight.com/en-US/blog/hotel-buffet-waste-reduction</w:t>
        </w:r>
      </w:hyperlink>
      <w:r>
        <w:t xml:space="preserve"> (Accessed: 1 February 2026).</w:t>
      </w:r>
    </w:p>
    <w:p w14:paraId="3DBE32F8" w14:textId="77777777" w:rsidR="008856C2" w:rsidRDefault="008856C2" w:rsidP="00791C1B">
      <w:pPr>
        <w:pStyle w:val="NormalWeb"/>
        <w:spacing w:line="360" w:lineRule="auto"/>
        <w:jc w:val="both"/>
      </w:pPr>
      <w:r>
        <w:t xml:space="preserve">Gładysz, B., Buczacki, A. and Haskins, C. (2020) ‘Lean management approach to reduce waste in HoReCa food services’, </w:t>
      </w:r>
      <w:r>
        <w:rPr>
          <w:rStyle w:val="Emphasis"/>
          <w:rFonts w:eastAsiaTheme="majorEastAsia"/>
        </w:rPr>
        <w:t>Resources</w:t>
      </w:r>
      <w:r>
        <w:t xml:space="preserve">, 9(12), 144. Available at: </w:t>
      </w:r>
      <w:hyperlink r:id="rId34" w:tgtFrame="_new" w:history="1">
        <w:r>
          <w:rPr>
            <w:rStyle w:val="Hyperlink"/>
            <w:rFonts w:eastAsiaTheme="majorEastAsia"/>
          </w:rPr>
          <w:t>https://www.mdpi.com/2079-9276/9/12/144</w:t>
        </w:r>
      </w:hyperlink>
      <w:r>
        <w:t xml:space="preserve"> (Accessed: 2 February 2026).</w:t>
      </w:r>
    </w:p>
    <w:p w14:paraId="44B62098" w14:textId="77777777" w:rsidR="008856C2" w:rsidRDefault="008856C2" w:rsidP="00791C1B">
      <w:pPr>
        <w:pStyle w:val="NormalWeb"/>
        <w:spacing w:line="360" w:lineRule="auto"/>
        <w:jc w:val="both"/>
      </w:pPr>
      <w:r>
        <w:t xml:space="preserve">Hassan, H.F., Ghandour, L.A., Chalak, A., Aoun, P., Reynolds, C.J. and Abiad, M.G. (2022) ‘The influence of religion and religiosity on food waste generation among restaurant clienteles’, </w:t>
      </w:r>
      <w:r>
        <w:rPr>
          <w:rStyle w:val="Emphasis"/>
          <w:rFonts w:eastAsiaTheme="majorEastAsia"/>
        </w:rPr>
        <w:lastRenderedPageBreak/>
        <w:t>Frontiers in Sustainable Food Systems</w:t>
      </w:r>
      <w:r>
        <w:t xml:space="preserve">, 6. Available at: </w:t>
      </w:r>
      <w:hyperlink r:id="rId35" w:tgtFrame="_new" w:history="1">
        <w:r>
          <w:rPr>
            <w:rStyle w:val="Hyperlink"/>
            <w:rFonts w:eastAsiaTheme="majorEastAsia"/>
          </w:rPr>
          <w:t>https://www.frontiersin.org/articles/10.3389/fsufs.2022.1010262/full</w:t>
        </w:r>
      </w:hyperlink>
      <w:r>
        <w:t xml:space="preserve"> (Accessed: 2 February 2026).</w:t>
      </w:r>
    </w:p>
    <w:p w14:paraId="1A0D5285" w14:textId="77777777" w:rsidR="008856C2" w:rsidRDefault="008856C2" w:rsidP="00791C1B">
      <w:pPr>
        <w:pStyle w:val="NormalWeb"/>
        <w:spacing w:line="360" w:lineRule="auto"/>
        <w:jc w:val="both"/>
      </w:pPr>
      <w:r>
        <w:t xml:space="preserve">Juvan, E., Grün, B. and Dolnicar, S. (2017) ‘Biting off more than they can chew: food waste at hotel breakfast buffets’, </w:t>
      </w:r>
      <w:r>
        <w:rPr>
          <w:rStyle w:val="Emphasis"/>
          <w:rFonts w:eastAsiaTheme="majorEastAsia"/>
        </w:rPr>
        <w:t>Journal of Travel Research</w:t>
      </w:r>
      <w:r>
        <w:t>, 57(2), pp. 232–242. Available at: https://journals.sagepub.com/doi/10.1177/0047287516688321 (Accessed: 1 February 2026).</w:t>
      </w:r>
    </w:p>
    <w:p w14:paraId="0C236FFE" w14:textId="77777777" w:rsidR="008856C2" w:rsidRDefault="008856C2" w:rsidP="00791C1B">
      <w:pPr>
        <w:pStyle w:val="NormalWeb"/>
        <w:spacing w:line="360" w:lineRule="auto"/>
        <w:jc w:val="both"/>
      </w:pPr>
      <w:r>
        <w:t xml:space="preserve">Kartinawati, A., Risyahadi, S.T. and Bashar, F.M. (2022) ‘Waste reducing efforts in the kitchen area of the hotel industry using lean management’, </w:t>
      </w:r>
      <w:r>
        <w:rPr>
          <w:rStyle w:val="Emphasis"/>
          <w:rFonts w:eastAsiaTheme="majorEastAsia"/>
        </w:rPr>
        <w:t>E3S Web of Conferences</w:t>
      </w:r>
      <w:r>
        <w:t xml:space="preserve">, 348, 00007. Available at: </w:t>
      </w:r>
      <w:hyperlink r:id="rId36" w:tgtFrame="_new" w:history="1">
        <w:r>
          <w:rPr>
            <w:rStyle w:val="Hyperlink"/>
            <w:rFonts w:eastAsiaTheme="majorEastAsia"/>
          </w:rPr>
          <w:t>https://www.e3s-conferences.org/articles/e3sconf/pdf/2022/15/e3sconf_icas2021_00007.pdf</w:t>
        </w:r>
      </w:hyperlink>
      <w:r>
        <w:t xml:space="preserve"> (Accessed: 1 February 2026).</w:t>
      </w:r>
    </w:p>
    <w:p w14:paraId="468C152D" w14:textId="77777777" w:rsidR="008856C2" w:rsidRDefault="008856C2" w:rsidP="00791C1B">
      <w:pPr>
        <w:pStyle w:val="NormalWeb"/>
        <w:spacing w:line="360" w:lineRule="auto"/>
        <w:jc w:val="both"/>
      </w:pPr>
      <w:r>
        <w:t xml:space="preserve">Karvounidi, M., Alexandropoulou, A. and Fousteris, A.E. (2024) ‘Sustainable food waste management in the hospitality industry: innovations and best practices’, </w:t>
      </w:r>
      <w:r>
        <w:rPr>
          <w:rStyle w:val="Emphasis"/>
          <w:rFonts w:eastAsiaTheme="majorEastAsia"/>
        </w:rPr>
        <w:t>IOSR Journal of Environmental Science, Toxicology and Food Technology</w:t>
      </w:r>
      <w:r>
        <w:t xml:space="preserve">, 18(6), pp. 26–34. Available at: </w:t>
      </w:r>
      <w:hyperlink r:id="rId37" w:tgtFrame="_new" w:history="1">
        <w:r>
          <w:rPr>
            <w:rStyle w:val="Hyperlink"/>
            <w:rFonts w:eastAsiaTheme="majorEastAsia"/>
          </w:rPr>
          <w:t>https://www.researchgate.net/publication/387090179</w:t>
        </w:r>
      </w:hyperlink>
      <w:r>
        <w:t xml:space="preserve"> (Accessed: 1 February 2026).</w:t>
      </w:r>
    </w:p>
    <w:p w14:paraId="07153824" w14:textId="77777777" w:rsidR="008856C2" w:rsidRDefault="008856C2" w:rsidP="00791C1B">
      <w:pPr>
        <w:pStyle w:val="NormalWeb"/>
        <w:spacing w:line="360" w:lineRule="auto"/>
        <w:jc w:val="both"/>
      </w:pPr>
      <w:r>
        <w:t xml:space="preserve">Kattiyapornpong, U., Ditta-Apichai, M. and Chuntamara, C. (2023) ‘Sustainable food waste management practices: perspectives from five-star hotels in Thailand’, </w:t>
      </w:r>
      <w:r>
        <w:rPr>
          <w:rStyle w:val="Emphasis"/>
          <w:rFonts w:eastAsiaTheme="majorEastAsia"/>
        </w:rPr>
        <w:t>Sustainability</w:t>
      </w:r>
      <w:r>
        <w:t xml:space="preserve">, 15(13), 10213. Available at: </w:t>
      </w:r>
      <w:hyperlink r:id="rId38" w:tgtFrame="_new" w:history="1">
        <w:r>
          <w:rPr>
            <w:rStyle w:val="Hyperlink"/>
            <w:rFonts w:eastAsiaTheme="majorEastAsia"/>
          </w:rPr>
          <w:t>https://www.mdpi.com/2071-1050/15/13/10213</w:t>
        </w:r>
      </w:hyperlink>
      <w:r>
        <w:t xml:space="preserve"> (Accessed: 2 February 2026).</w:t>
      </w:r>
    </w:p>
    <w:p w14:paraId="541779EB" w14:textId="77777777" w:rsidR="008856C2" w:rsidRDefault="008856C2" w:rsidP="00791C1B">
      <w:pPr>
        <w:pStyle w:val="NormalWeb"/>
        <w:spacing w:line="360" w:lineRule="auto"/>
        <w:jc w:val="both"/>
      </w:pPr>
      <w:r>
        <w:t xml:space="preserve">Lee, H.-H. and Huang, P.-Y. (2023) ‘Food waste and environmental sustainability of the hotel industry in Taiwan’, </w:t>
      </w:r>
      <w:r>
        <w:rPr>
          <w:rStyle w:val="Emphasis"/>
          <w:rFonts w:eastAsiaTheme="majorEastAsia"/>
        </w:rPr>
        <w:t>Sustainability</w:t>
      </w:r>
      <w:r>
        <w:t xml:space="preserve">, 15(21), 15459. Available at: </w:t>
      </w:r>
      <w:hyperlink r:id="rId39" w:tgtFrame="_new" w:history="1">
        <w:r>
          <w:rPr>
            <w:rStyle w:val="Hyperlink"/>
            <w:rFonts w:eastAsiaTheme="majorEastAsia"/>
          </w:rPr>
          <w:t>https://www.mdpi.com/2071-1050/15/21/15459</w:t>
        </w:r>
      </w:hyperlink>
      <w:r>
        <w:t xml:space="preserve"> (Accessed: 1 February 2026).</w:t>
      </w:r>
    </w:p>
    <w:p w14:paraId="23AD1918" w14:textId="77777777" w:rsidR="008856C2" w:rsidRDefault="008856C2" w:rsidP="00791C1B">
      <w:pPr>
        <w:pStyle w:val="NormalWeb"/>
        <w:spacing w:line="360" w:lineRule="auto"/>
        <w:jc w:val="both"/>
      </w:pPr>
      <w:r>
        <w:t xml:space="preserve">Májková, N., Večeřová, M. and Provazník Ryglová, K. (2025) ‘Food waste in the hospitality and hotel industry’, </w:t>
      </w:r>
      <w:r>
        <w:rPr>
          <w:rStyle w:val="Emphasis"/>
          <w:rFonts w:eastAsiaTheme="majorEastAsia"/>
        </w:rPr>
        <w:t>Wrocław University of Economics Review</w:t>
      </w:r>
      <w:r>
        <w:t xml:space="preserve">, 69(4). Available at: </w:t>
      </w:r>
      <w:hyperlink r:id="rId40" w:tgtFrame="_new" w:history="1">
        <w:r>
          <w:rPr>
            <w:rStyle w:val="Hyperlink"/>
            <w:rFonts w:eastAsiaTheme="majorEastAsia"/>
          </w:rPr>
          <w:t>https://dbc.wroc.pl/dlibra/publication/181708/edition/142822/content</w:t>
        </w:r>
      </w:hyperlink>
      <w:r>
        <w:t xml:space="preserve"> (Accessed: 31 January 2026).</w:t>
      </w:r>
    </w:p>
    <w:p w14:paraId="42A876B3" w14:textId="77777777" w:rsidR="008856C2" w:rsidRDefault="008856C2" w:rsidP="00791C1B">
      <w:pPr>
        <w:pStyle w:val="NormalWeb"/>
        <w:spacing w:line="360" w:lineRule="auto"/>
        <w:jc w:val="both"/>
      </w:pPr>
      <w:r>
        <w:t xml:space="preserve">Moliner, J., López-Gamero, M.D., Font, X., Molina-Azorín, J.F., Tarí, J.J. and Pertusa-Ortega, E.M. (2021) ‘Sustainability, competitive advantages and performance in the hotel industry: a </w:t>
      </w:r>
      <w:r>
        <w:lastRenderedPageBreak/>
        <w:t xml:space="preserve">synergistic relationship’, </w:t>
      </w:r>
      <w:r>
        <w:rPr>
          <w:rStyle w:val="Emphasis"/>
          <w:rFonts w:eastAsiaTheme="majorEastAsia"/>
        </w:rPr>
        <w:t>Journal of Tourism and Services</w:t>
      </w:r>
      <w:r>
        <w:t xml:space="preserve">, 12(23), pp. 132–149. Available at: </w:t>
      </w:r>
      <w:hyperlink r:id="rId41" w:tgtFrame="_new" w:history="1">
        <w:r>
          <w:rPr>
            <w:rStyle w:val="Hyperlink"/>
            <w:rFonts w:eastAsiaTheme="majorEastAsia"/>
          </w:rPr>
          <w:t>https://www.researchgate.net/publication/357258936</w:t>
        </w:r>
      </w:hyperlink>
      <w:r>
        <w:t xml:space="preserve"> (Accessed: 2 February 2026).</w:t>
      </w:r>
    </w:p>
    <w:p w14:paraId="53DE87B8" w14:textId="77777777" w:rsidR="008856C2" w:rsidRDefault="008856C2" w:rsidP="00791C1B">
      <w:pPr>
        <w:pStyle w:val="NormalWeb"/>
        <w:spacing w:line="360" w:lineRule="auto"/>
        <w:jc w:val="both"/>
      </w:pPr>
      <w:r>
        <w:t xml:space="preserve">Nand, A.A., Bhattacharya, A., Prajogo, D., Sohal, A. and de Vass, T. (2025) ‘Understanding food waste in the hospitality industry: a social practice theory approach’, </w:t>
      </w:r>
      <w:r>
        <w:rPr>
          <w:rStyle w:val="Emphasis"/>
          <w:rFonts w:eastAsiaTheme="majorEastAsia"/>
        </w:rPr>
        <w:t>International Journal of Hospitality Management</w:t>
      </w:r>
      <w:r>
        <w:t xml:space="preserve">, 130, 104232. Available at: </w:t>
      </w:r>
      <w:hyperlink r:id="rId42" w:tgtFrame="_new" w:history="1">
        <w:r>
          <w:rPr>
            <w:rStyle w:val="Hyperlink"/>
            <w:rFonts w:eastAsiaTheme="majorEastAsia"/>
          </w:rPr>
          <w:t>https://www.sciencedirect.com/science/article/pii/S0278431925001550</w:t>
        </w:r>
      </w:hyperlink>
      <w:r>
        <w:t xml:space="preserve"> (Accessed: 2 February 2026).</w:t>
      </w:r>
    </w:p>
    <w:p w14:paraId="1B097DC1" w14:textId="77777777" w:rsidR="008856C2" w:rsidRDefault="008856C2" w:rsidP="00791C1B">
      <w:pPr>
        <w:pStyle w:val="NormalWeb"/>
        <w:spacing w:line="360" w:lineRule="auto"/>
        <w:jc w:val="both"/>
      </w:pPr>
      <w:r>
        <w:t xml:space="preserve">Puga-Gonzalez, I. et al. (2025) ‘To eat or not to eat: modelling food waste behaviour at a hotel breakfast buffet’, </w:t>
      </w:r>
      <w:r>
        <w:rPr>
          <w:rStyle w:val="Emphasis"/>
          <w:rFonts w:eastAsiaTheme="majorEastAsia"/>
        </w:rPr>
        <w:t>Cleaner and Responsible Consumption</w:t>
      </w:r>
      <w:r>
        <w:t xml:space="preserve">, 19, 100333. Available at: </w:t>
      </w:r>
      <w:hyperlink r:id="rId43" w:tgtFrame="_new" w:history="1">
        <w:r>
          <w:rPr>
            <w:rStyle w:val="Hyperlink"/>
            <w:rFonts w:eastAsiaTheme="majorEastAsia"/>
          </w:rPr>
          <w:t>https://www.sciencedirect.com/science/article/pii/S2666784325000841</w:t>
        </w:r>
      </w:hyperlink>
      <w:r>
        <w:t xml:space="preserve"> (Accessed: 31 January 2026).</w:t>
      </w:r>
    </w:p>
    <w:p w14:paraId="562A1BC5" w14:textId="77777777" w:rsidR="008856C2" w:rsidRDefault="008856C2" w:rsidP="00791C1B">
      <w:pPr>
        <w:pStyle w:val="NormalWeb"/>
        <w:spacing w:line="360" w:lineRule="auto"/>
        <w:jc w:val="both"/>
      </w:pPr>
      <w:r>
        <w:t xml:space="preserve">Rady, A., Dawood, A.E.-B., Taleb, M.A. and Adel, M. (2021) ‘Food waste in hotel restaurants: causes, reducing practices and barriers’, </w:t>
      </w:r>
      <w:r>
        <w:rPr>
          <w:rStyle w:val="Emphasis"/>
          <w:rFonts w:eastAsiaTheme="majorEastAsia"/>
        </w:rPr>
        <w:t>Minia Journal of Tourism and Hospitality Research</w:t>
      </w:r>
      <w:r>
        <w:t xml:space="preserve">, 12(1), pp. 135–155. </w:t>
      </w:r>
      <w:hyperlink r:id="rId44" w:tgtFrame="_new" w:history="1">
        <w:r>
          <w:rPr>
            <w:rStyle w:val="Hyperlink"/>
            <w:rFonts w:eastAsiaTheme="majorEastAsia"/>
          </w:rPr>
          <w:t>https://doi.org/10.21608/mjthr.2021.106361.1018</w:t>
        </w:r>
      </w:hyperlink>
    </w:p>
    <w:p w14:paraId="2878396C" w14:textId="77777777" w:rsidR="008856C2" w:rsidRDefault="008856C2" w:rsidP="00791C1B">
      <w:pPr>
        <w:pStyle w:val="NormalWeb"/>
        <w:spacing w:line="360" w:lineRule="auto"/>
        <w:jc w:val="both"/>
      </w:pPr>
      <w:r>
        <w:t xml:space="preserve">Szallabek, T. (2024) </w:t>
      </w:r>
      <w:r>
        <w:rPr>
          <w:rStyle w:val="Emphasis"/>
          <w:rFonts w:eastAsiaTheme="majorEastAsia"/>
        </w:rPr>
        <w:t>Plate waste reducing methods in hotel breakfast buffets</w:t>
      </w:r>
      <w:r>
        <w:t xml:space="preserve">. Available at: </w:t>
      </w:r>
      <w:hyperlink r:id="rId45" w:tgtFrame="_new" w:history="1">
        <w:r>
          <w:rPr>
            <w:rStyle w:val="Hyperlink"/>
            <w:rFonts w:eastAsiaTheme="majorEastAsia"/>
          </w:rPr>
          <w:t>https://wastelesseu.com/plate-waste-reducing-methods-in-hotel-breakfast-buffets/</w:t>
        </w:r>
      </w:hyperlink>
      <w:r>
        <w:t xml:space="preserve"> (Accessed: 1 February 2026).</w:t>
      </w:r>
    </w:p>
    <w:p w14:paraId="273FAA72" w14:textId="77777777" w:rsidR="008856C2" w:rsidRDefault="008856C2" w:rsidP="00791C1B">
      <w:pPr>
        <w:pStyle w:val="NormalWeb"/>
        <w:spacing w:line="360" w:lineRule="auto"/>
        <w:jc w:val="both"/>
      </w:pPr>
      <w:r>
        <w:t xml:space="preserve">Wood, J. (2025) </w:t>
      </w:r>
      <w:r>
        <w:rPr>
          <w:rStyle w:val="Emphasis"/>
          <w:rFonts w:eastAsiaTheme="majorEastAsia"/>
        </w:rPr>
        <w:t>Buffet management: how hotels can use psychology to save on food waste</w:t>
      </w:r>
      <w:r>
        <w:t xml:space="preserve">. Available at: </w:t>
      </w:r>
      <w:hyperlink r:id="rId46" w:tgtFrame="_new" w:history="1">
        <w:r>
          <w:rPr>
            <w:rStyle w:val="Hyperlink"/>
            <w:rFonts w:eastAsiaTheme="majorEastAsia"/>
          </w:rPr>
          <w:t>https://kitchencut.com/buffet-management-how-hotels-can-use-psychology-to-save-on-food-waste/</w:t>
        </w:r>
      </w:hyperlink>
      <w:r>
        <w:t xml:space="preserve"> (Accessed: 1 February 2026).</w:t>
      </w:r>
    </w:p>
    <w:p w14:paraId="507A9275" w14:textId="77777777" w:rsidR="008856C2" w:rsidRDefault="008856C2" w:rsidP="00791C1B">
      <w:pPr>
        <w:pStyle w:val="NormalWeb"/>
        <w:spacing w:line="360" w:lineRule="auto"/>
        <w:jc w:val="both"/>
      </w:pPr>
      <w:r>
        <w:t xml:space="preserve">WRAP (2025) </w:t>
      </w:r>
      <w:r>
        <w:rPr>
          <w:rStyle w:val="Emphasis"/>
          <w:rFonts w:eastAsiaTheme="majorEastAsia"/>
        </w:rPr>
        <w:t>UK food waste and food surplus: key facts</w:t>
      </w:r>
      <w:r>
        <w:t xml:space="preserve">. Available at: </w:t>
      </w:r>
      <w:hyperlink r:id="rId47" w:tgtFrame="_new" w:history="1">
        <w:r>
          <w:rPr>
            <w:rStyle w:val="Hyperlink"/>
            <w:rFonts w:eastAsiaTheme="majorEastAsia"/>
          </w:rPr>
          <w:t>https://www.wrap.ngo/resources/report/uk-food-waste-food-surplus-key-facts</w:t>
        </w:r>
      </w:hyperlink>
      <w:r>
        <w:t xml:space="preserve"> (Accessed: 1 February 2026).</w:t>
      </w:r>
    </w:p>
    <w:p w14:paraId="09517171" w14:textId="77777777" w:rsidR="008856C2" w:rsidRDefault="008856C2" w:rsidP="00791C1B">
      <w:pPr>
        <w:pStyle w:val="NormalWeb"/>
        <w:spacing w:line="360" w:lineRule="auto"/>
        <w:jc w:val="both"/>
      </w:pPr>
      <w:r>
        <w:t xml:space="preserve">Wu, C.-M.E. and Teng, C.-C. (2022) ‘Reducing food waste in buffet restaurants: a corporate management approach’, </w:t>
      </w:r>
      <w:r>
        <w:rPr>
          <w:rStyle w:val="Emphasis"/>
          <w:rFonts w:eastAsiaTheme="majorEastAsia"/>
        </w:rPr>
        <w:t>Foods</w:t>
      </w:r>
      <w:r>
        <w:t xml:space="preserve">, 12(1), 162. Available at: </w:t>
      </w:r>
      <w:hyperlink r:id="rId48" w:tgtFrame="_new" w:history="1">
        <w:r>
          <w:rPr>
            <w:rStyle w:val="Hyperlink"/>
            <w:rFonts w:eastAsiaTheme="majorEastAsia"/>
          </w:rPr>
          <w:t>https://www.ncbi.nlm.nih.gov/pmc/articles/PMC9818679/</w:t>
        </w:r>
      </w:hyperlink>
      <w:r>
        <w:t xml:space="preserve"> (Accessed: 1 February 2026).</w:t>
      </w:r>
    </w:p>
    <w:p w14:paraId="3CB8B108" w14:textId="77777777" w:rsidR="008856C2" w:rsidRPr="00A946D5" w:rsidRDefault="008856C2" w:rsidP="00791C1B">
      <w:pPr>
        <w:spacing w:line="360" w:lineRule="auto"/>
        <w:jc w:val="both"/>
        <w:rPr>
          <w:rFonts w:ascii="Times New Roman" w:hAnsi="Times New Roman" w:cs="Times New Roman"/>
          <w:b/>
          <w:bCs/>
          <w:sz w:val="32"/>
          <w:szCs w:val="32"/>
        </w:rPr>
      </w:pPr>
    </w:p>
    <w:p w14:paraId="6CB07406" w14:textId="6E36671B" w:rsidR="00D521AF" w:rsidRPr="00384169" w:rsidRDefault="00D521AF" w:rsidP="00384169">
      <w:pPr>
        <w:spacing w:line="360" w:lineRule="auto"/>
        <w:jc w:val="both"/>
        <w:rPr>
          <w:rFonts w:ascii="Times New Roman" w:hAnsi="Times New Roman" w:cs="Times New Roman"/>
          <w:sz w:val="24"/>
          <w:szCs w:val="24"/>
        </w:rPr>
      </w:pPr>
    </w:p>
    <w:sectPr w:rsidR="00D521AF" w:rsidRPr="00384169">
      <w:footerReference w:type="default" r:id="rId4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23EA3" w14:textId="77777777" w:rsidR="00DD6F33" w:rsidRPr="00A946D5" w:rsidRDefault="00DD6F33" w:rsidP="00FB60B8">
      <w:pPr>
        <w:spacing w:after="0" w:line="240" w:lineRule="auto"/>
      </w:pPr>
      <w:r w:rsidRPr="00A946D5">
        <w:separator/>
      </w:r>
    </w:p>
  </w:endnote>
  <w:endnote w:type="continuationSeparator" w:id="0">
    <w:p w14:paraId="35BC42A7" w14:textId="77777777" w:rsidR="00DD6F33" w:rsidRPr="00A946D5" w:rsidRDefault="00DD6F33" w:rsidP="00FB60B8">
      <w:pPr>
        <w:spacing w:after="0" w:line="240" w:lineRule="auto"/>
      </w:pPr>
      <w:r w:rsidRPr="00A946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1974088"/>
      <w:docPartObj>
        <w:docPartGallery w:val="Page Numbers (Bottom of Page)"/>
        <w:docPartUnique/>
      </w:docPartObj>
    </w:sdtPr>
    <w:sdtContent>
      <w:p w14:paraId="2DA205C0" w14:textId="73E5CD63" w:rsidR="008856C2" w:rsidRPr="00A946D5" w:rsidRDefault="008856C2">
        <w:pPr>
          <w:pStyle w:val="Footer"/>
          <w:jc w:val="right"/>
        </w:pPr>
        <w:r w:rsidRPr="00A946D5">
          <w:fldChar w:fldCharType="begin"/>
        </w:r>
        <w:r w:rsidRPr="00A946D5">
          <w:instrText>PAGE   \* MERGEFORMAT</w:instrText>
        </w:r>
        <w:r w:rsidRPr="00A946D5">
          <w:fldChar w:fldCharType="separate"/>
        </w:r>
        <w:r w:rsidR="00791C1B">
          <w:rPr>
            <w:noProof/>
          </w:rPr>
          <w:t>14</w:t>
        </w:r>
        <w:r w:rsidRPr="00A946D5">
          <w:fldChar w:fldCharType="end"/>
        </w:r>
      </w:p>
    </w:sdtContent>
  </w:sdt>
  <w:p w14:paraId="7C767A4A" w14:textId="77777777" w:rsidR="008856C2" w:rsidRPr="00A946D5" w:rsidRDefault="00885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695D4" w14:textId="77777777" w:rsidR="00DD6F33" w:rsidRPr="00A946D5" w:rsidRDefault="00DD6F33" w:rsidP="00FB60B8">
      <w:pPr>
        <w:spacing w:after="0" w:line="240" w:lineRule="auto"/>
      </w:pPr>
      <w:r w:rsidRPr="00A946D5">
        <w:separator/>
      </w:r>
    </w:p>
  </w:footnote>
  <w:footnote w:type="continuationSeparator" w:id="0">
    <w:p w14:paraId="6EBD6798" w14:textId="77777777" w:rsidR="00DD6F33" w:rsidRPr="00A946D5" w:rsidRDefault="00DD6F33" w:rsidP="00FB60B8">
      <w:pPr>
        <w:spacing w:after="0" w:line="240" w:lineRule="auto"/>
      </w:pPr>
      <w:r w:rsidRPr="00A946D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911802"/>
    <w:multiLevelType w:val="multilevel"/>
    <w:tmpl w:val="57166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318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61D"/>
    <w:rsid w:val="000476CE"/>
    <w:rsid w:val="000669A0"/>
    <w:rsid w:val="000A2828"/>
    <w:rsid w:val="000D61D0"/>
    <w:rsid w:val="0010323C"/>
    <w:rsid w:val="00116090"/>
    <w:rsid w:val="0013175D"/>
    <w:rsid w:val="0015568B"/>
    <w:rsid w:val="001575C1"/>
    <w:rsid w:val="0019473C"/>
    <w:rsid w:val="001C0460"/>
    <w:rsid w:val="001C37BB"/>
    <w:rsid w:val="001C3AF9"/>
    <w:rsid w:val="001D0B93"/>
    <w:rsid w:val="00252A7C"/>
    <w:rsid w:val="002746FB"/>
    <w:rsid w:val="00294AC2"/>
    <w:rsid w:val="0029678E"/>
    <w:rsid w:val="002B186D"/>
    <w:rsid w:val="002C0EE6"/>
    <w:rsid w:val="002C6D8A"/>
    <w:rsid w:val="002F61A0"/>
    <w:rsid w:val="003168B0"/>
    <w:rsid w:val="00327220"/>
    <w:rsid w:val="003818EE"/>
    <w:rsid w:val="00384169"/>
    <w:rsid w:val="003C39F6"/>
    <w:rsid w:val="003F4E30"/>
    <w:rsid w:val="00443246"/>
    <w:rsid w:val="004524B9"/>
    <w:rsid w:val="00480E9F"/>
    <w:rsid w:val="004837E3"/>
    <w:rsid w:val="004963D5"/>
    <w:rsid w:val="004A337F"/>
    <w:rsid w:val="004B1948"/>
    <w:rsid w:val="004B2196"/>
    <w:rsid w:val="004E6C8D"/>
    <w:rsid w:val="0051265E"/>
    <w:rsid w:val="005315C6"/>
    <w:rsid w:val="0053562F"/>
    <w:rsid w:val="00575392"/>
    <w:rsid w:val="00580AE1"/>
    <w:rsid w:val="005827E0"/>
    <w:rsid w:val="00590D78"/>
    <w:rsid w:val="005E764C"/>
    <w:rsid w:val="00614E1F"/>
    <w:rsid w:val="00646EF7"/>
    <w:rsid w:val="00650DAC"/>
    <w:rsid w:val="00663885"/>
    <w:rsid w:val="00664598"/>
    <w:rsid w:val="00671C32"/>
    <w:rsid w:val="006939F6"/>
    <w:rsid w:val="006C54D7"/>
    <w:rsid w:val="00715954"/>
    <w:rsid w:val="00724D46"/>
    <w:rsid w:val="00751A41"/>
    <w:rsid w:val="00763F12"/>
    <w:rsid w:val="00770CB2"/>
    <w:rsid w:val="00777416"/>
    <w:rsid w:val="00784559"/>
    <w:rsid w:val="00791C1B"/>
    <w:rsid w:val="007B2C84"/>
    <w:rsid w:val="007D05DF"/>
    <w:rsid w:val="00811590"/>
    <w:rsid w:val="008125B0"/>
    <w:rsid w:val="00843522"/>
    <w:rsid w:val="00856B64"/>
    <w:rsid w:val="00863896"/>
    <w:rsid w:val="008856C2"/>
    <w:rsid w:val="008A7C0D"/>
    <w:rsid w:val="008D1EAF"/>
    <w:rsid w:val="008F17A4"/>
    <w:rsid w:val="00911367"/>
    <w:rsid w:val="0091283E"/>
    <w:rsid w:val="009332CA"/>
    <w:rsid w:val="00945AB6"/>
    <w:rsid w:val="00991B3B"/>
    <w:rsid w:val="009B1A14"/>
    <w:rsid w:val="009B7876"/>
    <w:rsid w:val="009D5C82"/>
    <w:rsid w:val="009E2C95"/>
    <w:rsid w:val="00A06572"/>
    <w:rsid w:val="00A56D0B"/>
    <w:rsid w:val="00A61EE7"/>
    <w:rsid w:val="00A72EC3"/>
    <w:rsid w:val="00A83A41"/>
    <w:rsid w:val="00A946D5"/>
    <w:rsid w:val="00AA1C98"/>
    <w:rsid w:val="00AB59B8"/>
    <w:rsid w:val="00AE3E18"/>
    <w:rsid w:val="00B01B41"/>
    <w:rsid w:val="00B51AC5"/>
    <w:rsid w:val="00B54D86"/>
    <w:rsid w:val="00B80E5C"/>
    <w:rsid w:val="00BE7344"/>
    <w:rsid w:val="00BF0CAB"/>
    <w:rsid w:val="00C0411B"/>
    <w:rsid w:val="00C069D7"/>
    <w:rsid w:val="00C639D0"/>
    <w:rsid w:val="00C742BE"/>
    <w:rsid w:val="00C80AB5"/>
    <w:rsid w:val="00CA23AC"/>
    <w:rsid w:val="00CA6FD8"/>
    <w:rsid w:val="00CC737A"/>
    <w:rsid w:val="00D040CD"/>
    <w:rsid w:val="00D259E8"/>
    <w:rsid w:val="00D31BFD"/>
    <w:rsid w:val="00D3561D"/>
    <w:rsid w:val="00D521AF"/>
    <w:rsid w:val="00D606EE"/>
    <w:rsid w:val="00D674A5"/>
    <w:rsid w:val="00D7462D"/>
    <w:rsid w:val="00DA15B1"/>
    <w:rsid w:val="00DB4402"/>
    <w:rsid w:val="00DD6F33"/>
    <w:rsid w:val="00E12B55"/>
    <w:rsid w:val="00E2420A"/>
    <w:rsid w:val="00E3238F"/>
    <w:rsid w:val="00E376FC"/>
    <w:rsid w:val="00E42FF7"/>
    <w:rsid w:val="00EA09AA"/>
    <w:rsid w:val="00EC7BA1"/>
    <w:rsid w:val="00ED27F9"/>
    <w:rsid w:val="00F00EB7"/>
    <w:rsid w:val="00F0183B"/>
    <w:rsid w:val="00F440DD"/>
    <w:rsid w:val="00F76B35"/>
    <w:rsid w:val="00F86466"/>
    <w:rsid w:val="00F950DF"/>
    <w:rsid w:val="00FA0AA2"/>
    <w:rsid w:val="00FA3360"/>
    <w:rsid w:val="00FB60B8"/>
    <w:rsid w:val="00FB7AED"/>
    <w:rsid w:val="00FE111D"/>
    <w:rsid w:val="00FE581E"/>
    <w:rsid w:val="00FE6D67"/>
    <w:rsid w:val="00FF7A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FA63"/>
  <w15:docId w15:val="{DD8733C2-B856-4165-9016-880907795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356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56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56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56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56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56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6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6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6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6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56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56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56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56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56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6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6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61D"/>
    <w:rPr>
      <w:rFonts w:eastAsiaTheme="majorEastAsia" w:cstheme="majorBidi"/>
      <w:color w:val="272727" w:themeColor="text1" w:themeTint="D8"/>
    </w:rPr>
  </w:style>
  <w:style w:type="paragraph" w:styleId="Title">
    <w:name w:val="Title"/>
    <w:basedOn w:val="Normal"/>
    <w:next w:val="Normal"/>
    <w:link w:val="TitleChar"/>
    <w:uiPriority w:val="10"/>
    <w:qFormat/>
    <w:rsid w:val="00D356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6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6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6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61D"/>
    <w:pPr>
      <w:spacing w:before="160"/>
      <w:jc w:val="center"/>
    </w:pPr>
    <w:rPr>
      <w:i/>
      <w:iCs/>
      <w:color w:val="404040" w:themeColor="text1" w:themeTint="BF"/>
    </w:rPr>
  </w:style>
  <w:style w:type="character" w:customStyle="1" w:styleId="QuoteChar">
    <w:name w:val="Quote Char"/>
    <w:basedOn w:val="DefaultParagraphFont"/>
    <w:link w:val="Quote"/>
    <w:uiPriority w:val="29"/>
    <w:rsid w:val="00D3561D"/>
    <w:rPr>
      <w:i/>
      <w:iCs/>
      <w:color w:val="404040" w:themeColor="text1" w:themeTint="BF"/>
    </w:rPr>
  </w:style>
  <w:style w:type="paragraph" w:styleId="ListParagraph">
    <w:name w:val="List Paragraph"/>
    <w:basedOn w:val="Normal"/>
    <w:uiPriority w:val="34"/>
    <w:qFormat/>
    <w:rsid w:val="00D3561D"/>
    <w:pPr>
      <w:ind w:left="720"/>
      <w:contextualSpacing/>
    </w:pPr>
  </w:style>
  <w:style w:type="character" w:styleId="IntenseEmphasis">
    <w:name w:val="Intense Emphasis"/>
    <w:basedOn w:val="DefaultParagraphFont"/>
    <w:uiPriority w:val="21"/>
    <w:qFormat/>
    <w:rsid w:val="00D3561D"/>
    <w:rPr>
      <w:i/>
      <w:iCs/>
      <w:color w:val="0F4761" w:themeColor="accent1" w:themeShade="BF"/>
    </w:rPr>
  </w:style>
  <w:style w:type="paragraph" w:styleId="IntenseQuote">
    <w:name w:val="Intense Quote"/>
    <w:basedOn w:val="Normal"/>
    <w:next w:val="Normal"/>
    <w:link w:val="IntenseQuoteChar"/>
    <w:uiPriority w:val="30"/>
    <w:qFormat/>
    <w:rsid w:val="00D356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561D"/>
    <w:rPr>
      <w:i/>
      <w:iCs/>
      <w:color w:val="0F4761" w:themeColor="accent1" w:themeShade="BF"/>
    </w:rPr>
  </w:style>
  <w:style w:type="character" w:styleId="IntenseReference">
    <w:name w:val="Intense Reference"/>
    <w:basedOn w:val="DefaultParagraphFont"/>
    <w:uiPriority w:val="32"/>
    <w:qFormat/>
    <w:rsid w:val="00D3561D"/>
    <w:rPr>
      <w:b/>
      <w:bCs/>
      <w:smallCaps/>
      <w:color w:val="0F4761" w:themeColor="accent1" w:themeShade="BF"/>
      <w:spacing w:val="5"/>
    </w:rPr>
  </w:style>
  <w:style w:type="character" w:styleId="Hyperlink">
    <w:name w:val="Hyperlink"/>
    <w:basedOn w:val="DefaultParagraphFont"/>
    <w:uiPriority w:val="99"/>
    <w:unhideWhenUsed/>
    <w:rsid w:val="00384169"/>
    <w:rPr>
      <w:color w:val="467886" w:themeColor="hyperlink"/>
      <w:u w:val="single"/>
    </w:rPr>
  </w:style>
  <w:style w:type="character" w:customStyle="1" w:styleId="UnresolvedMention1">
    <w:name w:val="Unresolved Mention1"/>
    <w:basedOn w:val="DefaultParagraphFont"/>
    <w:uiPriority w:val="99"/>
    <w:semiHidden/>
    <w:unhideWhenUsed/>
    <w:rsid w:val="00384169"/>
    <w:rPr>
      <w:color w:val="605E5C"/>
      <w:shd w:val="clear" w:color="auto" w:fill="E1DFDD"/>
    </w:rPr>
  </w:style>
  <w:style w:type="paragraph" w:styleId="Header">
    <w:name w:val="header"/>
    <w:basedOn w:val="Normal"/>
    <w:link w:val="HeaderChar"/>
    <w:uiPriority w:val="99"/>
    <w:unhideWhenUsed/>
    <w:rsid w:val="00FB60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FB60B8"/>
  </w:style>
  <w:style w:type="paragraph" w:styleId="Footer">
    <w:name w:val="footer"/>
    <w:basedOn w:val="Normal"/>
    <w:link w:val="FooterChar"/>
    <w:uiPriority w:val="99"/>
    <w:unhideWhenUsed/>
    <w:rsid w:val="00FB60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FB60B8"/>
  </w:style>
  <w:style w:type="paragraph" w:styleId="Caption">
    <w:name w:val="caption"/>
    <w:basedOn w:val="Normal"/>
    <w:next w:val="Normal"/>
    <w:uiPriority w:val="35"/>
    <w:unhideWhenUsed/>
    <w:qFormat/>
    <w:rsid w:val="00A946D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777416"/>
    <w:rPr>
      <w:color w:val="96607D" w:themeColor="followedHyperlink"/>
      <w:u w:val="single"/>
    </w:rPr>
  </w:style>
  <w:style w:type="paragraph" w:customStyle="1" w:styleId="Default">
    <w:name w:val="Default"/>
    <w:rsid w:val="00FA0AA2"/>
    <w:pPr>
      <w:autoSpaceDE w:val="0"/>
      <w:autoSpaceDN w:val="0"/>
      <w:adjustRightInd w:val="0"/>
      <w:spacing w:after="0" w:line="240" w:lineRule="auto"/>
    </w:pPr>
    <w:rPr>
      <w:rFonts w:ascii="Calibri" w:hAnsi="Calibri" w:cs="Calibri"/>
      <w:color w:val="000000"/>
      <w:kern w:val="0"/>
      <w:sz w:val="24"/>
      <w:szCs w:val="24"/>
      <w:lang w:val="en-GB"/>
    </w:rPr>
  </w:style>
  <w:style w:type="paragraph" w:styleId="NormalWeb">
    <w:name w:val="Normal (Web)"/>
    <w:basedOn w:val="Normal"/>
    <w:uiPriority w:val="99"/>
    <w:semiHidden/>
    <w:unhideWhenUsed/>
    <w:rsid w:val="008856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8856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84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hyperlink" Target="https://www.mdpi.com/2673-5768/2/3/19" TargetMode="External"/><Relationship Id="rId39" Type="http://schemas.openxmlformats.org/officeDocument/2006/relationships/hyperlink" Target="https://www.mdpi.com/2071-1050/15/21/15459" TargetMode="External"/><Relationship Id="rId21" Type="http://schemas.openxmlformats.org/officeDocument/2006/relationships/diagramColors" Target="diagrams/colors3.xml"/><Relationship Id="rId34" Type="http://schemas.openxmlformats.org/officeDocument/2006/relationships/hyperlink" Target="https://www.mdpi.com/2079-9276/9/12/144" TargetMode="External"/><Relationship Id="rId42" Type="http://schemas.openxmlformats.org/officeDocument/2006/relationships/hyperlink" Target="https://www.sciencedirect.com/science/article/pii/S0278431925001550" TargetMode="External"/><Relationship Id="rId47" Type="http://schemas.openxmlformats.org/officeDocument/2006/relationships/hyperlink" Target="https://www.wrap.ngo/resources/report/uk-food-waste-food-surplus-key-facts"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hyperlink" Target="https://www.econstor.eu/bitstream/10419/316895/1/cesifo1_wp11781.pdf" TargetMode="External"/><Relationship Id="rId11" Type="http://schemas.openxmlformats.org/officeDocument/2006/relationships/diagramColors" Target="diagrams/colors1.xml"/><Relationship Id="rId24" Type="http://schemas.openxmlformats.org/officeDocument/2006/relationships/hyperlink" Target="https://doi.org/10.1016/j.ijhm.2025.104276" TargetMode="External"/><Relationship Id="rId32" Type="http://schemas.openxmlformats.org/officeDocument/2006/relationships/hyperlink" Target="https://openknowledge.fao.org/server/api/core/bitstreams/7068d8a5-1430-41ea-b9fc-63004075150d/content" TargetMode="External"/><Relationship Id="rId37" Type="http://schemas.openxmlformats.org/officeDocument/2006/relationships/hyperlink" Target="https://www.researchgate.net/publication/387090179" TargetMode="External"/><Relationship Id="rId40" Type="http://schemas.openxmlformats.org/officeDocument/2006/relationships/hyperlink" Target="https://dbc.wroc.pl/dlibra/publication/181708/edition/142822/content" TargetMode="External"/><Relationship Id="rId45" Type="http://schemas.openxmlformats.org/officeDocument/2006/relationships/hyperlink" Target="https://wastelesseu.com/plate-waste-reducing-methods-in-hotel-breakfast-buffets/"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www.emerald.com/ijcthr/article/16/1/152/137461/How-to-manage-and-minimize-food-waste-in-the-hotel" TargetMode="External"/><Relationship Id="rId28" Type="http://schemas.openxmlformats.org/officeDocument/2006/relationships/hyperlink" Target="https://www.ajhtl.com/uploads/7/1/6/3/7163688/article_1_14_3_537-543.pdf" TargetMode="External"/><Relationship Id="rId36" Type="http://schemas.openxmlformats.org/officeDocument/2006/relationships/hyperlink" Target="https://www.e3s-conferences.org/articles/e3sconf/pdf/2022/15/e3sconf_icas2021_00007.pdf" TargetMode="External"/><Relationship Id="rId49"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yperlink" Target="https://www.sciencedirect.com/science/article/pii/S0278431924000240" TargetMode="External"/><Relationship Id="rId44" Type="http://schemas.openxmlformats.org/officeDocument/2006/relationships/hyperlink" Target="https://doi.org/10.21608/mjthr.2021.106361.1018"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hyperlink" Target="https://www.emerald.com/bfj/article/123/9/3208/47990/Minimising-plate-waste-at-hotel-breakfast-buffets" TargetMode="External"/><Relationship Id="rId30" Type="http://schemas.openxmlformats.org/officeDocument/2006/relationships/hyperlink" Target="https://www.sciencedirect.com/science/article/pii/S0959652620329061" TargetMode="External"/><Relationship Id="rId35" Type="http://schemas.openxmlformats.org/officeDocument/2006/relationships/hyperlink" Target="https://www.frontiersin.org/articles/10.3389/fsufs.2022.1010262/full" TargetMode="External"/><Relationship Id="rId43" Type="http://schemas.openxmlformats.org/officeDocument/2006/relationships/hyperlink" Target="https://www.sciencedirect.com/science/article/pii/S2666784325000841" TargetMode="External"/><Relationship Id="rId48" Type="http://schemas.openxmlformats.org/officeDocument/2006/relationships/hyperlink" Target="https://www.ncbi.nlm.nih.gov/pmc/articles/PMC9818679/" TargetMode="External"/><Relationship Id="rId8" Type="http://schemas.openxmlformats.org/officeDocument/2006/relationships/diagramData" Target="diagrams/data1.xml"/><Relationship Id="rId51" Type="http://schemas.openxmlformats.org/officeDocument/2006/relationships/theme" Target="theme/theme1.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fhtm.uitm.edu.my/images/jthca/Vol15Issue2/Chap_8.pdf" TargetMode="External"/><Relationship Id="rId33" Type="http://schemas.openxmlformats.org/officeDocument/2006/relationships/hyperlink" Target="https://www.foodsight.com/en-US/blog/hotel-buffet-waste-reduction" TargetMode="External"/><Relationship Id="rId38" Type="http://schemas.openxmlformats.org/officeDocument/2006/relationships/hyperlink" Target="https://www.mdpi.com/2071-1050/15/13/10213" TargetMode="External"/><Relationship Id="rId46" Type="http://schemas.openxmlformats.org/officeDocument/2006/relationships/hyperlink" Target="https://kitchencut.com/buffet-management-how-hotels-can-use-psychology-to-save-on-food-waste/" TargetMode="External"/><Relationship Id="rId20" Type="http://schemas.openxmlformats.org/officeDocument/2006/relationships/diagramQuickStyle" Target="diagrams/quickStyle3.xml"/><Relationship Id="rId41" Type="http://schemas.openxmlformats.org/officeDocument/2006/relationships/hyperlink" Target="https://www.researchgate.net/publication/357258936"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034E65-15C2-47F8-B101-31D75890090F}"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hu-HU"/>
        </a:p>
      </dgm:t>
    </dgm:pt>
    <dgm:pt modelId="{3707DF18-CF3E-4CD9-AF8E-DAC40E186904}">
      <dgm:prSet phldrT="[Szöveg]" custT="1"/>
      <dgm:spPr>
        <a:noFill/>
        <a:ln>
          <a:solidFill>
            <a:schemeClr val="tx1"/>
          </a:solidFill>
        </a:ln>
      </dgm:spPr>
      <dgm:t>
        <a:bodyPr/>
        <a:lstStyle/>
        <a:p>
          <a:pPr algn="ctr">
            <a:buNone/>
          </a:pPr>
          <a:r>
            <a:rPr lang="hu-HU" sz="1100" b="1">
              <a:solidFill>
                <a:schemeClr val="tx1"/>
              </a:solidFill>
            </a:rPr>
            <a:t>Political factors</a:t>
          </a:r>
        </a:p>
        <a:p>
          <a:pPr algn="ctr">
            <a:buNone/>
          </a:pPr>
          <a:r>
            <a:rPr lang="hu-HU" sz="900">
              <a:solidFill>
                <a:schemeClr val="tx1"/>
              </a:solidFill>
            </a:rPr>
            <a:t>Increased policy pressure to reduce food waste and track progress in reduction efforts. Sustainability pressures on organizations create a reputational risk related to food waste visibility.</a:t>
          </a:r>
        </a:p>
        <a:p>
          <a:pPr algn="ctr">
            <a:buNone/>
          </a:pPr>
          <a:r>
            <a:rPr lang="hu-HU" sz="900">
              <a:solidFill>
                <a:schemeClr val="tx1"/>
              </a:solidFill>
            </a:rPr>
            <a:t>(Filimonau et al., 2020; WRAP, 2025)</a:t>
          </a:r>
          <a:endParaRPr lang="hu-HU" sz="800"/>
        </a:p>
      </dgm:t>
    </dgm:pt>
    <dgm:pt modelId="{FACF55F2-EDAC-4348-BB68-60BD6D45C449}" type="parTrans" cxnId="{B6A3ADFF-FB3F-46CB-BEC5-4EA8B46CF5D8}">
      <dgm:prSet/>
      <dgm:spPr/>
      <dgm:t>
        <a:bodyPr/>
        <a:lstStyle/>
        <a:p>
          <a:endParaRPr lang="hu-HU"/>
        </a:p>
      </dgm:t>
    </dgm:pt>
    <dgm:pt modelId="{AEE9A775-EAE5-4AF1-B744-9607A9381309}" type="sibTrans" cxnId="{B6A3ADFF-FB3F-46CB-BEC5-4EA8B46CF5D8}">
      <dgm:prSet/>
      <dgm:spPr/>
      <dgm:t>
        <a:bodyPr/>
        <a:lstStyle/>
        <a:p>
          <a:endParaRPr lang="hu-HU"/>
        </a:p>
      </dgm:t>
    </dgm:pt>
    <dgm:pt modelId="{13D9ECA4-F31C-486C-B9CD-54C808AAEB3E}">
      <dgm:prSet phldrT="[Szöveg]" custT="1"/>
      <dgm:spPr>
        <a:noFill/>
        <a:ln>
          <a:solidFill>
            <a:schemeClr val="tx1"/>
          </a:solidFill>
        </a:ln>
      </dgm:spPr>
      <dgm:t>
        <a:bodyPr/>
        <a:lstStyle/>
        <a:p>
          <a:pPr>
            <a:buNone/>
          </a:pPr>
          <a:r>
            <a:rPr lang="hu-HU" sz="1100" b="1">
              <a:solidFill>
                <a:schemeClr val="tx1"/>
              </a:solidFill>
            </a:rPr>
            <a:t>Economic factors</a:t>
          </a:r>
        </a:p>
        <a:p>
          <a:pPr>
            <a:buNone/>
          </a:pPr>
          <a:r>
            <a:rPr lang="hu-HU" sz="900">
              <a:solidFill>
                <a:schemeClr val="tx1"/>
              </a:solidFill>
            </a:rPr>
            <a:t>Direct cost of food waste is substantial in hotels, with the largest potential reduction area being prevention, which has the greatest value potential, yet hotels are at risk of supply chain shortages, which can outweigh reduction efforts.</a:t>
          </a:r>
        </a:p>
        <a:p>
          <a:pPr>
            <a:buNone/>
          </a:pPr>
          <a:r>
            <a:rPr lang="hu-HU" sz="900">
              <a:solidFill>
                <a:schemeClr val="tx1"/>
              </a:solidFill>
            </a:rPr>
            <a:t>(Chawla, Lugosi and Hawkins, 2021; WRAP, 2025).</a:t>
          </a:r>
        </a:p>
      </dgm:t>
    </dgm:pt>
    <dgm:pt modelId="{F8BEACDF-BAB8-4229-982B-3E302DDD6850}" type="parTrans" cxnId="{DF0D7FD5-E88F-4EB3-BE29-19AEDECE113D}">
      <dgm:prSet/>
      <dgm:spPr/>
      <dgm:t>
        <a:bodyPr/>
        <a:lstStyle/>
        <a:p>
          <a:endParaRPr lang="hu-HU"/>
        </a:p>
      </dgm:t>
    </dgm:pt>
    <dgm:pt modelId="{35616A55-BB49-4686-BFAA-FEF52AF17D72}" type="sibTrans" cxnId="{DF0D7FD5-E88F-4EB3-BE29-19AEDECE113D}">
      <dgm:prSet/>
      <dgm:spPr/>
      <dgm:t>
        <a:bodyPr/>
        <a:lstStyle/>
        <a:p>
          <a:endParaRPr lang="hu-HU"/>
        </a:p>
      </dgm:t>
    </dgm:pt>
    <dgm:pt modelId="{D7B01A6F-9D5A-4EE5-8083-2A8FE477BB18}">
      <dgm:prSet phldrT="[Szöveg]" custT="1"/>
      <dgm:spPr>
        <a:noFill/>
        <a:ln>
          <a:solidFill>
            <a:schemeClr val="tx1"/>
          </a:solidFill>
        </a:ln>
      </dgm:spPr>
      <dgm:t>
        <a:bodyPr/>
        <a:lstStyle/>
        <a:p>
          <a:pPr>
            <a:buNone/>
          </a:pPr>
          <a:r>
            <a:rPr lang="hu-HU" sz="1100" b="1">
              <a:solidFill>
                <a:schemeClr val="tx1"/>
              </a:solidFill>
            </a:rPr>
            <a:t>Social factors</a:t>
          </a:r>
        </a:p>
        <a:p>
          <a:pPr>
            <a:buNone/>
          </a:pPr>
          <a:r>
            <a:rPr lang="hu-HU" sz="900">
              <a:solidFill>
                <a:schemeClr val="tx1"/>
              </a:solidFill>
            </a:rPr>
            <a:t>Buffet norms and value cues drive over-serving and plate waste. Behaviour shows an intention–action gap in buffet settings.</a:t>
          </a:r>
        </a:p>
        <a:p>
          <a:pPr>
            <a:buNone/>
          </a:pPr>
          <a:r>
            <a:rPr lang="hu-HU" sz="900">
              <a:solidFill>
                <a:schemeClr val="tx1"/>
              </a:solidFill>
            </a:rPr>
            <a:t>(Appel, Ayalon and Collins-Kreiner, 2025; Danzer and Zeidler, 2025; Juvan, Grün and Dolnicar, 2017)</a:t>
          </a:r>
        </a:p>
      </dgm:t>
    </dgm:pt>
    <dgm:pt modelId="{68C498F3-09BF-4A72-A734-FEE16B98285D}" type="parTrans" cxnId="{F88C074C-D620-4504-813A-C84839F87638}">
      <dgm:prSet/>
      <dgm:spPr/>
      <dgm:t>
        <a:bodyPr/>
        <a:lstStyle/>
        <a:p>
          <a:endParaRPr lang="hu-HU"/>
        </a:p>
      </dgm:t>
    </dgm:pt>
    <dgm:pt modelId="{7D33D0A2-6870-47F1-AE3C-DB56332954DE}" type="sibTrans" cxnId="{F88C074C-D620-4504-813A-C84839F87638}">
      <dgm:prSet/>
      <dgm:spPr/>
      <dgm:t>
        <a:bodyPr/>
        <a:lstStyle/>
        <a:p>
          <a:endParaRPr lang="hu-HU"/>
        </a:p>
      </dgm:t>
    </dgm:pt>
    <dgm:pt modelId="{5D380A19-5D6C-4DA5-8540-98F5FC3718D7}">
      <dgm:prSet phldrT="[Szöveg]" custT="1"/>
      <dgm:spPr>
        <a:noFill/>
        <a:ln>
          <a:solidFill>
            <a:schemeClr val="tx1"/>
          </a:solidFill>
        </a:ln>
      </dgm:spPr>
      <dgm:t>
        <a:bodyPr/>
        <a:lstStyle/>
        <a:p>
          <a:pPr>
            <a:buNone/>
          </a:pPr>
          <a:r>
            <a:rPr lang="hu-HU" sz="1100" b="1">
              <a:solidFill>
                <a:schemeClr val="tx1"/>
              </a:solidFill>
            </a:rPr>
            <a:t>Technological factors</a:t>
          </a:r>
        </a:p>
        <a:p>
          <a:pPr>
            <a:buNone/>
          </a:pPr>
          <a:r>
            <a:rPr lang="hu-HU" sz="900">
              <a:solidFill>
                <a:schemeClr val="tx1"/>
              </a:solidFill>
            </a:rPr>
            <a:t>Forecasting, monitoring, and lean control can help reduce overproduction in a low-cost manner to ensure continuity.</a:t>
          </a:r>
        </a:p>
        <a:p>
          <a:pPr>
            <a:buNone/>
          </a:pPr>
          <a:r>
            <a:rPr lang="hu-HU" sz="900">
              <a:solidFill>
                <a:schemeClr val="tx1"/>
              </a:solidFill>
            </a:rPr>
            <a:t>(Amicarelli et al., 2021; Gładysz, Buczacki and Haskins, 2020; Wu and Teng, 2022)</a:t>
          </a:r>
        </a:p>
      </dgm:t>
    </dgm:pt>
    <dgm:pt modelId="{CAD4D819-A6E7-4915-BA9B-8BB08EF922A9}" type="parTrans" cxnId="{AA9C48AA-90AE-4C94-A805-301E10364F67}">
      <dgm:prSet/>
      <dgm:spPr/>
      <dgm:t>
        <a:bodyPr/>
        <a:lstStyle/>
        <a:p>
          <a:endParaRPr lang="hu-HU"/>
        </a:p>
      </dgm:t>
    </dgm:pt>
    <dgm:pt modelId="{BA1983F7-31DD-433C-BC50-C0584A0C55BB}" type="sibTrans" cxnId="{AA9C48AA-90AE-4C94-A805-301E10364F67}">
      <dgm:prSet/>
      <dgm:spPr/>
      <dgm:t>
        <a:bodyPr/>
        <a:lstStyle/>
        <a:p>
          <a:endParaRPr lang="hu-HU"/>
        </a:p>
      </dgm:t>
    </dgm:pt>
    <dgm:pt modelId="{6006B648-40C2-471E-A472-D5FBAD73B47E}" type="pres">
      <dgm:prSet presAssocID="{A2034E65-15C2-47F8-B101-31D75890090F}" presName="matrix" presStyleCnt="0">
        <dgm:presLayoutVars>
          <dgm:chMax val="1"/>
          <dgm:dir/>
          <dgm:resizeHandles val="exact"/>
        </dgm:presLayoutVars>
      </dgm:prSet>
      <dgm:spPr/>
    </dgm:pt>
    <dgm:pt modelId="{B70151BB-0051-4AB6-BA88-1A56FAD759EE}" type="pres">
      <dgm:prSet presAssocID="{A2034E65-15C2-47F8-B101-31D75890090F}" presName="axisShape" presStyleLbl="bgShp" presStyleIdx="0" presStyleCnt="1" custScaleX="128757"/>
      <dgm:spPr>
        <a:solidFill>
          <a:schemeClr val="tx1">
            <a:lumMod val="65000"/>
            <a:lumOff val="35000"/>
          </a:schemeClr>
        </a:solidFill>
      </dgm:spPr>
    </dgm:pt>
    <dgm:pt modelId="{420597C1-465D-4BA2-8683-EABA92BAA21E}" type="pres">
      <dgm:prSet presAssocID="{A2034E65-15C2-47F8-B101-31D75890090F}" presName="rect1" presStyleLbl="node1" presStyleIdx="0" presStyleCnt="4" custScaleX="130208" custScaleY="108507" custLinFactNeighborX="-25264" custLinFactNeighborY="-4211">
        <dgm:presLayoutVars>
          <dgm:chMax val="0"/>
          <dgm:chPref val="0"/>
          <dgm:bulletEnabled val="1"/>
        </dgm:presLayoutVars>
      </dgm:prSet>
      <dgm:spPr/>
    </dgm:pt>
    <dgm:pt modelId="{B2A53515-97DD-43C4-BD33-AC8743A9CF53}" type="pres">
      <dgm:prSet presAssocID="{A2034E65-15C2-47F8-B101-31D75890090F}" presName="rect2" presStyleLbl="node1" presStyleIdx="1" presStyleCnt="4" custScaleX="130208" custScaleY="108507" custLinFactNeighborX="26030" custLinFactNeighborY="-5245">
        <dgm:presLayoutVars>
          <dgm:chMax val="0"/>
          <dgm:chPref val="0"/>
          <dgm:bulletEnabled val="1"/>
        </dgm:presLayoutVars>
      </dgm:prSet>
      <dgm:spPr>
        <a:prstGeom prst="roundRect">
          <a:avLst/>
        </a:prstGeom>
      </dgm:spPr>
    </dgm:pt>
    <dgm:pt modelId="{ECDAC136-5882-43CF-A58B-0AB76827E9E9}" type="pres">
      <dgm:prSet presAssocID="{A2034E65-15C2-47F8-B101-31D75890090F}" presName="rect3" presStyleLbl="node1" presStyleIdx="2" presStyleCnt="4" custScaleX="130208" custScaleY="108507" custLinFactNeighborX="-23733" custLinFactNeighborY="5359">
        <dgm:presLayoutVars>
          <dgm:chMax val="0"/>
          <dgm:chPref val="0"/>
          <dgm:bulletEnabled val="1"/>
        </dgm:presLayoutVars>
      </dgm:prSet>
      <dgm:spPr/>
    </dgm:pt>
    <dgm:pt modelId="{4487C33E-4649-4698-8918-B91335AB6A6E}" type="pres">
      <dgm:prSet presAssocID="{A2034E65-15C2-47F8-B101-31D75890090F}" presName="rect4" presStyleLbl="node1" presStyleIdx="3" presStyleCnt="4" custScaleX="130208" custScaleY="108507" custLinFactNeighborX="25264" custLinFactNeighborY="4211">
        <dgm:presLayoutVars>
          <dgm:chMax val="0"/>
          <dgm:chPref val="0"/>
          <dgm:bulletEnabled val="1"/>
        </dgm:presLayoutVars>
      </dgm:prSet>
      <dgm:spPr/>
    </dgm:pt>
  </dgm:ptLst>
  <dgm:cxnLst>
    <dgm:cxn modelId="{189B5913-1253-4A4B-9755-BFD622F8F0C6}" type="presOf" srcId="{3707DF18-CF3E-4CD9-AF8E-DAC40E186904}" destId="{420597C1-465D-4BA2-8683-EABA92BAA21E}" srcOrd="0" destOrd="0" presId="urn:microsoft.com/office/officeart/2005/8/layout/matrix2"/>
    <dgm:cxn modelId="{F88C074C-D620-4504-813A-C84839F87638}" srcId="{A2034E65-15C2-47F8-B101-31D75890090F}" destId="{D7B01A6F-9D5A-4EE5-8083-2A8FE477BB18}" srcOrd="2" destOrd="0" parTransId="{68C498F3-09BF-4A72-A734-FEE16B98285D}" sibTransId="{7D33D0A2-6870-47F1-AE3C-DB56332954DE}"/>
    <dgm:cxn modelId="{F1CB9E55-21F1-4A35-927D-73A981A28491}" type="presOf" srcId="{13D9ECA4-F31C-486C-B9CD-54C808AAEB3E}" destId="{B2A53515-97DD-43C4-BD33-AC8743A9CF53}" srcOrd="0" destOrd="0" presId="urn:microsoft.com/office/officeart/2005/8/layout/matrix2"/>
    <dgm:cxn modelId="{AA9C48AA-90AE-4C94-A805-301E10364F67}" srcId="{A2034E65-15C2-47F8-B101-31D75890090F}" destId="{5D380A19-5D6C-4DA5-8540-98F5FC3718D7}" srcOrd="3" destOrd="0" parTransId="{CAD4D819-A6E7-4915-BA9B-8BB08EF922A9}" sibTransId="{BA1983F7-31DD-433C-BC50-C0584A0C55BB}"/>
    <dgm:cxn modelId="{0B45B3D3-8607-4616-B067-4618956DD86E}" type="presOf" srcId="{A2034E65-15C2-47F8-B101-31D75890090F}" destId="{6006B648-40C2-471E-A472-D5FBAD73B47E}" srcOrd="0" destOrd="0" presId="urn:microsoft.com/office/officeart/2005/8/layout/matrix2"/>
    <dgm:cxn modelId="{DF0D7FD5-E88F-4EB3-BE29-19AEDECE113D}" srcId="{A2034E65-15C2-47F8-B101-31D75890090F}" destId="{13D9ECA4-F31C-486C-B9CD-54C808AAEB3E}" srcOrd="1" destOrd="0" parTransId="{F8BEACDF-BAB8-4229-982B-3E302DDD6850}" sibTransId="{35616A55-BB49-4686-BFAA-FEF52AF17D72}"/>
    <dgm:cxn modelId="{DCF3A2DD-FD77-47B6-ADB6-8021AC4FD383}" type="presOf" srcId="{5D380A19-5D6C-4DA5-8540-98F5FC3718D7}" destId="{4487C33E-4649-4698-8918-B91335AB6A6E}" srcOrd="0" destOrd="0" presId="urn:microsoft.com/office/officeart/2005/8/layout/matrix2"/>
    <dgm:cxn modelId="{64FBB5E4-EE66-4BF3-A335-EE448A579E9D}" type="presOf" srcId="{D7B01A6F-9D5A-4EE5-8083-2A8FE477BB18}" destId="{ECDAC136-5882-43CF-A58B-0AB76827E9E9}" srcOrd="0" destOrd="0" presId="urn:microsoft.com/office/officeart/2005/8/layout/matrix2"/>
    <dgm:cxn modelId="{B6A3ADFF-FB3F-46CB-BEC5-4EA8B46CF5D8}" srcId="{A2034E65-15C2-47F8-B101-31D75890090F}" destId="{3707DF18-CF3E-4CD9-AF8E-DAC40E186904}" srcOrd="0" destOrd="0" parTransId="{FACF55F2-EDAC-4348-BB68-60BD6D45C449}" sibTransId="{AEE9A775-EAE5-4AF1-B744-9607A9381309}"/>
    <dgm:cxn modelId="{EA45634E-E077-44D7-8213-B02AEDD68924}" type="presParOf" srcId="{6006B648-40C2-471E-A472-D5FBAD73B47E}" destId="{B70151BB-0051-4AB6-BA88-1A56FAD759EE}" srcOrd="0" destOrd="0" presId="urn:microsoft.com/office/officeart/2005/8/layout/matrix2"/>
    <dgm:cxn modelId="{5BA637B7-FDB7-4216-8D8E-BBEA1A4AD7EA}" type="presParOf" srcId="{6006B648-40C2-471E-A472-D5FBAD73B47E}" destId="{420597C1-465D-4BA2-8683-EABA92BAA21E}" srcOrd="1" destOrd="0" presId="urn:microsoft.com/office/officeart/2005/8/layout/matrix2"/>
    <dgm:cxn modelId="{66DED8EC-AF2B-4346-98D2-DDFBBA07CB28}" type="presParOf" srcId="{6006B648-40C2-471E-A472-D5FBAD73B47E}" destId="{B2A53515-97DD-43C4-BD33-AC8743A9CF53}" srcOrd="2" destOrd="0" presId="urn:microsoft.com/office/officeart/2005/8/layout/matrix2"/>
    <dgm:cxn modelId="{A75E3676-8892-4415-9A0B-D2F145E0C7EF}" type="presParOf" srcId="{6006B648-40C2-471E-A472-D5FBAD73B47E}" destId="{ECDAC136-5882-43CF-A58B-0AB76827E9E9}" srcOrd="3" destOrd="0" presId="urn:microsoft.com/office/officeart/2005/8/layout/matrix2"/>
    <dgm:cxn modelId="{71E59339-9FE3-42F7-8438-ABBE763B2756}" type="presParOf" srcId="{6006B648-40C2-471E-A472-D5FBAD73B47E}" destId="{4487C33E-4649-4698-8918-B91335AB6A6E}" srcOrd="4" destOrd="0" presId="urn:microsoft.com/office/officeart/2005/8/layout/matrix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A12894F-0FC1-4C14-B1E6-9816A85EBD0D}"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hu-HU"/>
        </a:p>
      </dgm:t>
    </dgm:pt>
    <dgm:pt modelId="{0D570D5E-9C4C-407B-8224-7B25835A03A3}">
      <dgm:prSet phldrT="[Szöveg]" custT="1"/>
      <dgm:spPr>
        <a:noFill/>
        <a:ln>
          <a:solidFill>
            <a:schemeClr val="tx1"/>
          </a:solidFill>
        </a:ln>
      </dgm:spPr>
      <dgm:t>
        <a:bodyPr/>
        <a:lstStyle/>
        <a:p>
          <a:pPr>
            <a:buNone/>
          </a:pPr>
          <a:r>
            <a:rPr lang="hu-HU" sz="1100" b="1">
              <a:solidFill>
                <a:schemeClr val="tx1"/>
              </a:solidFill>
            </a:rPr>
            <a:t>Economic factors</a:t>
          </a:r>
        </a:p>
        <a:p>
          <a:pPr>
            <a:buNone/>
          </a:pPr>
          <a:r>
            <a:rPr lang="hu-HU" sz="900">
              <a:solidFill>
                <a:schemeClr val="tx1"/>
              </a:solidFill>
            </a:rPr>
            <a:t>Waste is a manageable operating cost. Feasibility is tighter with smaller hotels and fewer resources.</a:t>
          </a:r>
        </a:p>
        <a:p>
          <a:pPr>
            <a:buNone/>
          </a:pPr>
          <a:r>
            <a:rPr lang="hu-HU" sz="900">
              <a:solidFill>
                <a:schemeClr val="tx1"/>
              </a:solidFill>
            </a:rPr>
            <a:t>(Amicarelli et al., 2021; WRAP, 2025).</a:t>
          </a:r>
        </a:p>
      </dgm:t>
    </dgm:pt>
    <dgm:pt modelId="{C1DED6F3-8C8D-48B4-8E55-5379BECA8493}" type="parTrans" cxnId="{9827AC75-C252-4372-9C90-A06ED51261F4}">
      <dgm:prSet/>
      <dgm:spPr/>
      <dgm:t>
        <a:bodyPr/>
        <a:lstStyle/>
        <a:p>
          <a:endParaRPr lang="hu-HU" sz="1800"/>
        </a:p>
      </dgm:t>
    </dgm:pt>
    <dgm:pt modelId="{F02E5CAD-C839-42D9-84E8-BA1D34353886}" type="sibTrans" cxnId="{9827AC75-C252-4372-9C90-A06ED51261F4}">
      <dgm:prSet/>
      <dgm:spPr/>
      <dgm:t>
        <a:bodyPr/>
        <a:lstStyle/>
        <a:p>
          <a:endParaRPr lang="hu-HU" sz="1800"/>
        </a:p>
      </dgm:t>
    </dgm:pt>
    <dgm:pt modelId="{905D8307-9BFF-4A09-BBF6-54D318ADAADB}">
      <dgm:prSet phldrT="[Szöveg]" custT="1"/>
      <dgm:spPr>
        <a:noFill/>
        <a:ln>
          <a:solidFill>
            <a:schemeClr val="tx1"/>
          </a:solidFill>
        </a:ln>
      </dgm:spPr>
      <dgm:t>
        <a:bodyPr/>
        <a:lstStyle/>
        <a:p>
          <a:pPr>
            <a:buNone/>
          </a:pPr>
          <a:r>
            <a:rPr lang="hu-HU" sz="1050" b="1">
              <a:solidFill>
                <a:schemeClr val="tx1"/>
              </a:solidFill>
            </a:rPr>
            <a:t>Social factors</a:t>
          </a:r>
        </a:p>
        <a:p>
          <a:pPr>
            <a:buNone/>
          </a:pPr>
          <a:r>
            <a:rPr lang="hu-HU" sz="900">
              <a:solidFill>
                <a:schemeClr val="tx1"/>
              </a:solidFill>
            </a:rPr>
            <a:t>Abundance perceptions and segments (culture/religiosity, etc.) influence the effectiveness of messages.</a:t>
          </a:r>
        </a:p>
        <a:p>
          <a:pPr>
            <a:buNone/>
          </a:pPr>
          <a:r>
            <a:rPr lang="hu-HU" sz="900">
              <a:solidFill>
                <a:schemeClr val="tx1"/>
              </a:solidFill>
            </a:rPr>
            <a:t>(Hassan et al., 2022; Appel, Ayalon and Collins-Kreiner, 2025).</a:t>
          </a:r>
        </a:p>
      </dgm:t>
    </dgm:pt>
    <dgm:pt modelId="{96FD8496-24D6-404A-9928-D4A8702990F3}" type="parTrans" cxnId="{597CA6FB-29EC-4933-B4FE-A30D4527B0D2}">
      <dgm:prSet/>
      <dgm:spPr/>
      <dgm:t>
        <a:bodyPr/>
        <a:lstStyle/>
        <a:p>
          <a:endParaRPr lang="hu-HU" sz="1800"/>
        </a:p>
      </dgm:t>
    </dgm:pt>
    <dgm:pt modelId="{9D14FEE9-537C-4FF0-89FB-C50C94D546AA}" type="sibTrans" cxnId="{597CA6FB-29EC-4933-B4FE-A30D4527B0D2}">
      <dgm:prSet/>
      <dgm:spPr/>
      <dgm:t>
        <a:bodyPr/>
        <a:lstStyle/>
        <a:p>
          <a:endParaRPr lang="hu-HU" sz="1800"/>
        </a:p>
      </dgm:t>
    </dgm:pt>
    <dgm:pt modelId="{ED16189A-A8DD-4164-9309-5B3AC6DD90F3}">
      <dgm:prSet phldrT="[Szöveg]" custT="1"/>
      <dgm:spPr>
        <a:noFill/>
        <a:ln>
          <a:solidFill>
            <a:schemeClr val="tx1"/>
          </a:solidFill>
        </a:ln>
      </dgm:spPr>
      <dgm:t>
        <a:bodyPr/>
        <a:lstStyle/>
        <a:p>
          <a:pPr>
            <a:buNone/>
          </a:pPr>
          <a:r>
            <a:rPr lang="hu-HU" sz="1000" b="1">
              <a:solidFill>
                <a:schemeClr val="tx1"/>
              </a:solidFill>
            </a:rPr>
            <a:t>Technological factors</a:t>
          </a:r>
          <a:r>
            <a:rPr lang="hu-HU" sz="1000">
              <a:solidFill>
                <a:schemeClr val="tx1"/>
              </a:solidFill>
            </a:rPr>
            <a:t> </a:t>
          </a:r>
          <a:r>
            <a:rPr lang="hu-HU" sz="900">
              <a:solidFill>
                <a:schemeClr val="tx1"/>
              </a:solidFill>
            </a:rPr>
            <a:t>Monitoring, forecasting, lean methods, and behavioral economics provide opportunities without requiring significant capital investments.</a:t>
          </a:r>
        </a:p>
        <a:p>
          <a:pPr>
            <a:buNone/>
          </a:pPr>
          <a:r>
            <a:rPr lang="hu-HU" sz="900">
              <a:solidFill>
                <a:schemeClr val="tx1"/>
              </a:solidFill>
            </a:rPr>
            <a:t>(Gładysz, Buczacki and Haskins, 2020; Cozzio, Tokarchuk and Maurer, 2021).</a:t>
          </a:r>
        </a:p>
      </dgm:t>
    </dgm:pt>
    <dgm:pt modelId="{DDE9AF43-3C7B-464C-AA78-442588C14B69}" type="parTrans" cxnId="{0E1BA92B-1F5A-4F57-B9A2-8D5EBE395B67}">
      <dgm:prSet/>
      <dgm:spPr/>
      <dgm:t>
        <a:bodyPr/>
        <a:lstStyle/>
        <a:p>
          <a:endParaRPr lang="hu-HU" sz="1800"/>
        </a:p>
      </dgm:t>
    </dgm:pt>
    <dgm:pt modelId="{2FAAFC06-9F1A-4F99-9AA9-D8104C340853}" type="sibTrans" cxnId="{0E1BA92B-1F5A-4F57-B9A2-8D5EBE395B67}">
      <dgm:prSet/>
      <dgm:spPr/>
      <dgm:t>
        <a:bodyPr/>
        <a:lstStyle/>
        <a:p>
          <a:endParaRPr lang="hu-HU" sz="1800"/>
        </a:p>
      </dgm:t>
    </dgm:pt>
    <dgm:pt modelId="{F73A9057-5F4A-49B2-A3C7-7EAAEE87B771}">
      <dgm:prSet phldrT="[Szöveg]" custT="1"/>
      <dgm:spPr>
        <a:noFill/>
        <a:ln>
          <a:solidFill>
            <a:schemeClr val="tx1"/>
          </a:solidFill>
        </a:ln>
      </dgm:spPr>
      <dgm:t>
        <a:bodyPr/>
        <a:lstStyle/>
        <a:p>
          <a:pPr>
            <a:buNone/>
          </a:pPr>
          <a:r>
            <a:rPr lang="hu-HU" sz="1050" b="1">
              <a:solidFill>
                <a:schemeClr val="tx1"/>
              </a:solidFill>
            </a:rPr>
            <a:t>Legal factors</a:t>
          </a:r>
        </a:p>
        <a:p>
          <a:pPr>
            <a:buNone/>
          </a:pPr>
          <a:r>
            <a:rPr lang="hu-HU" sz="900">
              <a:solidFill>
                <a:schemeClr val="tx1"/>
              </a:solidFill>
            </a:rPr>
            <a:t>Food safety and liability concerns limit reuse and donation opportunities in the buffet setting. Regulations inform the feasibility of food waste routes.</a:t>
          </a:r>
        </a:p>
        <a:p>
          <a:pPr>
            <a:buNone/>
          </a:pPr>
          <a:r>
            <a:rPr lang="hu-HU" sz="900">
              <a:solidFill>
                <a:schemeClr val="tx1"/>
              </a:solidFill>
            </a:rPr>
            <a:t>(Metro Turkey, Ministry of Agriculture and Forestry and FAO, 2019).</a:t>
          </a:r>
        </a:p>
      </dgm:t>
    </dgm:pt>
    <dgm:pt modelId="{1FAEBFF5-00D5-47CA-AECB-61B0C9C0C103}" type="parTrans" cxnId="{C3C54075-5E98-40EF-BB89-C7A3C4A59073}">
      <dgm:prSet/>
      <dgm:spPr/>
      <dgm:t>
        <a:bodyPr/>
        <a:lstStyle/>
        <a:p>
          <a:endParaRPr lang="hu-HU" sz="1800"/>
        </a:p>
      </dgm:t>
    </dgm:pt>
    <dgm:pt modelId="{E60647DE-ED2E-4DC4-A130-AB669342F895}" type="sibTrans" cxnId="{C3C54075-5E98-40EF-BB89-C7A3C4A59073}">
      <dgm:prSet/>
      <dgm:spPr/>
      <dgm:t>
        <a:bodyPr/>
        <a:lstStyle/>
        <a:p>
          <a:endParaRPr lang="hu-HU" sz="1800"/>
        </a:p>
      </dgm:t>
    </dgm:pt>
    <dgm:pt modelId="{BCF6F60F-F701-45F9-8306-3FEAAC387857}">
      <dgm:prSet phldrT="[Szöveg]" custT="1"/>
      <dgm:spPr>
        <a:noFill/>
        <a:ln>
          <a:solidFill>
            <a:schemeClr val="tx1"/>
          </a:solidFill>
        </a:ln>
      </dgm:spPr>
      <dgm:t>
        <a:bodyPr/>
        <a:lstStyle/>
        <a:p>
          <a:pPr>
            <a:buNone/>
          </a:pPr>
          <a:r>
            <a:rPr lang="hu-HU" sz="1100" b="1">
              <a:solidFill>
                <a:schemeClr val="tx1"/>
              </a:solidFill>
            </a:rPr>
            <a:t>Political factors</a:t>
          </a:r>
        </a:p>
        <a:p>
          <a:pPr>
            <a:buNone/>
          </a:pPr>
          <a:r>
            <a:rPr lang="hu-HU" sz="900">
              <a:solidFill>
                <a:schemeClr val="tx1"/>
              </a:solidFill>
            </a:rPr>
            <a:t>Food waste reduction targets and sustainability goals heighten scrutiny and reporting obligations.</a:t>
          </a:r>
        </a:p>
        <a:p>
          <a:pPr>
            <a:buNone/>
          </a:pPr>
          <a:r>
            <a:rPr lang="hu-HU" sz="900">
              <a:solidFill>
                <a:schemeClr val="tx1"/>
              </a:solidFill>
            </a:rPr>
            <a:t>(Filimonau et al., 2020; WRAP, 2025).</a:t>
          </a:r>
        </a:p>
      </dgm:t>
    </dgm:pt>
    <dgm:pt modelId="{117AE601-DD9F-4A6F-BAA5-530D5885BC39}" type="sibTrans" cxnId="{99CA0646-02E8-4908-93E0-05177660C7CF}">
      <dgm:prSet/>
      <dgm:spPr/>
      <dgm:t>
        <a:bodyPr/>
        <a:lstStyle/>
        <a:p>
          <a:endParaRPr lang="hu-HU" sz="1800"/>
        </a:p>
      </dgm:t>
    </dgm:pt>
    <dgm:pt modelId="{84888463-9258-49E8-9D57-1BA175F4E1DD}" type="parTrans" cxnId="{99CA0646-02E8-4908-93E0-05177660C7CF}">
      <dgm:prSet/>
      <dgm:spPr/>
      <dgm:t>
        <a:bodyPr/>
        <a:lstStyle/>
        <a:p>
          <a:endParaRPr lang="hu-HU" sz="1800"/>
        </a:p>
      </dgm:t>
    </dgm:pt>
    <dgm:pt modelId="{ED33B2ED-2E12-4560-955A-66A414C13CF9}">
      <dgm:prSet phldrT="[Szöveg]" custT="1"/>
      <dgm:spPr>
        <a:noFill/>
        <a:ln>
          <a:solidFill>
            <a:schemeClr val="tx1"/>
          </a:solidFill>
        </a:ln>
      </dgm:spPr>
      <dgm:t>
        <a:bodyPr/>
        <a:lstStyle/>
        <a:p>
          <a:pPr>
            <a:buNone/>
          </a:pPr>
          <a:r>
            <a:rPr lang="hu-HU" sz="1000" b="1">
              <a:solidFill>
                <a:schemeClr val="tx1"/>
              </a:solidFill>
            </a:rPr>
            <a:t>Environmental factors</a:t>
          </a:r>
        </a:p>
        <a:p>
          <a:pPr>
            <a:buNone/>
          </a:pPr>
          <a:r>
            <a:rPr lang="hu-HU" sz="900">
              <a:solidFill>
                <a:schemeClr val="tx1"/>
              </a:solidFill>
            </a:rPr>
            <a:t>Food waste represents upstream effects and disposal challenges. Prevention provides the greatest environmental benefit.</a:t>
          </a:r>
        </a:p>
        <a:p>
          <a:pPr>
            <a:buNone/>
          </a:pPr>
          <a:r>
            <a:rPr lang="hu-HU" sz="900">
              <a:solidFill>
                <a:schemeClr val="tx1"/>
              </a:solidFill>
            </a:rPr>
            <a:t>(WRAP, 2025; Lee and Huang, 2023).</a:t>
          </a:r>
        </a:p>
      </dgm:t>
    </dgm:pt>
    <dgm:pt modelId="{8BC7120B-F269-42AF-B76D-672A4690E462}" type="sibTrans" cxnId="{655831DE-B1FE-4662-95F0-8B3F72444BA5}">
      <dgm:prSet/>
      <dgm:spPr/>
      <dgm:t>
        <a:bodyPr/>
        <a:lstStyle/>
        <a:p>
          <a:endParaRPr lang="hu-HU" sz="1800"/>
        </a:p>
      </dgm:t>
    </dgm:pt>
    <dgm:pt modelId="{2BA3024B-91FA-437E-997C-3777865A44F6}" type="parTrans" cxnId="{655831DE-B1FE-4662-95F0-8B3F72444BA5}">
      <dgm:prSet/>
      <dgm:spPr/>
      <dgm:t>
        <a:bodyPr/>
        <a:lstStyle/>
        <a:p>
          <a:endParaRPr lang="hu-HU" sz="1800"/>
        </a:p>
      </dgm:t>
    </dgm:pt>
    <dgm:pt modelId="{03BEB3F3-39BC-4678-8A96-F623AE046BA8}" type="pres">
      <dgm:prSet presAssocID="{AA12894F-0FC1-4C14-B1E6-9816A85EBD0D}" presName="cycle" presStyleCnt="0">
        <dgm:presLayoutVars>
          <dgm:dir/>
          <dgm:resizeHandles val="exact"/>
        </dgm:presLayoutVars>
      </dgm:prSet>
      <dgm:spPr/>
    </dgm:pt>
    <dgm:pt modelId="{8144E127-8988-4622-9AAD-21EE0AE11CDD}" type="pres">
      <dgm:prSet presAssocID="{BCF6F60F-F701-45F9-8306-3FEAAC387857}" presName="node" presStyleLbl="node1" presStyleIdx="0" presStyleCnt="6" custScaleX="151696" custScaleY="177570" custRadScaleRad="118609" custRadScaleInc="1835">
        <dgm:presLayoutVars>
          <dgm:bulletEnabled val="1"/>
        </dgm:presLayoutVars>
      </dgm:prSet>
      <dgm:spPr/>
    </dgm:pt>
    <dgm:pt modelId="{3018472C-4F08-42A2-B484-EE6ED1AE2D3C}" type="pres">
      <dgm:prSet presAssocID="{BCF6F60F-F701-45F9-8306-3FEAAC387857}" presName="spNode" presStyleCnt="0"/>
      <dgm:spPr/>
    </dgm:pt>
    <dgm:pt modelId="{73578EA7-2B7B-4A98-9BC7-0724F5034718}" type="pres">
      <dgm:prSet presAssocID="{117AE601-DD9F-4A6F-BAA5-530D5885BC39}" presName="sibTrans" presStyleLbl="sibTrans1D1" presStyleIdx="0" presStyleCnt="6"/>
      <dgm:spPr/>
    </dgm:pt>
    <dgm:pt modelId="{EBD9338F-B628-47FA-B533-D6B37474A3B4}" type="pres">
      <dgm:prSet presAssocID="{0D570D5E-9C4C-407B-8224-7B25835A03A3}" presName="node" presStyleLbl="node1" presStyleIdx="1" presStyleCnt="6" custScaleX="151696" custScaleY="177570" custRadScaleRad="134415" custRadScaleInc="29383">
        <dgm:presLayoutVars>
          <dgm:bulletEnabled val="1"/>
        </dgm:presLayoutVars>
      </dgm:prSet>
      <dgm:spPr/>
    </dgm:pt>
    <dgm:pt modelId="{506C83FE-796D-455B-BF97-54C3EC357520}" type="pres">
      <dgm:prSet presAssocID="{0D570D5E-9C4C-407B-8224-7B25835A03A3}" presName="spNode" presStyleCnt="0"/>
      <dgm:spPr/>
    </dgm:pt>
    <dgm:pt modelId="{A285B5FA-678B-4D65-9D96-D9876AF74FCD}" type="pres">
      <dgm:prSet presAssocID="{F02E5CAD-C839-42D9-84E8-BA1D34353886}" presName="sibTrans" presStyleLbl="sibTrans1D1" presStyleIdx="1" presStyleCnt="6"/>
      <dgm:spPr/>
    </dgm:pt>
    <dgm:pt modelId="{E21E3C93-FEAB-40ED-84DA-1F36EDB35537}" type="pres">
      <dgm:prSet presAssocID="{905D8307-9BFF-4A09-BBF6-54D318ADAADB}" presName="node" presStyleLbl="node1" presStyleIdx="2" presStyleCnt="6" custScaleX="151696" custScaleY="177570" custRadScaleRad="129109" custRadScaleInc="-64766">
        <dgm:presLayoutVars>
          <dgm:bulletEnabled val="1"/>
        </dgm:presLayoutVars>
      </dgm:prSet>
      <dgm:spPr/>
    </dgm:pt>
    <dgm:pt modelId="{38D826B4-123C-4234-9E8C-48CA763D0CA8}" type="pres">
      <dgm:prSet presAssocID="{905D8307-9BFF-4A09-BBF6-54D318ADAADB}" presName="spNode" presStyleCnt="0"/>
      <dgm:spPr/>
    </dgm:pt>
    <dgm:pt modelId="{C4AF3236-52DC-4A71-B5FE-CADDBE34A77B}" type="pres">
      <dgm:prSet presAssocID="{9D14FEE9-537C-4FF0-89FB-C50C94D546AA}" presName="sibTrans" presStyleLbl="sibTrans1D1" presStyleIdx="2" presStyleCnt="6"/>
      <dgm:spPr/>
    </dgm:pt>
    <dgm:pt modelId="{D6A0242F-696E-40CA-AC76-1F6F0B49B372}" type="pres">
      <dgm:prSet presAssocID="{ED16189A-A8DD-4164-9309-5B3AC6DD90F3}" presName="node" presStyleLbl="node1" presStyleIdx="3" presStyleCnt="6" custScaleX="154993" custScaleY="202937" custRadScaleRad="90127">
        <dgm:presLayoutVars>
          <dgm:bulletEnabled val="1"/>
        </dgm:presLayoutVars>
      </dgm:prSet>
      <dgm:spPr/>
    </dgm:pt>
    <dgm:pt modelId="{5D2D7052-DCB9-463E-A9D7-D550C671001E}" type="pres">
      <dgm:prSet presAssocID="{ED16189A-A8DD-4164-9309-5B3AC6DD90F3}" presName="spNode" presStyleCnt="0"/>
      <dgm:spPr/>
    </dgm:pt>
    <dgm:pt modelId="{6CB60D38-961D-4D6A-9059-A483730972EB}" type="pres">
      <dgm:prSet presAssocID="{2FAAFC06-9F1A-4F99-9AA9-D8104C340853}" presName="sibTrans" presStyleLbl="sibTrans1D1" presStyleIdx="3" presStyleCnt="6"/>
      <dgm:spPr/>
    </dgm:pt>
    <dgm:pt modelId="{C6DFC02B-6D03-43ED-8BFE-D9CBE84BFC59}" type="pres">
      <dgm:prSet presAssocID="{F73A9057-5F4A-49B2-A3C7-7EAAEE87B771}" presName="node" presStyleLbl="node1" presStyleIdx="4" presStyleCnt="6" custScaleX="151696" custScaleY="202937" custRadScaleRad="130999" custRadScaleInc="54685">
        <dgm:presLayoutVars>
          <dgm:bulletEnabled val="1"/>
        </dgm:presLayoutVars>
      </dgm:prSet>
      <dgm:spPr/>
    </dgm:pt>
    <dgm:pt modelId="{F9AAD76A-07EF-4120-BA6E-E94B1BA46905}" type="pres">
      <dgm:prSet presAssocID="{F73A9057-5F4A-49B2-A3C7-7EAAEE87B771}" presName="spNode" presStyleCnt="0"/>
      <dgm:spPr/>
    </dgm:pt>
    <dgm:pt modelId="{90F03C23-93E1-49E8-8027-48A12168A28E}" type="pres">
      <dgm:prSet presAssocID="{E60647DE-ED2E-4DC4-A130-AB669342F895}" presName="sibTrans" presStyleLbl="sibTrans1D1" presStyleIdx="4" presStyleCnt="6"/>
      <dgm:spPr/>
    </dgm:pt>
    <dgm:pt modelId="{D2670DC2-73F9-4AEB-8E86-528DAF1140D3}" type="pres">
      <dgm:prSet presAssocID="{ED33B2ED-2E12-4560-955A-66A414C13CF9}" presName="node" presStyleLbl="node1" presStyleIdx="5" presStyleCnt="6" custScaleX="151696" custScaleY="192791" custRadScaleRad="135546" custRadScaleInc="-33952">
        <dgm:presLayoutVars>
          <dgm:bulletEnabled val="1"/>
        </dgm:presLayoutVars>
      </dgm:prSet>
      <dgm:spPr/>
    </dgm:pt>
    <dgm:pt modelId="{198C0FF0-AE7F-4766-982F-66E4E0C9D758}" type="pres">
      <dgm:prSet presAssocID="{ED33B2ED-2E12-4560-955A-66A414C13CF9}" presName="spNode" presStyleCnt="0"/>
      <dgm:spPr/>
    </dgm:pt>
    <dgm:pt modelId="{4B5626FD-ECBD-4CF4-BC8A-BCAB1B43C208}" type="pres">
      <dgm:prSet presAssocID="{8BC7120B-F269-42AF-B76D-672A4690E462}" presName="sibTrans" presStyleLbl="sibTrans1D1" presStyleIdx="5" presStyleCnt="6"/>
      <dgm:spPr/>
    </dgm:pt>
  </dgm:ptLst>
  <dgm:cxnLst>
    <dgm:cxn modelId="{96765A12-9A74-493A-BB6B-76A4F518C296}" type="presOf" srcId="{9D14FEE9-537C-4FF0-89FB-C50C94D546AA}" destId="{C4AF3236-52DC-4A71-B5FE-CADDBE34A77B}" srcOrd="0" destOrd="0" presId="urn:microsoft.com/office/officeart/2005/8/layout/cycle6"/>
    <dgm:cxn modelId="{0E1BA92B-1F5A-4F57-B9A2-8D5EBE395B67}" srcId="{AA12894F-0FC1-4C14-B1E6-9816A85EBD0D}" destId="{ED16189A-A8DD-4164-9309-5B3AC6DD90F3}" srcOrd="3" destOrd="0" parTransId="{DDE9AF43-3C7B-464C-AA78-442588C14B69}" sibTransId="{2FAAFC06-9F1A-4F99-9AA9-D8104C340853}"/>
    <dgm:cxn modelId="{0313FB3B-78DC-4806-A3B9-738DA128A2D4}" type="presOf" srcId="{F73A9057-5F4A-49B2-A3C7-7EAAEE87B771}" destId="{C6DFC02B-6D03-43ED-8BFE-D9CBE84BFC59}" srcOrd="0" destOrd="0" presId="urn:microsoft.com/office/officeart/2005/8/layout/cycle6"/>
    <dgm:cxn modelId="{6E885045-1017-4CAF-9987-D902FF936664}" type="presOf" srcId="{ED33B2ED-2E12-4560-955A-66A414C13CF9}" destId="{D2670DC2-73F9-4AEB-8E86-528DAF1140D3}" srcOrd="0" destOrd="0" presId="urn:microsoft.com/office/officeart/2005/8/layout/cycle6"/>
    <dgm:cxn modelId="{99CA0646-02E8-4908-93E0-05177660C7CF}" srcId="{AA12894F-0FC1-4C14-B1E6-9816A85EBD0D}" destId="{BCF6F60F-F701-45F9-8306-3FEAAC387857}" srcOrd="0" destOrd="0" parTransId="{84888463-9258-49E8-9D57-1BA175F4E1DD}" sibTransId="{117AE601-DD9F-4A6F-BAA5-530D5885BC39}"/>
    <dgm:cxn modelId="{C3C54075-5E98-40EF-BB89-C7A3C4A59073}" srcId="{AA12894F-0FC1-4C14-B1E6-9816A85EBD0D}" destId="{F73A9057-5F4A-49B2-A3C7-7EAAEE87B771}" srcOrd="4" destOrd="0" parTransId="{1FAEBFF5-00D5-47CA-AECB-61B0C9C0C103}" sibTransId="{E60647DE-ED2E-4DC4-A130-AB669342F895}"/>
    <dgm:cxn modelId="{9827AC75-C252-4372-9C90-A06ED51261F4}" srcId="{AA12894F-0FC1-4C14-B1E6-9816A85EBD0D}" destId="{0D570D5E-9C4C-407B-8224-7B25835A03A3}" srcOrd="1" destOrd="0" parTransId="{C1DED6F3-8C8D-48B4-8E55-5379BECA8493}" sibTransId="{F02E5CAD-C839-42D9-84E8-BA1D34353886}"/>
    <dgm:cxn modelId="{FEB4D476-D9DB-47E9-8B70-B1B0AC922FBD}" type="presOf" srcId="{E60647DE-ED2E-4DC4-A130-AB669342F895}" destId="{90F03C23-93E1-49E8-8027-48A12168A28E}" srcOrd="0" destOrd="0" presId="urn:microsoft.com/office/officeart/2005/8/layout/cycle6"/>
    <dgm:cxn modelId="{3E438BA3-1BA9-4551-BEE2-25CBCAA0421C}" type="presOf" srcId="{AA12894F-0FC1-4C14-B1E6-9816A85EBD0D}" destId="{03BEB3F3-39BC-4678-8A96-F623AE046BA8}" srcOrd="0" destOrd="0" presId="urn:microsoft.com/office/officeart/2005/8/layout/cycle6"/>
    <dgm:cxn modelId="{534015A5-CE67-4645-9EB7-AE70CE05A0A8}" type="presOf" srcId="{BCF6F60F-F701-45F9-8306-3FEAAC387857}" destId="{8144E127-8988-4622-9AAD-21EE0AE11CDD}" srcOrd="0" destOrd="0" presId="urn:microsoft.com/office/officeart/2005/8/layout/cycle6"/>
    <dgm:cxn modelId="{D495FFBB-FCD5-4274-90E5-A6E849BEE2BF}" type="presOf" srcId="{2FAAFC06-9F1A-4F99-9AA9-D8104C340853}" destId="{6CB60D38-961D-4D6A-9059-A483730972EB}" srcOrd="0" destOrd="0" presId="urn:microsoft.com/office/officeart/2005/8/layout/cycle6"/>
    <dgm:cxn modelId="{5ED314BC-5C31-4C18-B15F-0B58E9262339}" type="presOf" srcId="{0D570D5E-9C4C-407B-8224-7B25835A03A3}" destId="{EBD9338F-B628-47FA-B533-D6B37474A3B4}" srcOrd="0" destOrd="0" presId="urn:microsoft.com/office/officeart/2005/8/layout/cycle6"/>
    <dgm:cxn modelId="{567C34BC-1D24-425D-BB77-A9374FB23DAD}" type="presOf" srcId="{ED16189A-A8DD-4164-9309-5B3AC6DD90F3}" destId="{D6A0242F-696E-40CA-AC76-1F6F0B49B372}" srcOrd="0" destOrd="0" presId="urn:microsoft.com/office/officeart/2005/8/layout/cycle6"/>
    <dgm:cxn modelId="{2ECE06D9-1C3E-407A-A791-C9D53C382D7D}" type="presOf" srcId="{8BC7120B-F269-42AF-B76D-672A4690E462}" destId="{4B5626FD-ECBD-4CF4-BC8A-BCAB1B43C208}" srcOrd="0" destOrd="0" presId="urn:microsoft.com/office/officeart/2005/8/layout/cycle6"/>
    <dgm:cxn modelId="{655831DE-B1FE-4662-95F0-8B3F72444BA5}" srcId="{AA12894F-0FC1-4C14-B1E6-9816A85EBD0D}" destId="{ED33B2ED-2E12-4560-955A-66A414C13CF9}" srcOrd="5" destOrd="0" parTransId="{2BA3024B-91FA-437E-997C-3777865A44F6}" sibTransId="{8BC7120B-F269-42AF-B76D-672A4690E462}"/>
    <dgm:cxn modelId="{D54A8EE0-A693-4DC7-AAEB-EE90AAD793C9}" type="presOf" srcId="{905D8307-9BFF-4A09-BBF6-54D318ADAADB}" destId="{E21E3C93-FEAB-40ED-84DA-1F36EDB35537}" srcOrd="0" destOrd="0" presId="urn:microsoft.com/office/officeart/2005/8/layout/cycle6"/>
    <dgm:cxn modelId="{A3FCD4E3-88FB-4F25-A9AB-5748122A6D4B}" type="presOf" srcId="{117AE601-DD9F-4A6F-BAA5-530D5885BC39}" destId="{73578EA7-2B7B-4A98-9BC7-0724F5034718}" srcOrd="0" destOrd="0" presId="urn:microsoft.com/office/officeart/2005/8/layout/cycle6"/>
    <dgm:cxn modelId="{467E0BE5-36E6-4A11-978D-7D75E67C0C1C}" type="presOf" srcId="{F02E5CAD-C839-42D9-84E8-BA1D34353886}" destId="{A285B5FA-678B-4D65-9D96-D9876AF74FCD}" srcOrd="0" destOrd="0" presId="urn:microsoft.com/office/officeart/2005/8/layout/cycle6"/>
    <dgm:cxn modelId="{597CA6FB-29EC-4933-B4FE-A30D4527B0D2}" srcId="{AA12894F-0FC1-4C14-B1E6-9816A85EBD0D}" destId="{905D8307-9BFF-4A09-BBF6-54D318ADAADB}" srcOrd="2" destOrd="0" parTransId="{96FD8496-24D6-404A-9928-D4A8702990F3}" sibTransId="{9D14FEE9-537C-4FF0-89FB-C50C94D546AA}"/>
    <dgm:cxn modelId="{D8EF755F-F3DE-465B-AFF1-D15E696D92B6}" type="presParOf" srcId="{03BEB3F3-39BC-4678-8A96-F623AE046BA8}" destId="{8144E127-8988-4622-9AAD-21EE0AE11CDD}" srcOrd="0" destOrd="0" presId="urn:microsoft.com/office/officeart/2005/8/layout/cycle6"/>
    <dgm:cxn modelId="{BA1B3126-644B-4B3D-9EB1-35EBD7A21BD4}" type="presParOf" srcId="{03BEB3F3-39BC-4678-8A96-F623AE046BA8}" destId="{3018472C-4F08-42A2-B484-EE6ED1AE2D3C}" srcOrd="1" destOrd="0" presId="urn:microsoft.com/office/officeart/2005/8/layout/cycle6"/>
    <dgm:cxn modelId="{5C24178E-91A2-4BB1-975C-3E5D53BE6358}" type="presParOf" srcId="{03BEB3F3-39BC-4678-8A96-F623AE046BA8}" destId="{73578EA7-2B7B-4A98-9BC7-0724F5034718}" srcOrd="2" destOrd="0" presId="urn:microsoft.com/office/officeart/2005/8/layout/cycle6"/>
    <dgm:cxn modelId="{B5212F5F-D21D-4C8E-BA6C-C99E5AD7F259}" type="presParOf" srcId="{03BEB3F3-39BC-4678-8A96-F623AE046BA8}" destId="{EBD9338F-B628-47FA-B533-D6B37474A3B4}" srcOrd="3" destOrd="0" presId="urn:microsoft.com/office/officeart/2005/8/layout/cycle6"/>
    <dgm:cxn modelId="{5086BDDC-B5B4-4E71-8770-E4C6F52A702D}" type="presParOf" srcId="{03BEB3F3-39BC-4678-8A96-F623AE046BA8}" destId="{506C83FE-796D-455B-BF97-54C3EC357520}" srcOrd="4" destOrd="0" presId="urn:microsoft.com/office/officeart/2005/8/layout/cycle6"/>
    <dgm:cxn modelId="{6375CBF5-20D5-4422-BD07-58A60C869158}" type="presParOf" srcId="{03BEB3F3-39BC-4678-8A96-F623AE046BA8}" destId="{A285B5FA-678B-4D65-9D96-D9876AF74FCD}" srcOrd="5" destOrd="0" presId="urn:microsoft.com/office/officeart/2005/8/layout/cycle6"/>
    <dgm:cxn modelId="{014B07B5-58E2-4DEE-9895-C434B2B6F3E3}" type="presParOf" srcId="{03BEB3F3-39BC-4678-8A96-F623AE046BA8}" destId="{E21E3C93-FEAB-40ED-84DA-1F36EDB35537}" srcOrd="6" destOrd="0" presId="urn:microsoft.com/office/officeart/2005/8/layout/cycle6"/>
    <dgm:cxn modelId="{38137BD8-7E5C-408D-B8D3-5B76E258C24C}" type="presParOf" srcId="{03BEB3F3-39BC-4678-8A96-F623AE046BA8}" destId="{38D826B4-123C-4234-9E8C-48CA763D0CA8}" srcOrd="7" destOrd="0" presId="urn:microsoft.com/office/officeart/2005/8/layout/cycle6"/>
    <dgm:cxn modelId="{54B5F224-581E-4D7C-9154-915BD1057025}" type="presParOf" srcId="{03BEB3F3-39BC-4678-8A96-F623AE046BA8}" destId="{C4AF3236-52DC-4A71-B5FE-CADDBE34A77B}" srcOrd="8" destOrd="0" presId="urn:microsoft.com/office/officeart/2005/8/layout/cycle6"/>
    <dgm:cxn modelId="{8911002A-93CA-4E1B-B4B2-AC0432E3D0BF}" type="presParOf" srcId="{03BEB3F3-39BC-4678-8A96-F623AE046BA8}" destId="{D6A0242F-696E-40CA-AC76-1F6F0B49B372}" srcOrd="9" destOrd="0" presId="urn:microsoft.com/office/officeart/2005/8/layout/cycle6"/>
    <dgm:cxn modelId="{D9A7D8A9-BCFB-41C7-A396-A6B04DA490C0}" type="presParOf" srcId="{03BEB3F3-39BC-4678-8A96-F623AE046BA8}" destId="{5D2D7052-DCB9-463E-A9D7-D550C671001E}" srcOrd="10" destOrd="0" presId="urn:microsoft.com/office/officeart/2005/8/layout/cycle6"/>
    <dgm:cxn modelId="{0D160A83-4C2B-4C71-BC75-818A2FE3FADE}" type="presParOf" srcId="{03BEB3F3-39BC-4678-8A96-F623AE046BA8}" destId="{6CB60D38-961D-4D6A-9059-A483730972EB}" srcOrd="11" destOrd="0" presId="urn:microsoft.com/office/officeart/2005/8/layout/cycle6"/>
    <dgm:cxn modelId="{38805A8E-20BC-4EFB-98AB-BA17847220C0}" type="presParOf" srcId="{03BEB3F3-39BC-4678-8A96-F623AE046BA8}" destId="{C6DFC02B-6D03-43ED-8BFE-D9CBE84BFC59}" srcOrd="12" destOrd="0" presId="urn:microsoft.com/office/officeart/2005/8/layout/cycle6"/>
    <dgm:cxn modelId="{8FD09128-BA7F-4A27-A22E-11338FE2E4FB}" type="presParOf" srcId="{03BEB3F3-39BC-4678-8A96-F623AE046BA8}" destId="{F9AAD76A-07EF-4120-BA6E-E94B1BA46905}" srcOrd="13" destOrd="0" presId="urn:microsoft.com/office/officeart/2005/8/layout/cycle6"/>
    <dgm:cxn modelId="{3683C5A2-59E9-4649-8890-FECF0CFF6347}" type="presParOf" srcId="{03BEB3F3-39BC-4678-8A96-F623AE046BA8}" destId="{90F03C23-93E1-49E8-8027-48A12168A28E}" srcOrd="14" destOrd="0" presId="urn:microsoft.com/office/officeart/2005/8/layout/cycle6"/>
    <dgm:cxn modelId="{A6272D3C-0EED-47FD-9E1B-F0A325029B8B}" type="presParOf" srcId="{03BEB3F3-39BC-4678-8A96-F623AE046BA8}" destId="{D2670DC2-73F9-4AEB-8E86-528DAF1140D3}" srcOrd="15" destOrd="0" presId="urn:microsoft.com/office/officeart/2005/8/layout/cycle6"/>
    <dgm:cxn modelId="{E9A4B05E-E413-4AD1-B2A9-FA16D9742016}" type="presParOf" srcId="{03BEB3F3-39BC-4678-8A96-F623AE046BA8}" destId="{198C0FF0-AE7F-4766-982F-66E4E0C9D758}" srcOrd="16" destOrd="0" presId="urn:microsoft.com/office/officeart/2005/8/layout/cycle6"/>
    <dgm:cxn modelId="{54C06200-DA6E-4B7D-8986-DBCDFF5F4BD1}" type="presParOf" srcId="{03BEB3F3-39BC-4678-8A96-F623AE046BA8}" destId="{4B5626FD-ECBD-4CF4-BC8A-BCAB1B43C208}" srcOrd="17" destOrd="0" presId="urn:microsoft.com/office/officeart/2005/8/layout/cycle6"/>
  </dgm:cxnLst>
  <dgm:bg>
    <a:noFill/>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B9A0257-0E3F-4FFB-98D0-4E85A6CD5009}"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hu-HU"/>
        </a:p>
      </dgm:t>
    </dgm:pt>
    <dgm:pt modelId="{6FE83961-3CFE-424E-820D-924E1005F6CF}">
      <dgm:prSet phldrT="[Szöveg]" custT="1"/>
      <dgm:spPr>
        <a:noFill/>
        <a:ln>
          <a:solidFill>
            <a:schemeClr val="tx1"/>
          </a:solidFill>
        </a:ln>
      </dgm:spPr>
      <dgm:t>
        <a:bodyPr/>
        <a:lstStyle/>
        <a:p>
          <a:pPr>
            <a:buNone/>
          </a:pPr>
          <a:r>
            <a:rPr lang="hu-HU" sz="1200" b="1">
              <a:solidFill>
                <a:schemeClr val="tx1"/>
              </a:solidFill>
            </a:rPr>
            <a:t>Strengths</a:t>
          </a:r>
        </a:p>
        <a:p>
          <a:pPr>
            <a:buNone/>
          </a:pPr>
          <a:r>
            <a:rPr lang="hu-HU" sz="1000">
              <a:solidFill>
                <a:schemeClr val="tx1"/>
              </a:solidFill>
            </a:rPr>
            <a:t>Clear cost-saving case. Strong evidence base for prevention levers (forecasting discipline, lean routines, buffet design).</a:t>
          </a:r>
        </a:p>
        <a:p>
          <a:pPr>
            <a:buNone/>
          </a:pPr>
          <a:r>
            <a:rPr lang="hu-HU" sz="1000">
              <a:solidFill>
                <a:schemeClr val="tx1"/>
              </a:solidFill>
            </a:rPr>
            <a:t>(WRAP, 2025; Gładysz, Buczacki and Haskins, 2020; Cozzio, Tokarchuk and Maurer, 2021)</a:t>
          </a:r>
        </a:p>
      </dgm:t>
    </dgm:pt>
    <dgm:pt modelId="{5A3ED8CF-B715-40D8-9236-6C46CFC6B9BA}" type="parTrans" cxnId="{D20E42C2-932A-46E6-997F-8FF50659484F}">
      <dgm:prSet/>
      <dgm:spPr/>
      <dgm:t>
        <a:bodyPr/>
        <a:lstStyle/>
        <a:p>
          <a:endParaRPr lang="hu-HU"/>
        </a:p>
      </dgm:t>
    </dgm:pt>
    <dgm:pt modelId="{7766582F-1E01-4C00-AB6F-51A352F55D1D}" type="sibTrans" cxnId="{D20E42C2-932A-46E6-997F-8FF50659484F}">
      <dgm:prSet/>
      <dgm:spPr/>
      <dgm:t>
        <a:bodyPr/>
        <a:lstStyle/>
        <a:p>
          <a:endParaRPr lang="hu-HU"/>
        </a:p>
      </dgm:t>
    </dgm:pt>
    <dgm:pt modelId="{6BD4390A-2DA8-415F-B1AB-6711CC861D2F}">
      <dgm:prSet phldrT="[Szöveg]" custT="1"/>
      <dgm:spPr>
        <a:noFill/>
        <a:ln>
          <a:solidFill>
            <a:schemeClr val="tx1"/>
          </a:solidFill>
        </a:ln>
      </dgm:spPr>
      <dgm:t>
        <a:bodyPr/>
        <a:lstStyle/>
        <a:p>
          <a:pPr>
            <a:buNone/>
          </a:pPr>
          <a:r>
            <a:rPr lang="hu-HU" sz="1200" b="1">
              <a:solidFill>
                <a:schemeClr val="tx1"/>
              </a:solidFill>
            </a:rPr>
            <a:t>Weaknesses</a:t>
          </a:r>
        </a:p>
        <a:p>
          <a:pPr>
            <a:buNone/>
          </a:pPr>
          <a:r>
            <a:rPr lang="hu-HU" sz="1000">
              <a:solidFill>
                <a:schemeClr val="tx1"/>
              </a:solidFill>
            </a:rPr>
            <a:t>Volatile demand. Fragmented responsibilities; weak measurement and training gaps reduce durability.</a:t>
          </a:r>
        </a:p>
        <a:p>
          <a:pPr>
            <a:buNone/>
          </a:pPr>
          <a:r>
            <a:rPr lang="hu-HU" sz="1000">
              <a:solidFill>
                <a:schemeClr val="tx1"/>
              </a:solidFill>
            </a:rPr>
            <a:t>(Filimonau et al., 2020; Rady et al., 2021; Chawla, Lugosi and Hawkins, 2021)</a:t>
          </a:r>
        </a:p>
      </dgm:t>
    </dgm:pt>
    <dgm:pt modelId="{B8842790-1959-4398-9A47-7769C24D7C90}" type="parTrans" cxnId="{03305305-0025-456C-9E06-994BF04894C4}">
      <dgm:prSet/>
      <dgm:spPr/>
      <dgm:t>
        <a:bodyPr/>
        <a:lstStyle/>
        <a:p>
          <a:endParaRPr lang="hu-HU"/>
        </a:p>
      </dgm:t>
    </dgm:pt>
    <dgm:pt modelId="{9457CE49-D206-42A1-9C2B-A47DB0539914}" type="sibTrans" cxnId="{03305305-0025-456C-9E06-994BF04894C4}">
      <dgm:prSet/>
      <dgm:spPr/>
      <dgm:t>
        <a:bodyPr/>
        <a:lstStyle/>
        <a:p>
          <a:endParaRPr lang="hu-HU"/>
        </a:p>
      </dgm:t>
    </dgm:pt>
    <dgm:pt modelId="{49A37FEA-95F3-411E-855C-DDCC58376D06}">
      <dgm:prSet phldrT="[Szöveg]" custT="1"/>
      <dgm:spPr>
        <a:noFill/>
        <a:ln>
          <a:solidFill>
            <a:schemeClr val="tx1"/>
          </a:solidFill>
        </a:ln>
      </dgm:spPr>
      <dgm:t>
        <a:bodyPr/>
        <a:lstStyle/>
        <a:p>
          <a:pPr>
            <a:buNone/>
          </a:pPr>
          <a:r>
            <a:rPr lang="hu-HU" sz="1200" b="1">
              <a:solidFill>
                <a:schemeClr val="tx1"/>
              </a:solidFill>
            </a:rPr>
            <a:t>Opportunities</a:t>
          </a:r>
        </a:p>
        <a:p>
          <a:pPr>
            <a:buNone/>
          </a:pPr>
          <a:r>
            <a:rPr lang="hu-HU" sz="1000">
              <a:solidFill>
                <a:schemeClr val="tx1"/>
              </a:solidFill>
            </a:rPr>
            <a:t>Competitive advantage from integrated sustainability. Low-capital improvements. Better governance and monitoring can stabilise performance.</a:t>
          </a:r>
        </a:p>
        <a:p>
          <a:pPr>
            <a:buNone/>
          </a:pPr>
          <a:r>
            <a:rPr lang="hu-HU" sz="1000">
              <a:solidFill>
                <a:schemeClr val="tx1"/>
              </a:solidFill>
            </a:rPr>
            <a:t>(Moliner et al., 2021; Wu and Teng, 2022; Amicarelli et al., 2021)</a:t>
          </a:r>
        </a:p>
      </dgm:t>
    </dgm:pt>
    <dgm:pt modelId="{91E59DA7-0594-4C6B-BA27-EBAF9D331D31}" type="parTrans" cxnId="{E91D3A3F-4B7B-41CF-8B0C-6992106B6D87}">
      <dgm:prSet/>
      <dgm:spPr/>
      <dgm:t>
        <a:bodyPr/>
        <a:lstStyle/>
        <a:p>
          <a:endParaRPr lang="hu-HU"/>
        </a:p>
      </dgm:t>
    </dgm:pt>
    <dgm:pt modelId="{56017C1F-8F37-4F0C-864E-92DB9CAE4A60}" type="sibTrans" cxnId="{E91D3A3F-4B7B-41CF-8B0C-6992106B6D87}">
      <dgm:prSet/>
      <dgm:spPr/>
      <dgm:t>
        <a:bodyPr/>
        <a:lstStyle/>
        <a:p>
          <a:endParaRPr lang="hu-HU"/>
        </a:p>
      </dgm:t>
    </dgm:pt>
    <dgm:pt modelId="{15163873-C8D4-4661-87CD-7BDCB69847A3}">
      <dgm:prSet phldrT="[Szöveg]" custT="1"/>
      <dgm:spPr>
        <a:noFill/>
        <a:ln>
          <a:solidFill>
            <a:schemeClr val="tx1"/>
          </a:solidFill>
        </a:ln>
      </dgm:spPr>
      <dgm:t>
        <a:bodyPr/>
        <a:lstStyle/>
        <a:p>
          <a:pPr>
            <a:buNone/>
          </a:pPr>
          <a:r>
            <a:rPr lang="hu-HU" sz="1200" b="1">
              <a:solidFill>
                <a:schemeClr val="tx1"/>
              </a:solidFill>
            </a:rPr>
            <a:t>Threats</a:t>
          </a:r>
        </a:p>
        <a:p>
          <a:pPr>
            <a:buNone/>
          </a:pPr>
          <a:r>
            <a:rPr lang="hu-HU" sz="1000">
              <a:solidFill>
                <a:schemeClr val="tx1"/>
              </a:solidFill>
            </a:rPr>
            <a:t>Food-safety constraints and perceived liability. Abundance norms in buffets. Feasibility limits for small hotels.</a:t>
          </a:r>
        </a:p>
        <a:p>
          <a:pPr>
            <a:buNone/>
          </a:pPr>
          <a:r>
            <a:rPr lang="hu-HU" sz="1000">
              <a:solidFill>
                <a:schemeClr val="tx1"/>
              </a:solidFill>
            </a:rPr>
            <a:t>(Metro Turkey, Ministry of Agriculture and Forestry and FAO, 2019; Appel, Ayalon and Collins-Kreiner, 2025; Amicarelli et al., 2021)</a:t>
          </a:r>
        </a:p>
      </dgm:t>
    </dgm:pt>
    <dgm:pt modelId="{0EA065C2-FDB0-423F-A472-291306D1C753}" type="parTrans" cxnId="{01D76E68-8E47-46F4-AC0D-2ED2CC781D48}">
      <dgm:prSet/>
      <dgm:spPr/>
      <dgm:t>
        <a:bodyPr/>
        <a:lstStyle/>
        <a:p>
          <a:endParaRPr lang="hu-HU"/>
        </a:p>
      </dgm:t>
    </dgm:pt>
    <dgm:pt modelId="{E9D7C309-AFD7-480D-A75D-92335AC33391}" type="sibTrans" cxnId="{01D76E68-8E47-46F4-AC0D-2ED2CC781D48}">
      <dgm:prSet/>
      <dgm:spPr/>
      <dgm:t>
        <a:bodyPr/>
        <a:lstStyle/>
        <a:p>
          <a:endParaRPr lang="hu-HU"/>
        </a:p>
      </dgm:t>
    </dgm:pt>
    <dgm:pt modelId="{C4A28854-361D-466D-8134-982C6C674B4C}" type="pres">
      <dgm:prSet presAssocID="{1B9A0257-0E3F-4FFB-98D0-4E85A6CD5009}" presName="diagram" presStyleCnt="0">
        <dgm:presLayoutVars>
          <dgm:dir/>
          <dgm:resizeHandles val="exact"/>
        </dgm:presLayoutVars>
      </dgm:prSet>
      <dgm:spPr/>
    </dgm:pt>
    <dgm:pt modelId="{3F27B044-3462-4CB6-A039-49BA2A86237F}" type="pres">
      <dgm:prSet presAssocID="{6FE83961-3CFE-424E-820D-924E1005F6CF}" presName="node" presStyleLbl="node1" presStyleIdx="0" presStyleCnt="4">
        <dgm:presLayoutVars>
          <dgm:bulletEnabled val="1"/>
        </dgm:presLayoutVars>
      </dgm:prSet>
      <dgm:spPr>
        <a:prstGeom prst="roundRect">
          <a:avLst/>
        </a:prstGeom>
      </dgm:spPr>
    </dgm:pt>
    <dgm:pt modelId="{2CEE25A5-BBAD-4869-A8AE-258FC5ACFA08}" type="pres">
      <dgm:prSet presAssocID="{7766582F-1E01-4C00-AB6F-51A352F55D1D}" presName="sibTrans" presStyleCnt="0"/>
      <dgm:spPr/>
    </dgm:pt>
    <dgm:pt modelId="{96905296-6395-4195-B475-57DCD208D63D}" type="pres">
      <dgm:prSet presAssocID="{6BD4390A-2DA8-415F-B1AB-6711CC861D2F}" presName="node" presStyleLbl="node1" presStyleIdx="1" presStyleCnt="4">
        <dgm:presLayoutVars>
          <dgm:bulletEnabled val="1"/>
        </dgm:presLayoutVars>
      </dgm:prSet>
      <dgm:spPr>
        <a:prstGeom prst="roundRect">
          <a:avLst/>
        </a:prstGeom>
      </dgm:spPr>
    </dgm:pt>
    <dgm:pt modelId="{ED97E723-6526-43D0-8421-2379E98BA217}" type="pres">
      <dgm:prSet presAssocID="{9457CE49-D206-42A1-9C2B-A47DB0539914}" presName="sibTrans" presStyleCnt="0"/>
      <dgm:spPr/>
    </dgm:pt>
    <dgm:pt modelId="{EC86A6B3-BDA6-4611-8BB5-FD7F57D55C32}" type="pres">
      <dgm:prSet presAssocID="{49A37FEA-95F3-411E-855C-DDCC58376D06}" presName="node" presStyleLbl="node1" presStyleIdx="2" presStyleCnt="4">
        <dgm:presLayoutVars>
          <dgm:bulletEnabled val="1"/>
        </dgm:presLayoutVars>
      </dgm:prSet>
      <dgm:spPr>
        <a:prstGeom prst="roundRect">
          <a:avLst/>
        </a:prstGeom>
      </dgm:spPr>
    </dgm:pt>
    <dgm:pt modelId="{9B7C427C-0253-49DF-8DF4-87B103A04F62}" type="pres">
      <dgm:prSet presAssocID="{56017C1F-8F37-4F0C-864E-92DB9CAE4A60}" presName="sibTrans" presStyleCnt="0"/>
      <dgm:spPr/>
    </dgm:pt>
    <dgm:pt modelId="{BA32B295-D9BA-4420-860E-79660BFC05A1}" type="pres">
      <dgm:prSet presAssocID="{15163873-C8D4-4661-87CD-7BDCB69847A3}" presName="node" presStyleLbl="node1" presStyleIdx="3" presStyleCnt="4">
        <dgm:presLayoutVars>
          <dgm:bulletEnabled val="1"/>
        </dgm:presLayoutVars>
      </dgm:prSet>
      <dgm:spPr>
        <a:prstGeom prst="roundRect">
          <a:avLst/>
        </a:prstGeom>
      </dgm:spPr>
    </dgm:pt>
  </dgm:ptLst>
  <dgm:cxnLst>
    <dgm:cxn modelId="{0FE27202-4A67-4CDB-91DD-4A6F77910209}" type="presOf" srcId="{1B9A0257-0E3F-4FFB-98D0-4E85A6CD5009}" destId="{C4A28854-361D-466D-8134-982C6C674B4C}" srcOrd="0" destOrd="0" presId="urn:microsoft.com/office/officeart/2005/8/layout/default"/>
    <dgm:cxn modelId="{03305305-0025-456C-9E06-994BF04894C4}" srcId="{1B9A0257-0E3F-4FFB-98D0-4E85A6CD5009}" destId="{6BD4390A-2DA8-415F-B1AB-6711CC861D2F}" srcOrd="1" destOrd="0" parTransId="{B8842790-1959-4398-9A47-7769C24D7C90}" sibTransId="{9457CE49-D206-42A1-9C2B-A47DB0539914}"/>
    <dgm:cxn modelId="{C582861E-ACB8-4CE7-A166-4B49A4A73673}" type="presOf" srcId="{15163873-C8D4-4661-87CD-7BDCB69847A3}" destId="{BA32B295-D9BA-4420-860E-79660BFC05A1}" srcOrd="0" destOrd="0" presId="urn:microsoft.com/office/officeart/2005/8/layout/default"/>
    <dgm:cxn modelId="{E91D3A3F-4B7B-41CF-8B0C-6992106B6D87}" srcId="{1B9A0257-0E3F-4FFB-98D0-4E85A6CD5009}" destId="{49A37FEA-95F3-411E-855C-DDCC58376D06}" srcOrd="2" destOrd="0" parTransId="{91E59DA7-0594-4C6B-BA27-EBAF9D331D31}" sibTransId="{56017C1F-8F37-4F0C-864E-92DB9CAE4A60}"/>
    <dgm:cxn modelId="{A2BA3340-B131-4D5F-83DD-CFBEF21427A5}" type="presOf" srcId="{49A37FEA-95F3-411E-855C-DDCC58376D06}" destId="{EC86A6B3-BDA6-4611-8BB5-FD7F57D55C32}" srcOrd="0" destOrd="0" presId="urn:microsoft.com/office/officeart/2005/8/layout/default"/>
    <dgm:cxn modelId="{01D76E68-8E47-46F4-AC0D-2ED2CC781D48}" srcId="{1B9A0257-0E3F-4FFB-98D0-4E85A6CD5009}" destId="{15163873-C8D4-4661-87CD-7BDCB69847A3}" srcOrd="3" destOrd="0" parTransId="{0EA065C2-FDB0-423F-A472-291306D1C753}" sibTransId="{E9D7C309-AFD7-480D-A75D-92335AC33391}"/>
    <dgm:cxn modelId="{7D92B4A9-A62D-4283-9AB4-36A832E2211B}" type="presOf" srcId="{6FE83961-3CFE-424E-820D-924E1005F6CF}" destId="{3F27B044-3462-4CB6-A039-49BA2A86237F}" srcOrd="0" destOrd="0" presId="urn:microsoft.com/office/officeart/2005/8/layout/default"/>
    <dgm:cxn modelId="{851079BB-5875-4A23-8FD1-42972970D357}" type="presOf" srcId="{6BD4390A-2DA8-415F-B1AB-6711CC861D2F}" destId="{96905296-6395-4195-B475-57DCD208D63D}" srcOrd="0" destOrd="0" presId="urn:microsoft.com/office/officeart/2005/8/layout/default"/>
    <dgm:cxn modelId="{D20E42C2-932A-46E6-997F-8FF50659484F}" srcId="{1B9A0257-0E3F-4FFB-98D0-4E85A6CD5009}" destId="{6FE83961-3CFE-424E-820D-924E1005F6CF}" srcOrd="0" destOrd="0" parTransId="{5A3ED8CF-B715-40D8-9236-6C46CFC6B9BA}" sibTransId="{7766582F-1E01-4C00-AB6F-51A352F55D1D}"/>
    <dgm:cxn modelId="{55AE5C88-F1AD-4F1E-BF35-DD9A602EB3D2}" type="presParOf" srcId="{C4A28854-361D-466D-8134-982C6C674B4C}" destId="{3F27B044-3462-4CB6-A039-49BA2A86237F}" srcOrd="0" destOrd="0" presId="urn:microsoft.com/office/officeart/2005/8/layout/default"/>
    <dgm:cxn modelId="{79E12C19-DEA1-44A9-839A-7665B54AD154}" type="presParOf" srcId="{C4A28854-361D-466D-8134-982C6C674B4C}" destId="{2CEE25A5-BBAD-4869-A8AE-258FC5ACFA08}" srcOrd="1" destOrd="0" presId="urn:microsoft.com/office/officeart/2005/8/layout/default"/>
    <dgm:cxn modelId="{5E22FA9B-874A-476E-867A-8A78B5BEEDA6}" type="presParOf" srcId="{C4A28854-361D-466D-8134-982C6C674B4C}" destId="{96905296-6395-4195-B475-57DCD208D63D}" srcOrd="2" destOrd="0" presId="urn:microsoft.com/office/officeart/2005/8/layout/default"/>
    <dgm:cxn modelId="{063D41B1-551F-42C9-8E96-EA3B2FF63B7D}" type="presParOf" srcId="{C4A28854-361D-466D-8134-982C6C674B4C}" destId="{ED97E723-6526-43D0-8421-2379E98BA217}" srcOrd="3" destOrd="0" presId="urn:microsoft.com/office/officeart/2005/8/layout/default"/>
    <dgm:cxn modelId="{ED8E56DA-D7F6-4D00-9A32-894A71BC48AD}" type="presParOf" srcId="{C4A28854-361D-466D-8134-982C6C674B4C}" destId="{EC86A6B3-BDA6-4611-8BB5-FD7F57D55C32}" srcOrd="4" destOrd="0" presId="urn:microsoft.com/office/officeart/2005/8/layout/default"/>
    <dgm:cxn modelId="{04B89DDE-B43D-4F87-88F5-5B93D092F1D6}" type="presParOf" srcId="{C4A28854-361D-466D-8134-982C6C674B4C}" destId="{9B7C427C-0253-49DF-8DF4-87B103A04F62}" srcOrd="5" destOrd="0" presId="urn:microsoft.com/office/officeart/2005/8/layout/default"/>
    <dgm:cxn modelId="{4702F2C4-3BD2-4255-BB7A-E26247A28333}" type="presParOf" srcId="{C4A28854-361D-466D-8134-982C6C674B4C}" destId="{BA32B295-D9BA-4420-860E-79660BFC05A1}" srcOrd="6"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0151BB-0051-4AB6-BA88-1A56FAD759EE}">
      <dsp:nvSpPr>
        <dsp:cNvPr id="0" name=""/>
        <dsp:cNvSpPr/>
      </dsp:nvSpPr>
      <dsp:spPr>
        <a:xfrm>
          <a:off x="654694" y="0"/>
          <a:ext cx="5339810" cy="4147200"/>
        </a:xfrm>
        <a:prstGeom prst="quadArrow">
          <a:avLst>
            <a:gd name="adj1" fmla="val 2000"/>
            <a:gd name="adj2" fmla="val 4000"/>
            <a:gd name="adj3" fmla="val 5000"/>
          </a:avLst>
        </a:prstGeom>
        <a:solidFill>
          <a:schemeClr val="tx1">
            <a:lumMod val="65000"/>
            <a:lumOff val="35000"/>
          </a:schemeClr>
        </a:solidFill>
        <a:ln>
          <a:noFill/>
        </a:ln>
        <a:effectLst/>
      </dsp:spPr>
      <dsp:style>
        <a:lnRef idx="0">
          <a:scrgbClr r="0" g="0" b="0"/>
        </a:lnRef>
        <a:fillRef idx="1">
          <a:scrgbClr r="0" g="0" b="0"/>
        </a:fillRef>
        <a:effectRef idx="0">
          <a:scrgbClr r="0" g="0" b="0"/>
        </a:effectRef>
        <a:fontRef idx="minor"/>
      </dsp:style>
    </dsp:sp>
    <dsp:sp modelId="{420597C1-465D-4BA2-8683-EABA92BAA21E}">
      <dsp:nvSpPr>
        <dsp:cNvPr id="0" name=""/>
        <dsp:cNvSpPr/>
      </dsp:nvSpPr>
      <dsp:spPr>
        <a:xfrm>
          <a:off x="850911" y="129152"/>
          <a:ext cx="2159994" cy="1800000"/>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hu-HU" sz="1100" b="1" kern="1200">
              <a:solidFill>
                <a:schemeClr val="tx1"/>
              </a:solidFill>
            </a:rPr>
            <a:t>Political factors</a:t>
          </a:r>
        </a:p>
        <a:p>
          <a:pPr marL="0" lvl="0" indent="0" algn="ctr" defTabSz="488950">
            <a:lnSpc>
              <a:spcPct val="90000"/>
            </a:lnSpc>
            <a:spcBef>
              <a:spcPct val="0"/>
            </a:spcBef>
            <a:spcAft>
              <a:spcPct val="35000"/>
            </a:spcAft>
            <a:buNone/>
          </a:pPr>
          <a:r>
            <a:rPr lang="hu-HU" sz="900" kern="1200">
              <a:solidFill>
                <a:schemeClr val="tx1"/>
              </a:solidFill>
            </a:rPr>
            <a:t>Increased policy pressure to reduce food waste and track progress in reduction efforts. Sustainability pressures on organizations create a reputational risk related to food waste visibility.</a:t>
          </a:r>
        </a:p>
        <a:p>
          <a:pPr marL="0" lvl="0" indent="0" algn="ctr" defTabSz="488950">
            <a:lnSpc>
              <a:spcPct val="90000"/>
            </a:lnSpc>
            <a:spcBef>
              <a:spcPct val="0"/>
            </a:spcBef>
            <a:spcAft>
              <a:spcPct val="35000"/>
            </a:spcAft>
            <a:buNone/>
          </a:pPr>
          <a:r>
            <a:rPr lang="hu-HU" sz="900" kern="1200">
              <a:solidFill>
                <a:schemeClr val="tx1"/>
              </a:solidFill>
            </a:rPr>
            <a:t>(Filimonau et al., 2020; WRAP, 2025)</a:t>
          </a:r>
          <a:endParaRPr lang="hu-HU" sz="800" kern="1200"/>
        </a:p>
      </dsp:txBody>
      <dsp:txXfrm>
        <a:off x="938780" y="217021"/>
        <a:ext cx="1984256" cy="1624262"/>
      </dsp:txXfrm>
    </dsp:sp>
    <dsp:sp modelId="{B2A53515-97DD-43C4-BD33-AC8743A9CF53}">
      <dsp:nvSpPr>
        <dsp:cNvPr id="0" name=""/>
        <dsp:cNvSpPr/>
      </dsp:nvSpPr>
      <dsp:spPr>
        <a:xfrm>
          <a:off x="3651001" y="111999"/>
          <a:ext cx="2159994" cy="1800000"/>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hu-HU" sz="1100" b="1" kern="1200">
              <a:solidFill>
                <a:schemeClr val="tx1"/>
              </a:solidFill>
            </a:rPr>
            <a:t>Economic factors</a:t>
          </a:r>
        </a:p>
        <a:p>
          <a:pPr marL="0" lvl="0" indent="0" algn="ctr" defTabSz="488950">
            <a:lnSpc>
              <a:spcPct val="90000"/>
            </a:lnSpc>
            <a:spcBef>
              <a:spcPct val="0"/>
            </a:spcBef>
            <a:spcAft>
              <a:spcPct val="35000"/>
            </a:spcAft>
            <a:buNone/>
          </a:pPr>
          <a:r>
            <a:rPr lang="hu-HU" sz="900" kern="1200">
              <a:solidFill>
                <a:schemeClr val="tx1"/>
              </a:solidFill>
            </a:rPr>
            <a:t>Direct cost of food waste is substantial in hotels, with the largest potential reduction area being prevention, which has the greatest value potential, yet hotels are at risk of supply chain shortages, which can outweigh reduction efforts.</a:t>
          </a:r>
        </a:p>
        <a:p>
          <a:pPr marL="0" lvl="0" indent="0" algn="ctr" defTabSz="488950">
            <a:lnSpc>
              <a:spcPct val="90000"/>
            </a:lnSpc>
            <a:spcBef>
              <a:spcPct val="0"/>
            </a:spcBef>
            <a:spcAft>
              <a:spcPct val="35000"/>
            </a:spcAft>
            <a:buNone/>
          </a:pPr>
          <a:r>
            <a:rPr lang="hu-HU" sz="900" kern="1200">
              <a:solidFill>
                <a:schemeClr val="tx1"/>
              </a:solidFill>
            </a:rPr>
            <a:t>(Chawla, Lugosi and Hawkins, 2021; WRAP, 2025).</a:t>
          </a:r>
        </a:p>
      </dsp:txBody>
      <dsp:txXfrm>
        <a:off x="3738870" y="199868"/>
        <a:ext cx="1984256" cy="1624262"/>
      </dsp:txXfrm>
    </dsp:sp>
    <dsp:sp modelId="{ECDAC136-5882-43CF-A58B-0AB76827E9E9}">
      <dsp:nvSpPr>
        <dsp:cNvPr id="0" name=""/>
        <dsp:cNvSpPr/>
      </dsp:nvSpPr>
      <dsp:spPr>
        <a:xfrm>
          <a:off x="876308" y="2237090"/>
          <a:ext cx="2159994" cy="1800000"/>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hu-HU" sz="1100" b="1" kern="1200">
              <a:solidFill>
                <a:schemeClr val="tx1"/>
              </a:solidFill>
            </a:rPr>
            <a:t>Social factors</a:t>
          </a:r>
        </a:p>
        <a:p>
          <a:pPr marL="0" lvl="0" indent="0" algn="ctr" defTabSz="488950">
            <a:lnSpc>
              <a:spcPct val="90000"/>
            </a:lnSpc>
            <a:spcBef>
              <a:spcPct val="0"/>
            </a:spcBef>
            <a:spcAft>
              <a:spcPct val="35000"/>
            </a:spcAft>
            <a:buNone/>
          </a:pPr>
          <a:r>
            <a:rPr lang="hu-HU" sz="900" kern="1200">
              <a:solidFill>
                <a:schemeClr val="tx1"/>
              </a:solidFill>
            </a:rPr>
            <a:t>Buffet norms and value cues drive over-serving and plate waste. Behaviour shows an intention–action gap in buffet settings.</a:t>
          </a:r>
        </a:p>
        <a:p>
          <a:pPr marL="0" lvl="0" indent="0" algn="ctr" defTabSz="488950">
            <a:lnSpc>
              <a:spcPct val="90000"/>
            </a:lnSpc>
            <a:spcBef>
              <a:spcPct val="0"/>
            </a:spcBef>
            <a:spcAft>
              <a:spcPct val="35000"/>
            </a:spcAft>
            <a:buNone/>
          </a:pPr>
          <a:r>
            <a:rPr lang="hu-HU" sz="900" kern="1200">
              <a:solidFill>
                <a:schemeClr val="tx1"/>
              </a:solidFill>
            </a:rPr>
            <a:t>(Appel, Ayalon and Collins-Kreiner, 2025; Danzer and Zeidler, 2025; Juvan, Grün and Dolnicar, 2017)</a:t>
          </a:r>
        </a:p>
      </dsp:txBody>
      <dsp:txXfrm>
        <a:off x="964177" y="2324959"/>
        <a:ext cx="1984256" cy="1624262"/>
      </dsp:txXfrm>
    </dsp:sp>
    <dsp:sp modelId="{4487C33E-4649-4698-8918-B91335AB6A6E}">
      <dsp:nvSpPr>
        <dsp:cNvPr id="0" name=""/>
        <dsp:cNvSpPr/>
      </dsp:nvSpPr>
      <dsp:spPr>
        <a:xfrm>
          <a:off x="3638294" y="2218046"/>
          <a:ext cx="2159994" cy="1800000"/>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hu-HU" sz="1100" b="1" kern="1200">
              <a:solidFill>
                <a:schemeClr val="tx1"/>
              </a:solidFill>
            </a:rPr>
            <a:t>Technological factors</a:t>
          </a:r>
        </a:p>
        <a:p>
          <a:pPr marL="0" lvl="0" indent="0" algn="ctr" defTabSz="488950">
            <a:lnSpc>
              <a:spcPct val="90000"/>
            </a:lnSpc>
            <a:spcBef>
              <a:spcPct val="0"/>
            </a:spcBef>
            <a:spcAft>
              <a:spcPct val="35000"/>
            </a:spcAft>
            <a:buNone/>
          </a:pPr>
          <a:r>
            <a:rPr lang="hu-HU" sz="900" kern="1200">
              <a:solidFill>
                <a:schemeClr val="tx1"/>
              </a:solidFill>
            </a:rPr>
            <a:t>Forecasting, monitoring, and lean control can help reduce overproduction in a low-cost manner to ensure continuity.</a:t>
          </a:r>
        </a:p>
        <a:p>
          <a:pPr marL="0" lvl="0" indent="0" algn="ctr" defTabSz="488950">
            <a:lnSpc>
              <a:spcPct val="90000"/>
            </a:lnSpc>
            <a:spcBef>
              <a:spcPct val="0"/>
            </a:spcBef>
            <a:spcAft>
              <a:spcPct val="35000"/>
            </a:spcAft>
            <a:buNone/>
          </a:pPr>
          <a:r>
            <a:rPr lang="hu-HU" sz="900" kern="1200">
              <a:solidFill>
                <a:schemeClr val="tx1"/>
              </a:solidFill>
            </a:rPr>
            <a:t>(Amicarelli et al., 2021; Gładysz, Buczacki and Haskins, 2020; Wu and Teng, 2022)</a:t>
          </a:r>
        </a:p>
      </dsp:txBody>
      <dsp:txXfrm>
        <a:off x="3726163" y="2305915"/>
        <a:ext cx="1984256" cy="16242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44E127-8988-4622-9AAD-21EE0AE11CDD}">
      <dsp:nvSpPr>
        <dsp:cNvPr id="0" name=""/>
        <dsp:cNvSpPr/>
      </dsp:nvSpPr>
      <dsp:spPr>
        <a:xfrm>
          <a:off x="2880103" y="-318665"/>
          <a:ext cx="1656002" cy="1259997"/>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hu-HU" sz="1100" b="1" kern="1200">
              <a:solidFill>
                <a:schemeClr val="tx1"/>
              </a:solidFill>
            </a:rPr>
            <a:t>Political factors</a:t>
          </a:r>
        </a:p>
        <a:p>
          <a:pPr marL="0" lvl="0" indent="0" algn="ctr" defTabSz="488950">
            <a:lnSpc>
              <a:spcPct val="90000"/>
            </a:lnSpc>
            <a:spcBef>
              <a:spcPct val="0"/>
            </a:spcBef>
            <a:spcAft>
              <a:spcPct val="35000"/>
            </a:spcAft>
            <a:buNone/>
          </a:pPr>
          <a:r>
            <a:rPr lang="hu-HU" sz="900" kern="1200">
              <a:solidFill>
                <a:schemeClr val="tx1"/>
              </a:solidFill>
            </a:rPr>
            <a:t>Food waste reduction targets and sustainability goals heighten scrutiny and reporting obligations.</a:t>
          </a:r>
        </a:p>
        <a:p>
          <a:pPr marL="0" lvl="0" indent="0" algn="ctr" defTabSz="488950">
            <a:lnSpc>
              <a:spcPct val="90000"/>
            </a:lnSpc>
            <a:spcBef>
              <a:spcPct val="0"/>
            </a:spcBef>
            <a:spcAft>
              <a:spcPct val="35000"/>
            </a:spcAft>
            <a:buNone/>
          </a:pPr>
          <a:r>
            <a:rPr lang="hu-HU" sz="900" kern="1200">
              <a:solidFill>
                <a:schemeClr val="tx1"/>
              </a:solidFill>
            </a:rPr>
            <a:t>(Filimonau et al., 2020; WRAP, 2025).</a:t>
          </a:r>
        </a:p>
      </dsp:txBody>
      <dsp:txXfrm>
        <a:off x="2941611" y="-257157"/>
        <a:ext cx="1532986" cy="1136981"/>
      </dsp:txXfrm>
    </dsp:sp>
    <dsp:sp modelId="{73578EA7-2B7B-4A98-9BC7-0724F5034718}">
      <dsp:nvSpPr>
        <dsp:cNvPr id="0" name=""/>
        <dsp:cNvSpPr/>
      </dsp:nvSpPr>
      <dsp:spPr>
        <a:xfrm>
          <a:off x="3468550" y="424803"/>
          <a:ext cx="3344534" cy="3344534"/>
        </a:xfrm>
        <a:custGeom>
          <a:avLst/>
          <a:gdLst/>
          <a:ahLst/>
          <a:cxnLst/>
          <a:rect l="0" t="0" r="0" b="0"/>
          <a:pathLst>
            <a:path>
              <a:moveTo>
                <a:pt x="1074975" y="110306"/>
              </a:moveTo>
              <a:arcTo wR="1672267" hR="1672267" stAng="14944393" swAng="161772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BD9338F-B628-47FA-B533-D6B37474A3B4}">
      <dsp:nvSpPr>
        <dsp:cNvPr id="0" name=""/>
        <dsp:cNvSpPr/>
      </dsp:nvSpPr>
      <dsp:spPr>
        <a:xfrm>
          <a:off x="4918872" y="434927"/>
          <a:ext cx="1656002" cy="1259997"/>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hu-HU" sz="1100" b="1" kern="1200">
              <a:solidFill>
                <a:schemeClr val="tx1"/>
              </a:solidFill>
            </a:rPr>
            <a:t>Economic factors</a:t>
          </a:r>
        </a:p>
        <a:p>
          <a:pPr marL="0" lvl="0" indent="0" algn="ctr" defTabSz="488950">
            <a:lnSpc>
              <a:spcPct val="90000"/>
            </a:lnSpc>
            <a:spcBef>
              <a:spcPct val="0"/>
            </a:spcBef>
            <a:spcAft>
              <a:spcPct val="35000"/>
            </a:spcAft>
            <a:buNone/>
          </a:pPr>
          <a:r>
            <a:rPr lang="hu-HU" sz="900" kern="1200">
              <a:solidFill>
                <a:schemeClr val="tx1"/>
              </a:solidFill>
            </a:rPr>
            <a:t>Waste is a manageable operating cost. Feasibility is tighter with smaller hotels and fewer resources.</a:t>
          </a:r>
        </a:p>
        <a:p>
          <a:pPr marL="0" lvl="0" indent="0" algn="ctr" defTabSz="488950">
            <a:lnSpc>
              <a:spcPct val="90000"/>
            </a:lnSpc>
            <a:spcBef>
              <a:spcPct val="0"/>
            </a:spcBef>
            <a:spcAft>
              <a:spcPct val="35000"/>
            </a:spcAft>
            <a:buNone/>
          </a:pPr>
          <a:r>
            <a:rPr lang="hu-HU" sz="900" kern="1200">
              <a:solidFill>
                <a:schemeClr val="tx1"/>
              </a:solidFill>
            </a:rPr>
            <a:t>(Amicarelli et al., 2021; WRAP, 2025).</a:t>
          </a:r>
        </a:p>
      </dsp:txBody>
      <dsp:txXfrm>
        <a:off x="4980380" y="496435"/>
        <a:ext cx="1532986" cy="1136981"/>
      </dsp:txXfrm>
    </dsp:sp>
    <dsp:sp modelId="{A285B5FA-678B-4D65-9D96-D9876AF74FCD}">
      <dsp:nvSpPr>
        <dsp:cNvPr id="0" name=""/>
        <dsp:cNvSpPr/>
      </dsp:nvSpPr>
      <dsp:spPr>
        <a:xfrm>
          <a:off x="2597865" y="-220926"/>
          <a:ext cx="3344534" cy="3344534"/>
        </a:xfrm>
        <a:custGeom>
          <a:avLst/>
          <a:gdLst/>
          <a:ahLst/>
          <a:cxnLst/>
          <a:rect l="0" t="0" r="0" b="0"/>
          <a:pathLst>
            <a:path>
              <a:moveTo>
                <a:pt x="3326259" y="1918818"/>
              </a:moveTo>
              <a:arcTo wR="1672267" hR="1672267" stAng="508699" swAng="60505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21E3C93-FEAB-40ED-84DA-1F36EDB35537}">
      <dsp:nvSpPr>
        <dsp:cNvPr id="0" name=""/>
        <dsp:cNvSpPr/>
      </dsp:nvSpPr>
      <dsp:spPr>
        <a:xfrm>
          <a:off x="4931589" y="1986532"/>
          <a:ext cx="1656002" cy="1259997"/>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hu-HU" sz="1050" b="1" kern="1200">
              <a:solidFill>
                <a:schemeClr val="tx1"/>
              </a:solidFill>
            </a:rPr>
            <a:t>Social factors</a:t>
          </a:r>
        </a:p>
        <a:p>
          <a:pPr marL="0" lvl="0" indent="0" algn="ctr" defTabSz="466725">
            <a:lnSpc>
              <a:spcPct val="90000"/>
            </a:lnSpc>
            <a:spcBef>
              <a:spcPct val="0"/>
            </a:spcBef>
            <a:spcAft>
              <a:spcPct val="35000"/>
            </a:spcAft>
            <a:buNone/>
          </a:pPr>
          <a:r>
            <a:rPr lang="hu-HU" sz="900" kern="1200">
              <a:solidFill>
                <a:schemeClr val="tx1"/>
              </a:solidFill>
            </a:rPr>
            <a:t>Abundance perceptions and segments (culture/religiosity, etc.) influence the effectiveness of messages.</a:t>
          </a:r>
        </a:p>
        <a:p>
          <a:pPr marL="0" lvl="0" indent="0" algn="ctr" defTabSz="466725">
            <a:lnSpc>
              <a:spcPct val="90000"/>
            </a:lnSpc>
            <a:spcBef>
              <a:spcPct val="0"/>
            </a:spcBef>
            <a:spcAft>
              <a:spcPct val="35000"/>
            </a:spcAft>
            <a:buNone/>
          </a:pPr>
          <a:r>
            <a:rPr lang="hu-HU" sz="900" kern="1200">
              <a:solidFill>
                <a:schemeClr val="tx1"/>
              </a:solidFill>
            </a:rPr>
            <a:t>(Hassan et al., 2022; Appel, Ayalon and Collins-Kreiner, 2025).</a:t>
          </a:r>
        </a:p>
      </dsp:txBody>
      <dsp:txXfrm>
        <a:off x="4993097" y="2048040"/>
        <a:ext cx="1532986" cy="1136981"/>
      </dsp:txXfrm>
    </dsp:sp>
    <dsp:sp modelId="{C4AF3236-52DC-4A71-B5FE-CADDBE34A77B}">
      <dsp:nvSpPr>
        <dsp:cNvPr id="0" name=""/>
        <dsp:cNvSpPr/>
      </dsp:nvSpPr>
      <dsp:spPr>
        <a:xfrm>
          <a:off x="3349442" y="-43141"/>
          <a:ext cx="3344534" cy="3344534"/>
        </a:xfrm>
        <a:custGeom>
          <a:avLst/>
          <a:gdLst/>
          <a:ahLst/>
          <a:cxnLst/>
          <a:rect l="0" t="0" r="0" b="0"/>
          <a:pathLst>
            <a:path>
              <a:moveTo>
                <a:pt x="2088336" y="3291947"/>
              </a:moveTo>
              <a:arcTo wR="1672267" hR="1672267" stAng="4535589" swAng="184730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6A0242F-696E-40CA-AC76-1F6F0B49B372}">
      <dsp:nvSpPr>
        <dsp:cNvPr id="0" name=""/>
        <dsp:cNvSpPr/>
      </dsp:nvSpPr>
      <dsp:spPr>
        <a:xfrm>
          <a:off x="2849402" y="2770766"/>
          <a:ext cx="1691994" cy="1439996"/>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hu-HU" sz="1000" b="1" kern="1200">
              <a:solidFill>
                <a:schemeClr val="tx1"/>
              </a:solidFill>
            </a:rPr>
            <a:t>Technological factors</a:t>
          </a:r>
          <a:r>
            <a:rPr lang="hu-HU" sz="1000" kern="1200">
              <a:solidFill>
                <a:schemeClr val="tx1"/>
              </a:solidFill>
            </a:rPr>
            <a:t> </a:t>
          </a:r>
          <a:r>
            <a:rPr lang="hu-HU" sz="900" kern="1200">
              <a:solidFill>
                <a:schemeClr val="tx1"/>
              </a:solidFill>
            </a:rPr>
            <a:t>Monitoring, forecasting, lean methods, and behavioral economics provide opportunities without requiring significant capital investments.</a:t>
          </a:r>
        </a:p>
        <a:p>
          <a:pPr marL="0" lvl="0" indent="0" algn="ctr" defTabSz="444500">
            <a:lnSpc>
              <a:spcPct val="90000"/>
            </a:lnSpc>
            <a:spcBef>
              <a:spcPct val="0"/>
            </a:spcBef>
            <a:spcAft>
              <a:spcPct val="35000"/>
            </a:spcAft>
            <a:buNone/>
          </a:pPr>
          <a:r>
            <a:rPr lang="hu-HU" sz="900" kern="1200">
              <a:solidFill>
                <a:schemeClr val="tx1"/>
              </a:solidFill>
            </a:rPr>
            <a:t>(Gładysz, Buczacki and Haskins, 2020; Cozzio, Tokarchuk and Maurer, 2021).</a:t>
          </a:r>
        </a:p>
      </dsp:txBody>
      <dsp:txXfrm>
        <a:off x="2919697" y="2841061"/>
        <a:ext cx="1551404" cy="1299406"/>
      </dsp:txXfrm>
    </dsp:sp>
    <dsp:sp modelId="{6CB60D38-961D-4D6A-9059-A483730972EB}">
      <dsp:nvSpPr>
        <dsp:cNvPr id="0" name=""/>
        <dsp:cNvSpPr/>
      </dsp:nvSpPr>
      <dsp:spPr>
        <a:xfrm>
          <a:off x="405696" y="74965"/>
          <a:ext cx="3344534" cy="3344534"/>
        </a:xfrm>
        <a:custGeom>
          <a:avLst/>
          <a:gdLst/>
          <a:ahLst/>
          <a:cxnLst/>
          <a:rect l="0" t="0" r="0" b="0"/>
          <a:pathLst>
            <a:path>
              <a:moveTo>
                <a:pt x="2436329" y="3159777"/>
              </a:moveTo>
              <a:arcTo wR="1672267" hR="1672267" stAng="3768757" swAng="169098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6DFC02B-6D03-43ED-8BFE-D9CBE84BFC59}">
      <dsp:nvSpPr>
        <dsp:cNvPr id="0" name=""/>
        <dsp:cNvSpPr/>
      </dsp:nvSpPr>
      <dsp:spPr>
        <a:xfrm>
          <a:off x="796880" y="1979086"/>
          <a:ext cx="1656002" cy="1439996"/>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hu-HU" sz="1050" b="1" kern="1200">
              <a:solidFill>
                <a:schemeClr val="tx1"/>
              </a:solidFill>
            </a:rPr>
            <a:t>Legal factors</a:t>
          </a:r>
        </a:p>
        <a:p>
          <a:pPr marL="0" lvl="0" indent="0" algn="ctr" defTabSz="466725">
            <a:lnSpc>
              <a:spcPct val="90000"/>
            </a:lnSpc>
            <a:spcBef>
              <a:spcPct val="0"/>
            </a:spcBef>
            <a:spcAft>
              <a:spcPct val="35000"/>
            </a:spcAft>
            <a:buNone/>
          </a:pPr>
          <a:r>
            <a:rPr lang="hu-HU" sz="900" kern="1200">
              <a:solidFill>
                <a:schemeClr val="tx1"/>
              </a:solidFill>
            </a:rPr>
            <a:t>Food safety and liability concerns limit reuse and donation opportunities in the buffet setting. Regulations inform the feasibility of food waste routes.</a:t>
          </a:r>
        </a:p>
        <a:p>
          <a:pPr marL="0" lvl="0" indent="0" algn="ctr" defTabSz="466725">
            <a:lnSpc>
              <a:spcPct val="90000"/>
            </a:lnSpc>
            <a:spcBef>
              <a:spcPct val="0"/>
            </a:spcBef>
            <a:spcAft>
              <a:spcPct val="35000"/>
            </a:spcAft>
            <a:buNone/>
          </a:pPr>
          <a:r>
            <a:rPr lang="hu-HU" sz="900" kern="1200">
              <a:solidFill>
                <a:schemeClr val="tx1"/>
              </a:solidFill>
            </a:rPr>
            <a:t>(Metro Turkey, Ministry of Agriculture and Forestry and FAO, 2019).</a:t>
          </a:r>
        </a:p>
      </dsp:txBody>
      <dsp:txXfrm>
        <a:off x="867175" y="2049381"/>
        <a:ext cx="1515412" cy="1299406"/>
      </dsp:txXfrm>
    </dsp:sp>
    <dsp:sp modelId="{90F03C23-93E1-49E8-8027-48A12168A28E}">
      <dsp:nvSpPr>
        <dsp:cNvPr id="0" name=""/>
        <dsp:cNvSpPr/>
      </dsp:nvSpPr>
      <dsp:spPr>
        <a:xfrm>
          <a:off x="1386829" y="-310017"/>
          <a:ext cx="3344534" cy="3344534"/>
        </a:xfrm>
        <a:custGeom>
          <a:avLst/>
          <a:gdLst/>
          <a:ahLst/>
          <a:cxnLst/>
          <a:rect l="0" t="0" r="0" b="0"/>
          <a:pathLst>
            <a:path>
              <a:moveTo>
                <a:pt x="117128" y="2287102"/>
              </a:moveTo>
              <a:arcTo wR="1672267" hR="1672267" stAng="9505697" swAng="433978"/>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2670DC2-73F9-4AEB-8E86-528DAF1140D3}">
      <dsp:nvSpPr>
        <dsp:cNvPr id="0" name=""/>
        <dsp:cNvSpPr/>
      </dsp:nvSpPr>
      <dsp:spPr>
        <a:xfrm>
          <a:off x="784152" y="406305"/>
          <a:ext cx="1656002" cy="1368002"/>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hu-HU" sz="1000" b="1" kern="1200">
              <a:solidFill>
                <a:schemeClr val="tx1"/>
              </a:solidFill>
            </a:rPr>
            <a:t>Environmental factors</a:t>
          </a:r>
        </a:p>
        <a:p>
          <a:pPr marL="0" lvl="0" indent="0" algn="ctr" defTabSz="444500">
            <a:lnSpc>
              <a:spcPct val="90000"/>
            </a:lnSpc>
            <a:spcBef>
              <a:spcPct val="0"/>
            </a:spcBef>
            <a:spcAft>
              <a:spcPct val="35000"/>
            </a:spcAft>
            <a:buNone/>
          </a:pPr>
          <a:r>
            <a:rPr lang="hu-HU" sz="900" kern="1200">
              <a:solidFill>
                <a:schemeClr val="tx1"/>
              </a:solidFill>
            </a:rPr>
            <a:t>Food waste represents upstream effects and disposal challenges. Prevention provides the greatest environmental benefit.</a:t>
          </a:r>
        </a:p>
        <a:p>
          <a:pPr marL="0" lvl="0" indent="0" algn="ctr" defTabSz="444500">
            <a:lnSpc>
              <a:spcPct val="90000"/>
            </a:lnSpc>
            <a:spcBef>
              <a:spcPct val="0"/>
            </a:spcBef>
            <a:spcAft>
              <a:spcPct val="35000"/>
            </a:spcAft>
            <a:buNone/>
          </a:pPr>
          <a:r>
            <a:rPr lang="hu-HU" sz="900" kern="1200">
              <a:solidFill>
                <a:schemeClr val="tx1"/>
              </a:solidFill>
            </a:rPr>
            <a:t>(WRAP, 2025; Lee and Huang, 2023).</a:t>
          </a:r>
        </a:p>
      </dsp:txBody>
      <dsp:txXfrm>
        <a:off x="850932" y="473085"/>
        <a:ext cx="1522442" cy="1234442"/>
      </dsp:txXfrm>
    </dsp:sp>
    <dsp:sp modelId="{4B5626FD-ECBD-4CF4-BC8A-BCAB1B43C208}">
      <dsp:nvSpPr>
        <dsp:cNvPr id="0" name=""/>
        <dsp:cNvSpPr/>
      </dsp:nvSpPr>
      <dsp:spPr>
        <a:xfrm>
          <a:off x="570157" y="397132"/>
          <a:ext cx="3344534" cy="3344534"/>
        </a:xfrm>
        <a:custGeom>
          <a:avLst/>
          <a:gdLst/>
          <a:ahLst/>
          <a:cxnLst/>
          <a:rect l="0" t="0" r="0" b="0"/>
          <a:pathLst>
            <a:path>
              <a:moveTo>
                <a:pt x="1505517" y="8334"/>
              </a:moveTo>
              <a:arcTo wR="1672267" hR="1672267" stAng="15856636" swAng="167143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27B044-3462-4CB6-A039-49BA2A86237F}">
      <dsp:nvSpPr>
        <dsp:cNvPr id="0" name=""/>
        <dsp:cNvSpPr/>
      </dsp:nvSpPr>
      <dsp:spPr>
        <a:xfrm>
          <a:off x="161002" y="1696"/>
          <a:ext cx="2459235" cy="1475541"/>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hu-HU" sz="1200" b="1" kern="1200">
              <a:solidFill>
                <a:schemeClr val="tx1"/>
              </a:solidFill>
            </a:rPr>
            <a:t>Strengths</a:t>
          </a:r>
        </a:p>
        <a:p>
          <a:pPr marL="0" lvl="0" indent="0" algn="ctr" defTabSz="533400">
            <a:lnSpc>
              <a:spcPct val="90000"/>
            </a:lnSpc>
            <a:spcBef>
              <a:spcPct val="0"/>
            </a:spcBef>
            <a:spcAft>
              <a:spcPct val="35000"/>
            </a:spcAft>
            <a:buNone/>
          </a:pPr>
          <a:r>
            <a:rPr lang="hu-HU" sz="1000" kern="1200">
              <a:solidFill>
                <a:schemeClr val="tx1"/>
              </a:solidFill>
            </a:rPr>
            <a:t>Clear cost-saving case. Strong evidence base for prevention levers (forecasting discipline, lean routines, buffet design).</a:t>
          </a:r>
        </a:p>
        <a:p>
          <a:pPr marL="0" lvl="0" indent="0" algn="ctr" defTabSz="533400">
            <a:lnSpc>
              <a:spcPct val="90000"/>
            </a:lnSpc>
            <a:spcBef>
              <a:spcPct val="0"/>
            </a:spcBef>
            <a:spcAft>
              <a:spcPct val="35000"/>
            </a:spcAft>
            <a:buNone/>
          </a:pPr>
          <a:r>
            <a:rPr lang="hu-HU" sz="1000" kern="1200">
              <a:solidFill>
                <a:schemeClr val="tx1"/>
              </a:solidFill>
            </a:rPr>
            <a:t>(WRAP, 2025; Gładysz, Buczacki and Haskins, 2020; Cozzio, Tokarchuk and Maurer, 2021)</a:t>
          </a:r>
        </a:p>
      </dsp:txBody>
      <dsp:txXfrm>
        <a:off x="233032" y="73726"/>
        <a:ext cx="2315175" cy="1331481"/>
      </dsp:txXfrm>
    </dsp:sp>
    <dsp:sp modelId="{96905296-6395-4195-B475-57DCD208D63D}">
      <dsp:nvSpPr>
        <dsp:cNvPr id="0" name=""/>
        <dsp:cNvSpPr/>
      </dsp:nvSpPr>
      <dsp:spPr>
        <a:xfrm>
          <a:off x="2866161" y="1696"/>
          <a:ext cx="2459235" cy="1475541"/>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hu-HU" sz="1200" b="1" kern="1200">
              <a:solidFill>
                <a:schemeClr val="tx1"/>
              </a:solidFill>
            </a:rPr>
            <a:t>Weaknesses</a:t>
          </a:r>
        </a:p>
        <a:p>
          <a:pPr marL="0" lvl="0" indent="0" algn="ctr" defTabSz="533400">
            <a:lnSpc>
              <a:spcPct val="90000"/>
            </a:lnSpc>
            <a:spcBef>
              <a:spcPct val="0"/>
            </a:spcBef>
            <a:spcAft>
              <a:spcPct val="35000"/>
            </a:spcAft>
            <a:buNone/>
          </a:pPr>
          <a:r>
            <a:rPr lang="hu-HU" sz="1000" kern="1200">
              <a:solidFill>
                <a:schemeClr val="tx1"/>
              </a:solidFill>
            </a:rPr>
            <a:t>Volatile demand. Fragmented responsibilities; weak measurement and training gaps reduce durability.</a:t>
          </a:r>
        </a:p>
        <a:p>
          <a:pPr marL="0" lvl="0" indent="0" algn="ctr" defTabSz="533400">
            <a:lnSpc>
              <a:spcPct val="90000"/>
            </a:lnSpc>
            <a:spcBef>
              <a:spcPct val="0"/>
            </a:spcBef>
            <a:spcAft>
              <a:spcPct val="35000"/>
            </a:spcAft>
            <a:buNone/>
          </a:pPr>
          <a:r>
            <a:rPr lang="hu-HU" sz="1000" kern="1200">
              <a:solidFill>
                <a:schemeClr val="tx1"/>
              </a:solidFill>
            </a:rPr>
            <a:t>(Filimonau et al., 2020; Rady et al., 2021; Chawla, Lugosi and Hawkins, 2021)</a:t>
          </a:r>
        </a:p>
      </dsp:txBody>
      <dsp:txXfrm>
        <a:off x="2938191" y="73726"/>
        <a:ext cx="2315175" cy="1331481"/>
      </dsp:txXfrm>
    </dsp:sp>
    <dsp:sp modelId="{EC86A6B3-BDA6-4611-8BB5-FD7F57D55C32}">
      <dsp:nvSpPr>
        <dsp:cNvPr id="0" name=""/>
        <dsp:cNvSpPr/>
      </dsp:nvSpPr>
      <dsp:spPr>
        <a:xfrm>
          <a:off x="161002" y="1723161"/>
          <a:ext cx="2459235" cy="1475541"/>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hu-HU" sz="1200" b="1" kern="1200">
              <a:solidFill>
                <a:schemeClr val="tx1"/>
              </a:solidFill>
            </a:rPr>
            <a:t>Opportunities</a:t>
          </a:r>
        </a:p>
        <a:p>
          <a:pPr marL="0" lvl="0" indent="0" algn="ctr" defTabSz="533400">
            <a:lnSpc>
              <a:spcPct val="90000"/>
            </a:lnSpc>
            <a:spcBef>
              <a:spcPct val="0"/>
            </a:spcBef>
            <a:spcAft>
              <a:spcPct val="35000"/>
            </a:spcAft>
            <a:buNone/>
          </a:pPr>
          <a:r>
            <a:rPr lang="hu-HU" sz="1000" kern="1200">
              <a:solidFill>
                <a:schemeClr val="tx1"/>
              </a:solidFill>
            </a:rPr>
            <a:t>Competitive advantage from integrated sustainability. Low-capital improvements. Better governance and monitoring can stabilise performance.</a:t>
          </a:r>
        </a:p>
        <a:p>
          <a:pPr marL="0" lvl="0" indent="0" algn="ctr" defTabSz="533400">
            <a:lnSpc>
              <a:spcPct val="90000"/>
            </a:lnSpc>
            <a:spcBef>
              <a:spcPct val="0"/>
            </a:spcBef>
            <a:spcAft>
              <a:spcPct val="35000"/>
            </a:spcAft>
            <a:buNone/>
          </a:pPr>
          <a:r>
            <a:rPr lang="hu-HU" sz="1000" kern="1200">
              <a:solidFill>
                <a:schemeClr val="tx1"/>
              </a:solidFill>
            </a:rPr>
            <a:t>(Moliner et al., 2021; Wu and Teng, 2022; Amicarelli et al., 2021)</a:t>
          </a:r>
        </a:p>
      </dsp:txBody>
      <dsp:txXfrm>
        <a:off x="233032" y="1795191"/>
        <a:ext cx="2315175" cy="1331481"/>
      </dsp:txXfrm>
    </dsp:sp>
    <dsp:sp modelId="{BA32B295-D9BA-4420-860E-79660BFC05A1}">
      <dsp:nvSpPr>
        <dsp:cNvPr id="0" name=""/>
        <dsp:cNvSpPr/>
      </dsp:nvSpPr>
      <dsp:spPr>
        <a:xfrm>
          <a:off x="2866161" y="1723161"/>
          <a:ext cx="2459235" cy="1475541"/>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hu-HU" sz="1200" b="1" kern="1200">
              <a:solidFill>
                <a:schemeClr val="tx1"/>
              </a:solidFill>
            </a:rPr>
            <a:t>Threats</a:t>
          </a:r>
        </a:p>
        <a:p>
          <a:pPr marL="0" lvl="0" indent="0" algn="ctr" defTabSz="533400">
            <a:lnSpc>
              <a:spcPct val="90000"/>
            </a:lnSpc>
            <a:spcBef>
              <a:spcPct val="0"/>
            </a:spcBef>
            <a:spcAft>
              <a:spcPct val="35000"/>
            </a:spcAft>
            <a:buNone/>
          </a:pPr>
          <a:r>
            <a:rPr lang="hu-HU" sz="1000" kern="1200">
              <a:solidFill>
                <a:schemeClr val="tx1"/>
              </a:solidFill>
            </a:rPr>
            <a:t>Food-safety constraints and perceived liability. Abundance norms in buffets. Feasibility limits for small hotels.</a:t>
          </a:r>
        </a:p>
        <a:p>
          <a:pPr marL="0" lvl="0" indent="0" algn="ctr" defTabSz="533400">
            <a:lnSpc>
              <a:spcPct val="90000"/>
            </a:lnSpc>
            <a:spcBef>
              <a:spcPct val="0"/>
            </a:spcBef>
            <a:spcAft>
              <a:spcPct val="35000"/>
            </a:spcAft>
            <a:buNone/>
          </a:pPr>
          <a:r>
            <a:rPr lang="hu-HU" sz="1000" kern="1200">
              <a:solidFill>
                <a:schemeClr val="tx1"/>
              </a:solidFill>
            </a:rPr>
            <a:t>(Metro Turkey, Ministry of Agriculture and Forestry and FAO, 2019; Appel, Ayalon and Collins-Kreiner, 2025; Amicarelli et al., 2021)</a:t>
          </a:r>
        </a:p>
      </dsp:txBody>
      <dsp:txXfrm>
        <a:off x="2938191" y="1795191"/>
        <a:ext cx="2315175" cy="1331481"/>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D31B0-95C7-4DAD-A0F2-5919CC23B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4653</Words>
  <Characters>26528</Characters>
  <Application>Microsoft Office Word</Application>
  <DocSecurity>0</DocSecurity>
  <Lines>221</Lines>
  <Paragraphs>62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31119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Jayson Luba</dc:creator>
  <cp:keywords/>
  <dc:description/>
  <cp:lastModifiedBy>Jayson Luba</cp:lastModifiedBy>
  <cp:revision>2</cp:revision>
  <dcterms:created xsi:type="dcterms:W3CDTF">2026-02-08T22:58:00Z</dcterms:created>
  <dcterms:modified xsi:type="dcterms:W3CDTF">2026-02-08T22:58:00Z</dcterms:modified>
</cp:coreProperties>
</file>