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73634" w14:textId="15F741F9" w:rsidR="00076AD5" w:rsidRDefault="005962EA">
      <w:pPr>
        <w:rPr>
          <w:sz w:val="24"/>
          <w:szCs w:val="24"/>
        </w:rPr>
      </w:pPr>
      <w:r>
        <w:rPr>
          <w:sz w:val="24"/>
          <w:szCs w:val="24"/>
        </w:rPr>
        <w:t>Within the United Kingdom there is an unwritten constitution, which makes the form of the constitution less straightforward than that of other countries (L Wesley and H Samuels 2015). One of the key doctrines within the constitution is the separation of powers principle. The separation of powers is a doctrine which can be traced back to the work of Baron de Montesquieu</w:t>
      </w:r>
      <w:r w:rsidR="00D968BB">
        <w:rPr>
          <w:sz w:val="24"/>
          <w:szCs w:val="24"/>
        </w:rPr>
        <w:t xml:space="preserve"> who based his theory on the English constitution in the eighteenth </w:t>
      </w:r>
      <w:r w:rsidR="00077E19">
        <w:rPr>
          <w:sz w:val="24"/>
          <w:szCs w:val="24"/>
        </w:rPr>
        <w:t>century.</w:t>
      </w:r>
      <w:r>
        <w:rPr>
          <w:sz w:val="24"/>
          <w:szCs w:val="24"/>
        </w:rPr>
        <w:t xml:space="preserve"> This doctrine involves the separation of the roles of the three branches of the state which is composed of the legislative, the executive and the judiciary. The legislative is the term used to refer to Parliament, who are responsible for drafting and enacting legislation. The United Kingdom Parliament consists of the House of Commons and the House of Lords</w:t>
      </w:r>
      <w:r w:rsidR="00695CA4">
        <w:rPr>
          <w:sz w:val="24"/>
          <w:szCs w:val="24"/>
        </w:rPr>
        <w:t xml:space="preserve"> and the Head of State</w:t>
      </w:r>
      <w:r>
        <w:rPr>
          <w:sz w:val="24"/>
          <w:szCs w:val="24"/>
        </w:rPr>
        <w:t xml:space="preserve">. The UK Parliament makes laws which affects all four countries within the United Kingdom. The executive is the government who puts the laws made by Parliament </w:t>
      </w:r>
      <w:r w:rsidR="0005127E">
        <w:rPr>
          <w:sz w:val="24"/>
          <w:szCs w:val="24"/>
        </w:rPr>
        <w:t>into effect, whilst the judiciary refers to the courts who interpret legislation and review the legality of the actions of the executive</w:t>
      </w:r>
      <w:r w:rsidR="0008202E">
        <w:rPr>
          <w:sz w:val="24"/>
          <w:szCs w:val="24"/>
        </w:rPr>
        <w:t xml:space="preserve">, and it is exercised mainly in civil and criminal courts. </w:t>
      </w:r>
    </w:p>
    <w:p w14:paraId="55F58E70" w14:textId="2B86E4AF" w:rsidR="0005127E" w:rsidRDefault="0005127E">
      <w:pPr>
        <w:rPr>
          <w:sz w:val="24"/>
          <w:szCs w:val="24"/>
        </w:rPr>
      </w:pPr>
      <w:r>
        <w:rPr>
          <w:sz w:val="24"/>
          <w:szCs w:val="24"/>
        </w:rPr>
        <w:t xml:space="preserve">The purpose of the separation of powers is to ensure that power is not solely concentrated in the hands of one institution and to maintain accountability amongst the three institutions. Accountability is integral to the preservation of the rule of law which, according to Dicey, </w:t>
      </w:r>
      <w:r w:rsidR="007F0FE0">
        <w:rPr>
          <w:sz w:val="24"/>
          <w:szCs w:val="24"/>
        </w:rPr>
        <w:t xml:space="preserve">“law should apply to all persons equally, regardless of any </w:t>
      </w:r>
      <w:r w:rsidR="002A596A">
        <w:rPr>
          <w:sz w:val="24"/>
          <w:szCs w:val="24"/>
        </w:rPr>
        <w:t>person’s</w:t>
      </w:r>
      <w:r w:rsidR="007F0FE0">
        <w:rPr>
          <w:sz w:val="24"/>
          <w:szCs w:val="24"/>
        </w:rPr>
        <w:t xml:space="preserve"> rank”</w:t>
      </w:r>
      <w:r>
        <w:rPr>
          <w:sz w:val="24"/>
          <w:szCs w:val="24"/>
        </w:rPr>
        <w:t xml:space="preserve"> (</w:t>
      </w:r>
      <w:r w:rsidR="002A596A">
        <w:rPr>
          <w:sz w:val="24"/>
          <w:szCs w:val="24"/>
        </w:rPr>
        <w:t xml:space="preserve">A, V, </w:t>
      </w:r>
      <w:r>
        <w:rPr>
          <w:sz w:val="24"/>
          <w:szCs w:val="24"/>
        </w:rPr>
        <w:t>Dicey,</w:t>
      </w:r>
      <w:r w:rsidR="002A596A">
        <w:rPr>
          <w:sz w:val="24"/>
          <w:szCs w:val="24"/>
        </w:rPr>
        <w:t>)</w:t>
      </w:r>
      <w:r>
        <w:rPr>
          <w:sz w:val="24"/>
          <w:szCs w:val="24"/>
        </w:rPr>
        <w:t xml:space="preserve">. Montesquieu further emphasized the importance of this principle as he claimed that the separation of powers was essential in order to guard against tyranny (Montesquieu, 1748). </w:t>
      </w:r>
      <w:r w:rsidR="00D86621">
        <w:rPr>
          <w:sz w:val="24"/>
          <w:szCs w:val="24"/>
        </w:rPr>
        <w:t>Consequently,</w:t>
      </w:r>
      <w:r>
        <w:rPr>
          <w:sz w:val="24"/>
          <w:szCs w:val="24"/>
        </w:rPr>
        <w:t xml:space="preserve"> the separation of powers theory is not just essential to the preservation of a fair and just legal system, but also integral to the maintenance of other constitutional principles such as the rule of law</w:t>
      </w:r>
      <w:r w:rsidR="0008202E">
        <w:rPr>
          <w:sz w:val="24"/>
          <w:szCs w:val="24"/>
        </w:rPr>
        <w:t xml:space="preserve">, the rule of law is based on principles of freedom, non-discrimination and accountability. </w:t>
      </w:r>
      <w:r>
        <w:rPr>
          <w:sz w:val="24"/>
          <w:szCs w:val="24"/>
        </w:rPr>
        <w:t xml:space="preserve"> However, the overlap between the </w:t>
      </w:r>
      <w:r w:rsidR="00D86621">
        <w:rPr>
          <w:sz w:val="24"/>
          <w:szCs w:val="24"/>
        </w:rPr>
        <w:t>legislature and the executive undermines the separation of powers as their powers are intertwined.</w:t>
      </w:r>
    </w:p>
    <w:p w14:paraId="69D9CBE1" w14:textId="3AA8B639" w:rsidR="00D86621" w:rsidRDefault="00D86621">
      <w:pPr>
        <w:rPr>
          <w:sz w:val="24"/>
          <w:szCs w:val="24"/>
        </w:rPr>
      </w:pPr>
      <w:r>
        <w:rPr>
          <w:sz w:val="24"/>
          <w:szCs w:val="24"/>
        </w:rPr>
        <w:t xml:space="preserve">One form in which the legislature and the executive overlap is that the ministers of the executive, which include the Prime Minister, are members of Parliament where </w:t>
      </w:r>
      <w:proofErr w:type="gramStart"/>
      <w:r>
        <w:rPr>
          <w:sz w:val="24"/>
          <w:szCs w:val="24"/>
        </w:rPr>
        <w:t>the majority of</w:t>
      </w:r>
      <w:proofErr w:type="gramEnd"/>
      <w:r>
        <w:rPr>
          <w:sz w:val="24"/>
          <w:szCs w:val="24"/>
        </w:rPr>
        <w:t xml:space="preserve"> them sit within the House of Commons. The Prime Minister is usually both head of the executive and the leader of the majority party in the legislature, therefore, when it comes to decision making in Parliament, the executive has a significant amount of influence as it has majority support from the decision makers that are involved in the </w:t>
      </w:r>
      <w:r w:rsidR="00077E19">
        <w:rPr>
          <w:sz w:val="24"/>
          <w:szCs w:val="24"/>
        </w:rPr>
        <w:t>law-making</w:t>
      </w:r>
      <w:r>
        <w:rPr>
          <w:sz w:val="24"/>
          <w:szCs w:val="24"/>
        </w:rPr>
        <w:t xml:space="preserve"> process. Consequently, if the government wants to enact a piece of legislation, then it would surely have the support of Parliament who have legal sovereignty. This is a clear breach of the rule of law as the executive is unlikely to be held to account for their proposed policies as Parliament </w:t>
      </w:r>
      <w:r w:rsidR="004D7968">
        <w:rPr>
          <w:sz w:val="24"/>
          <w:szCs w:val="24"/>
        </w:rPr>
        <w:t>are likely to enact it anyway. It could be argued that this overlap between the executive and the legislative branches of state are beneficial to upholding democracy</w:t>
      </w:r>
      <w:r w:rsidR="005762D1">
        <w:rPr>
          <w:sz w:val="24"/>
          <w:szCs w:val="24"/>
        </w:rPr>
        <w:t xml:space="preserve">, it can also bring stability to the government. Parliament </w:t>
      </w:r>
      <w:proofErr w:type="gramStart"/>
      <w:r w:rsidR="005762D1">
        <w:rPr>
          <w:sz w:val="24"/>
          <w:szCs w:val="24"/>
        </w:rPr>
        <w:t>is able to</w:t>
      </w:r>
      <w:proofErr w:type="gramEnd"/>
      <w:r w:rsidR="005762D1">
        <w:rPr>
          <w:sz w:val="24"/>
          <w:szCs w:val="24"/>
        </w:rPr>
        <w:t xml:space="preserve"> delegate law making powers to the executive through subordinate legislation, (R </w:t>
      </w:r>
      <w:proofErr w:type="spellStart"/>
      <w:r w:rsidR="005762D1">
        <w:rPr>
          <w:sz w:val="24"/>
          <w:szCs w:val="24"/>
        </w:rPr>
        <w:t>Benwell</w:t>
      </w:r>
      <w:proofErr w:type="spellEnd"/>
      <w:r w:rsidR="005762D1">
        <w:rPr>
          <w:sz w:val="24"/>
          <w:szCs w:val="24"/>
        </w:rPr>
        <w:t xml:space="preserve"> and O Gay 2021). By doing so it stops the need to scrutinise every minor detail and the safeguarding of the Parliamentary approval. Advantages can also be the fast tracking of an Act due to emergency events or security, as with the Prevention of Terrorism Act 2015. This Act g</w:t>
      </w:r>
      <w:r w:rsidR="00EE5B52">
        <w:rPr>
          <w:sz w:val="24"/>
          <w:szCs w:val="24"/>
        </w:rPr>
        <w:t>iv</w:t>
      </w:r>
      <w:r w:rsidR="00572FCF">
        <w:rPr>
          <w:sz w:val="24"/>
          <w:szCs w:val="24"/>
        </w:rPr>
        <w:t>es</w:t>
      </w:r>
      <w:r w:rsidR="005762D1">
        <w:rPr>
          <w:sz w:val="24"/>
          <w:szCs w:val="24"/>
        </w:rPr>
        <w:t xml:space="preserve"> the government the powers to detain an individual suspected of terrorism and restriction within their liability however no courts had determined their guilt.</w:t>
      </w:r>
      <w:r w:rsidR="004D7968">
        <w:rPr>
          <w:sz w:val="24"/>
          <w:szCs w:val="24"/>
        </w:rPr>
        <w:t xml:space="preserve"> Governments in power are elected by the </w:t>
      </w:r>
      <w:r w:rsidR="004D7968">
        <w:rPr>
          <w:sz w:val="24"/>
          <w:szCs w:val="24"/>
        </w:rPr>
        <w:lastRenderedPageBreak/>
        <w:t xml:space="preserve">people to take power, therefore, any policies that the government would like to enact into legislation most likely reflect the views of </w:t>
      </w:r>
      <w:proofErr w:type="gramStart"/>
      <w:r w:rsidR="004D7968">
        <w:rPr>
          <w:sz w:val="24"/>
          <w:szCs w:val="24"/>
        </w:rPr>
        <w:t>the majority of</w:t>
      </w:r>
      <w:proofErr w:type="gramEnd"/>
      <w:r w:rsidR="004D7968">
        <w:rPr>
          <w:sz w:val="24"/>
          <w:szCs w:val="24"/>
        </w:rPr>
        <w:t xml:space="preserve"> the country’s population. Therefore, the majority support that the executive can find within the legislature is essential to the passage of Acts that the government, and thus the people, would like to implement into the law. However, despite this possible benefit in having an overlap between the executive and the legislature, this still does not take away from the fact that the overwhelming presence of the executive clearly does not adhere to the separation of powers doctrine.</w:t>
      </w:r>
    </w:p>
    <w:p w14:paraId="5F482FAB" w14:textId="051431A6" w:rsidR="006C23F1" w:rsidRDefault="004D7968">
      <w:pPr>
        <w:rPr>
          <w:sz w:val="24"/>
          <w:szCs w:val="24"/>
        </w:rPr>
      </w:pPr>
      <w:r>
        <w:rPr>
          <w:sz w:val="24"/>
          <w:szCs w:val="24"/>
        </w:rPr>
        <w:t>The r</w:t>
      </w:r>
      <w:r w:rsidR="0014153B">
        <w:rPr>
          <w:sz w:val="24"/>
          <w:szCs w:val="24"/>
        </w:rPr>
        <w:t xml:space="preserve">ole of the Lord Chancellor also provides clear evidence that supports the idea that the relationship between the legislature and the executive does not adhere to the doctrine of the separation of </w:t>
      </w:r>
      <w:r w:rsidR="00B74991">
        <w:rPr>
          <w:sz w:val="24"/>
          <w:szCs w:val="24"/>
        </w:rPr>
        <w:t>powers. After the Human Rights Act 1998 was introduced, the Government announced changes would be done to the role of the Lord Chancellor.</w:t>
      </w:r>
      <w:r w:rsidR="0014153B">
        <w:rPr>
          <w:sz w:val="24"/>
          <w:szCs w:val="24"/>
        </w:rPr>
        <w:t xml:space="preserve"> The introduction of the Constitutional Reform Act 2005 reformed the Lord Chancellor’s position by removing the judicial function that the Lord Chancellor held and instead granting it to the President of the Courts in England and Wales (L Webley and H Samuel 2015). However, despite this reform between the three branches of state, the position of Lord Chancellor still creates issues that breach the separation of powers theory. The Lord Chancellor plays a crucial role within the executive branch of the state as they head the Ministry of Justice as the Secretary of State for Justice, rendering them a senior member of Cabinet. </w:t>
      </w:r>
      <w:proofErr w:type="gramStart"/>
      <w:r w:rsidR="0014153B">
        <w:rPr>
          <w:sz w:val="24"/>
          <w:szCs w:val="24"/>
        </w:rPr>
        <w:t>In regard to</w:t>
      </w:r>
      <w:proofErr w:type="gramEnd"/>
      <w:r w:rsidR="0014153B">
        <w:rPr>
          <w:sz w:val="24"/>
          <w:szCs w:val="24"/>
        </w:rPr>
        <w:t xml:space="preserve"> the legislative branch of the state</w:t>
      </w:r>
      <w:r w:rsidR="00434BE5">
        <w:rPr>
          <w:sz w:val="24"/>
          <w:szCs w:val="24"/>
        </w:rPr>
        <w:t xml:space="preserve">, the Lord Chancellor once again plays a fundamental role, as he is required to be a member of Parliament. Similarly, to the issue surrounding the overlap between the government and the majority in Parliament, this further contributes to the poor accordance with the rule of law that exists between the executive and the legislature’s relationship as, yet again, an influential member of the Cabinet, plays a role in legislative decision-making which evidently benefits the executive and their policies. </w:t>
      </w:r>
      <w:r w:rsidR="00EF4AF6">
        <w:rPr>
          <w:sz w:val="24"/>
          <w:szCs w:val="24"/>
        </w:rPr>
        <w:t>The Constitutional Reform Act 2005 also established the Supreme Court in 2009, which is now housed opposite Parliament. Prior to the Supreme Court the highest Court within the UK was the Appellate Committee of the House of Lords</w:t>
      </w:r>
      <w:r w:rsidR="006C23F1">
        <w:rPr>
          <w:sz w:val="24"/>
          <w:szCs w:val="24"/>
        </w:rPr>
        <w:t xml:space="preserve">. The Supreme Court is now separate from both the government and Parliament this was to establish the separation between the senior judges and the Upper House of Parliament. The Supreme Court also hears cases on devolution matters under Northern Ireland Act 1998, Government of Wales Act 2006 and the Scotland Act 1998. (Supreme Court 2009). </w:t>
      </w:r>
    </w:p>
    <w:p w14:paraId="09488709" w14:textId="08929D09" w:rsidR="00434BE5" w:rsidRDefault="00434BE5">
      <w:pPr>
        <w:rPr>
          <w:sz w:val="24"/>
          <w:szCs w:val="24"/>
        </w:rPr>
      </w:pPr>
      <w:r>
        <w:rPr>
          <w:sz w:val="24"/>
          <w:szCs w:val="24"/>
        </w:rPr>
        <w:t xml:space="preserve">However, </w:t>
      </w:r>
      <w:r w:rsidR="00A564D7">
        <w:rPr>
          <w:sz w:val="24"/>
          <w:szCs w:val="24"/>
        </w:rPr>
        <w:t>even though</w:t>
      </w:r>
      <w:r>
        <w:rPr>
          <w:sz w:val="24"/>
          <w:szCs w:val="24"/>
        </w:rPr>
        <w:t xml:space="preserve"> there is a clear overlap between the executive and the legislature, it could be argued that the limits imposed on the executive’s presence in Parliament has led the relationship between the executive and the legislature to adhere to the separation of powers. For example, there are limits as to how many ministers </w:t>
      </w:r>
      <w:proofErr w:type="gramStart"/>
      <w:r>
        <w:rPr>
          <w:sz w:val="24"/>
          <w:szCs w:val="24"/>
        </w:rPr>
        <w:t>are able to</w:t>
      </w:r>
      <w:proofErr w:type="gramEnd"/>
      <w:r>
        <w:rPr>
          <w:sz w:val="24"/>
          <w:szCs w:val="24"/>
        </w:rPr>
        <w:t xml:space="preserve"> sit in the House of Commons, which ensures that there is not an abundance of ministers within Parliament that can have an unjust amount </w:t>
      </w:r>
      <w:r w:rsidR="00EB5E4A">
        <w:rPr>
          <w:sz w:val="24"/>
          <w:szCs w:val="24"/>
        </w:rPr>
        <w:t xml:space="preserve">of influence over the </w:t>
      </w:r>
      <w:r w:rsidR="007A170D">
        <w:rPr>
          <w:sz w:val="24"/>
          <w:szCs w:val="24"/>
        </w:rPr>
        <w:t>law-making</w:t>
      </w:r>
      <w:r w:rsidR="00EB5E4A">
        <w:rPr>
          <w:sz w:val="24"/>
          <w:szCs w:val="24"/>
        </w:rPr>
        <w:t xml:space="preserve"> process. </w:t>
      </w:r>
      <w:r w:rsidR="004E144B">
        <w:rPr>
          <w:sz w:val="24"/>
          <w:szCs w:val="24"/>
        </w:rPr>
        <w:t>Under the House of Commons Disqualification Act 1975</w:t>
      </w:r>
      <w:r w:rsidR="00077E19">
        <w:rPr>
          <w:sz w:val="24"/>
          <w:szCs w:val="24"/>
        </w:rPr>
        <w:t xml:space="preserve"> (CDA)</w:t>
      </w:r>
      <w:r w:rsidR="004E144B">
        <w:rPr>
          <w:sz w:val="24"/>
          <w:szCs w:val="24"/>
        </w:rPr>
        <w:t xml:space="preserve"> there can be no more than 95 holders of Ministerial office that can sit and vote within the House of Commons at any time. (</w:t>
      </w:r>
      <w:r w:rsidR="00572FCF">
        <w:rPr>
          <w:sz w:val="24"/>
          <w:szCs w:val="24"/>
        </w:rPr>
        <w:t>O, Gay 2004</w:t>
      </w:r>
      <w:r w:rsidR="004E144B">
        <w:rPr>
          <w:sz w:val="24"/>
          <w:szCs w:val="24"/>
        </w:rPr>
        <w:t xml:space="preserve">). </w:t>
      </w:r>
      <w:r w:rsidR="00EB5E4A">
        <w:rPr>
          <w:sz w:val="24"/>
          <w:szCs w:val="24"/>
        </w:rPr>
        <w:t xml:space="preserve">Consequently, this ensures that there are checks in place to ensure that Ministers are not simply passing policies through Parliament without balanced scrutiny from other parties and members of the same party with different views. </w:t>
      </w:r>
      <w:r w:rsidR="00077E19">
        <w:rPr>
          <w:sz w:val="24"/>
          <w:szCs w:val="24"/>
        </w:rPr>
        <w:t xml:space="preserve">The CDA 1975 also prevents certain </w:t>
      </w:r>
      <w:r w:rsidR="00077E19">
        <w:rPr>
          <w:sz w:val="24"/>
          <w:szCs w:val="24"/>
        </w:rPr>
        <w:lastRenderedPageBreak/>
        <w:t>individuals from certain employment from becoming an MP</w:t>
      </w:r>
      <w:r w:rsidR="00695CA4">
        <w:rPr>
          <w:sz w:val="24"/>
          <w:szCs w:val="24"/>
        </w:rPr>
        <w:t>.</w:t>
      </w:r>
      <w:r w:rsidR="00077E19">
        <w:rPr>
          <w:sz w:val="24"/>
          <w:szCs w:val="24"/>
        </w:rPr>
        <w:t xml:space="preserve"> </w:t>
      </w:r>
      <w:r w:rsidR="00695CA4">
        <w:rPr>
          <w:sz w:val="24"/>
          <w:szCs w:val="24"/>
        </w:rPr>
        <w:t>J</w:t>
      </w:r>
      <w:r w:rsidR="00077E19">
        <w:rPr>
          <w:sz w:val="24"/>
          <w:szCs w:val="24"/>
        </w:rPr>
        <w:t xml:space="preserve">udges, Police officers and members of the Armed forces are prevented from becoming an MP under the Act to ensure that MPs </w:t>
      </w:r>
      <w:proofErr w:type="gramStart"/>
      <w:r w:rsidR="00077E19">
        <w:rPr>
          <w:sz w:val="24"/>
          <w:szCs w:val="24"/>
        </w:rPr>
        <w:t>are able to</w:t>
      </w:r>
      <w:proofErr w:type="gramEnd"/>
      <w:r w:rsidR="00077E19">
        <w:rPr>
          <w:sz w:val="24"/>
          <w:szCs w:val="24"/>
        </w:rPr>
        <w:t xml:space="preserve"> carry out their duties without any pressure from any source. (0 Gay 2004). </w:t>
      </w:r>
    </w:p>
    <w:p w14:paraId="6F1A164D" w14:textId="3DD6F179" w:rsidR="0062058F" w:rsidRDefault="0062058F">
      <w:pPr>
        <w:rPr>
          <w:sz w:val="24"/>
          <w:szCs w:val="24"/>
        </w:rPr>
      </w:pPr>
      <w:r>
        <w:rPr>
          <w:sz w:val="24"/>
          <w:szCs w:val="24"/>
        </w:rPr>
        <w:t xml:space="preserve">The Fixed-term Parliament Act 2011 was </w:t>
      </w:r>
      <w:r w:rsidR="005179FA">
        <w:rPr>
          <w:sz w:val="24"/>
          <w:szCs w:val="24"/>
        </w:rPr>
        <w:t>the first time sets of legislations for the date of the general election</w:t>
      </w:r>
      <w:r w:rsidR="00B15AB1">
        <w:rPr>
          <w:sz w:val="24"/>
          <w:szCs w:val="24"/>
        </w:rPr>
        <w:t xml:space="preserve"> to be held</w:t>
      </w:r>
      <w:r w:rsidR="005179FA">
        <w:rPr>
          <w:sz w:val="24"/>
          <w:szCs w:val="24"/>
        </w:rPr>
        <w:t xml:space="preserve"> within the United Kingdom. Prior to this</w:t>
      </w:r>
      <w:r w:rsidR="00B15AB1">
        <w:rPr>
          <w:sz w:val="24"/>
          <w:szCs w:val="24"/>
        </w:rPr>
        <w:t>,</w:t>
      </w:r>
      <w:r w:rsidR="005179FA">
        <w:rPr>
          <w:sz w:val="24"/>
          <w:szCs w:val="24"/>
        </w:rPr>
        <w:t xml:space="preserve"> the law stated that the general election would be held every five years</w:t>
      </w:r>
      <w:r w:rsidR="007A170D">
        <w:rPr>
          <w:sz w:val="24"/>
          <w:szCs w:val="24"/>
        </w:rPr>
        <w:t xml:space="preserve"> but did not </w:t>
      </w:r>
      <w:r w:rsidR="00B74991">
        <w:rPr>
          <w:sz w:val="24"/>
          <w:szCs w:val="24"/>
        </w:rPr>
        <w:t>set</w:t>
      </w:r>
      <w:r w:rsidR="007A170D">
        <w:rPr>
          <w:sz w:val="24"/>
          <w:szCs w:val="24"/>
        </w:rPr>
        <w:t xml:space="preserve"> a date</w:t>
      </w:r>
      <w:r w:rsidR="00B74991">
        <w:rPr>
          <w:sz w:val="24"/>
          <w:szCs w:val="24"/>
        </w:rPr>
        <w:t xml:space="preserve"> only that it would be within five years from the first meeting of Parliament after a general election, </w:t>
      </w:r>
      <w:r w:rsidR="005179FA">
        <w:rPr>
          <w:sz w:val="24"/>
          <w:szCs w:val="24"/>
        </w:rPr>
        <w:t>however it could</w:t>
      </w:r>
      <w:r w:rsidR="00B74991">
        <w:rPr>
          <w:sz w:val="24"/>
          <w:szCs w:val="24"/>
        </w:rPr>
        <w:t xml:space="preserve"> also</w:t>
      </w:r>
      <w:r w:rsidR="005179FA">
        <w:rPr>
          <w:sz w:val="24"/>
          <w:szCs w:val="24"/>
        </w:rPr>
        <w:t xml:space="preserve"> be called earlier if the Prime Minister wishe</w:t>
      </w:r>
      <w:r w:rsidR="00B74991">
        <w:rPr>
          <w:sz w:val="24"/>
          <w:szCs w:val="24"/>
        </w:rPr>
        <w:t>d</w:t>
      </w:r>
      <w:r w:rsidR="005179FA">
        <w:rPr>
          <w:sz w:val="24"/>
          <w:szCs w:val="24"/>
        </w:rPr>
        <w:t xml:space="preserve"> to do so and call on the Queen to exercise the royal prerogative. This was seen as </w:t>
      </w:r>
      <w:r w:rsidR="00B15AB1">
        <w:rPr>
          <w:sz w:val="24"/>
          <w:szCs w:val="24"/>
        </w:rPr>
        <w:t>unfair, now</w:t>
      </w:r>
      <w:r w:rsidR="005179FA">
        <w:rPr>
          <w:sz w:val="24"/>
          <w:szCs w:val="24"/>
        </w:rPr>
        <w:t xml:space="preserve"> under The Fixed-term Parliament Act 2011 general elections are now held on the first Thursday in May every f</w:t>
      </w:r>
      <w:r w:rsidR="00B74991">
        <w:rPr>
          <w:sz w:val="24"/>
          <w:szCs w:val="24"/>
        </w:rPr>
        <w:t>i</w:t>
      </w:r>
      <w:r w:rsidR="005179FA">
        <w:rPr>
          <w:sz w:val="24"/>
          <w:szCs w:val="24"/>
        </w:rPr>
        <w:t>ve years</w:t>
      </w:r>
      <w:r w:rsidR="00D46111">
        <w:rPr>
          <w:sz w:val="24"/>
          <w:szCs w:val="24"/>
        </w:rPr>
        <w:t xml:space="preserve">, however, there can be an early general election, however, only if two thirds of MPs vote for one. The power has now </w:t>
      </w:r>
      <w:r w:rsidR="007A170D">
        <w:rPr>
          <w:sz w:val="24"/>
          <w:szCs w:val="24"/>
        </w:rPr>
        <w:t>been taken</w:t>
      </w:r>
      <w:r w:rsidR="00D46111">
        <w:rPr>
          <w:sz w:val="24"/>
          <w:szCs w:val="24"/>
        </w:rPr>
        <w:t xml:space="preserve"> away from the Prime Minister and given to the House of Commons. (T Fleming and P </w:t>
      </w:r>
      <w:proofErr w:type="spellStart"/>
      <w:r w:rsidR="00D46111">
        <w:rPr>
          <w:sz w:val="24"/>
          <w:szCs w:val="24"/>
        </w:rPr>
        <w:t>Schleiter</w:t>
      </w:r>
      <w:proofErr w:type="spellEnd"/>
      <w:r w:rsidR="00D46111">
        <w:rPr>
          <w:sz w:val="24"/>
          <w:szCs w:val="24"/>
        </w:rPr>
        <w:t xml:space="preserve"> 2020).</w:t>
      </w:r>
      <w:r w:rsidR="007A170D">
        <w:rPr>
          <w:sz w:val="24"/>
          <w:szCs w:val="24"/>
        </w:rPr>
        <w:t xml:space="preserve"> The House of Lords criticised the Act as they believed the powers had been transferred from the Prime Minister to the House of Commons. </w:t>
      </w:r>
    </w:p>
    <w:p w14:paraId="0BD05770" w14:textId="46E454AB" w:rsidR="00EB5E4A" w:rsidRDefault="00EB5E4A">
      <w:pPr>
        <w:rPr>
          <w:sz w:val="24"/>
          <w:szCs w:val="24"/>
        </w:rPr>
      </w:pPr>
      <w:r>
        <w:rPr>
          <w:sz w:val="24"/>
          <w:szCs w:val="24"/>
        </w:rPr>
        <w:t>Furthermore, the need for Parliament to have confidence in the elected government also ensures that their presence within the legislature is held accountable for any decisions that are out of their jurisdiction or are simply unlawful. The idea of a vote of no confidence ensures that the executive are aware of the political ramifications of their actions and as a result, upholds the idea that the legal power should not be concentrated into the hands of o</w:t>
      </w:r>
      <w:r w:rsidR="00F353FF">
        <w:rPr>
          <w:sz w:val="24"/>
          <w:szCs w:val="24"/>
        </w:rPr>
        <w:t>ne branch of the state as the executive are unlikely to act in a way that breaches the scope of their powers as they are conscious of the fact that they could lose their position of power if they do so. If a vote of no confidence is passed and there is no alternative government that if confirmed by the House of Commons within 14 days, then a general election may be called (</w:t>
      </w:r>
      <w:r w:rsidR="00EA1D54">
        <w:rPr>
          <w:sz w:val="24"/>
          <w:szCs w:val="24"/>
        </w:rPr>
        <w:t>N, Johnson and R, Kelly 2021</w:t>
      </w:r>
      <w:r w:rsidR="00F353FF">
        <w:rPr>
          <w:sz w:val="24"/>
          <w:szCs w:val="24"/>
        </w:rPr>
        <w:t xml:space="preserve">), which evidently conveys the idea that accountability, which is at the heart of the separation of powers, is maintained within the legislature as the government are aware that their actions and policies have consequences, therefore they are unlikely to exert too much influence over Parliament. </w:t>
      </w:r>
    </w:p>
    <w:p w14:paraId="5FFAABA6" w14:textId="61523893" w:rsidR="007A170D" w:rsidRDefault="00B60E8D">
      <w:pPr>
        <w:rPr>
          <w:sz w:val="24"/>
          <w:szCs w:val="24"/>
        </w:rPr>
      </w:pPr>
      <w:r>
        <w:rPr>
          <w:sz w:val="24"/>
          <w:szCs w:val="24"/>
        </w:rPr>
        <w:t xml:space="preserve">The Separation of powers is extremely important for the safeguarding of liberties. </w:t>
      </w:r>
      <w:r w:rsidR="00D968BB">
        <w:rPr>
          <w:sz w:val="24"/>
          <w:szCs w:val="24"/>
        </w:rPr>
        <w:t>Within the three branches there is a degree of separation of powers, however a complete separation would probably</w:t>
      </w:r>
      <w:r w:rsidR="00B74991">
        <w:rPr>
          <w:sz w:val="24"/>
          <w:szCs w:val="24"/>
        </w:rPr>
        <w:t xml:space="preserve"> </w:t>
      </w:r>
      <w:r>
        <w:rPr>
          <w:sz w:val="24"/>
          <w:szCs w:val="24"/>
        </w:rPr>
        <w:t>be unworkable</w:t>
      </w:r>
      <w:r w:rsidR="00D968BB">
        <w:rPr>
          <w:sz w:val="24"/>
          <w:szCs w:val="24"/>
        </w:rPr>
        <w:t>. The three branches need some for</w:t>
      </w:r>
      <w:r>
        <w:rPr>
          <w:sz w:val="24"/>
          <w:szCs w:val="24"/>
        </w:rPr>
        <w:t>m</w:t>
      </w:r>
      <w:r w:rsidR="00D968BB">
        <w:rPr>
          <w:sz w:val="24"/>
          <w:szCs w:val="24"/>
        </w:rPr>
        <w:t xml:space="preserve"> of separation however they also need to overlap to a degree to prevent one from becoming more supreme. However, one branch can not and must not exercise its power and each branch need to keep having an eye on each other to </w:t>
      </w:r>
      <w:r>
        <w:rPr>
          <w:sz w:val="24"/>
          <w:szCs w:val="24"/>
        </w:rPr>
        <w:t xml:space="preserve">make sure that no branch becomes superior. With the introducing of the Fixed-term Parliament Act 2011, the Constitutional Reform Act 2005 and the House of Commons Disqualification Act 1975 these have made sure that no branch is superior </w:t>
      </w:r>
      <w:r w:rsidR="00572FCF">
        <w:rPr>
          <w:sz w:val="24"/>
          <w:szCs w:val="24"/>
        </w:rPr>
        <w:t>and</w:t>
      </w:r>
      <w:r>
        <w:rPr>
          <w:sz w:val="24"/>
          <w:szCs w:val="24"/>
        </w:rPr>
        <w:t xml:space="preserve"> keeping in line with theory of the separation of powers. All </w:t>
      </w:r>
      <w:r w:rsidR="00572FCF">
        <w:rPr>
          <w:sz w:val="24"/>
          <w:szCs w:val="24"/>
        </w:rPr>
        <w:t>these systems of checks</w:t>
      </w:r>
      <w:r>
        <w:rPr>
          <w:sz w:val="24"/>
          <w:szCs w:val="24"/>
        </w:rPr>
        <w:t xml:space="preserve"> are there to protect the British people and</w:t>
      </w:r>
      <w:r w:rsidR="00695CA4">
        <w:rPr>
          <w:sz w:val="24"/>
          <w:szCs w:val="24"/>
        </w:rPr>
        <w:t xml:space="preserve"> in place so that </w:t>
      </w:r>
      <w:r>
        <w:rPr>
          <w:sz w:val="24"/>
          <w:szCs w:val="24"/>
        </w:rPr>
        <w:t xml:space="preserve">the Prime Minister who has prerogative powers can still be checked and upheld by Parliament. </w:t>
      </w:r>
    </w:p>
    <w:p w14:paraId="2A515AA9" w14:textId="0E0FD785" w:rsidR="007F0FE0" w:rsidRDefault="007F0FE0">
      <w:pPr>
        <w:rPr>
          <w:sz w:val="24"/>
          <w:szCs w:val="24"/>
        </w:rPr>
      </w:pPr>
    </w:p>
    <w:p w14:paraId="10CBBFCB" w14:textId="632A035A" w:rsidR="007F0FE0" w:rsidRDefault="007F0FE0">
      <w:pPr>
        <w:rPr>
          <w:sz w:val="24"/>
          <w:szCs w:val="24"/>
        </w:rPr>
      </w:pPr>
      <w:r>
        <w:rPr>
          <w:sz w:val="24"/>
          <w:szCs w:val="24"/>
        </w:rPr>
        <w:lastRenderedPageBreak/>
        <w:t>References:</w:t>
      </w:r>
    </w:p>
    <w:p w14:paraId="5DCF6D62" w14:textId="231D184B" w:rsidR="007F0FE0" w:rsidRDefault="001E6C1F">
      <w:pPr>
        <w:rPr>
          <w:sz w:val="24"/>
          <w:szCs w:val="24"/>
        </w:rPr>
      </w:pPr>
      <w:proofErr w:type="spellStart"/>
      <w:r>
        <w:rPr>
          <w:sz w:val="24"/>
          <w:szCs w:val="24"/>
        </w:rPr>
        <w:t>Cohler</w:t>
      </w:r>
      <w:proofErr w:type="spellEnd"/>
      <w:r>
        <w:rPr>
          <w:sz w:val="24"/>
          <w:szCs w:val="24"/>
        </w:rPr>
        <w:t xml:space="preserve">, A and Miller, B 1989 (Montesquieu, Charles de </w:t>
      </w:r>
      <w:proofErr w:type="spellStart"/>
      <w:r>
        <w:rPr>
          <w:sz w:val="24"/>
          <w:szCs w:val="24"/>
        </w:rPr>
        <w:t>Secondant</w:t>
      </w:r>
      <w:proofErr w:type="spellEnd"/>
      <w:r>
        <w:rPr>
          <w:sz w:val="24"/>
          <w:szCs w:val="24"/>
        </w:rPr>
        <w:t xml:space="preserve">, baron de the Spirit of Law) New York Cambridge University Press. </w:t>
      </w:r>
    </w:p>
    <w:p w14:paraId="2E39A859" w14:textId="77777777" w:rsidR="00F33F23" w:rsidRDefault="00F33F23">
      <w:pPr>
        <w:rPr>
          <w:sz w:val="24"/>
          <w:szCs w:val="24"/>
        </w:rPr>
      </w:pPr>
    </w:p>
    <w:p w14:paraId="540C67C8" w14:textId="74FC3386" w:rsidR="001E6C1F" w:rsidRDefault="001E6C1F">
      <w:pPr>
        <w:rPr>
          <w:sz w:val="24"/>
          <w:szCs w:val="24"/>
        </w:rPr>
      </w:pPr>
      <w:proofErr w:type="spellStart"/>
      <w:r>
        <w:rPr>
          <w:sz w:val="24"/>
          <w:szCs w:val="24"/>
        </w:rPr>
        <w:t>Benwell</w:t>
      </w:r>
      <w:proofErr w:type="spellEnd"/>
      <w:r>
        <w:rPr>
          <w:sz w:val="24"/>
          <w:szCs w:val="24"/>
        </w:rPr>
        <w:t xml:space="preserve">, R and Gay O A (The Separation of Powers) Available at </w:t>
      </w:r>
      <w:hyperlink r:id="rId4" w:history="1">
        <w:r w:rsidRPr="001F7331">
          <w:rPr>
            <w:rStyle w:val="Hyperlink"/>
            <w:sz w:val="24"/>
            <w:szCs w:val="24"/>
          </w:rPr>
          <w:t>http://www.parliament.uk/briefing-papers/sn06053</w:t>
        </w:r>
      </w:hyperlink>
      <w:r>
        <w:rPr>
          <w:sz w:val="24"/>
          <w:szCs w:val="24"/>
        </w:rPr>
        <w:t>. Accessed on 18</w:t>
      </w:r>
      <w:r w:rsidRPr="001E6C1F">
        <w:rPr>
          <w:sz w:val="24"/>
          <w:szCs w:val="24"/>
          <w:vertAlign w:val="superscript"/>
        </w:rPr>
        <w:t>th</w:t>
      </w:r>
      <w:r>
        <w:rPr>
          <w:sz w:val="24"/>
          <w:szCs w:val="24"/>
        </w:rPr>
        <w:t xml:space="preserve"> of February 2022. </w:t>
      </w:r>
    </w:p>
    <w:p w14:paraId="0A5189AE" w14:textId="77777777" w:rsidR="00F33F23" w:rsidRDefault="00F33F23">
      <w:pPr>
        <w:rPr>
          <w:sz w:val="24"/>
          <w:szCs w:val="24"/>
        </w:rPr>
      </w:pPr>
    </w:p>
    <w:p w14:paraId="16D2D251" w14:textId="751B7E32" w:rsidR="001E6C1F" w:rsidRDefault="001E6C1F">
      <w:pPr>
        <w:rPr>
          <w:sz w:val="24"/>
          <w:szCs w:val="24"/>
        </w:rPr>
      </w:pPr>
      <w:r>
        <w:rPr>
          <w:sz w:val="24"/>
          <w:szCs w:val="24"/>
        </w:rPr>
        <w:t xml:space="preserve">Disqualifications for members of the House of Commons. Available at </w:t>
      </w:r>
      <w:hyperlink r:id="rId5" w:history="1">
        <w:r w:rsidRPr="001F7331">
          <w:rPr>
            <w:rStyle w:val="Hyperlink"/>
            <w:sz w:val="24"/>
            <w:szCs w:val="24"/>
          </w:rPr>
          <w:t>https://commonslibrary-parliament.uk/research-briefings/sn03221</w:t>
        </w:r>
      </w:hyperlink>
      <w:r>
        <w:rPr>
          <w:sz w:val="24"/>
          <w:szCs w:val="24"/>
        </w:rPr>
        <w:t>. Accessed on 17</w:t>
      </w:r>
      <w:r w:rsidRPr="001E6C1F">
        <w:rPr>
          <w:sz w:val="24"/>
          <w:szCs w:val="24"/>
          <w:vertAlign w:val="superscript"/>
        </w:rPr>
        <w:t>th</w:t>
      </w:r>
      <w:r>
        <w:rPr>
          <w:sz w:val="24"/>
          <w:szCs w:val="24"/>
        </w:rPr>
        <w:t xml:space="preserve"> February 2022. </w:t>
      </w:r>
    </w:p>
    <w:p w14:paraId="3AC547E3" w14:textId="77777777" w:rsidR="00F33F23" w:rsidRDefault="00F33F23">
      <w:pPr>
        <w:rPr>
          <w:sz w:val="24"/>
          <w:szCs w:val="24"/>
        </w:rPr>
      </w:pPr>
    </w:p>
    <w:p w14:paraId="24CED913" w14:textId="3D63B5E4" w:rsidR="001E6C1F" w:rsidRDefault="001E6C1F">
      <w:pPr>
        <w:rPr>
          <w:sz w:val="24"/>
          <w:szCs w:val="24"/>
        </w:rPr>
      </w:pPr>
      <w:r>
        <w:rPr>
          <w:sz w:val="24"/>
          <w:szCs w:val="24"/>
        </w:rPr>
        <w:t xml:space="preserve">Fleming, T and </w:t>
      </w:r>
      <w:proofErr w:type="spellStart"/>
      <w:r>
        <w:rPr>
          <w:sz w:val="24"/>
          <w:szCs w:val="24"/>
        </w:rPr>
        <w:t>Schleiter</w:t>
      </w:r>
      <w:proofErr w:type="spellEnd"/>
      <w:r>
        <w:rPr>
          <w:sz w:val="24"/>
          <w:szCs w:val="24"/>
        </w:rPr>
        <w:t xml:space="preserve">, P. Available at </w:t>
      </w:r>
      <w:hyperlink r:id="rId6" w:history="1">
        <w:r w:rsidRPr="001F7331">
          <w:rPr>
            <w:rStyle w:val="Hyperlink"/>
            <w:sz w:val="24"/>
            <w:szCs w:val="24"/>
          </w:rPr>
          <w:t>https://consoc.org.uk/how-could-the-fixed-term-parliament-act-2011-be-improved/</w:t>
        </w:r>
      </w:hyperlink>
      <w:r>
        <w:rPr>
          <w:sz w:val="24"/>
          <w:szCs w:val="24"/>
        </w:rPr>
        <w:t>. Accessed on 19</w:t>
      </w:r>
      <w:r w:rsidRPr="001E6C1F">
        <w:rPr>
          <w:sz w:val="24"/>
          <w:szCs w:val="24"/>
          <w:vertAlign w:val="superscript"/>
        </w:rPr>
        <w:t>th</w:t>
      </w:r>
      <w:r>
        <w:rPr>
          <w:sz w:val="24"/>
          <w:szCs w:val="24"/>
        </w:rPr>
        <w:t xml:space="preserve"> of February 2022. </w:t>
      </w:r>
    </w:p>
    <w:p w14:paraId="3545D148" w14:textId="77777777" w:rsidR="00F33F23" w:rsidRDefault="00F33F23">
      <w:pPr>
        <w:rPr>
          <w:sz w:val="24"/>
          <w:szCs w:val="24"/>
        </w:rPr>
      </w:pPr>
    </w:p>
    <w:p w14:paraId="5429F587" w14:textId="527A8EBF" w:rsidR="001E6C1F" w:rsidRDefault="001E6C1F">
      <w:pPr>
        <w:rPr>
          <w:sz w:val="24"/>
          <w:szCs w:val="24"/>
        </w:rPr>
      </w:pPr>
      <w:r>
        <w:rPr>
          <w:sz w:val="24"/>
          <w:szCs w:val="24"/>
        </w:rPr>
        <w:t xml:space="preserve">Gay, 0. </w:t>
      </w:r>
      <w:hyperlink r:id="rId7" w:history="1">
        <w:r w:rsidRPr="001F7331">
          <w:rPr>
            <w:rStyle w:val="Hyperlink"/>
            <w:sz w:val="24"/>
            <w:szCs w:val="24"/>
          </w:rPr>
          <w:t>https://commonslibrary.parliament.uk/research-briefings/sn03221/</w:t>
        </w:r>
      </w:hyperlink>
      <w:r>
        <w:rPr>
          <w:sz w:val="24"/>
          <w:szCs w:val="24"/>
        </w:rPr>
        <w:t>. Accessed on 16</w:t>
      </w:r>
      <w:r w:rsidRPr="001E6C1F">
        <w:rPr>
          <w:sz w:val="24"/>
          <w:szCs w:val="24"/>
          <w:vertAlign w:val="superscript"/>
        </w:rPr>
        <w:t>th</w:t>
      </w:r>
      <w:r>
        <w:rPr>
          <w:sz w:val="24"/>
          <w:szCs w:val="24"/>
        </w:rPr>
        <w:t xml:space="preserve"> of February 2022. </w:t>
      </w:r>
    </w:p>
    <w:p w14:paraId="42C31C30" w14:textId="77777777" w:rsidR="00F33F23" w:rsidRDefault="00F33F23">
      <w:pPr>
        <w:rPr>
          <w:sz w:val="24"/>
          <w:szCs w:val="24"/>
        </w:rPr>
      </w:pPr>
    </w:p>
    <w:p w14:paraId="3B398CBE" w14:textId="521D3F5E" w:rsidR="001E6C1F" w:rsidRDefault="001E6C1F">
      <w:pPr>
        <w:rPr>
          <w:sz w:val="24"/>
          <w:szCs w:val="24"/>
        </w:rPr>
      </w:pPr>
      <w:r>
        <w:rPr>
          <w:sz w:val="24"/>
          <w:szCs w:val="24"/>
        </w:rPr>
        <w:t xml:space="preserve">Johnson, N and Kelly, R. Available at </w:t>
      </w:r>
      <w:hyperlink r:id="rId8" w:history="1">
        <w:r w:rsidRPr="001F7331">
          <w:rPr>
            <w:rStyle w:val="Hyperlink"/>
            <w:sz w:val="24"/>
            <w:szCs w:val="24"/>
          </w:rPr>
          <w:t>https://commonslibrary.parliament.uk/research-briefings/sn5089</w:t>
        </w:r>
      </w:hyperlink>
      <w:r>
        <w:rPr>
          <w:sz w:val="24"/>
          <w:szCs w:val="24"/>
        </w:rPr>
        <w:t>. Accessed on 19</w:t>
      </w:r>
      <w:r w:rsidRPr="001E6C1F">
        <w:rPr>
          <w:sz w:val="24"/>
          <w:szCs w:val="24"/>
          <w:vertAlign w:val="superscript"/>
        </w:rPr>
        <w:t>th</w:t>
      </w:r>
      <w:r>
        <w:rPr>
          <w:sz w:val="24"/>
          <w:szCs w:val="24"/>
        </w:rPr>
        <w:t xml:space="preserve"> of February 2022. </w:t>
      </w:r>
    </w:p>
    <w:p w14:paraId="4714E27F" w14:textId="77777777" w:rsidR="00F33F23" w:rsidRDefault="00F33F23">
      <w:pPr>
        <w:rPr>
          <w:sz w:val="24"/>
          <w:szCs w:val="24"/>
        </w:rPr>
      </w:pPr>
    </w:p>
    <w:p w14:paraId="32549FB5" w14:textId="07420AD1" w:rsidR="00F33F23" w:rsidRDefault="00F33F23">
      <w:pPr>
        <w:rPr>
          <w:sz w:val="24"/>
          <w:szCs w:val="24"/>
        </w:rPr>
      </w:pPr>
      <w:r>
        <w:rPr>
          <w:sz w:val="24"/>
          <w:szCs w:val="24"/>
        </w:rPr>
        <w:t>Sir Jennings, I. 1959 (The Law of the Constitution). University of London Press</w:t>
      </w:r>
    </w:p>
    <w:p w14:paraId="0BA59DE4" w14:textId="77777777" w:rsidR="00F33F23" w:rsidRDefault="00F33F23">
      <w:pPr>
        <w:rPr>
          <w:sz w:val="24"/>
          <w:szCs w:val="24"/>
        </w:rPr>
      </w:pPr>
    </w:p>
    <w:p w14:paraId="6C24D030" w14:textId="6BA6DC83" w:rsidR="00F33F23" w:rsidRDefault="00F33F23">
      <w:pPr>
        <w:rPr>
          <w:sz w:val="24"/>
          <w:szCs w:val="24"/>
        </w:rPr>
      </w:pPr>
      <w:r>
        <w:rPr>
          <w:sz w:val="24"/>
          <w:szCs w:val="24"/>
        </w:rPr>
        <w:t xml:space="preserve">Supreme Court. Available at </w:t>
      </w:r>
      <w:hyperlink r:id="rId9" w:history="1">
        <w:r w:rsidRPr="001F7331">
          <w:rPr>
            <w:rStyle w:val="Hyperlink"/>
            <w:sz w:val="24"/>
            <w:szCs w:val="24"/>
          </w:rPr>
          <w:t>https://supremecourt.uk</w:t>
        </w:r>
      </w:hyperlink>
      <w:r>
        <w:rPr>
          <w:sz w:val="24"/>
          <w:szCs w:val="24"/>
        </w:rPr>
        <w:t>. Accessed on 16</w:t>
      </w:r>
      <w:r w:rsidRPr="00F33F23">
        <w:rPr>
          <w:sz w:val="24"/>
          <w:szCs w:val="24"/>
          <w:vertAlign w:val="superscript"/>
        </w:rPr>
        <w:t>th</w:t>
      </w:r>
      <w:r>
        <w:rPr>
          <w:sz w:val="24"/>
          <w:szCs w:val="24"/>
        </w:rPr>
        <w:t xml:space="preserve"> of February 2022. </w:t>
      </w:r>
    </w:p>
    <w:p w14:paraId="7B667FA1" w14:textId="77777777" w:rsidR="00F33F23" w:rsidRDefault="00F33F23">
      <w:pPr>
        <w:rPr>
          <w:sz w:val="24"/>
          <w:szCs w:val="24"/>
        </w:rPr>
      </w:pPr>
    </w:p>
    <w:p w14:paraId="26029683" w14:textId="263B2F03" w:rsidR="00F33F23" w:rsidRDefault="00F33F23">
      <w:pPr>
        <w:rPr>
          <w:sz w:val="24"/>
          <w:szCs w:val="24"/>
        </w:rPr>
      </w:pPr>
      <w:r>
        <w:rPr>
          <w:sz w:val="24"/>
          <w:szCs w:val="24"/>
        </w:rPr>
        <w:t xml:space="preserve">Webley, L and </w:t>
      </w:r>
      <w:proofErr w:type="spellStart"/>
      <w:r>
        <w:rPr>
          <w:sz w:val="24"/>
          <w:szCs w:val="24"/>
        </w:rPr>
        <w:t>Samules</w:t>
      </w:r>
      <w:proofErr w:type="spellEnd"/>
      <w:r>
        <w:rPr>
          <w:sz w:val="24"/>
          <w:szCs w:val="24"/>
        </w:rPr>
        <w:t xml:space="preserve">, H, 2015 (Public Law, Text Cases and materials) third edition, Oxford University Press. </w:t>
      </w:r>
    </w:p>
    <w:p w14:paraId="478752BE" w14:textId="2D7E15E5" w:rsidR="00F33F23" w:rsidRDefault="00F33F23">
      <w:pPr>
        <w:rPr>
          <w:sz w:val="24"/>
          <w:szCs w:val="24"/>
        </w:rPr>
      </w:pPr>
    </w:p>
    <w:p w14:paraId="591AC7FC" w14:textId="124B3CE4" w:rsidR="00F33F23" w:rsidRDefault="00F33F23">
      <w:pPr>
        <w:rPr>
          <w:sz w:val="24"/>
          <w:szCs w:val="24"/>
        </w:rPr>
      </w:pPr>
      <w:r>
        <w:rPr>
          <w:sz w:val="24"/>
          <w:szCs w:val="24"/>
        </w:rPr>
        <w:t>Acts:</w:t>
      </w:r>
    </w:p>
    <w:p w14:paraId="6B6BBF95" w14:textId="2181EB6E" w:rsidR="00F33F23" w:rsidRDefault="00F33F23">
      <w:pPr>
        <w:rPr>
          <w:sz w:val="24"/>
          <w:szCs w:val="24"/>
        </w:rPr>
      </w:pPr>
      <w:r>
        <w:rPr>
          <w:sz w:val="24"/>
          <w:szCs w:val="24"/>
        </w:rPr>
        <w:t xml:space="preserve">Counter Terrorism and Security Act 2015 c.6 Available at </w:t>
      </w:r>
      <w:hyperlink r:id="rId10" w:history="1">
        <w:r w:rsidRPr="001F7331">
          <w:rPr>
            <w:rStyle w:val="Hyperlink"/>
            <w:sz w:val="24"/>
            <w:szCs w:val="24"/>
          </w:rPr>
          <w:t>https://www.legislation.gov.uk/ukpga/2015/6/contents/enacted</w:t>
        </w:r>
      </w:hyperlink>
      <w:r>
        <w:rPr>
          <w:sz w:val="24"/>
          <w:szCs w:val="24"/>
        </w:rPr>
        <w:t xml:space="preserve"> </w:t>
      </w:r>
    </w:p>
    <w:p w14:paraId="10319E66" w14:textId="5A9674D0" w:rsidR="00F33F23" w:rsidRDefault="00F33F23">
      <w:pPr>
        <w:rPr>
          <w:sz w:val="24"/>
          <w:szCs w:val="24"/>
        </w:rPr>
      </w:pPr>
    </w:p>
    <w:p w14:paraId="590C2D85" w14:textId="6CA3B7BB" w:rsidR="00F33F23" w:rsidRDefault="00F33F23">
      <w:pPr>
        <w:rPr>
          <w:sz w:val="24"/>
          <w:szCs w:val="24"/>
        </w:rPr>
      </w:pPr>
      <w:r>
        <w:rPr>
          <w:sz w:val="24"/>
          <w:szCs w:val="24"/>
        </w:rPr>
        <w:t xml:space="preserve">Constitutional Reform Act 2005 c.4 Available at </w:t>
      </w:r>
      <w:hyperlink r:id="rId11" w:history="1">
        <w:r w:rsidRPr="001F7331">
          <w:rPr>
            <w:rStyle w:val="Hyperlink"/>
            <w:sz w:val="24"/>
            <w:szCs w:val="24"/>
          </w:rPr>
          <w:t>https://www.legislation.gov.uk/ukpga/2005/4/contents</w:t>
        </w:r>
      </w:hyperlink>
    </w:p>
    <w:p w14:paraId="6FA70CF5" w14:textId="73615B1E" w:rsidR="00F33F23" w:rsidRDefault="00F33F23">
      <w:pPr>
        <w:rPr>
          <w:sz w:val="24"/>
          <w:szCs w:val="24"/>
        </w:rPr>
      </w:pPr>
      <w:r>
        <w:rPr>
          <w:sz w:val="24"/>
          <w:szCs w:val="24"/>
        </w:rPr>
        <w:lastRenderedPageBreak/>
        <w:t xml:space="preserve">Fixed-Term Parliament Act 2011 c.14 Available at </w:t>
      </w:r>
      <w:hyperlink r:id="rId12" w:history="1">
        <w:r w:rsidRPr="001F7331">
          <w:rPr>
            <w:rStyle w:val="Hyperlink"/>
            <w:sz w:val="24"/>
            <w:szCs w:val="24"/>
          </w:rPr>
          <w:t>https://www.legislation.gov.uk/ukpga/2011/14/contents/enacted</w:t>
        </w:r>
      </w:hyperlink>
      <w:r>
        <w:rPr>
          <w:sz w:val="24"/>
          <w:szCs w:val="24"/>
        </w:rPr>
        <w:t xml:space="preserve"> </w:t>
      </w:r>
    </w:p>
    <w:p w14:paraId="263F3297" w14:textId="61848F6A" w:rsidR="00F33F23" w:rsidRDefault="00F33F23">
      <w:pPr>
        <w:rPr>
          <w:sz w:val="24"/>
          <w:szCs w:val="24"/>
        </w:rPr>
      </w:pPr>
    </w:p>
    <w:p w14:paraId="357EB711" w14:textId="4F64E834" w:rsidR="00F33F23" w:rsidRPr="005962EA" w:rsidRDefault="00F33F23">
      <w:pPr>
        <w:rPr>
          <w:sz w:val="24"/>
          <w:szCs w:val="24"/>
        </w:rPr>
      </w:pPr>
      <w:r>
        <w:rPr>
          <w:sz w:val="24"/>
          <w:szCs w:val="24"/>
        </w:rPr>
        <w:t xml:space="preserve">House of Commons Disqualification Act 1975 c.24 Available at </w:t>
      </w:r>
      <w:hyperlink r:id="rId13" w:history="1">
        <w:r w:rsidRPr="001F7331">
          <w:rPr>
            <w:rStyle w:val="Hyperlink"/>
            <w:sz w:val="24"/>
            <w:szCs w:val="24"/>
          </w:rPr>
          <w:t>https://www.legislation.gov.uk/ukpga/1975/24/contents</w:t>
        </w:r>
      </w:hyperlink>
      <w:r>
        <w:rPr>
          <w:sz w:val="24"/>
          <w:szCs w:val="24"/>
        </w:rPr>
        <w:t xml:space="preserve"> </w:t>
      </w:r>
    </w:p>
    <w:sectPr w:rsidR="00F33F23" w:rsidRPr="005962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2EA"/>
    <w:rsid w:val="0005127E"/>
    <w:rsid w:val="00076AD5"/>
    <w:rsid w:val="00077E19"/>
    <w:rsid w:val="0008202E"/>
    <w:rsid w:val="0014153B"/>
    <w:rsid w:val="001E6C1F"/>
    <w:rsid w:val="002A596A"/>
    <w:rsid w:val="00434BE5"/>
    <w:rsid w:val="004D7968"/>
    <w:rsid w:val="004E144B"/>
    <w:rsid w:val="005179FA"/>
    <w:rsid w:val="00572FCF"/>
    <w:rsid w:val="005762D1"/>
    <w:rsid w:val="005962EA"/>
    <w:rsid w:val="0062058F"/>
    <w:rsid w:val="00694EAB"/>
    <w:rsid w:val="00695CA4"/>
    <w:rsid w:val="006C23F1"/>
    <w:rsid w:val="007A170D"/>
    <w:rsid w:val="007D0EFF"/>
    <w:rsid w:val="007F0FE0"/>
    <w:rsid w:val="00A564D7"/>
    <w:rsid w:val="00B15AB1"/>
    <w:rsid w:val="00B60E8D"/>
    <w:rsid w:val="00B74991"/>
    <w:rsid w:val="00D46111"/>
    <w:rsid w:val="00D86621"/>
    <w:rsid w:val="00D968BB"/>
    <w:rsid w:val="00EA1D54"/>
    <w:rsid w:val="00EB5E4A"/>
    <w:rsid w:val="00EE5B52"/>
    <w:rsid w:val="00EF4AF6"/>
    <w:rsid w:val="00F33F23"/>
    <w:rsid w:val="00F353FF"/>
    <w:rsid w:val="00F50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25CA9"/>
  <w15:chartTrackingRefBased/>
  <w15:docId w15:val="{70B5CDB1-345A-4065-8F75-2384FFE8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6C1F"/>
    <w:rPr>
      <w:color w:val="0563C1" w:themeColor="hyperlink"/>
      <w:u w:val="single"/>
    </w:rPr>
  </w:style>
  <w:style w:type="character" w:styleId="UnresolvedMention">
    <w:name w:val="Unresolved Mention"/>
    <w:basedOn w:val="DefaultParagraphFont"/>
    <w:uiPriority w:val="99"/>
    <w:semiHidden/>
    <w:unhideWhenUsed/>
    <w:rsid w:val="001E6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sn5089" TargetMode="External"/><Relationship Id="rId13" Type="http://schemas.openxmlformats.org/officeDocument/2006/relationships/hyperlink" Target="https://www.legislation.gov.uk/ukpga/1975/24/contents" TargetMode="External"/><Relationship Id="rId3" Type="http://schemas.openxmlformats.org/officeDocument/2006/relationships/webSettings" Target="webSettings.xml"/><Relationship Id="rId7" Type="http://schemas.openxmlformats.org/officeDocument/2006/relationships/hyperlink" Target="https://commonslibrary.parliament.uk/research-briefings/sn03221/" TargetMode="External"/><Relationship Id="rId12" Type="http://schemas.openxmlformats.org/officeDocument/2006/relationships/hyperlink" Target="https://www.legislation.gov.uk/ukpga/2011/14/contents/enact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soc.org.uk/how-could-the-fixed-term-parliament-act-2011-be-improved/" TargetMode="External"/><Relationship Id="rId11" Type="http://schemas.openxmlformats.org/officeDocument/2006/relationships/hyperlink" Target="https://www.legislation.gov.uk/ukpga/2005/4/contents" TargetMode="External"/><Relationship Id="rId5" Type="http://schemas.openxmlformats.org/officeDocument/2006/relationships/hyperlink" Target="https://commonslibrary-parliament.uk/research-briefings/sn03221" TargetMode="External"/><Relationship Id="rId15" Type="http://schemas.openxmlformats.org/officeDocument/2006/relationships/theme" Target="theme/theme1.xml"/><Relationship Id="rId10" Type="http://schemas.openxmlformats.org/officeDocument/2006/relationships/hyperlink" Target="https://www.legislation.gov.uk/ukpga/2015/6/contents/enacted" TargetMode="External"/><Relationship Id="rId4" Type="http://schemas.openxmlformats.org/officeDocument/2006/relationships/hyperlink" Target="http://www.parliament.uk/briefing-papers/sn06053" TargetMode="External"/><Relationship Id="rId9" Type="http://schemas.openxmlformats.org/officeDocument/2006/relationships/hyperlink" Target="https://supremecourt.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1977</Words>
  <Characters>11271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Hughes (2115728)</dc:creator>
  <cp:keywords/>
  <dc:description/>
  <cp:lastModifiedBy>Charlotte</cp:lastModifiedBy>
  <cp:revision>4</cp:revision>
  <dcterms:created xsi:type="dcterms:W3CDTF">2022-02-22T10:03:00Z</dcterms:created>
  <dcterms:modified xsi:type="dcterms:W3CDTF">2022-02-22T10:11:00Z</dcterms:modified>
</cp:coreProperties>
</file>