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C52B7A" w14:textId="77777777" w:rsidR="00207048" w:rsidRPr="00E70817" w:rsidRDefault="000013BB" w:rsidP="00E70817">
      <w:pPr>
        <w:rPr>
          <w:u w:val="single"/>
        </w:rPr>
      </w:pPr>
      <w:proofErr w:type="gramStart"/>
      <w:r w:rsidRPr="00E70817">
        <w:rPr>
          <w:u w:val="single"/>
        </w:rPr>
        <w:t>Article</w:t>
      </w:r>
      <w:proofErr w:type="gramEnd"/>
      <w:r w:rsidRPr="00E70817">
        <w:rPr>
          <w:u w:val="single"/>
        </w:rPr>
        <w:t xml:space="preserve"> review of: Greek Influence on the Composition of 2 Maccabees</w:t>
      </w:r>
    </w:p>
    <w:p w14:paraId="43C52B7B" w14:textId="77777777" w:rsidR="00207048" w:rsidRDefault="00207048" w:rsidP="00E70817"/>
    <w:p w14:paraId="43C52B7C" w14:textId="009A0A37" w:rsidR="00207048" w:rsidRDefault="000013BB" w:rsidP="00E70817">
      <w:r>
        <w:t xml:space="preserve">The article this review is on is written by Malka Zeiger </w:t>
      </w:r>
      <w:proofErr w:type="spellStart"/>
      <w:r>
        <w:t>Simkovich</w:t>
      </w:r>
      <w:proofErr w:type="spellEnd"/>
      <w:r>
        <w:t xml:space="preserve"> in the Journal for the Study of Judaism. The purpose of this article is to explore the Greek influence on the writing of 2 Maccabee. As for the original text of</w:t>
      </w:r>
      <w:r>
        <w:t xml:space="preserve"> 2 Maccabees it was written </w:t>
      </w:r>
      <w:r>
        <w:t xml:space="preserve">by Jason of Cyrene and abridged </w:t>
      </w:r>
      <w:proofErr w:type="gramStart"/>
      <w:r>
        <w:t>later on</w:t>
      </w:r>
      <w:proofErr w:type="gramEnd"/>
      <w:r>
        <w:t xml:space="preserve"> by an anonymous writer. This was a different author to that of the book 1 Maccabees written earlier on that focused on the Maccabean revolt. Jason of Cyrene wrote five volumes </w:t>
      </w:r>
      <w:r w:rsidR="00566078">
        <w:t>originally,</w:t>
      </w:r>
      <w:r>
        <w:t xml:space="preserve"> but the abridger shortened i</w:t>
      </w:r>
      <w:r>
        <w:t>t to thirteen chapters that are read now.</w:t>
      </w:r>
    </w:p>
    <w:p w14:paraId="61BDF978" w14:textId="77777777" w:rsidR="001D2CED" w:rsidRDefault="001D2CED" w:rsidP="00E70817"/>
    <w:p w14:paraId="06AD8DE0" w14:textId="4774AA81" w:rsidR="002A38C9" w:rsidRDefault="000013BB" w:rsidP="00E70817">
      <w:r>
        <w:t>The journal article argues that 2 Maccabees focuses more on religious aspects than 1 Maccabees and the inclusion of religious holidays in 2 Maccabees is linked to the diaspora, in this case Jews that lived in Gree</w:t>
      </w:r>
      <w:r>
        <w:t xml:space="preserve">k communities. </w:t>
      </w:r>
      <w:proofErr w:type="spellStart"/>
      <w:r>
        <w:t>Simkovich</w:t>
      </w:r>
      <w:proofErr w:type="spellEnd"/>
      <w:r>
        <w:t xml:space="preserve"> argues that the author of 2 Maccabees was appealing particularly to Jews living in the diaspora in Greek communities. He argues that the agenda of the author was to encourage </w:t>
      </w:r>
      <w:proofErr w:type="spellStart"/>
      <w:r>
        <w:t>hellenised</w:t>
      </w:r>
      <w:proofErr w:type="spellEnd"/>
      <w:r>
        <w:t xml:space="preserve"> Jews to return to their own cultural and reli</w:t>
      </w:r>
      <w:r>
        <w:t xml:space="preserve">gious roots and worship in more traditional Jewish ways. 2 Maccabees was originally written in Greek which is important in this article as it explores the Greek influence on 2 Maccabees. </w:t>
      </w:r>
      <w:proofErr w:type="spellStart"/>
      <w:r>
        <w:t>Simkovich</w:t>
      </w:r>
      <w:proofErr w:type="spellEnd"/>
      <w:r>
        <w:t xml:space="preserve"> meticulously analyses the text of 2 Maccabees to identify r</w:t>
      </w:r>
      <w:r>
        <w:t>eferences to three aspects of Jewish religious worship. These include references to religious holidays, references to prayer and references to temple worship. All three of the aspects show to me that 2 Maccabees was written with more religious focus than i</w:t>
      </w:r>
      <w:r>
        <w:t xml:space="preserve">ts predecessor 1 Maccabees. This idea </w:t>
      </w:r>
      <w:r>
        <w:t>is also shared by Professor Daniel Schwartz</w:t>
      </w:r>
      <w:r w:rsidR="00DF0666">
        <w:t xml:space="preserve"> </w:t>
      </w:r>
      <w:r w:rsidR="00CE6F35">
        <w:t>in his lecture on 1</w:t>
      </w:r>
      <w:r w:rsidR="00003AB2">
        <w:t xml:space="preserve"> &amp; 2</w:t>
      </w:r>
      <w:r w:rsidR="00CE6F35">
        <w:t xml:space="preserve"> Maccabees</w:t>
      </w:r>
      <w:r w:rsidR="00003AB2">
        <w:t xml:space="preserve"> avai</w:t>
      </w:r>
      <w:r w:rsidR="00BD557B">
        <w:t>l</w:t>
      </w:r>
      <w:r w:rsidR="00C42167">
        <w:t>a</w:t>
      </w:r>
      <w:r w:rsidR="00003AB2">
        <w:t xml:space="preserve">ble on </w:t>
      </w:r>
      <w:r w:rsidR="00C42167">
        <w:t>YouTube</w:t>
      </w:r>
      <w:r w:rsidR="00003AB2">
        <w:t xml:space="preserve"> since 2018.</w:t>
      </w:r>
      <w:r w:rsidR="00CE6F35">
        <w:t xml:space="preserve"> </w:t>
      </w:r>
      <w:r>
        <w:rPr>
          <w:vertAlign w:val="superscript"/>
        </w:rPr>
        <w:footnoteReference w:id="1"/>
      </w:r>
      <w:r w:rsidR="009731EE">
        <w:t xml:space="preserve"> In this lecture he talks about main </w:t>
      </w:r>
      <w:r w:rsidR="00C42167">
        <w:t>differences</w:t>
      </w:r>
      <w:r w:rsidR="009731EE">
        <w:t xml:space="preserve"> between the two book</w:t>
      </w:r>
      <w:r w:rsidR="00C42167">
        <w:t>s</w:t>
      </w:r>
      <w:r w:rsidR="009731EE">
        <w:t>, the main points included</w:t>
      </w:r>
      <w:r w:rsidR="00DD2DDF">
        <w:t xml:space="preserve">, the two book were written in </w:t>
      </w:r>
      <w:r w:rsidR="00C42167">
        <w:t xml:space="preserve">different locations, </w:t>
      </w:r>
      <w:r w:rsidR="000D1D80">
        <w:t>l</w:t>
      </w:r>
      <w:r w:rsidR="00C42167">
        <w:t>anguages</w:t>
      </w:r>
      <w:r w:rsidR="000D1D80">
        <w:t xml:space="preserve"> (</w:t>
      </w:r>
      <w:r w:rsidR="003C2564">
        <w:t xml:space="preserve">1 </w:t>
      </w:r>
      <w:proofErr w:type="spellStart"/>
      <w:r w:rsidR="003C2564">
        <w:t>Macc</w:t>
      </w:r>
      <w:proofErr w:type="spellEnd"/>
      <w:r w:rsidR="003C2564">
        <w:t xml:space="preserve"> written in Hebrew and 2 </w:t>
      </w:r>
      <w:proofErr w:type="spellStart"/>
      <w:r w:rsidR="003C2564">
        <w:t>Macc</w:t>
      </w:r>
      <w:proofErr w:type="spellEnd"/>
      <w:r w:rsidR="003C2564">
        <w:t xml:space="preserve"> written in Greek</w:t>
      </w:r>
      <w:r w:rsidR="00273CF4">
        <w:t>)</w:t>
      </w:r>
      <w:r w:rsidR="00C42167">
        <w:t xml:space="preserve"> and </w:t>
      </w:r>
      <w:r w:rsidR="00A1785A">
        <w:t>focused on slightly</w:t>
      </w:r>
      <w:r w:rsidR="00273CF4">
        <w:t xml:space="preserve"> topics. </w:t>
      </w:r>
      <w:r w:rsidR="0090724C">
        <w:t xml:space="preserve">All these things can be used when reading the journal being reviewed as it connects </w:t>
      </w:r>
      <w:r w:rsidR="000C2482">
        <w:t xml:space="preserve">and shows similar opinions on the </w:t>
      </w:r>
      <w:r w:rsidR="002A38C9">
        <w:t>Greek influence on Jews during the Hellenistic period.</w:t>
      </w:r>
    </w:p>
    <w:p w14:paraId="43C52B7E" w14:textId="0F1E3393" w:rsidR="00207048" w:rsidRDefault="00207048" w:rsidP="00E70817"/>
    <w:p w14:paraId="43C52B7F" w14:textId="2101977A" w:rsidR="00207048" w:rsidRDefault="000013BB" w:rsidP="00E70817">
      <w:pPr>
        <w:pBdr>
          <w:top w:val="nil"/>
          <w:left w:val="nil"/>
          <w:bottom w:val="nil"/>
          <w:right w:val="nil"/>
          <w:between w:val="nil"/>
        </w:pBdr>
        <w:spacing w:after="0"/>
      </w:pPr>
      <w:r>
        <w:t xml:space="preserve">Central to </w:t>
      </w:r>
      <w:proofErr w:type="spellStart"/>
      <w:r>
        <w:t>Simkovich’s</w:t>
      </w:r>
      <w:proofErr w:type="spellEnd"/>
      <w:r>
        <w:t xml:space="preserve"> argument is the abridger’s focus on religious festivals and holidays. He writes, </w:t>
      </w:r>
      <w:r>
        <w:rPr>
          <w:color w:val="000000"/>
        </w:rPr>
        <w:t>‘…the abri</w:t>
      </w:r>
      <w:r>
        <w:t>d</w:t>
      </w:r>
      <w:r>
        <w:rPr>
          <w:color w:val="000000"/>
        </w:rPr>
        <w:t>ger centralizes holiday observance, …(</w:t>
      </w:r>
      <w:r>
        <w:rPr>
          <w:color w:val="000000"/>
        </w:rPr>
        <w:t xml:space="preserve">)… because he is catering to a community that is heavily influenced by a Greek lunar calendar, which is marked by </w:t>
      </w:r>
      <w:r>
        <w:t>festivals</w:t>
      </w:r>
      <w:r>
        <w:rPr>
          <w:color w:val="000000"/>
        </w:rPr>
        <w:t xml:space="preserve">  celebrated throughout the year’.</w:t>
      </w:r>
      <w:r>
        <w:rPr>
          <w:color w:val="000000"/>
          <w:vertAlign w:val="superscript"/>
        </w:rPr>
        <w:footnoteReference w:id="2"/>
      </w:r>
      <w:r>
        <w:t xml:space="preserve"> The Jewish diaspora would be regular witnesses to the </w:t>
      </w:r>
      <w:r>
        <w:lastRenderedPageBreak/>
        <w:t>wide range of Greek religious festivals ce</w:t>
      </w:r>
      <w:r>
        <w:t xml:space="preserve">lebrated in the communities in which they were embedded. The abridger, according to </w:t>
      </w:r>
      <w:proofErr w:type="spellStart"/>
      <w:r>
        <w:t>Simkovich</w:t>
      </w:r>
      <w:proofErr w:type="spellEnd"/>
      <w:r>
        <w:t>, was keen to remind the Jewish community that the Jews had their own festivals and religious holidays that they could celebrate. It is undoubtedly true that the J</w:t>
      </w:r>
      <w:r>
        <w:t>ews would want to fit into the communities in which they lived by perhaps participating in important events including religious festivals. However</w:t>
      </w:r>
      <w:r w:rsidR="00380926">
        <w:t>,</w:t>
      </w:r>
      <w:r>
        <w:t xml:space="preserve"> in doing so there will always be the danger of losing the Jewish identity and becoming Greek in all aspects o</w:t>
      </w:r>
      <w:r>
        <w:t>f life not just in law.</w:t>
      </w:r>
    </w:p>
    <w:p w14:paraId="43C52B80" w14:textId="77777777" w:rsidR="00207048" w:rsidRDefault="00207048" w:rsidP="00E70817">
      <w:pPr>
        <w:pBdr>
          <w:top w:val="nil"/>
          <w:left w:val="nil"/>
          <w:bottom w:val="nil"/>
          <w:right w:val="nil"/>
          <w:between w:val="nil"/>
        </w:pBdr>
        <w:spacing w:after="0"/>
      </w:pPr>
    </w:p>
    <w:p w14:paraId="43C52B81" w14:textId="439146C7" w:rsidR="00207048" w:rsidRDefault="000013BB" w:rsidP="00E70817">
      <w:pPr>
        <w:pBdr>
          <w:top w:val="nil"/>
          <w:left w:val="nil"/>
          <w:bottom w:val="nil"/>
          <w:right w:val="nil"/>
          <w:between w:val="nil"/>
        </w:pBdr>
        <w:spacing w:after="0"/>
        <w:rPr>
          <w:color w:val="000000"/>
        </w:rPr>
      </w:pPr>
      <w:proofErr w:type="spellStart"/>
      <w:r>
        <w:t>Simkovich</w:t>
      </w:r>
      <w:proofErr w:type="spellEnd"/>
      <w:r>
        <w:t xml:space="preserve"> identifies a thread of concern that Jews may lose their Jewish identity living in d</w:t>
      </w:r>
      <w:r>
        <w:rPr>
          <w:color w:val="000000"/>
        </w:rPr>
        <w:t xml:space="preserve">iaspora. The abridger </w:t>
      </w:r>
      <w:r>
        <w:t xml:space="preserve">appears to promote the idea of </w:t>
      </w:r>
      <w:r>
        <w:rPr>
          <w:color w:val="000000"/>
        </w:rPr>
        <w:t>still being able to worship Jewish religion even though they are not living in Jude</w:t>
      </w:r>
      <w:r>
        <w:rPr>
          <w:color w:val="000000"/>
        </w:rPr>
        <w:t>a.</w:t>
      </w:r>
    </w:p>
    <w:p w14:paraId="43C52B82" w14:textId="77777777" w:rsidR="00207048" w:rsidRDefault="00207048" w:rsidP="00E70817">
      <w:pPr>
        <w:pBdr>
          <w:top w:val="nil"/>
          <w:left w:val="nil"/>
          <w:bottom w:val="nil"/>
          <w:right w:val="nil"/>
          <w:between w:val="nil"/>
        </w:pBdr>
        <w:spacing w:after="0"/>
      </w:pPr>
    </w:p>
    <w:p w14:paraId="43C52B83" w14:textId="3086A271" w:rsidR="00207048" w:rsidRDefault="000013BB" w:rsidP="00E70817">
      <w:proofErr w:type="spellStart"/>
      <w:r>
        <w:t>Simkovich</w:t>
      </w:r>
      <w:proofErr w:type="spellEnd"/>
      <w:r>
        <w:t xml:space="preserve"> explains the importance of festivals in the Greek lunar calendar, </w:t>
      </w:r>
      <w:r>
        <w:rPr>
          <w:color w:val="000000"/>
        </w:rPr>
        <w:t xml:space="preserve">‘The Greeks </w:t>
      </w:r>
      <w:proofErr w:type="spellStart"/>
      <w:r>
        <w:rPr>
          <w:color w:val="000000"/>
        </w:rPr>
        <w:t>centered</w:t>
      </w:r>
      <w:proofErr w:type="spellEnd"/>
      <w:r>
        <w:rPr>
          <w:color w:val="000000"/>
        </w:rPr>
        <w:t xml:space="preserve"> their calendar on the various holidays dedicated to</w:t>
      </w:r>
      <w:r>
        <w:t xml:space="preserve"> the </w:t>
      </w:r>
      <w:r>
        <w:rPr>
          <w:color w:val="000000"/>
        </w:rPr>
        <w:t xml:space="preserve">pantheon of gods.’ </w:t>
      </w:r>
      <w:r>
        <w:rPr>
          <w:color w:val="000000"/>
          <w:vertAlign w:val="superscript"/>
        </w:rPr>
        <w:footnoteReference w:id="3"/>
      </w:r>
      <w:r>
        <w:rPr>
          <w:color w:val="000000"/>
          <w:vertAlign w:val="superscript"/>
        </w:rPr>
        <w:t xml:space="preserve">  </w:t>
      </w:r>
      <w:r>
        <w:rPr>
          <w:color w:val="000000"/>
        </w:rPr>
        <w:t>Due to festivals being used as a social engagement it is p</w:t>
      </w:r>
      <w:r>
        <w:t>ossible</w:t>
      </w:r>
      <w:r>
        <w:rPr>
          <w:color w:val="000000"/>
        </w:rPr>
        <w:t xml:space="preserve"> that Jew</w:t>
      </w:r>
      <w:r>
        <w:rPr>
          <w:color w:val="000000"/>
        </w:rPr>
        <w:t xml:space="preserve">s attended some of the largest festivals to fit in. The </w:t>
      </w:r>
      <w:r>
        <w:t>festival of Dionysus is mentioned in</w:t>
      </w:r>
      <w:r>
        <w:t xml:space="preserve"> 2 Maccabees and an alternative Jewish festival is even offered, as if a way to try and tempt the </w:t>
      </w:r>
      <w:proofErr w:type="spellStart"/>
      <w:r>
        <w:t>hellenised</w:t>
      </w:r>
      <w:proofErr w:type="spellEnd"/>
      <w:r>
        <w:t xml:space="preserve"> Jews back to their religious roots.</w:t>
      </w:r>
      <w:r>
        <w:rPr>
          <w:vertAlign w:val="superscript"/>
        </w:rPr>
        <w:footnoteReference w:id="4"/>
      </w:r>
    </w:p>
    <w:p w14:paraId="43C52B84" w14:textId="37551377" w:rsidR="00207048" w:rsidRPr="00F7677A" w:rsidRDefault="000013BB" w:rsidP="00E70817">
      <w:r w:rsidRPr="00F7677A">
        <w:t xml:space="preserve">In the article </w:t>
      </w:r>
      <w:proofErr w:type="spellStart"/>
      <w:r w:rsidRPr="00F7677A">
        <w:t>S</w:t>
      </w:r>
      <w:r w:rsidRPr="00F7677A">
        <w:t>imkovich</w:t>
      </w:r>
      <w:proofErr w:type="spellEnd"/>
      <w:r w:rsidRPr="00F7677A">
        <w:t xml:space="preserve"> draws attention to the fact that t</w:t>
      </w:r>
      <w:r w:rsidRPr="00F7677A">
        <w:rPr>
          <w:color w:val="000000"/>
        </w:rPr>
        <w:t xml:space="preserve">he abridger of 2 Maccabees seems to be familiar with Greek festivals so may have attended some himself. </w:t>
      </w:r>
      <w:r w:rsidRPr="00F7677A">
        <w:t xml:space="preserve">In </w:t>
      </w:r>
      <w:r w:rsidRPr="00F7677A">
        <w:rPr>
          <w:color w:val="000000"/>
        </w:rPr>
        <w:t xml:space="preserve">2 Maccabees the author includes the </w:t>
      </w:r>
      <w:r w:rsidRPr="00F7677A">
        <w:t>attendance of Jews to the Greek festival of Dionysus. The passage read</w:t>
      </w:r>
      <w:r w:rsidRPr="00F7677A">
        <w:t xml:space="preserve">s, </w:t>
      </w:r>
      <w:r w:rsidRPr="00F7677A">
        <w:rPr>
          <w:rFonts w:eastAsia="Verdana"/>
          <w:highlight w:val="white"/>
        </w:rPr>
        <w:t>On the monthly celebration of the king’s birthday, the Jews</w:t>
      </w:r>
      <w:r w:rsidRPr="00F7677A">
        <w:rPr>
          <w:rFonts w:eastAsia="Verdana"/>
          <w:highlight w:val="white"/>
          <w:vertAlign w:val="superscript"/>
        </w:rPr>
        <w:t>[</w:t>
      </w:r>
      <w:hyperlink r:id="rId7" w:anchor="fen-NRSV-35159c">
        <w:r w:rsidRPr="00F7677A">
          <w:rPr>
            <w:rFonts w:eastAsia="Verdana"/>
            <w:color w:val="B34B2C"/>
            <w:highlight w:val="white"/>
            <w:vertAlign w:val="superscript"/>
          </w:rPr>
          <w:t>c</w:t>
        </w:r>
      </w:hyperlink>
      <w:r w:rsidRPr="00F7677A">
        <w:rPr>
          <w:rFonts w:eastAsia="Verdana"/>
          <w:highlight w:val="white"/>
          <w:vertAlign w:val="superscript"/>
        </w:rPr>
        <w:t>]</w:t>
      </w:r>
      <w:r w:rsidRPr="00F7677A">
        <w:rPr>
          <w:rFonts w:eastAsia="Verdana"/>
          <w:highlight w:val="white"/>
        </w:rPr>
        <w:t xml:space="preserve"> were taken, under bitter constraint, to partake of the sacrifices; and when a festival of Dionysus was celebrated, they were compelled to wea</w:t>
      </w:r>
      <w:r w:rsidRPr="00F7677A">
        <w:rPr>
          <w:rFonts w:eastAsia="Verdana"/>
          <w:highlight w:val="white"/>
        </w:rPr>
        <w:t xml:space="preserve">r wreaths of ivy and to walk in the procession in </w:t>
      </w:r>
      <w:proofErr w:type="spellStart"/>
      <w:r w:rsidRPr="00F7677A">
        <w:rPr>
          <w:rFonts w:eastAsia="Verdana"/>
          <w:highlight w:val="white"/>
        </w:rPr>
        <w:t>honor</w:t>
      </w:r>
      <w:proofErr w:type="spellEnd"/>
      <w:r w:rsidRPr="00F7677A">
        <w:rPr>
          <w:rFonts w:eastAsia="Verdana"/>
          <w:highlight w:val="white"/>
        </w:rPr>
        <w:t xml:space="preserve"> of Dionysus.’</w:t>
      </w:r>
      <w:r w:rsidRPr="00F7677A">
        <w:rPr>
          <w:vertAlign w:val="superscript"/>
        </w:rPr>
        <w:footnoteReference w:id="5"/>
      </w:r>
      <w:r w:rsidRPr="00F7677A">
        <w:t xml:space="preserve"> The  language in this gives the impression that they may have been forced to partake, at least that's what the writers view that comes across. </w:t>
      </w:r>
      <w:proofErr w:type="spellStart"/>
      <w:r w:rsidRPr="00F7677A">
        <w:t>Simkovich</w:t>
      </w:r>
      <w:proofErr w:type="spellEnd"/>
      <w:r w:rsidRPr="00F7677A">
        <w:t xml:space="preserve"> infers that the focus on festiv</w:t>
      </w:r>
      <w:r w:rsidRPr="00F7677A">
        <w:t>als is to encourage Hellenized Jews to return to and celebrate their own cultural and religious festivals rather than Greek festivals.</w:t>
      </w:r>
    </w:p>
    <w:p w14:paraId="43C52B85" w14:textId="77777777" w:rsidR="00207048" w:rsidRDefault="00207048" w:rsidP="00E70817"/>
    <w:p w14:paraId="43C52B86" w14:textId="2C842E1E" w:rsidR="00207048" w:rsidRDefault="000013BB" w:rsidP="00E70817">
      <w:pPr>
        <w:pBdr>
          <w:top w:val="nil"/>
          <w:left w:val="nil"/>
          <w:bottom w:val="nil"/>
          <w:right w:val="nil"/>
          <w:between w:val="nil"/>
        </w:pBdr>
      </w:pPr>
      <w:r>
        <w:t>The careful analysis of both 1 &amp; 2 Maccabees shows that there are significantly more prayers mentioned in 2 Maccabees t</w:t>
      </w:r>
      <w:r>
        <w:t>han 1 Maccabees as seen in the</w:t>
      </w:r>
      <w:r>
        <w:rPr>
          <w:color w:val="000000"/>
        </w:rPr>
        <w:t xml:space="preserve"> table.</w:t>
      </w:r>
      <w:r>
        <w:rPr>
          <w:vertAlign w:val="superscript"/>
        </w:rPr>
        <w:footnoteReference w:id="6"/>
      </w:r>
      <w:r>
        <w:t xml:space="preserve"> This </w:t>
      </w:r>
      <w:r w:rsidR="008C5FDC">
        <w:t>emphasises</w:t>
      </w:r>
      <w:r>
        <w:t xml:space="preserve"> the view that 2 Maccabees is a more religious text or includes aspects of </w:t>
      </w:r>
      <w:r>
        <w:lastRenderedPageBreak/>
        <w:t xml:space="preserve">religion compared to that of 1 Maccabees which does not contain as much of these </w:t>
      </w:r>
      <w:r w:rsidR="00141186">
        <w:t>aspects</w:t>
      </w:r>
      <w:r>
        <w:t xml:space="preserve">. linked to prayer divine worship is also argued to be </w:t>
      </w:r>
      <w:r w:rsidR="00141186">
        <w:t>an</w:t>
      </w:r>
      <w:r>
        <w:t xml:space="preserve"> important aspect of 2</w:t>
      </w:r>
      <w:r>
        <w:t xml:space="preserve"> Maccabees that is brought up in this article by </w:t>
      </w:r>
      <w:proofErr w:type="spellStart"/>
      <w:r>
        <w:t>Simkovich</w:t>
      </w:r>
      <w:proofErr w:type="spellEnd"/>
      <w:r>
        <w:t>. He writes that ‘ 2 Maccabees is certainly focused on divine worship and omnipotence.’</w:t>
      </w:r>
      <w:r>
        <w:rPr>
          <w:vertAlign w:val="superscript"/>
        </w:rPr>
        <w:footnoteReference w:id="7"/>
      </w:r>
      <w:r>
        <w:t xml:space="preserve"> The idea of omnipotence may be particularly aimed at Jews in the diaspora who may feel that their lack of de</w:t>
      </w:r>
      <w:r>
        <w:t xml:space="preserve">votion will go unnoticed so far from Judea. </w:t>
      </w:r>
      <w:proofErr w:type="spellStart"/>
      <w:r>
        <w:t>Simkovich</w:t>
      </w:r>
      <w:proofErr w:type="spellEnd"/>
      <w:r>
        <w:t xml:space="preserve"> suggests that the emphasis on prayer and divine worship is to remind the diaspora Jews that they have a duty to worship </w:t>
      </w:r>
      <w:r w:rsidR="00E80C2D">
        <w:t>G</w:t>
      </w:r>
      <w:r>
        <w:t>od, to observe the festivals and to pray.</w:t>
      </w:r>
    </w:p>
    <w:p w14:paraId="43C52B87" w14:textId="77777777" w:rsidR="00207048" w:rsidRDefault="00207048" w:rsidP="00E70817"/>
    <w:p w14:paraId="43C52B88" w14:textId="55D88788" w:rsidR="00207048" w:rsidRDefault="000013BB" w:rsidP="00E70817">
      <w:r>
        <w:t>The abridger of 2 Maccabees also had b</w:t>
      </w:r>
      <w:r>
        <w:t>een influenced to create a holiday much like the Greek Dionysus that apart from the play was arguably temple based. However</w:t>
      </w:r>
      <w:r w:rsidR="00141186">
        <w:t>,</w:t>
      </w:r>
      <w:r>
        <w:t xml:space="preserve"> the </w:t>
      </w:r>
      <w:r w:rsidR="00141186">
        <w:t>temple-based</w:t>
      </w:r>
      <w:r>
        <w:t xml:space="preserve"> aliment is not specified to be that of the temple in Judea. </w:t>
      </w:r>
      <w:proofErr w:type="spellStart"/>
      <w:r>
        <w:t>Simkovich</w:t>
      </w:r>
      <w:proofErr w:type="spellEnd"/>
      <w:r>
        <w:t xml:space="preserve"> argues this by stating, ‘The Hellenistic asso</w:t>
      </w:r>
      <w:r>
        <w:t xml:space="preserve">ciation between holiday and temple worship explains the abridger’s de-emphasis of Jerusalem and emphasis on the temple, which his readers understood was a focal point of all peoples worship.’ </w:t>
      </w:r>
      <w:r>
        <w:rPr>
          <w:vertAlign w:val="superscript"/>
        </w:rPr>
        <w:footnoteReference w:id="8"/>
      </w:r>
      <w:r>
        <w:t>This again is due to the living of Jews across the lands, incl</w:t>
      </w:r>
      <w:r>
        <w:t xml:space="preserve">uding those with Greek culture, which is where the idea of </w:t>
      </w:r>
      <w:proofErr w:type="spellStart"/>
      <w:r>
        <w:t>hellenised</w:t>
      </w:r>
      <w:proofErr w:type="spellEnd"/>
      <w:r>
        <w:t xml:space="preserve"> Jews comes from. As Jews that had moved away from Judea for </w:t>
      </w:r>
      <w:proofErr w:type="gramStart"/>
      <w:r>
        <w:t>a number of</w:t>
      </w:r>
      <w:proofErr w:type="gramEnd"/>
      <w:r>
        <w:t xml:space="preserve"> reasons and have been influenced by the Greek culture around them in the </w:t>
      </w:r>
      <w:r w:rsidR="00E80C2D">
        <w:t>H</w:t>
      </w:r>
      <w:r>
        <w:t>ellenistic period are therefore often kn</w:t>
      </w:r>
      <w:r>
        <w:t xml:space="preserve">own as </w:t>
      </w:r>
      <w:proofErr w:type="spellStart"/>
      <w:r>
        <w:t>hellenised</w:t>
      </w:r>
      <w:proofErr w:type="spellEnd"/>
      <w:r>
        <w:t xml:space="preserve"> Jews.</w:t>
      </w:r>
    </w:p>
    <w:p w14:paraId="43C52B89" w14:textId="77777777" w:rsidR="00207048" w:rsidRDefault="00207048" w:rsidP="00E70817"/>
    <w:p w14:paraId="43C52B8A" w14:textId="6ED45B4C" w:rsidR="00207048" w:rsidRDefault="000013BB" w:rsidP="00E70817">
      <w:r>
        <w:t>When we consider that 2 Maccabees was written originally by Jason of Cyrene and then abridged it raises the question of how much the abridger impacted the decision of</w:t>
      </w:r>
      <w:r>
        <w:t xml:space="preserve"> which elements 2 Maccabees focused on? A considerable amount </w:t>
      </w:r>
      <w:r>
        <w:t xml:space="preserve">of Jason of Cyrene’s original text was not included and so the abridger will have made editing decisions about what to include and what to leave out. This would give the abridger considerable power to promote a particular message in the text, so it would  </w:t>
      </w:r>
      <w:r>
        <w:t xml:space="preserve">be interesting to know if it was the abridger or Jason of Cyrene who wanted to encourage the </w:t>
      </w:r>
      <w:proofErr w:type="spellStart"/>
      <w:r>
        <w:t>hellenised</w:t>
      </w:r>
      <w:proofErr w:type="spellEnd"/>
      <w:r>
        <w:t xml:space="preserve"> Jews to become more traditional. Although little is known about Jason of Cyrene, apart from he was the original author and was a </w:t>
      </w:r>
      <w:proofErr w:type="spellStart"/>
      <w:r>
        <w:t>hellenised</w:t>
      </w:r>
      <w:proofErr w:type="spellEnd"/>
      <w:r>
        <w:t xml:space="preserve"> Jew living a</w:t>
      </w:r>
      <w:r>
        <w:t xml:space="preserve">round the year 100 BCE. </w:t>
      </w:r>
      <w:r>
        <w:rPr>
          <w:vertAlign w:val="superscript"/>
        </w:rPr>
        <w:footnoteReference w:id="9"/>
      </w:r>
      <w:r>
        <w:t xml:space="preserve"> But it is stated in 2 Maccabees that the book was longer and written by Jason of Cyrene then abridged.</w:t>
      </w:r>
      <w:r>
        <w:rPr>
          <w:vertAlign w:val="superscript"/>
        </w:rPr>
        <w:footnoteReference w:id="10"/>
      </w:r>
    </w:p>
    <w:p w14:paraId="43C52B8B" w14:textId="77777777" w:rsidR="00207048" w:rsidRDefault="00207048" w:rsidP="00E70817"/>
    <w:p w14:paraId="43C52B8C" w14:textId="63BF6C37" w:rsidR="00207048" w:rsidRDefault="000013BB" w:rsidP="00E70817">
      <w:r>
        <w:t>There are many questions about the purpose of 2 Maccabees in the light of the fact it was abridged from a longer original</w:t>
      </w:r>
      <w:r>
        <w:t xml:space="preserve"> text. For instance</w:t>
      </w:r>
      <w:r w:rsidR="0022440A">
        <w:t>,</w:t>
      </w:r>
      <w:r>
        <w:t xml:space="preserve"> one question that could be asked concerns the time lapse between the original Jason of Cyrene volumes and the abridged chapters. The original may not have been written in the context of a Jewish diaspora or at a time when Jews were bein</w:t>
      </w:r>
      <w:r>
        <w:t xml:space="preserve">g influenced by a </w:t>
      </w:r>
      <w:r w:rsidR="0022440A">
        <w:t>foreign</w:t>
      </w:r>
      <w:r>
        <w:t xml:space="preserve"> Greek culture. The abridger may have been particularly aware of the ways in which the </w:t>
      </w:r>
      <w:proofErr w:type="spellStart"/>
      <w:r>
        <w:t>hellenised</w:t>
      </w:r>
      <w:proofErr w:type="spellEnd"/>
      <w:r>
        <w:t xml:space="preserve"> Jews were losing their culture and so be concerned to promote the traditional Jewish practices.</w:t>
      </w:r>
    </w:p>
    <w:p w14:paraId="43C52B8D" w14:textId="77777777" w:rsidR="00207048" w:rsidRDefault="00207048" w:rsidP="00E70817"/>
    <w:p w14:paraId="43C52B8E" w14:textId="3812A750" w:rsidR="00207048" w:rsidRDefault="000013BB" w:rsidP="00E70817">
      <w:r>
        <w:t>Why was 2 Maccabees written in the</w:t>
      </w:r>
      <w:r>
        <w:t xml:space="preserve"> first place as 1 Maccabees covers </w:t>
      </w:r>
      <w:proofErr w:type="gramStart"/>
      <w:r>
        <w:t>more or less the</w:t>
      </w:r>
      <w:proofErr w:type="gramEnd"/>
      <w:r>
        <w:t xml:space="preserve"> same time period? </w:t>
      </w:r>
      <w:proofErr w:type="spellStart"/>
      <w:r>
        <w:t>Simkovich</w:t>
      </w:r>
      <w:proofErr w:type="spellEnd"/>
      <w:r>
        <w:t xml:space="preserve"> is convinced that the different context of the Jews in the diaspora prompted the writing of 2 Maccabees. The change in audience from Jews living in Judea to Jews living in dias</w:t>
      </w:r>
      <w:r>
        <w:t>pora among a thriving and prosperous Greek culture may explain it. Change in the location of Jews prompted the need for another book to enforce religious identity as not all Jews lived in Judea.</w:t>
      </w:r>
    </w:p>
    <w:p w14:paraId="3EA97A5F" w14:textId="7BD9143B" w:rsidR="00566078" w:rsidRDefault="00566078" w:rsidP="00E70817"/>
    <w:p w14:paraId="51EA21A1" w14:textId="3F435ED6" w:rsidR="00A77998" w:rsidRDefault="00A77998" w:rsidP="00E70817">
      <w:r>
        <w:t>To conclude the article that has been review is argues many key aspects of how the Greeks</w:t>
      </w:r>
      <w:r w:rsidR="00130396">
        <w:t xml:space="preserve"> or the Greek culture had an impact on </w:t>
      </w:r>
      <w:r w:rsidR="00C972AE">
        <w:t>how 2 Maccabees was written in both language</w:t>
      </w:r>
      <w:r w:rsidR="00DD2A26">
        <w:t xml:space="preserve">, topics covered and focus on </w:t>
      </w:r>
      <w:r w:rsidR="00803392">
        <w:t>religion.</w:t>
      </w:r>
    </w:p>
    <w:p w14:paraId="6D713608" w14:textId="77777777" w:rsidR="00803392" w:rsidRDefault="00803392" w:rsidP="00E70817"/>
    <w:p w14:paraId="43C52B8F" w14:textId="0E0AF1AF" w:rsidR="00207048" w:rsidRPr="00AF1C7D" w:rsidRDefault="00870B5C" w:rsidP="00E70817">
      <w:pPr>
        <w:rPr>
          <w:u w:val="single"/>
        </w:rPr>
      </w:pPr>
      <w:r w:rsidRPr="00AF1C7D">
        <w:rPr>
          <w:u w:val="single"/>
        </w:rPr>
        <w:t>Bibliography</w:t>
      </w:r>
    </w:p>
    <w:p w14:paraId="52C1DCBD" w14:textId="77777777" w:rsidR="008D06F8" w:rsidRDefault="005D43EF" w:rsidP="008D06F8">
      <w:pPr>
        <w:pStyle w:val="Bibliography"/>
      </w:pPr>
      <w:r w:rsidRPr="005D43EF">
        <w:t xml:space="preserve">Anon (2018) </w:t>
      </w:r>
      <w:r w:rsidRPr="005D43EF">
        <w:rPr>
          <w:i/>
          <w:iCs/>
        </w:rPr>
        <w:t xml:space="preserve">Prof. Daniel </w:t>
      </w:r>
      <w:proofErr w:type="spellStart"/>
      <w:r w:rsidRPr="005D43EF">
        <w:rPr>
          <w:i/>
          <w:iCs/>
        </w:rPr>
        <w:t>Schwarez</w:t>
      </w:r>
      <w:proofErr w:type="spellEnd"/>
      <w:r w:rsidRPr="005D43EF">
        <w:rPr>
          <w:i/>
          <w:iCs/>
        </w:rPr>
        <w:t xml:space="preserve"> - Maccabees 1 &amp; 2 | The Lecture in Full</w:t>
      </w:r>
      <w:r w:rsidRPr="005D43EF">
        <w:t>. [online]. Available from: https://www.youtube.com/watch?v=5RQhysxU2GU (Accessed 29 May 2020).</w:t>
      </w:r>
    </w:p>
    <w:p w14:paraId="2888DB59" w14:textId="25233556" w:rsidR="00834CF8" w:rsidRDefault="00834CF8" w:rsidP="008D06F8">
      <w:pPr>
        <w:pStyle w:val="Bibliography"/>
      </w:pPr>
      <w:r w:rsidRPr="00C959FD">
        <w:t xml:space="preserve">Chisholm, Hugh, ed. (1911). "Jason of Cyrene". </w:t>
      </w:r>
      <w:proofErr w:type="spellStart"/>
      <w:r w:rsidRPr="00C959FD">
        <w:t>Encyclopædia</w:t>
      </w:r>
      <w:proofErr w:type="spellEnd"/>
      <w:r w:rsidRPr="00C959FD">
        <w:t xml:space="preserve"> Britannica (11th ed.). Cambridge University Press</w:t>
      </w:r>
    </w:p>
    <w:p w14:paraId="2A1FEA8D" w14:textId="77777777" w:rsidR="005D43EF" w:rsidRPr="005D43EF" w:rsidRDefault="005D43EF" w:rsidP="005D43EF">
      <w:pPr>
        <w:pStyle w:val="Bibliography"/>
      </w:pPr>
      <w:proofErr w:type="spellStart"/>
      <w:r w:rsidRPr="005D43EF">
        <w:t>Simkovich</w:t>
      </w:r>
      <w:proofErr w:type="spellEnd"/>
      <w:r w:rsidRPr="005D43EF">
        <w:t xml:space="preserve">, M. Z. (2011) Greek Influence on the Composition of 2 Maccabees. </w:t>
      </w:r>
      <w:r w:rsidRPr="005D43EF">
        <w:rPr>
          <w:i/>
          <w:iCs/>
        </w:rPr>
        <w:t>Journal for the Study of Judaism in the Persian, Hellenistic, and Roman Period</w:t>
      </w:r>
      <w:r w:rsidRPr="005D43EF">
        <w:t>. 42 (3), 293–310.</w:t>
      </w:r>
    </w:p>
    <w:p w14:paraId="20B3DAF3" w14:textId="77777777" w:rsidR="00AF1C7D" w:rsidRDefault="00AF1C7D">
      <w:r w:rsidRPr="00AF1C7D">
        <w:rPr>
          <w:u w:val="single"/>
        </w:rPr>
        <w:t>Ancient texts</w:t>
      </w:r>
    </w:p>
    <w:p w14:paraId="5B5CC73D" w14:textId="77777777" w:rsidR="00DB23B9" w:rsidRDefault="00DB23B9">
      <w:r>
        <w:t xml:space="preserve">2 </w:t>
      </w:r>
      <w:proofErr w:type="spellStart"/>
      <w:r>
        <w:t>Macc</w:t>
      </w:r>
      <w:proofErr w:type="spellEnd"/>
      <w:r>
        <w:t xml:space="preserve"> 2:23</w:t>
      </w:r>
    </w:p>
    <w:p w14:paraId="71E0F50A" w14:textId="77777777" w:rsidR="00DB23B9" w:rsidRDefault="00DB23B9">
      <w:r>
        <w:t xml:space="preserve">2 </w:t>
      </w:r>
      <w:proofErr w:type="spellStart"/>
      <w:r>
        <w:t>Macc</w:t>
      </w:r>
      <w:proofErr w:type="spellEnd"/>
      <w:r>
        <w:t xml:space="preserve"> 6:7</w:t>
      </w:r>
    </w:p>
    <w:p w14:paraId="43C52B90" w14:textId="29D6BA10" w:rsidR="00207048" w:rsidRPr="00AF1C7D" w:rsidRDefault="00DB23B9">
      <w:r>
        <w:t xml:space="preserve">2 </w:t>
      </w:r>
      <w:proofErr w:type="spellStart"/>
      <w:r>
        <w:t>Macc</w:t>
      </w:r>
      <w:proofErr w:type="spellEnd"/>
      <w:r>
        <w:t xml:space="preserve"> 10:</w:t>
      </w:r>
      <w:r w:rsidR="00566078">
        <w:t>5</w:t>
      </w:r>
      <w:r w:rsidR="00AF1C7D" w:rsidRPr="00AF1C7D">
        <w:t xml:space="preserve"> </w:t>
      </w:r>
    </w:p>
    <w:p w14:paraId="70B21D7C" w14:textId="77777777" w:rsidR="00AF1C7D" w:rsidRDefault="00AF1C7D"/>
    <w:p w14:paraId="43C52B91" w14:textId="77777777" w:rsidR="00207048" w:rsidRDefault="00207048"/>
    <w:p w14:paraId="43C52B92" w14:textId="77777777" w:rsidR="00207048" w:rsidRDefault="00207048"/>
    <w:p w14:paraId="0BFDA6A7" w14:textId="77777777" w:rsidR="00834CF8" w:rsidRDefault="00834CF8"/>
    <w:sectPr w:rsidR="00834CF8">
      <w:headerReference w:type="default" r:id="rId8"/>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CB2E6F" w14:textId="77777777" w:rsidR="00000000" w:rsidRDefault="000013BB">
      <w:pPr>
        <w:spacing w:after="0" w:line="240" w:lineRule="auto"/>
      </w:pPr>
      <w:r>
        <w:separator/>
      </w:r>
    </w:p>
  </w:endnote>
  <w:endnote w:type="continuationSeparator" w:id="0">
    <w:p w14:paraId="33DACCF7" w14:textId="77777777" w:rsidR="00000000" w:rsidRDefault="00001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F6AD36" w14:textId="6DB8E23B" w:rsidR="008F5F65" w:rsidRDefault="008F5F65" w:rsidP="008F5F65">
    <w:pPr>
      <w:pStyle w:val="Header"/>
    </w:pPr>
    <w:r>
      <w:t xml:space="preserve">1,519 words not including bibliography, </w:t>
    </w:r>
    <w:r w:rsidR="000013BB">
      <w:t>title,</w:t>
    </w:r>
    <w:r>
      <w:t xml:space="preserve"> or footnotes.</w:t>
    </w:r>
  </w:p>
  <w:p w14:paraId="085A5DBA" w14:textId="77777777" w:rsidR="008F5F65" w:rsidRDefault="008F5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7260F1" w14:textId="77777777" w:rsidR="00000000" w:rsidRDefault="000013BB">
      <w:pPr>
        <w:spacing w:after="0" w:line="240" w:lineRule="auto"/>
      </w:pPr>
      <w:r>
        <w:separator/>
      </w:r>
    </w:p>
  </w:footnote>
  <w:footnote w:type="continuationSeparator" w:id="0">
    <w:p w14:paraId="2048CAE1" w14:textId="77777777" w:rsidR="00000000" w:rsidRDefault="000013BB">
      <w:pPr>
        <w:spacing w:after="0" w:line="240" w:lineRule="auto"/>
      </w:pPr>
      <w:r>
        <w:continuationSeparator/>
      </w:r>
    </w:p>
  </w:footnote>
  <w:footnote w:id="1">
    <w:p w14:paraId="43C52B94" w14:textId="7A191654" w:rsidR="00207048" w:rsidRDefault="000013BB">
      <w:pPr>
        <w:spacing w:after="0" w:line="240" w:lineRule="auto"/>
        <w:rPr>
          <w:sz w:val="20"/>
          <w:szCs w:val="20"/>
        </w:rPr>
      </w:pPr>
      <w:r>
        <w:rPr>
          <w:vertAlign w:val="superscript"/>
        </w:rPr>
        <w:footnoteRef/>
      </w:r>
      <w:r>
        <w:rPr>
          <w:sz w:val="20"/>
          <w:szCs w:val="20"/>
        </w:rPr>
        <w:t xml:space="preserve"> </w:t>
      </w:r>
      <w:r w:rsidR="00B75F14" w:rsidRPr="00B75F14">
        <w:rPr>
          <w:i/>
          <w:iCs/>
          <w:sz w:val="20"/>
          <w:szCs w:val="24"/>
        </w:rPr>
        <w:t xml:space="preserve">Prof. Daniel </w:t>
      </w:r>
      <w:proofErr w:type="spellStart"/>
      <w:r w:rsidR="00B75F14" w:rsidRPr="00B75F14">
        <w:rPr>
          <w:i/>
          <w:iCs/>
          <w:sz w:val="20"/>
          <w:szCs w:val="24"/>
        </w:rPr>
        <w:t>Schwarez</w:t>
      </w:r>
      <w:proofErr w:type="spellEnd"/>
      <w:r w:rsidR="00B75F14" w:rsidRPr="00B75F14">
        <w:rPr>
          <w:i/>
          <w:iCs/>
          <w:sz w:val="20"/>
          <w:szCs w:val="24"/>
        </w:rPr>
        <w:t xml:space="preserve"> - Maccabees 1 &amp; 2 | The Lecture in Full</w:t>
      </w:r>
      <w:r w:rsidR="00B75F14" w:rsidRPr="00B75F14">
        <w:rPr>
          <w:sz w:val="20"/>
          <w:szCs w:val="24"/>
        </w:rPr>
        <w:t>, 2018</w:t>
      </w:r>
      <w:r w:rsidR="00380926">
        <w:rPr>
          <w:sz w:val="20"/>
          <w:szCs w:val="24"/>
        </w:rPr>
        <w:t>.</w:t>
      </w:r>
    </w:p>
  </w:footnote>
  <w:footnote w:id="2">
    <w:p w14:paraId="43C52B95" w14:textId="4060D22E" w:rsidR="00207048" w:rsidRDefault="000013BB">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F7677A" w:rsidRPr="00F7677A">
        <w:rPr>
          <w:sz w:val="20"/>
        </w:rPr>
        <w:t>Simkovich</w:t>
      </w:r>
      <w:proofErr w:type="spellEnd"/>
      <w:r w:rsidR="00F7677A" w:rsidRPr="00F7677A">
        <w:rPr>
          <w:sz w:val="20"/>
        </w:rPr>
        <w:t>,</w:t>
      </w:r>
      <w:r w:rsidR="00380926">
        <w:rPr>
          <w:sz w:val="20"/>
        </w:rPr>
        <w:t xml:space="preserve"> M.Z</w:t>
      </w:r>
      <w:r w:rsidR="005542A7">
        <w:rPr>
          <w:sz w:val="20"/>
        </w:rPr>
        <w:t>.</w:t>
      </w:r>
      <w:r w:rsidR="00F7677A" w:rsidRPr="00F7677A">
        <w:rPr>
          <w:sz w:val="20"/>
        </w:rPr>
        <w:t xml:space="preserve"> 2011</w:t>
      </w:r>
      <w:r w:rsidR="00F7677A">
        <w:rPr>
          <w:color w:val="000000"/>
          <w:sz w:val="20"/>
          <w:szCs w:val="20"/>
        </w:rPr>
        <w:t>.</w:t>
      </w:r>
      <w:r w:rsidR="00380926">
        <w:rPr>
          <w:color w:val="000000"/>
          <w:sz w:val="20"/>
          <w:szCs w:val="20"/>
        </w:rPr>
        <w:t xml:space="preserve"> </w:t>
      </w:r>
      <w:r>
        <w:rPr>
          <w:color w:val="000000"/>
          <w:sz w:val="20"/>
          <w:szCs w:val="20"/>
        </w:rPr>
        <w:t>P300</w:t>
      </w:r>
    </w:p>
  </w:footnote>
  <w:footnote w:id="3">
    <w:p w14:paraId="43C52B96" w14:textId="7AB5F0EB" w:rsidR="00207048" w:rsidRDefault="000013BB">
      <w:pPr>
        <w:pBdr>
          <w:top w:val="nil"/>
          <w:left w:val="nil"/>
          <w:bottom w:val="nil"/>
          <w:right w:val="nil"/>
          <w:between w:val="nil"/>
        </w:pBdr>
        <w:spacing w:after="0" w:line="240" w:lineRule="auto"/>
        <w:rPr>
          <w:color w:val="000000"/>
          <w:sz w:val="20"/>
          <w:szCs w:val="20"/>
        </w:rPr>
      </w:pPr>
      <w:r>
        <w:rPr>
          <w:vertAlign w:val="superscript"/>
        </w:rPr>
        <w:footnoteRef/>
      </w:r>
      <w:proofErr w:type="spellStart"/>
      <w:r w:rsidR="00F53C7A" w:rsidRPr="00F53C7A">
        <w:rPr>
          <w:sz w:val="20"/>
        </w:rPr>
        <w:t>Simkovich</w:t>
      </w:r>
      <w:proofErr w:type="spellEnd"/>
      <w:r w:rsidR="00F53C7A" w:rsidRPr="00F53C7A">
        <w:rPr>
          <w:sz w:val="20"/>
        </w:rPr>
        <w:t>,</w:t>
      </w:r>
      <w:r w:rsidR="005542A7">
        <w:rPr>
          <w:sz w:val="20"/>
        </w:rPr>
        <w:t xml:space="preserve"> M.</w:t>
      </w:r>
      <w:r w:rsidR="0093406C">
        <w:rPr>
          <w:sz w:val="20"/>
        </w:rPr>
        <w:t>Z.</w:t>
      </w:r>
      <w:r w:rsidR="00F53C7A" w:rsidRPr="00F53C7A">
        <w:rPr>
          <w:sz w:val="20"/>
        </w:rPr>
        <w:t xml:space="preserve"> 2011</w:t>
      </w:r>
      <w:r w:rsidR="005542A7">
        <w:rPr>
          <w:sz w:val="20"/>
        </w:rPr>
        <w:t>.</w:t>
      </w:r>
      <w:r>
        <w:rPr>
          <w:color w:val="000000"/>
          <w:sz w:val="20"/>
          <w:szCs w:val="20"/>
        </w:rPr>
        <w:t xml:space="preserve"> P301</w:t>
      </w:r>
    </w:p>
  </w:footnote>
  <w:footnote w:id="4">
    <w:p w14:paraId="43C52B97" w14:textId="77777777" w:rsidR="00207048" w:rsidRDefault="000013BB">
      <w:pPr>
        <w:spacing w:after="0" w:line="240" w:lineRule="auto"/>
        <w:rPr>
          <w:sz w:val="20"/>
          <w:szCs w:val="20"/>
        </w:rPr>
      </w:pPr>
      <w:r>
        <w:rPr>
          <w:vertAlign w:val="superscript"/>
        </w:rPr>
        <w:footnoteRef/>
      </w:r>
      <w:r>
        <w:rPr>
          <w:sz w:val="20"/>
          <w:szCs w:val="20"/>
        </w:rPr>
        <w:t xml:space="preserve"> </w:t>
      </w:r>
      <w:r>
        <w:t xml:space="preserve">2 </w:t>
      </w:r>
      <w:proofErr w:type="spellStart"/>
      <w:r>
        <w:t>Macc</w:t>
      </w:r>
      <w:proofErr w:type="spellEnd"/>
      <w:r>
        <w:t xml:space="preserve"> 10:5</w:t>
      </w:r>
    </w:p>
  </w:footnote>
  <w:footnote w:id="5">
    <w:p w14:paraId="43C52B98" w14:textId="77777777" w:rsidR="00207048" w:rsidRDefault="000013BB">
      <w:pPr>
        <w:spacing w:after="0" w:line="240" w:lineRule="auto"/>
        <w:rPr>
          <w:sz w:val="20"/>
          <w:szCs w:val="20"/>
        </w:rPr>
      </w:pPr>
      <w:r>
        <w:rPr>
          <w:vertAlign w:val="superscript"/>
        </w:rPr>
        <w:footnoteRef/>
      </w:r>
      <w:r>
        <w:rPr>
          <w:sz w:val="20"/>
          <w:szCs w:val="20"/>
        </w:rPr>
        <w:t xml:space="preserve"> 2 </w:t>
      </w:r>
      <w:proofErr w:type="spellStart"/>
      <w:r>
        <w:rPr>
          <w:sz w:val="20"/>
          <w:szCs w:val="20"/>
        </w:rPr>
        <w:t>Macc</w:t>
      </w:r>
      <w:proofErr w:type="spellEnd"/>
      <w:r>
        <w:rPr>
          <w:sz w:val="20"/>
          <w:szCs w:val="20"/>
        </w:rPr>
        <w:t xml:space="preserve"> 6:7</w:t>
      </w:r>
    </w:p>
  </w:footnote>
  <w:footnote w:id="6">
    <w:p w14:paraId="43C52B99" w14:textId="3FF74B87" w:rsidR="00207048" w:rsidRDefault="000013BB">
      <w:pPr>
        <w:spacing w:after="0" w:line="240" w:lineRule="auto"/>
        <w:rPr>
          <w:sz w:val="20"/>
          <w:szCs w:val="20"/>
        </w:rPr>
      </w:pPr>
      <w:r>
        <w:rPr>
          <w:vertAlign w:val="superscript"/>
        </w:rPr>
        <w:footnoteRef/>
      </w:r>
      <w:r>
        <w:rPr>
          <w:sz w:val="20"/>
          <w:szCs w:val="20"/>
        </w:rPr>
        <w:t xml:space="preserve"> </w:t>
      </w:r>
      <w:proofErr w:type="spellStart"/>
      <w:r w:rsidR="008C5FDC" w:rsidRPr="008C5FDC">
        <w:rPr>
          <w:sz w:val="20"/>
        </w:rPr>
        <w:t>Simkovich</w:t>
      </w:r>
      <w:proofErr w:type="spellEnd"/>
      <w:r w:rsidR="008C5FDC" w:rsidRPr="008C5FDC">
        <w:rPr>
          <w:sz w:val="20"/>
        </w:rPr>
        <w:t>,</w:t>
      </w:r>
      <w:r w:rsidR="0093406C">
        <w:rPr>
          <w:sz w:val="20"/>
        </w:rPr>
        <w:t xml:space="preserve"> M.Z.</w:t>
      </w:r>
      <w:r w:rsidR="008C5FDC" w:rsidRPr="008C5FDC">
        <w:rPr>
          <w:sz w:val="20"/>
        </w:rPr>
        <w:t xml:space="preserve"> 2011</w:t>
      </w:r>
      <w:r w:rsidR="0093406C">
        <w:rPr>
          <w:sz w:val="20"/>
        </w:rPr>
        <w:t xml:space="preserve">. </w:t>
      </w:r>
      <w:r w:rsidR="0093406C">
        <w:rPr>
          <w:sz w:val="20"/>
          <w:szCs w:val="20"/>
        </w:rPr>
        <w:t>P</w:t>
      </w:r>
      <w:r>
        <w:rPr>
          <w:sz w:val="20"/>
          <w:szCs w:val="20"/>
        </w:rPr>
        <w:t xml:space="preserve">303 </w:t>
      </w:r>
    </w:p>
  </w:footnote>
  <w:footnote w:id="7">
    <w:p w14:paraId="43C52B9A" w14:textId="206F5C5E" w:rsidR="00207048" w:rsidRDefault="000013BB">
      <w:pPr>
        <w:spacing w:after="0" w:line="240" w:lineRule="auto"/>
        <w:rPr>
          <w:sz w:val="20"/>
          <w:szCs w:val="20"/>
        </w:rPr>
      </w:pPr>
      <w:r>
        <w:rPr>
          <w:vertAlign w:val="superscript"/>
        </w:rPr>
        <w:footnoteRef/>
      </w:r>
      <w:r>
        <w:rPr>
          <w:sz w:val="20"/>
          <w:szCs w:val="20"/>
        </w:rPr>
        <w:t xml:space="preserve"> </w:t>
      </w:r>
      <w:proofErr w:type="spellStart"/>
      <w:r w:rsidR="005F6C4D" w:rsidRPr="005F6C4D">
        <w:rPr>
          <w:sz w:val="20"/>
        </w:rPr>
        <w:t>Simkovich</w:t>
      </w:r>
      <w:proofErr w:type="spellEnd"/>
      <w:r w:rsidR="005F6C4D" w:rsidRPr="005F6C4D">
        <w:rPr>
          <w:sz w:val="20"/>
        </w:rPr>
        <w:t>,</w:t>
      </w:r>
      <w:r w:rsidR="00C048F3">
        <w:rPr>
          <w:sz w:val="20"/>
        </w:rPr>
        <w:t xml:space="preserve"> M.Z.</w:t>
      </w:r>
      <w:r w:rsidR="005F6C4D" w:rsidRPr="005F6C4D">
        <w:rPr>
          <w:sz w:val="20"/>
        </w:rPr>
        <w:t xml:space="preserve"> 2011</w:t>
      </w:r>
      <w:r w:rsidR="00676877">
        <w:rPr>
          <w:sz w:val="20"/>
        </w:rPr>
        <w:t>.</w:t>
      </w:r>
      <w:r w:rsidR="005F6C4D">
        <w:rPr>
          <w:sz w:val="20"/>
          <w:szCs w:val="20"/>
        </w:rPr>
        <w:t xml:space="preserve"> </w:t>
      </w:r>
      <w:r w:rsidR="00676877">
        <w:rPr>
          <w:sz w:val="20"/>
          <w:szCs w:val="20"/>
        </w:rPr>
        <w:t>P</w:t>
      </w:r>
      <w:r>
        <w:rPr>
          <w:sz w:val="20"/>
          <w:szCs w:val="20"/>
        </w:rPr>
        <w:t>304</w:t>
      </w:r>
    </w:p>
  </w:footnote>
  <w:footnote w:id="8">
    <w:p w14:paraId="43C52B9B" w14:textId="2904A81E" w:rsidR="00207048" w:rsidRDefault="000013BB">
      <w:pPr>
        <w:spacing w:after="0" w:line="240" w:lineRule="auto"/>
        <w:rPr>
          <w:sz w:val="20"/>
          <w:szCs w:val="20"/>
        </w:rPr>
      </w:pPr>
      <w:r>
        <w:rPr>
          <w:vertAlign w:val="superscript"/>
        </w:rPr>
        <w:footnoteRef/>
      </w:r>
      <w:r>
        <w:rPr>
          <w:sz w:val="20"/>
          <w:szCs w:val="20"/>
        </w:rPr>
        <w:t xml:space="preserve"> </w:t>
      </w:r>
      <w:proofErr w:type="spellStart"/>
      <w:r w:rsidR="0022440A" w:rsidRPr="0022440A">
        <w:rPr>
          <w:sz w:val="20"/>
        </w:rPr>
        <w:t>Simkovich</w:t>
      </w:r>
      <w:proofErr w:type="spellEnd"/>
      <w:r w:rsidR="0022440A" w:rsidRPr="0022440A">
        <w:rPr>
          <w:sz w:val="20"/>
        </w:rPr>
        <w:t xml:space="preserve">, </w:t>
      </w:r>
      <w:r w:rsidR="00676877">
        <w:rPr>
          <w:sz w:val="20"/>
        </w:rPr>
        <w:t xml:space="preserve">M.Z. </w:t>
      </w:r>
      <w:r w:rsidR="0022440A" w:rsidRPr="0022440A">
        <w:rPr>
          <w:sz w:val="20"/>
        </w:rPr>
        <w:t>2011</w:t>
      </w:r>
      <w:r w:rsidR="00676877">
        <w:rPr>
          <w:sz w:val="20"/>
        </w:rPr>
        <w:t xml:space="preserve">. </w:t>
      </w:r>
      <w:r w:rsidR="00676877">
        <w:rPr>
          <w:sz w:val="20"/>
          <w:szCs w:val="20"/>
        </w:rPr>
        <w:t>P</w:t>
      </w:r>
      <w:r>
        <w:rPr>
          <w:sz w:val="20"/>
          <w:szCs w:val="20"/>
        </w:rPr>
        <w:t xml:space="preserve">306 </w:t>
      </w:r>
    </w:p>
  </w:footnote>
  <w:footnote w:id="9">
    <w:p w14:paraId="43C52B9D" w14:textId="307B8680" w:rsidR="00207048" w:rsidRDefault="000013BB">
      <w:pPr>
        <w:spacing w:after="0" w:line="240" w:lineRule="auto"/>
        <w:rPr>
          <w:sz w:val="20"/>
          <w:szCs w:val="20"/>
        </w:rPr>
      </w:pPr>
      <w:r>
        <w:rPr>
          <w:vertAlign w:val="superscript"/>
        </w:rPr>
        <w:footnoteRef/>
      </w:r>
      <w:r>
        <w:rPr>
          <w:sz w:val="20"/>
          <w:szCs w:val="20"/>
        </w:rPr>
        <w:t xml:space="preserve"> Found on </w:t>
      </w:r>
      <w:proofErr w:type="spellStart"/>
      <w:r>
        <w:rPr>
          <w:sz w:val="20"/>
          <w:szCs w:val="20"/>
        </w:rPr>
        <w:t>wikipedia</w:t>
      </w:r>
      <w:proofErr w:type="spellEnd"/>
      <w:r>
        <w:rPr>
          <w:sz w:val="20"/>
          <w:szCs w:val="20"/>
        </w:rPr>
        <w:t xml:space="preserve"> which got it from </w:t>
      </w:r>
      <w:r w:rsidR="00C048F3" w:rsidRPr="00C048F3">
        <w:rPr>
          <w:sz w:val="20"/>
          <w:szCs w:val="20"/>
        </w:rPr>
        <w:t xml:space="preserve">Chisholm, Hugh, ed. (1911). "Jason of Cyrene". </w:t>
      </w:r>
      <w:proofErr w:type="spellStart"/>
      <w:r w:rsidR="00C048F3" w:rsidRPr="00C048F3">
        <w:rPr>
          <w:sz w:val="20"/>
          <w:szCs w:val="20"/>
        </w:rPr>
        <w:t>Encyclopædia</w:t>
      </w:r>
      <w:proofErr w:type="spellEnd"/>
      <w:r w:rsidR="00C048F3" w:rsidRPr="00C048F3">
        <w:rPr>
          <w:sz w:val="20"/>
          <w:szCs w:val="20"/>
        </w:rPr>
        <w:t xml:space="preserve"> Britannica (11th ed.). Cambridge University Press</w:t>
      </w:r>
      <w:r w:rsidR="00AF1C7D">
        <w:rPr>
          <w:sz w:val="20"/>
          <w:szCs w:val="20"/>
        </w:rPr>
        <w:t>.</w:t>
      </w:r>
    </w:p>
  </w:footnote>
  <w:footnote w:id="10">
    <w:p w14:paraId="43C52B9E" w14:textId="77777777" w:rsidR="00207048" w:rsidRDefault="000013BB">
      <w:pPr>
        <w:spacing w:after="0" w:line="240" w:lineRule="auto"/>
        <w:rPr>
          <w:sz w:val="20"/>
          <w:szCs w:val="20"/>
        </w:rPr>
      </w:pPr>
      <w:r>
        <w:rPr>
          <w:vertAlign w:val="superscript"/>
        </w:rPr>
        <w:footnoteRef/>
      </w:r>
      <w:r>
        <w:rPr>
          <w:sz w:val="20"/>
          <w:szCs w:val="20"/>
        </w:rPr>
        <w:t xml:space="preserve"> This can be seen in 2 Maccabees 2:23.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140CD" w14:textId="74C9BD36" w:rsidR="00FD46AE" w:rsidRDefault="00A53049">
    <w:pPr>
      <w:pStyle w:val="Header"/>
    </w:pPr>
    <w:r>
      <w:t xml:space="preserve">1,519 words not including bibliography, </w:t>
    </w:r>
    <w:proofErr w:type="gramStart"/>
    <w:r>
      <w:t>title</w:t>
    </w:r>
    <w:proofErr w:type="gramEnd"/>
    <w:r>
      <w:t xml:space="preserve"> or footnotes.</w:t>
    </w:r>
  </w:p>
  <w:p w14:paraId="14545F49" w14:textId="1673D547" w:rsidR="008F5F65" w:rsidRDefault="008F5F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048"/>
    <w:rsid w:val="000013BB"/>
    <w:rsid w:val="00003AB2"/>
    <w:rsid w:val="000C2482"/>
    <w:rsid w:val="000D1D80"/>
    <w:rsid w:val="00130396"/>
    <w:rsid w:val="00141186"/>
    <w:rsid w:val="001640C3"/>
    <w:rsid w:val="001D2CED"/>
    <w:rsid w:val="00207048"/>
    <w:rsid w:val="0022440A"/>
    <w:rsid w:val="00273CF4"/>
    <w:rsid w:val="002A38C9"/>
    <w:rsid w:val="00380926"/>
    <w:rsid w:val="003C2564"/>
    <w:rsid w:val="00467004"/>
    <w:rsid w:val="005542A7"/>
    <w:rsid w:val="00566078"/>
    <w:rsid w:val="005D43EF"/>
    <w:rsid w:val="005F6C4D"/>
    <w:rsid w:val="00676877"/>
    <w:rsid w:val="0073793F"/>
    <w:rsid w:val="00803392"/>
    <w:rsid w:val="00834CF8"/>
    <w:rsid w:val="00870B5C"/>
    <w:rsid w:val="008A0505"/>
    <w:rsid w:val="008C5FDC"/>
    <w:rsid w:val="008D06F8"/>
    <w:rsid w:val="008F5F65"/>
    <w:rsid w:val="008F786D"/>
    <w:rsid w:val="0090724C"/>
    <w:rsid w:val="0093406C"/>
    <w:rsid w:val="009731EE"/>
    <w:rsid w:val="009B6529"/>
    <w:rsid w:val="00A1785A"/>
    <w:rsid w:val="00A53049"/>
    <w:rsid w:val="00A77998"/>
    <w:rsid w:val="00AD6B22"/>
    <w:rsid w:val="00AF1C7D"/>
    <w:rsid w:val="00B75F14"/>
    <w:rsid w:val="00BA0A13"/>
    <w:rsid w:val="00BD3C8B"/>
    <w:rsid w:val="00BD557B"/>
    <w:rsid w:val="00C048F3"/>
    <w:rsid w:val="00C42167"/>
    <w:rsid w:val="00C94B0B"/>
    <w:rsid w:val="00C959FD"/>
    <w:rsid w:val="00C972AE"/>
    <w:rsid w:val="00CE6F35"/>
    <w:rsid w:val="00D61A2A"/>
    <w:rsid w:val="00DB23B9"/>
    <w:rsid w:val="00DD2A26"/>
    <w:rsid w:val="00DD2DDF"/>
    <w:rsid w:val="00DF0666"/>
    <w:rsid w:val="00E102D4"/>
    <w:rsid w:val="00E70817"/>
    <w:rsid w:val="00E80C2D"/>
    <w:rsid w:val="00EA0FBF"/>
    <w:rsid w:val="00EB2CE7"/>
    <w:rsid w:val="00F53C7A"/>
    <w:rsid w:val="00F55374"/>
    <w:rsid w:val="00F6702F"/>
    <w:rsid w:val="00F7677A"/>
    <w:rsid w:val="00FD4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52B7A"/>
  <w15:docId w15:val="{BF9664EA-BDAF-4532-AC6E-098B14D94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ibliography">
    <w:name w:val="Bibliography"/>
    <w:basedOn w:val="Normal"/>
    <w:next w:val="Normal"/>
    <w:uiPriority w:val="37"/>
    <w:unhideWhenUsed/>
    <w:rsid w:val="001640C3"/>
    <w:pPr>
      <w:ind w:hanging="720"/>
    </w:pPr>
  </w:style>
  <w:style w:type="paragraph" w:styleId="Header">
    <w:name w:val="header"/>
    <w:basedOn w:val="Normal"/>
    <w:link w:val="HeaderChar"/>
    <w:uiPriority w:val="99"/>
    <w:unhideWhenUsed/>
    <w:rsid w:val="00FD4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6AE"/>
  </w:style>
  <w:style w:type="paragraph" w:styleId="Footer">
    <w:name w:val="footer"/>
    <w:basedOn w:val="Normal"/>
    <w:link w:val="FooterChar"/>
    <w:uiPriority w:val="99"/>
    <w:unhideWhenUsed/>
    <w:rsid w:val="00FD4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6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iblegateway.com/passage/?search=2%20Maccabees+6&amp;version=NRSV"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78F5B9-5310-4100-9C43-1ADCA0557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5</Pages>
  <Words>1377</Words>
  <Characters>7853</Characters>
  <Application>Microsoft Office Word</Application>
  <DocSecurity>0</DocSecurity>
  <Lines>65</Lines>
  <Paragraphs>18</Paragraphs>
  <ScaleCrop>false</ScaleCrop>
  <Company/>
  <LinksUpToDate>false</LinksUpToDate>
  <CharactersWithSpaces>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Carrina Tucker-hughes (1706475)</cp:lastModifiedBy>
  <cp:revision>63</cp:revision>
  <dcterms:created xsi:type="dcterms:W3CDTF">2020-05-29T17:52:00Z</dcterms:created>
  <dcterms:modified xsi:type="dcterms:W3CDTF">2020-05-29T20:48:00Z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id="etnFm7Fj"/&gt;&lt;style id="http://www.zotero.org/styles/harvard-kings-college-london" hasBibliography="1" bibliographyStyleHasBeenSet="1"/&gt;&lt;prefs&gt;&lt;pref name="fieldType" value="Field"/&gt;&lt;/prefs&gt;&lt;/data&gt;</vt:lpwstr>
  </property>
</Properties>
</file>