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A70FA6" w14:textId="77777777" w:rsidR="007A41E1" w:rsidRDefault="009B6AAA" w:rsidP="00A11EC6">
      <w:pPr>
        <w:spacing w:line="360" w:lineRule="auto"/>
        <w:jc w:val="center"/>
        <w:rPr>
          <w:rFonts w:ascii="Arial" w:hAnsi="Arial" w:cs="Arial"/>
          <w:sz w:val="24"/>
          <w:szCs w:val="24"/>
        </w:rPr>
      </w:pPr>
      <w:r w:rsidRPr="00153370">
        <w:rPr>
          <w:rFonts w:ascii="Arial" w:hAnsi="Arial" w:cs="Arial"/>
          <w:b/>
          <w:bCs/>
          <w:noProof/>
          <w:sz w:val="24"/>
          <w:szCs w:val="24"/>
        </w:rPr>
        <w:drawing>
          <wp:inline distT="0" distB="0" distL="0" distR="0" wp14:anchorId="02B374E3" wp14:editId="3997D067">
            <wp:extent cx="4894960" cy="2219325"/>
            <wp:effectExtent l="0" t="0" r="1270" b="0"/>
            <wp:docPr id="9" name="Picture 9" descr="D:\ASSIGNMENT WORK\PIYUSH HCM\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D:\ASSIGNMENT WORK\PIYUSH HCM\uni logo.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05244" cy="2223988"/>
                    </a:xfrm>
                    <a:prstGeom prst="rect">
                      <a:avLst/>
                    </a:prstGeom>
                    <a:noFill/>
                    <a:ln>
                      <a:noFill/>
                    </a:ln>
                  </pic:spPr>
                </pic:pic>
              </a:graphicData>
            </a:graphic>
          </wp:inline>
        </w:drawing>
      </w:r>
    </w:p>
    <w:tbl>
      <w:tblPr>
        <w:tblStyle w:val="TableGrid"/>
        <w:tblW w:w="0" w:type="auto"/>
        <w:jc w:val="center"/>
        <w:tblLook w:val="04A0" w:firstRow="1" w:lastRow="0" w:firstColumn="1" w:lastColumn="0" w:noHBand="0" w:noVBand="1"/>
      </w:tblPr>
      <w:tblGrid>
        <w:gridCol w:w="4675"/>
        <w:gridCol w:w="4675"/>
      </w:tblGrid>
      <w:tr w:rsidR="009B6AAA" w:rsidRPr="00B036AA" w14:paraId="5891831D" w14:textId="77777777" w:rsidTr="004C46EA">
        <w:trPr>
          <w:trHeight w:val="1077"/>
          <w:jc w:val="center"/>
        </w:trPr>
        <w:tc>
          <w:tcPr>
            <w:tcW w:w="4675" w:type="dxa"/>
            <w:vAlign w:val="center"/>
          </w:tcPr>
          <w:p w14:paraId="61103070"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Program Name</w:t>
            </w:r>
          </w:p>
        </w:tc>
        <w:tc>
          <w:tcPr>
            <w:tcW w:w="4675" w:type="dxa"/>
            <w:vAlign w:val="center"/>
          </w:tcPr>
          <w:p w14:paraId="451F306C"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M</w:t>
            </w:r>
            <w:r>
              <w:rPr>
                <w:rFonts w:ascii="Times New Roman" w:hAnsi="Times New Roman" w:cs="Times New Roman"/>
                <w:b/>
              </w:rPr>
              <w:t xml:space="preserve">aster of </w:t>
            </w:r>
            <w:r w:rsidRPr="00B036AA">
              <w:rPr>
                <w:rFonts w:ascii="Times New Roman" w:hAnsi="Times New Roman" w:cs="Times New Roman"/>
                <w:b/>
              </w:rPr>
              <w:t>B</w:t>
            </w:r>
            <w:r>
              <w:rPr>
                <w:rFonts w:ascii="Times New Roman" w:hAnsi="Times New Roman" w:cs="Times New Roman"/>
                <w:b/>
              </w:rPr>
              <w:t xml:space="preserve">usiness </w:t>
            </w:r>
            <w:r w:rsidRPr="00B036AA">
              <w:rPr>
                <w:rFonts w:ascii="Times New Roman" w:hAnsi="Times New Roman" w:cs="Times New Roman"/>
                <w:b/>
              </w:rPr>
              <w:t>A</w:t>
            </w:r>
            <w:r>
              <w:rPr>
                <w:rFonts w:ascii="Times New Roman" w:hAnsi="Times New Roman" w:cs="Times New Roman"/>
                <w:b/>
              </w:rPr>
              <w:t>dministration</w:t>
            </w:r>
          </w:p>
        </w:tc>
      </w:tr>
      <w:tr w:rsidR="009B6AAA" w:rsidRPr="00B036AA" w14:paraId="20366C25" w14:textId="77777777" w:rsidTr="004C46EA">
        <w:trPr>
          <w:trHeight w:val="1077"/>
          <w:jc w:val="center"/>
        </w:trPr>
        <w:tc>
          <w:tcPr>
            <w:tcW w:w="4675" w:type="dxa"/>
            <w:vAlign w:val="center"/>
          </w:tcPr>
          <w:p w14:paraId="615FCE3E"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Module Name</w:t>
            </w:r>
          </w:p>
        </w:tc>
        <w:tc>
          <w:tcPr>
            <w:tcW w:w="4675" w:type="dxa"/>
            <w:vAlign w:val="center"/>
          </w:tcPr>
          <w:p w14:paraId="33781124" w14:textId="77777777" w:rsidR="009B6AAA" w:rsidRPr="00B036AA" w:rsidRDefault="009B6AAA" w:rsidP="004C46EA">
            <w:pPr>
              <w:spacing w:line="360" w:lineRule="auto"/>
              <w:jc w:val="both"/>
              <w:rPr>
                <w:rFonts w:ascii="Times New Roman" w:hAnsi="Times New Roman" w:cs="Times New Roman"/>
                <w:b/>
              </w:rPr>
            </w:pPr>
            <w:r w:rsidRPr="009B6AAA">
              <w:rPr>
                <w:rFonts w:ascii="Times New Roman" w:hAnsi="Times New Roman" w:cs="Times New Roman"/>
                <w:b/>
              </w:rPr>
              <w:t>International Marketing: Principles and Practices</w:t>
            </w:r>
          </w:p>
        </w:tc>
      </w:tr>
      <w:tr w:rsidR="009B6AAA" w:rsidRPr="00B036AA" w14:paraId="7C22DFCC" w14:textId="77777777" w:rsidTr="004C46EA">
        <w:trPr>
          <w:trHeight w:val="1077"/>
          <w:jc w:val="center"/>
        </w:trPr>
        <w:tc>
          <w:tcPr>
            <w:tcW w:w="4675" w:type="dxa"/>
            <w:vAlign w:val="center"/>
          </w:tcPr>
          <w:p w14:paraId="62DF87A7"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Module Code</w:t>
            </w:r>
          </w:p>
        </w:tc>
        <w:tc>
          <w:tcPr>
            <w:tcW w:w="4675" w:type="dxa"/>
            <w:vAlign w:val="center"/>
          </w:tcPr>
          <w:p w14:paraId="3464050F" w14:textId="77777777" w:rsidR="009B6AAA" w:rsidRPr="00B036AA" w:rsidRDefault="009B6AAA" w:rsidP="004C46EA">
            <w:pPr>
              <w:spacing w:line="360" w:lineRule="auto"/>
              <w:jc w:val="both"/>
              <w:rPr>
                <w:rFonts w:ascii="Times New Roman" w:hAnsi="Times New Roman" w:cs="Times New Roman"/>
                <w:b/>
              </w:rPr>
            </w:pPr>
            <w:r>
              <w:rPr>
                <w:rFonts w:ascii="Times New Roman" w:hAnsi="Times New Roman" w:cs="Times New Roman"/>
                <w:b/>
              </w:rPr>
              <w:t>LCMB7026</w:t>
            </w:r>
          </w:p>
        </w:tc>
      </w:tr>
      <w:tr w:rsidR="009B6AAA" w:rsidRPr="00B036AA" w14:paraId="4F2D8266" w14:textId="77777777" w:rsidTr="004C46EA">
        <w:trPr>
          <w:trHeight w:val="1077"/>
          <w:jc w:val="center"/>
        </w:trPr>
        <w:tc>
          <w:tcPr>
            <w:tcW w:w="4675" w:type="dxa"/>
            <w:vAlign w:val="center"/>
          </w:tcPr>
          <w:p w14:paraId="60F07CA9" w14:textId="77777777" w:rsidR="009B6AAA" w:rsidRPr="00B036AA" w:rsidRDefault="009B6AAA" w:rsidP="004C46EA">
            <w:pPr>
              <w:spacing w:line="360" w:lineRule="auto"/>
              <w:jc w:val="both"/>
              <w:rPr>
                <w:rFonts w:ascii="Times New Roman" w:hAnsi="Times New Roman" w:cs="Times New Roman"/>
                <w:b/>
              </w:rPr>
            </w:pPr>
            <w:r>
              <w:rPr>
                <w:rFonts w:ascii="Times New Roman" w:hAnsi="Times New Roman" w:cs="Times New Roman"/>
                <w:b/>
              </w:rPr>
              <w:t>Assignment title</w:t>
            </w:r>
          </w:p>
        </w:tc>
        <w:tc>
          <w:tcPr>
            <w:tcW w:w="4675" w:type="dxa"/>
            <w:vAlign w:val="center"/>
          </w:tcPr>
          <w:p w14:paraId="04EB3A70"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Report</w:t>
            </w:r>
          </w:p>
        </w:tc>
      </w:tr>
      <w:tr w:rsidR="009B6AAA" w:rsidRPr="00B036AA" w14:paraId="17F2A297" w14:textId="77777777" w:rsidTr="004C46EA">
        <w:trPr>
          <w:trHeight w:val="1077"/>
          <w:jc w:val="center"/>
        </w:trPr>
        <w:tc>
          <w:tcPr>
            <w:tcW w:w="4675" w:type="dxa"/>
            <w:vAlign w:val="center"/>
          </w:tcPr>
          <w:p w14:paraId="1FF0673C"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Title</w:t>
            </w:r>
          </w:p>
        </w:tc>
        <w:tc>
          <w:tcPr>
            <w:tcW w:w="4675" w:type="dxa"/>
            <w:vAlign w:val="center"/>
          </w:tcPr>
          <w:p w14:paraId="64B53D04" w14:textId="77777777" w:rsidR="009B6AAA" w:rsidRPr="00B036AA" w:rsidRDefault="009B6AAA" w:rsidP="004C46EA">
            <w:pPr>
              <w:spacing w:line="360" w:lineRule="auto"/>
              <w:jc w:val="both"/>
              <w:rPr>
                <w:rFonts w:ascii="Times New Roman" w:hAnsi="Times New Roman" w:cs="Times New Roman"/>
                <w:b/>
              </w:rPr>
            </w:pPr>
            <w:r w:rsidRPr="009B6AAA">
              <w:rPr>
                <w:rFonts w:ascii="Times New Roman" w:hAnsi="Times New Roman" w:cs="Times New Roman"/>
                <w:b/>
              </w:rPr>
              <w:t xml:space="preserve">International Marketing: Principles and Practices </w:t>
            </w:r>
          </w:p>
        </w:tc>
      </w:tr>
      <w:tr w:rsidR="009B6AAA" w:rsidRPr="00B036AA" w14:paraId="42E03219" w14:textId="77777777" w:rsidTr="009B6AAA">
        <w:trPr>
          <w:trHeight w:val="1077"/>
          <w:jc w:val="center"/>
        </w:trPr>
        <w:tc>
          <w:tcPr>
            <w:tcW w:w="4675" w:type="dxa"/>
            <w:vAlign w:val="center"/>
          </w:tcPr>
          <w:p w14:paraId="5254300E"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Lecturer</w:t>
            </w:r>
          </w:p>
        </w:tc>
        <w:tc>
          <w:tcPr>
            <w:tcW w:w="4675" w:type="dxa"/>
            <w:vAlign w:val="center"/>
          </w:tcPr>
          <w:p w14:paraId="02C46195" w14:textId="3133F163" w:rsidR="009B6AAA" w:rsidRPr="00B036AA" w:rsidRDefault="008F3AFA" w:rsidP="009B6AAA">
            <w:pPr>
              <w:spacing w:line="360" w:lineRule="auto"/>
              <w:rPr>
                <w:rFonts w:ascii="Times New Roman" w:hAnsi="Times New Roman" w:cs="Times New Roman"/>
              </w:rPr>
            </w:pPr>
            <w:r w:rsidRPr="008F3AFA">
              <w:rPr>
                <w:rFonts w:ascii="Times New Roman" w:hAnsi="Times New Roman" w:cs="Times New Roman"/>
                <w:b/>
              </w:rPr>
              <w:t>Muhammad Tariq</w:t>
            </w:r>
          </w:p>
        </w:tc>
      </w:tr>
      <w:tr w:rsidR="009B6AAA" w:rsidRPr="00B036AA" w14:paraId="7EB9C0D6" w14:textId="77777777" w:rsidTr="004C46EA">
        <w:trPr>
          <w:trHeight w:val="1077"/>
          <w:jc w:val="center"/>
        </w:trPr>
        <w:tc>
          <w:tcPr>
            <w:tcW w:w="4675" w:type="dxa"/>
            <w:vAlign w:val="center"/>
          </w:tcPr>
          <w:p w14:paraId="2DEEBFED"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Student Name</w:t>
            </w:r>
          </w:p>
        </w:tc>
        <w:tc>
          <w:tcPr>
            <w:tcW w:w="4675" w:type="dxa"/>
            <w:vAlign w:val="center"/>
          </w:tcPr>
          <w:p w14:paraId="3B45C595"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Piyush Bablubhai Luhar</w:t>
            </w:r>
          </w:p>
        </w:tc>
      </w:tr>
      <w:tr w:rsidR="009B6AAA" w:rsidRPr="00B036AA" w14:paraId="45DE6B62" w14:textId="77777777" w:rsidTr="004C46EA">
        <w:trPr>
          <w:trHeight w:val="1077"/>
          <w:jc w:val="center"/>
        </w:trPr>
        <w:tc>
          <w:tcPr>
            <w:tcW w:w="4675" w:type="dxa"/>
            <w:vAlign w:val="center"/>
          </w:tcPr>
          <w:p w14:paraId="3727DE89"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Student ID</w:t>
            </w:r>
          </w:p>
        </w:tc>
        <w:tc>
          <w:tcPr>
            <w:tcW w:w="4675" w:type="dxa"/>
            <w:vAlign w:val="center"/>
          </w:tcPr>
          <w:p w14:paraId="0F90ECF0" w14:textId="77777777" w:rsidR="009B6AAA" w:rsidRPr="00B036AA" w:rsidRDefault="009B6AAA" w:rsidP="004C46EA">
            <w:pPr>
              <w:spacing w:line="360" w:lineRule="auto"/>
              <w:jc w:val="both"/>
              <w:rPr>
                <w:rFonts w:ascii="Times New Roman" w:hAnsi="Times New Roman" w:cs="Times New Roman"/>
                <w:b/>
              </w:rPr>
            </w:pPr>
            <w:r w:rsidRPr="00B036AA">
              <w:rPr>
                <w:rFonts w:ascii="Times New Roman" w:hAnsi="Times New Roman" w:cs="Times New Roman"/>
                <w:b/>
              </w:rPr>
              <w:t>2436044</w:t>
            </w:r>
          </w:p>
        </w:tc>
      </w:tr>
    </w:tbl>
    <w:p w14:paraId="00CA7149" w14:textId="77777777" w:rsidR="009B6AAA" w:rsidRPr="00B9261A" w:rsidRDefault="009B6AAA" w:rsidP="00B9261A">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rPr>
        <w:id w:val="58529479"/>
        <w:docPartObj>
          <w:docPartGallery w:val="Table of Contents"/>
          <w:docPartUnique/>
        </w:docPartObj>
      </w:sdtPr>
      <w:sdtEndPr>
        <w:rPr>
          <w:b/>
          <w:bCs/>
          <w:noProof/>
        </w:rPr>
      </w:sdtEndPr>
      <w:sdtContent>
        <w:p w14:paraId="7168B976" w14:textId="77777777" w:rsidR="00221CB7" w:rsidRDefault="00221CB7">
          <w:pPr>
            <w:pStyle w:val="TOCHeading"/>
          </w:pPr>
          <w:r>
            <w:t>Contents</w:t>
          </w:r>
        </w:p>
        <w:p w14:paraId="599FC9B2" w14:textId="77777777" w:rsidR="00A11EC6" w:rsidRDefault="00221CB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5410028" w:history="1">
            <w:r w:rsidR="00A11EC6" w:rsidRPr="00A96F8E">
              <w:rPr>
                <w:rStyle w:val="Hyperlink"/>
                <w:noProof/>
              </w:rPr>
              <w:t>1. Introduction</w:t>
            </w:r>
            <w:r w:rsidR="00A11EC6">
              <w:rPr>
                <w:noProof/>
                <w:webHidden/>
              </w:rPr>
              <w:tab/>
            </w:r>
            <w:r w:rsidR="00A11EC6">
              <w:rPr>
                <w:noProof/>
                <w:webHidden/>
              </w:rPr>
              <w:fldChar w:fldCharType="begin"/>
            </w:r>
            <w:r w:rsidR="00A11EC6">
              <w:rPr>
                <w:noProof/>
                <w:webHidden/>
              </w:rPr>
              <w:instrText xml:space="preserve"> PAGEREF _Toc215410028 \h </w:instrText>
            </w:r>
            <w:r w:rsidR="00A11EC6">
              <w:rPr>
                <w:noProof/>
                <w:webHidden/>
              </w:rPr>
            </w:r>
            <w:r w:rsidR="00A11EC6">
              <w:rPr>
                <w:noProof/>
                <w:webHidden/>
              </w:rPr>
              <w:fldChar w:fldCharType="separate"/>
            </w:r>
            <w:r w:rsidR="00A11EC6">
              <w:rPr>
                <w:noProof/>
                <w:webHidden/>
              </w:rPr>
              <w:t>3</w:t>
            </w:r>
            <w:r w:rsidR="00A11EC6">
              <w:rPr>
                <w:noProof/>
                <w:webHidden/>
              </w:rPr>
              <w:fldChar w:fldCharType="end"/>
            </w:r>
          </w:hyperlink>
        </w:p>
        <w:p w14:paraId="62099159" w14:textId="77777777" w:rsidR="00A11EC6" w:rsidRDefault="00A11EC6">
          <w:pPr>
            <w:pStyle w:val="TOC1"/>
            <w:tabs>
              <w:tab w:val="right" w:leader="dot" w:pos="9350"/>
            </w:tabs>
            <w:rPr>
              <w:rFonts w:eastAsiaTheme="minorEastAsia"/>
              <w:noProof/>
            </w:rPr>
          </w:pPr>
          <w:hyperlink w:anchor="_Toc215410029" w:history="1">
            <w:r w:rsidRPr="00A96F8E">
              <w:rPr>
                <w:rStyle w:val="Hyperlink"/>
                <w:noProof/>
              </w:rPr>
              <w:t>2. Company &amp; Market Context</w:t>
            </w:r>
            <w:r>
              <w:rPr>
                <w:noProof/>
                <w:webHidden/>
              </w:rPr>
              <w:tab/>
            </w:r>
            <w:r>
              <w:rPr>
                <w:noProof/>
                <w:webHidden/>
              </w:rPr>
              <w:fldChar w:fldCharType="begin"/>
            </w:r>
            <w:r>
              <w:rPr>
                <w:noProof/>
                <w:webHidden/>
              </w:rPr>
              <w:instrText xml:space="preserve"> PAGEREF _Toc215410029 \h </w:instrText>
            </w:r>
            <w:r>
              <w:rPr>
                <w:noProof/>
                <w:webHidden/>
              </w:rPr>
            </w:r>
            <w:r>
              <w:rPr>
                <w:noProof/>
                <w:webHidden/>
              </w:rPr>
              <w:fldChar w:fldCharType="separate"/>
            </w:r>
            <w:r>
              <w:rPr>
                <w:noProof/>
                <w:webHidden/>
              </w:rPr>
              <w:t>4</w:t>
            </w:r>
            <w:r>
              <w:rPr>
                <w:noProof/>
                <w:webHidden/>
              </w:rPr>
              <w:fldChar w:fldCharType="end"/>
            </w:r>
          </w:hyperlink>
        </w:p>
        <w:p w14:paraId="2419DB73" w14:textId="77777777" w:rsidR="00A11EC6" w:rsidRDefault="00A11EC6">
          <w:pPr>
            <w:pStyle w:val="TOC2"/>
            <w:tabs>
              <w:tab w:val="right" w:leader="dot" w:pos="9350"/>
            </w:tabs>
            <w:rPr>
              <w:rFonts w:eastAsiaTheme="minorEastAsia"/>
              <w:noProof/>
            </w:rPr>
          </w:pPr>
          <w:hyperlink w:anchor="_Toc215410030" w:history="1">
            <w:r w:rsidRPr="00A96F8E">
              <w:rPr>
                <w:rStyle w:val="Hyperlink"/>
                <w:noProof/>
              </w:rPr>
              <w:t>2.1 BMW Group Overview</w:t>
            </w:r>
            <w:r>
              <w:rPr>
                <w:noProof/>
                <w:webHidden/>
              </w:rPr>
              <w:tab/>
            </w:r>
            <w:r>
              <w:rPr>
                <w:noProof/>
                <w:webHidden/>
              </w:rPr>
              <w:fldChar w:fldCharType="begin"/>
            </w:r>
            <w:r>
              <w:rPr>
                <w:noProof/>
                <w:webHidden/>
              </w:rPr>
              <w:instrText xml:space="preserve"> PAGEREF _Toc215410030 \h </w:instrText>
            </w:r>
            <w:r>
              <w:rPr>
                <w:noProof/>
                <w:webHidden/>
              </w:rPr>
            </w:r>
            <w:r>
              <w:rPr>
                <w:noProof/>
                <w:webHidden/>
              </w:rPr>
              <w:fldChar w:fldCharType="separate"/>
            </w:r>
            <w:r>
              <w:rPr>
                <w:noProof/>
                <w:webHidden/>
              </w:rPr>
              <w:t>4</w:t>
            </w:r>
            <w:r>
              <w:rPr>
                <w:noProof/>
                <w:webHidden/>
              </w:rPr>
              <w:fldChar w:fldCharType="end"/>
            </w:r>
          </w:hyperlink>
        </w:p>
        <w:p w14:paraId="0F0495A2" w14:textId="77777777" w:rsidR="00A11EC6" w:rsidRDefault="00A11EC6">
          <w:pPr>
            <w:pStyle w:val="TOC2"/>
            <w:tabs>
              <w:tab w:val="right" w:leader="dot" w:pos="9350"/>
            </w:tabs>
            <w:rPr>
              <w:rFonts w:eastAsiaTheme="minorEastAsia"/>
              <w:noProof/>
            </w:rPr>
          </w:pPr>
          <w:hyperlink w:anchor="_Toc215410031" w:history="1">
            <w:r w:rsidRPr="00A96F8E">
              <w:rPr>
                <w:rStyle w:val="Hyperlink"/>
                <w:noProof/>
              </w:rPr>
              <w:t>2.2 USA Market Overview</w:t>
            </w:r>
            <w:r>
              <w:rPr>
                <w:noProof/>
                <w:webHidden/>
              </w:rPr>
              <w:tab/>
            </w:r>
            <w:r>
              <w:rPr>
                <w:noProof/>
                <w:webHidden/>
              </w:rPr>
              <w:fldChar w:fldCharType="begin"/>
            </w:r>
            <w:r>
              <w:rPr>
                <w:noProof/>
                <w:webHidden/>
              </w:rPr>
              <w:instrText xml:space="preserve"> PAGEREF _Toc215410031 \h </w:instrText>
            </w:r>
            <w:r>
              <w:rPr>
                <w:noProof/>
                <w:webHidden/>
              </w:rPr>
            </w:r>
            <w:r>
              <w:rPr>
                <w:noProof/>
                <w:webHidden/>
              </w:rPr>
              <w:fldChar w:fldCharType="separate"/>
            </w:r>
            <w:r>
              <w:rPr>
                <w:noProof/>
                <w:webHidden/>
              </w:rPr>
              <w:t>6</w:t>
            </w:r>
            <w:r>
              <w:rPr>
                <w:noProof/>
                <w:webHidden/>
              </w:rPr>
              <w:fldChar w:fldCharType="end"/>
            </w:r>
          </w:hyperlink>
        </w:p>
        <w:p w14:paraId="3DED2CF0" w14:textId="77777777" w:rsidR="00A11EC6" w:rsidRDefault="00A11EC6">
          <w:pPr>
            <w:pStyle w:val="TOC2"/>
            <w:tabs>
              <w:tab w:val="right" w:leader="dot" w:pos="9350"/>
            </w:tabs>
            <w:rPr>
              <w:rFonts w:eastAsiaTheme="minorEastAsia"/>
              <w:noProof/>
            </w:rPr>
          </w:pPr>
          <w:hyperlink w:anchor="_Toc215410032" w:history="1">
            <w:r w:rsidRPr="00A96F8E">
              <w:rPr>
                <w:rStyle w:val="Hyperlink"/>
                <w:noProof/>
              </w:rPr>
              <w:t>2.3 Australia Market Overview</w:t>
            </w:r>
            <w:r>
              <w:rPr>
                <w:noProof/>
                <w:webHidden/>
              </w:rPr>
              <w:tab/>
            </w:r>
            <w:r>
              <w:rPr>
                <w:noProof/>
                <w:webHidden/>
              </w:rPr>
              <w:fldChar w:fldCharType="begin"/>
            </w:r>
            <w:r>
              <w:rPr>
                <w:noProof/>
                <w:webHidden/>
              </w:rPr>
              <w:instrText xml:space="preserve"> PAGEREF _Toc215410032 \h </w:instrText>
            </w:r>
            <w:r>
              <w:rPr>
                <w:noProof/>
                <w:webHidden/>
              </w:rPr>
            </w:r>
            <w:r>
              <w:rPr>
                <w:noProof/>
                <w:webHidden/>
              </w:rPr>
              <w:fldChar w:fldCharType="separate"/>
            </w:r>
            <w:r>
              <w:rPr>
                <w:noProof/>
                <w:webHidden/>
              </w:rPr>
              <w:t>7</w:t>
            </w:r>
            <w:r>
              <w:rPr>
                <w:noProof/>
                <w:webHidden/>
              </w:rPr>
              <w:fldChar w:fldCharType="end"/>
            </w:r>
          </w:hyperlink>
        </w:p>
        <w:p w14:paraId="4EE1B8CC" w14:textId="77777777" w:rsidR="00A11EC6" w:rsidRDefault="00A11EC6">
          <w:pPr>
            <w:pStyle w:val="TOC1"/>
            <w:tabs>
              <w:tab w:val="right" w:leader="dot" w:pos="9350"/>
            </w:tabs>
            <w:rPr>
              <w:rFonts w:eastAsiaTheme="minorEastAsia"/>
              <w:noProof/>
            </w:rPr>
          </w:pPr>
          <w:hyperlink w:anchor="_Toc215410033" w:history="1">
            <w:r w:rsidRPr="00A96F8E">
              <w:rPr>
                <w:rStyle w:val="Hyperlink"/>
                <w:noProof/>
              </w:rPr>
              <w:t>3. Internal and External Environment Analysis</w:t>
            </w:r>
            <w:r>
              <w:rPr>
                <w:noProof/>
                <w:webHidden/>
              </w:rPr>
              <w:tab/>
            </w:r>
            <w:r>
              <w:rPr>
                <w:noProof/>
                <w:webHidden/>
              </w:rPr>
              <w:fldChar w:fldCharType="begin"/>
            </w:r>
            <w:r>
              <w:rPr>
                <w:noProof/>
                <w:webHidden/>
              </w:rPr>
              <w:instrText xml:space="preserve"> PAGEREF _Toc215410033 \h </w:instrText>
            </w:r>
            <w:r>
              <w:rPr>
                <w:noProof/>
                <w:webHidden/>
              </w:rPr>
            </w:r>
            <w:r>
              <w:rPr>
                <w:noProof/>
                <w:webHidden/>
              </w:rPr>
              <w:fldChar w:fldCharType="separate"/>
            </w:r>
            <w:r>
              <w:rPr>
                <w:noProof/>
                <w:webHidden/>
              </w:rPr>
              <w:t>9</w:t>
            </w:r>
            <w:r>
              <w:rPr>
                <w:noProof/>
                <w:webHidden/>
              </w:rPr>
              <w:fldChar w:fldCharType="end"/>
            </w:r>
          </w:hyperlink>
        </w:p>
        <w:p w14:paraId="447B3A22" w14:textId="77777777" w:rsidR="00A11EC6" w:rsidRDefault="00A11EC6">
          <w:pPr>
            <w:pStyle w:val="TOC2"/>
            <w:tabs>
              <w:tab w:val="right" w:leader="dot" w:pos="9350"/>
            </w:tabs>
            <w:rPr>
              <w:rFonts w:eastAsiaTheme="minorEastAsia"/>
              <w:noProof/>
            </w:rPr>
          </w:pPr>
          <w:hyperlink w:anchor="_Toc215410034" w:history="1">
            <w:r w:rsidRPr="00A96F8E">
              <w:rPr>
                <w:rStyle w:val="Hyperlink"/>
                <w:noProof/>
              </w:rPr>
              <w:t>3.1 PESTLE Analysis (USA &amp; Australia)</w:t>
            </w:r>
            <w:r>
              <w:rPr>
                <w:noProof/>
                <w:webHidden/>
              </w:rPr>
              <w:tab/>
            </w:r>
            <w:r>
              <w:rPr>
                <w:noProof/>
                <w:webHidden/>
              </w:rPr>
              <w:fldChar w:fldCharType="begin"/>
            </w:r>
            <w:r>
              <w:rPr>
                <w:noProof/>
                <w:webHidden/>
              </w:rPr>
              <w:instrText xml:space="preserve"> PAGEREF _Toc215410034 \h </w:instrText>
            </w:r>
            <w:r>
              <w:rPr>
                <w:noProof/>
                <w:webHidden/>
              </w:rPr>
            </w:r>
            <w:r>
              <w:rPr>
                <w:noProof/>
                <w:webHidden/>
              </w:rPr>
              <w:fldChar w:fldCharType="separate"/>
            </w:r>
            <w:r>
              <w:rPr>
                <w:noProof/>
                <w:webHidden/>
              </w:rPr>
              <w:t>9</w:t>
            </w:r>
            <w:r>
              <w:rPr>
                <w:noProof/>
                <w:webHidden/>
              </w:rPr>
              <w:fldChar w:fldCharType="end"/>
            </w:r>
          </w:hyperlink>
        </w:p>
        <w:p w14:paraId="467203E4" w14:textId="77777777" w:rsidR="00A11EC6" w:rsidRDefault="00A11EC6">
          <w:pPr>
            <w:pStyle w:val="TOC2"/>
            <w:tabs>
              <w:tab w:val="right" w:leader="dot" w:pos="9350"/>
            </w:tabs>
            <w:rPr>
              <w:rFonts w:eastAsiaTheme="minorEastAsia"/>
              <w:noProof/>
            </w:rPr>
          </w:pPr>
          <w:hyperlink w:anchor="_Toc215410035" w:history="1">
            <w:r w:rsidRPr="00A96F8E">
              <w:rPr>
                <w:rStyle w:val="Hyperlink"/>
                <w:noProof/>
              </w:rPr>
              <w:t>3.2 Porter’s Five Forces (BMW in Both Markets)</w:t>
            </w:r>
            <w:r>
              <w:rPr>
                <w:noProof/>
                <w:webHidden/>
              </w:rPr>
              <w:tab/>
            </w:r>
            <w:r>
              <w:rPr>
                <w:noProof/>
                <w:webHidden/>
              </w:rPr>
              <w:fldChar w:fldCharType="begin"/>
            </w:r>
            <w:r>
              <w:rPr>
                <w:noProof/>
                <w:webHidden/>
              </w:rPr>
              <w:instrText xml:space="preserve"> PAGEREF _Toc215410035 \h </w:instrText>
            </w:r>
            <w:r>
              <w:rPr>
                <w:noProof/>
                <w:webHidden/>
              </w:rPr>
            </w:r>
            <w:r>
              <w:rPr>
                <w:noProof/>
                <w:webHidden/>
              </w:rPr>
              <w:fldChar w:fldCharType="separate"/>
            </w:r>
            <w:r>
              <w:rPr>
                <w:noProof/>
                <w:webHidden/>
              </w:rPr>
              <w:t>12</w:t>
            </w:r>
            <w:r>
              <w:rPr>
                <w:noProof/>
                <w:webHidden/>
              </w:rPr>
              <w:fldChar w:fldCharType="end"/>
            </w:r>
          </w:hyperlink>
        </w:p>
        <w:p w14:paraId="1F0C1DFE" w14:textId="77777777" w:rsidR="00A11EC6" w:rsidRDefault="00A11EC6">
          <w:pPr>
            <w:pStyle w:val="TOC2"/>
            <w:tabs>
              <w:tab w:val="right" w:leader="dot" w:pos="9350"/>
            </w:tabs>
            <w:rPr>
              <w:rFonts w:eastAsiaTheme="minorEastAsia"/>
              <w:noProof/>
            </w:rPr>
          </w:pPr>
          <w:hyperlink w:anchor="_Toc215410036" w:history="1">
            <w:r w:rsidRPr="00A96F8E">
              <w:rPr>
                <w:rStyle w:val="Hyperlink"/>
                <w:noProof/>
              </w:rPr>
              <w:t>3.3 SWOT Summary</w:t>
            </w:r>
            <w:r>
              <w:rPr>
                <w:noProof/>
                <w:webHidden/>
              </w:rPr>
              <w:tab/>
            </w:r>
            <w:r>
              <w:rPr>
                <w:noProof/>
                <w:webHidden/>
              </w:rPr>
              <w:fldChar w:fldCharType="begin"/>
            </w:r>
            <w:r>
              <w:rPr>
                <w:noProof/>
                <w:webHidden/>
              </w:rPr>
              <w:instrText xml:space="preserve"> PAGEREF _Toc215410036 \h </w:instrText>
            </w:r>
            <w:r>
              <w:rPr>
                <w:noProof/>
                <w:webHidden/>
              </w:rPr>
            </w:r>
            <w:r>
              <w:rPr>
                <w:noProof/>
                <w:webHidden/>
              </w:rPr>
              <w:fldChar w:fldCharType="separate"/>
            </w:r>
            <w:r>
              <w:rPr>
                <w:noProof/>
                <w:webHidden/>
              </w:rPr>
              <w:t>14</w:t>
            </w:r>
            <w:r>
              <w:rPr>
                <w:noProof/>
                <w:webHidden/>
              </w:rPr>
              <w:fldChar w:fldCharType="end"/>
            </w:r>
          </w:hyperlink>
        </w:p>
        <w:p w14:paraId="2EE75CC9" w14:textId="77777777" w:rsidR="00A11EC6" w:rsidRDefault="00A11EC6">
          <w:pPr>
            <w:pStyle w:val="TOC1"/>
            <w:tabs>
              <w:tab w:val="right" w:leader="dot" w:pos="9350"/>
            </w:tabs>
            <w:rPr>
              <w:rFonts w:eastAsiaTheme="minorEastAsia"/>
              <w:noProof/>
            </w:rPr>
          </w:pPr>
          <w:hyperlink w:anchor="_Toc215410037" w:history="1">
            <w:r w:rsidRPr="00A96F8E">
              <w:rPr>
                <w:rStyle w:val="Hyperlink"/>
                <w:noProof/>
              </w:rPr>
              <w:t>4. International Marketing Strategy</w:t>
            </w:r>
            <w:r>
              <w:rPr>
                <w:noProof/>
                <w:webHidden/>
              </w:rPr>
              <w:tab/>
            </w:r>
            <w:r>
              <w:rPr>
                <w:noProof/>
                <w:webHidden/>
              </w:rPr>
              <w:fldChar w:fldCharType="begin"/>
            </w:r>
            <w:r>
              <w:rPr>
                <w:noProof/>
                <w:webHidden/>
              </w:rPr>
              <w:instrText xml:space="preserve"> PAGEREF _Toc215410037 \h </w:instrText>
            </w:r>
            <w:r>
              <w:rPr>
                <w:noProof/>
                <w:webHidden/>
              </w:rPr>
            </w:r>
            <w:r>
              <w:rPr>
                <w:noProof/>
                <w:webHidden/>
              </w:rPr>
              <w:fldChar w:fldCharType="separate"/>
            </w:r>
            <w:r>
              <w:rPr>
                <w:noProof/>
                <w:webHidden/>
              </w:rPr>
              <w:t>16</w:t>
            </w:r>
            <w:r>
              <w:rPr>
                <w:noProof/>
                <w:webHidden/>
              </w:rPr>
              <w:fldChar w:fldCharType="end"/>
            </w:r>
          </w:hyperlink>
        </w:p>
        <w:p w14:paraId="7CDF57BE" w14:textId="77777777" w:rsidR="00A11EC6" w:rsidRDefault="00A11EC6">
          <w:pPr>
            <w:pStyle w:val="TOC2"/>
            <w:tabs>
              <w:tab w:val="right" w:leader="dot" w:pos="9350"/>
            </w:tabs>
            <w:rPr>
              <w:rFonts w:eastAsiaTheme="minorEastAsia"/>
              <w:noProof/>
            </w:rPr>
          </w:pPr>
          <w:hyperlink w:anchor="_Toc215410038" w:history="1">
            <w:r w:rsidRPr="00A96F8E">
              <w:rPr>
                <w:rStyle w:val="Hyperlink"/>
                <w:noProof/>
              </w:rPr>
              <w:t>4.1 Segmentation, Targeting and Positioning (STP)</w:t>
            </w:r>
            <w:r>
              <w:rPr>
                <w:noProof/>
                <w:webHidden/>
              </w:rPr>
              <w:tab/>
            </w:r>
            <w:r>
              <w:rPr>
                <w:noProof/>
                <w:webHidden/>
              </w:rPr>
              <w:fldChar w:fldCharType="begin"/>
            </w:r>
            <w:r>
              <w:rPr>
                <w:noProof/>
                <w:webHidden/>
              </w:rPr>
              <w:instrText xml:space="preserve"> PAGEREF _Toc215410038 \h </w:instrText>
            </w:r>
            <w:r>
              <w:rPr>
                <w:noProof/>
                <w:webHidden/>
              </w:rPr>
            </w:r>
            <w:r>
              <w:rPr>
                <w:noProof/>
                <w:webHidden/>
              </w:rPr>
              <w:fldChar w:fldCharType="separate"/>
            </w:r>
            <w:r>
              <w:rPr>
                <w:noProof/>
                <w:webHidden/>
              </w:rPr>
              <w:t>16</w:t>
            </w:r>
            <w:r>
              <w:rPr>
                <w:noProof/>
                <w:webHidden/>
              </w:rPr>
              <w:fldChar w:fldCharType="end"/>
            </w:r>
          </w:hyperlink>
        </w:p>
        <w:p w14:paraId="1F36143A" w14:textId="77777777" w:rsidR="00A11EC6" w:rsidRDefault="00A11EC6">
          <w:pPr>
            <w:pStyle w:val="TOC2"/>
            <w:tabs>
              <w:tab w:val="right" w:leader="dot" w:pos="9350"/>
            </w:tabs>
            <w:rPr>
              <w:rFonts w:eastAsiaTheme="minorEastAsia"/>
              <w:noProof/>
            </w:rPr>
          </w:pPr>
          <w:hyperlink w:anchor="_Toc215410039" w:history="1">
            <w:r w:rsidRPr="00A96F8E">
              <w:rPr>
                <w:rStyle w:val="Hyperlink"/>
                <w:noProof/>
              </w:rPr>
              <w:t>4.2 Marketing Mix (7Ps) Adaptation for USA &amp; Australia</w:t>
            </w:r>
            <w:r>
              <w:rPr>
                <w:noProof/>
                <w:webHidden/>
              </w:rPr>
              <w:tab/>
            </w:r>
            <w:r>
              <w:rPr>
                <w:noProof/>
                <w:webHidden/>
              </w:rPr>
              <w:fldChar w:fldCharType="begin"/>
            </w:r>
            <w:r>
              <w:rPr>
                <w:noProof/>
                <w:webHidden/>
              </w:rPr>
              <w:instrText xml:space="preserve"> PAGEREF _Toc215410039 \h </w:instrText>
            </w:r>
            <w:r>
              <w:rPr>
                <w:noProof/>
                <w:webHidden/>
              </w:rPr>
            </w:r>
            <w:r>
              <w:rPr>
                <w:noProof/>
                <w:webHidden/>
              </w:rPr>
              <w:fldChar w:fldCharType="separate"/>
            </w:r>
            <w:r>
              <w:rPr>
                <w:noProof/>
                <w:webHidden/>
              </w:rPr>
              <w:t>18</w:t>
            </w:r>
            <w:r>
              <w:rPr>
                <w:noProof/>
                <w:webHidden/>
              </w:rPr>
              <w:fldChar w:fldCharType="end"/>
            </w:r>
          </w:hyperlink>
        </w:p>
        <w:p w14:paraId="78B2C6D0" w14:textId="77777777" w:rsidR="00A11EC6" w:rsidRDefault="00A11EC6">
          <w:pPr>
            <w:pStyle w:val="TOC2"/>
            <w:tabs>
              <w:tab w:val="right" w:leader="dot" w:pos="9350"/>
            </w:tabs>
            <w:rPr>
              <w:rFonts w:eastAsiaTheme="minorEastAsia"/>
              <w:noProof/>
            </w:rPr>
          </w:pPr>
          <w:hyperlink w:anchor="_Toc215410040" w:history="1">
            <w:r w:rsidRPr="00A96F8E">
              <w:rPr>
                <w:rStyle w:val="Hyperlink"/>
                <w:noProof/>
              </w:rPr>
              <w:t>4.3 Entry Mode and Distribution Strategy</w:t>
            </w:r>
            <w:r>
              <w:rPr>
                <w:noProof/>
                <w:webHidden/>
              </w:rPr>
              <w:tab/>
            </w:r>
            <w:r>
              <w:rPr>
                <w:noProof/>
                <w:webHidden/>
              </w:rPr>
              <w:fldChar w:fldCharType="begin"/>
            </w:r>
            <w:r>
              <w:rPr>
                <w:noProof/>
                <w:webHidden/>
              </w:rPr>
              <w:instrText xml:space="preserve"> PAGEREF _Toc215410040 \h </w:instrText>
            </w:r>
            <w:r>
              <w:rPr>
                <w:noProof/>
                <w:webHidden/>
              </w:rPr>
            </w:r>
            <w:r>
              <w:rPr>
                <w:noProof/>
                <w:webHidden/>
              </w:rPr>
              <w:fldChar w:fldCharType="separate"/>
            </w:r>
            <w:r>
              <w:rPr>
                <w:noProof/>
                <w:webHidden/>
              </w:rPr>
              <w:t>20</w:t>
            </w:r>
            <w:r>
              <w:rPr>
                <w:noProof/>
                <w:webHidden/>
              </w:rPr>
              <w:fldChar w:fldCharType="end"/>
            </w:r>
          </w:hyperlink>
        </w:p>
        <w:p w14:paraId="7D822048" w14:textId="77777777" w:rsidR="00A11EC6" w:rsidRDefault="00A11EC6">
          <w:pPr>
            <w:pStyle w:val="TOC1"/>
            <w:tabs>
              <w:tab w:val="right" w:leader="dot" w:pos="9350"/>
            </w:tabs>
            <w:rPr>
              <w:rFonts w:eastAsiaTheme="minorEastAsia"/>
              <w:noProof/>
            </w:rPr>
          </w:pPr>
          <w:hyperlink w:anchor="_Toc215410041" w:history="1">
            <w:r w:rsidRPr="00A96F8E">
              <w:rPr>
                <w:rStyle w:val="Hyperlink"/>
                <w:noProof/>
              </w:rPr>
              <w:t>5. Cultural, Ethical &amp; Sustainability Considerations</w:t>
            </w:r>
            <w:r>
              <w:rPr>
                <w:noProof/>
                <w:webHidden/>
              </w:rPr>
              <w:tab/>
            </w:r>
            <w:r>
              <w:rPr>
                <w:noProof/>
                <w:webHidden/>
              </w:rPr>
              <w:fldChar w:fldCharType="begin"/>
            </w:r>
            <w:r>
              <w:rPr>
                <w:noProof/>
                <w:webHidden/>
              </w:rPr>
              <w:instrText xml:space="preserve"> PAGEREF _Toc215410041 \h </w:instrText>
            </w:r>
            <w:r>
              <w:rPr>
                <w:noProof/>
                <w:webHidden/>
              </w:rPr>
            </w:r>
            <w:r>
              <w:rPr>
                <w:noProof/>
                <w:webHidden/>
              </w:rPr>
              <w:fldChar w:fldCharType="separate"/>
            </w:r>
            <w:r>
              <w:rPr>
                <w:noProof/>
                <w:webHidden/>
              </w:rPr>
              <w:t>23</w:t>
            </w:r>
            <w:r>
              <w:rPr>
                <w:noProof/>
                <w:webHidden/>
              </w:rPr>
              <w:fldChar w:fldCharType="end"/>
            </w:r>
          </w:hyperlink>
        </w:p>
        <w:p w14:paraId="041D5AC7" w14:textId="77777777" w:rsidR="00A11EC6" w:rsidRDefault="00A11EC6">
          <w:pPr>
            <w:pStyle w:val="TOC2"/>
            <w:tabs>
              <w:tab w:val="right" w:leader="dot" w:pos="9350"/>
            </w:tabs>
            <w:rPr>
              <w:rFonts w:eastAsiaTheme="minorEastAsia"/>
              <w:noProof/>
            </w:rPr>
          </w:pPr>
          <w:hyperlink w:anchor="_Toc215410042" w:history="1">
            <w:r w:rsidRPr="00A96F8E">
              <w:rPr>
                <w:rStyle w:val="Hyperlink"/>
                <w:noProof/>
              </w:rPr>
              <w:t>5.1 Cultural Dimensions and Adaptation (Hofstede Framework)</w:t>
            </w:r>
            <w:r>
              <w:rPr>
                <w:noProof/>
                <w:webHidden/>
              </w:rPr>
              <w:tab/>
            </w:r>
            <w:r>
              <w:rPr>
                <w:noProof/>
                <w:webHidden/>
              </w:rPr>
              <w:fldChar w:fldCharType="begin"/>
            </w:r>
            <w:r>
              <w:rPr>
                <w:noProof/>
                <w:webHidden/>
              </w:rPr>
              <w:instrText xml:space="preserve"> PAGEREF _Toc215410042 \h </w:instrText>
            </w:r>
            <w:r>
              <w:rPr>
                <w:noProof/>
                <w:webHidden/>
              </w:rPr>
            </w:r>
            <w:r>
              <w:rPr>
                <w:noProof/>
                <w:webHidden/>
              </w:rPr>
              <w:fldChar w:fldCharType="separate"/>
            </w:r>
            <w:r>
              <w:rPr>
                <w:noProof/>
                <w:webHidden/>
              </w:rPr>
              <w:t>23</w:t>
            </w:r>
            <w:r>
              <w:rPr>
                <w:noProof/>
                <w:webHidden/>
              </w:rPr>
              <w:fldChar w:fldCharType="end"/>
            </w:r>
          </w:hyperlink>
        </w:p>
        <w:p w14:paraId="75303811" w14:textId="77777777" w:rsidR="00A11EC6" w:rsidRDefault="00A11EC6">
          <w:pPr>
            <w:pStyle w:val="TOC2"/>
            <w:tabs>
              <w:tab w:val="right" w:leader="dot" w:pos="9350"/>
            </w:tabs>
            <w:rPr>
              <w:rFonts w:eastAsiaTheme="minorEastAsia"/>
              <w:noProof/>
            </w:rPr>
          </w:pPr>
          <w:hyperlink w:anchor="_Toc215410043" w:history="1">
            <w:r w:rsidRPr="00A96F8E">
              <w:rPr>
                <w:rStyle w:val="Hyperlink"/>
                <w:noProof/>
              </w:rPr>
              <w:t>5.2 Ethical Marketing and Corporate Social Responsibility (CSR)</w:t>
            </w:r>
            <w:r>
              <w:rPr>
                <w:noProof/>
                <w:webHidden/>
              </w:rPr>
              <w:tab/>
            </w:r>
            <w:r>
              <w:rPr>
                <w:noProof/>
                <w:webHidden/>
              </w:rPr>
              <w:fldChar w:fldCharType="begin"/>
            </w:r>
            <w:r>
              <w:rPr>
                <w:noProof/>
                <w:webHidden/>
              </w:rPr>
              <w:instrText xml:space="preserve"> PAGEREF _Toc215410043 \h </w:instrText>
            </w:r>
            <w:r>
              <w:rPr>
                <w:noProof/>
                <w:webHidden/>
              </w:rPr>
            </w:r>
            <w:r>
              <w:rPr>
                <w:noProof/>
                <w:webHidden/>
              </w:rPr>
              <w:fldChar w:fldCharType="separate"/>
            </w:r>
            <w:r>
              <w:rPr>
                <w:noProof/>
                <w:webHidden/>
              </w:rPr>
              <w:t>24</w:t>
            </w:r>
            <w:r>
              <w:rPr>
                <w:noProof/>
                <w:webHidden/>
              </w:rPr>
              <w:fldChar w:fldCharType="end"/>
            </w:r>
          </w:hyperlink>
        </w:p>
        <w:p w14:paraId="55E3D1B8" w14:textId="77777777" w:rsidR="00A11EC6" w:rsidRDefault="00A11EC6">
          <w:pPr>
            <w:pStyle w:val="TOC2"/>
            <w:tabs>
              <w:tab w:val="right" w:leader="dot" w:pos="9350"/>
            </w:tabs>
            <w:rPr>
              <w:rFonts w:eastAsiaTheme="minorEastAsia"/>
              <w:noProof/>
            </w:rPr>
          </w:pPr>
          <w:hyperlink w:anchor="_Toc215410044" w:history="1">
            <w:r w:rsidRPr="00A96F8E">
              <w:rPr>
                <w:rStyle w:val="Hyperlink"/>
                <w:noProof/>
              </w:rPr>
              <w:t>5.3 Sustainability and Circular Economy Initiatives</w:t>
            </w:r>
            <w:r>
              <w:rPr>
                <w:noProof/>
                <w:webHidden/>
              </w:rPr>
              <w:tab/>
            </w:r>
            <w:r>
              <w:rPr>
                <w:noProof/>
                <w:webHidden/>
              </w:rPr>
              <w:fldChar w:fldCharType="begin"/>
            </w:r>
            <w:r>
              <w:rPr>
                <w:noProof/>
                <w:webHidden/>
              </w:rPr>
              <w:instrText xml:space="preserve"> PAGEREF _Toc215410044 \h </w:instrText>
            </w:r>
            <w:r>
              <w:rPr>
                <w:noProof/>
                <w:webHidden/>
              </w:rPr>
            </w:r>
            <w:r>
              <w:rPr>
                <w:noProof/>
                <w:webHidden/>
              </w:rPr>
              <w:fldChar w:fldCharType="separate"/>
            </w:r>
            <w:r>
              <w:rPr>
                <w:noProof/>
                <w:webHidden/>
              </w:rPr>
              <w:t>25</w:t>
            </w:r>
            <w:r>
              <w:rPr>
                <w:noProof/>
                <w:webHidden/>
              </w:rPr>
              <w:fldChar w:fldCharType="end"/>
            </w:r>
          </w:hyperlink>
        </w:p>
        <w:p w14:paraId="1FF16F44" w14:textId="77777777" w:rsidR="00A11EC6" w:rsidRDefault="00A11EC6">
          <w:pPr>
            <w:pStyle w:val="TOC1"/>
            <w:tabs>
              <w:tab w:val="right" w:leader="dot" w:pos="9350"/>
            </w:tabs>
            <w:rPr>
              <w:rFonts w:eastAsiaTheme="minorEastAsia"/>
              <w:noProof/>
            </w:rPr>
          </w:pPr>
          <w:hyperlink w:anchor="_Toc215410045" w:history="1">
            <w:r w:rsidRPr="00A96F8E">
              <w:rPr>
                <w:rStyle w:val="Hyperlink"/>
                <w:noProof/>
              </w:rPr>
              <w:t>6. Performance Evaluation</w:t>
            </w:r>
            <w:r>
              <w:rPr>
                <w:noProof/>
                <w:webHidden/>
              </w:rPr>
              <w:tab/>
            </w:r>
            <w:r>
              <w:rPr>
                <w:noProof/>
                <w:webHidden/>
              </w:rPr>
              <w:fldChar w:fldCharType="begin"/>
            </w:r>
            <w:r>
              <w:rPr>
                <w:noProof/>
                <w:webHidden/>
              </w:rPr>
              <w:instrText xml:space="preserve"> PAGEREF _Toc215410045 \h </w:instrText>
            </w:r>
            <w:r>
              <w:rPr>
                <w:noProof/>
                <w:webHidden/>
              </w:rPr>
            </w:r>
            <w:r>
              <w:rPr>
                <w:noProof/>
                <w:webHidden/>
              </w:rPr>
              <w:fldChar w:fldCharType="separate"/>
            </w:r>
            <w:r>
              <w:rPr>
                <w:noProof/>
                <w:webHidden/>
              </w:rPr>
              <w:t>28</w:t>
            </w:r>
            <w:r>
              <w:rPr>
                <w:noProof/>
                <w:webHidden/>
              </w:rPr>
              <w:fldChar w:fldCharType="end"/>
            </w:r>
          </w:hyperlink>
        </w:p>
        <w:p w14:paraId="0C463B01" w14:textId="77777777" w:rsidR="00A11EC6" w:rsidRDefault="00A11EC6">
          <w:pPr>
            <w:pStyle w:val="TOC2"/>
            <w:tabs>
              <w:tab w:val="right" w:leader="dot" w:pos="9350"/>
            </w:tabs>
            <w:rPr>
              <w:rFonts w:eastAsiaTheme="minorEastAsia"/>
              <w:noProof/>
            </w:rPr>
          </w:pPr>
          <w:hyperlink w:anchor="_Toc215410046" w:history="1">
            <w:r w:rsidRPr="00A96F8E">
              <w:rPr>
                <w:rStyle w:val="Hyperlink"/>
                <w:noProof/>
              </w:rPr>
              <w:t>6.1 Key Performance Indicators (KPIs)</w:t>
            </w:r>
            <w:r>
              <w:rPr>
                <w:noProof/>
                <w:webHidden/>
              </w:rPr>
              <w:tab/>
            </w:r>
            <w:r>
              <w:rPr>
                <w:noProof/>
                <w:webHidden/>
              </w:rPr>
              <w:fldChar w:fldCharType="begin"/>
            </w:r>
            <w:r>
              <w:rPr>
                <w:noProof/>
                <w:webHidden/>
              </w:rPr>
              <w:instrText xml:space="preserve"> PAGEREF _Toc215410046 \h </w:instrText>
            </w:r>
            <w:r>
              <w:rPr>
                <w:noProof/>
                <w:webHidden/>
              </w:rPr>
            </w:r>
            <w:r>
              <w:rPr>
                <w:noProof/>
                <w:webHidden/>
              </w:rPr>
              <w:fldChar w:fldCharType="separate"/>
            </w:r>
            <w:r>
              <w:rPr>
                <w:noProof/>
                <w:webHidden/>
              </w:rPr>
              <w:t>28</w:t>
            </w:r>
            <w:r>
              <w:rPr>
                <w:noProof/>
                <w:webHidden/>
              </w:rPr>
              <w:fldChar w:fldCharType="end"/>
            </w:r>
          </w:hyperlink>
        </w:p>
        <w:p w14:paraId="7D524AC9" w14:textId="77777777" w:rsidR="00A11EC6" w:rsidRDefault="00A11EC6">
          <w:pPr>
            <w:pStyle w:val="TOC2"/>
            <w:tabs>
              <w:tab w:val="right" w:leader="dot" w:pos="9350"/>
            </w:tabs>
            <w:rPr>
              <w:rFonts w:eastAsiaTheme="minorEastAsia"/>
              <w:noProof/>
            </w:rPr>
          </w:pPr>
          <w:hyperlink w:anchor="_Toc215410047" w:history="1">
            <w:r w:rsidRPr="00A96F8E">
              <w:rPr>
                <w:rStyle w:val="Hyperlink"/>
                <w:noProof/>
              </w:rPr>
              <w:t>6.2 Comparative Market Performance: USA vs Australia</w:t>
            </w:r>
            <w:r>
              <w:rPr>
                <w:noProof/>
                <w:webHidden/>
              </w:rPr>
              <w:tab/>
            </w:r>
            <w:r>
              <w:rPr>
                <w:noProof/>
                <w:webHidden/>
              </w:rPr>
              <w:fldChar w:fldCharType="begin"/>
            </w:r>
            <w:r>
              <w:rPr>
                <w:noProof/>
                <w:webHidden/>
              </w:rPr>
              <w:instrText xml:space="preserve"> PAGEREF _Toc215410047 \h </w:instrText>
            </w:r>
            <w:r>
              <w:rPr>
                <w:noProof/>
                <w:webHidden/>
              </w:rPr>
            </w:r>
            <w:r>
              <w:rPr>
                <w:noProof/>
                <w:webHidden/>
              </w:rPr>
              <w:fldChar w:fldCharType="separate"/>
            </w:r>
            <w:r>
              <w:rPr>
                <w:noProof/>
                <w:webHidden/>
              </w:rPr>
              <w:t>29</w:t>
            </w:r>
            <w:r>
              <w:rPr>
                <w:noProof/>
                <w:webHidden/>
              </w:rPr>
              <w:fldChar w:fldCharType="end"/>
            </w:r>
          </w:hyperlink>
        </w:p>
        <w:p w14:paraId="590BEE6A" w14:textId="77777777" w:rsidR="00A11EC6" w:rsidRDefault="00A11EC6">
          <w:pPr>
            <w:pStyle w:val="TOC2"/>
            <w:tabs>
              <w:tab w:val="right" w:leader="dot" w:pos="9350"/>
            </w:tabs>
            <w:rPr>
              <w:rFonts w:eastAsiaTheme="minorEastAsia"/>
              <w:noProof/>
            </w:rPr>
          </w:pPr>
          <w:hyperlink w:anchor="_Toc215410048" w:history="1">
            <w:r w:rsidRPr="00A96F8E">
              <w:rPr>
                <w:rStyle w:val="Hyperlink"/>
                <w:noProof/>
              </w:rPr>
              <w:t>6.3 Challenges and Risks</w:t>
            </w:r>
            <w:r>
              <w:rPr>
                <w:noProof/>
                <w:webHidden/>
              </w:rPr>
              <w:tab/>
            </w:r>
            <w:r>
              <w:rPr>
                <w:noProof/>
                <w:webHidden/>
              </w:rPr>
              <w:fldChar w:fldCharType="begin"/>
            </w:r>
            <w:r>
              <w:rPr>
                <w:noProof/>
                <w:webHidden/>
              </w:rPr>
              <w:instrText xml:space="preserve"> PAGEREF _Toc215410048 \h </w:instrText>
            </w:r>
            <w:r>
              <w:rPr>
                <w:noProof/>
                <w:webHidden/>
              </w:rPr>
            </w:r>
            <w:r>
              <w:rPr>
                <w:noProof/>
                <w:webHidden/>
              </w:rPr>
              <w:fldChar w:fldCharType="separate"/>
            </w:r>
            <w:r>
              <w:rPr>
                <w:noProof/>
                <w:webHidden/>
              </w:rPr>
              <w:t>31</w:t>
            </w:r>
            <w:r>
              <w:rPr>
                <w:noProof/>
                <w:webHidden/>
              </w:rPr>
              <w:fldChar w:fldCharType="end"/>
            </w:r>
          </w:hyperlink>
        </w:p>
        <w:p w14:paraId="39C639D7" w14:textId="77777777" w:rsidR="00A11EC6" w:rsidRDefault="00A11EC6">
          <w:pPr>
            <w:pStyle w:val="TOC1"/>
            <w:tabs>
              <w:tab w:val="right" w:leader="dot" w:pos="9350"/>
            </w:tabs>
            <w:rPr>
              <w:rFonts w:eastAsiaTheme="minorEastAsia"/>
              <w:noProof/>
            </w:rPr>
          </w:pPr>
          <w:hyperlink w:anchor="_Toc215410049" w:history="1">
            <w:r w:rsidRPr="00A96F8E">
              <w:rPr>
                <w:rStyle w:val="Hyperlink"/>
                <w:noProof/>
              </w:rPr>
              <w:t>7. Recommendations</w:t>
            </w:r>
            <w:r>
              <w:rPr>
                <w:noProof/>
                <w:webHidden/>
              </w:rPr>
              <w:tab/>
            </w:r>
            <w:r>
              <w:rPr>
                <w:noProof/>
                <w:webHidden/>
              </w:rPr>
              <w:fldChar w:fldCharType="begin"/>
            </w:r>
            <w:r>
              <w:rPr>
                <w:noProof/>
                <w:webHidden/>
              </w:rPr>
              <w:instrText xml:space="preserve"> PAGEREF _Toc215410049 \h </w:instrText>
            </w:r>
            <w:r>
              <w:rPr>
                <w:noProof/>
                <w:webHidden/>
              </w:rPr>
            </w:r>
            <w:r>
              <w:rPr>
                <w:noProof/>
                <w:webHidden/>
              </w:rPr>
              <w:fldChar w:fldCharType="separate"/>
            </w:r>
            <w:r>
              <w:rPr>
                <w:noProof/>
                <w:webHidden/>
              </w:rPr>
              <w:t>33</w:t>
            </w:r>
            <w:r>
              <w:rPr>
                <w:noProof/>
                <w:webHidden/>
              </w:rPr>
              <w:fldChar w:fldCharType="end"/>
            </w:r>
          </w:hyperlink>
        </w:p>
        <w:p w14:paraId="04A5C513" w14:textId="77777777" w:rsidR="00A11EC6" w:rsidRDefault="00A11EC6">
          <w:pPr>
            <w:pStyle w:val="TOC2"/>
            <w:tabs>
              <w:tab w:val="right" w:leader="dot" w:pos="9350"/>
            </w:tabs>
            <w:rPr>
              <w:rFonts w:eastAsiaTheme="minorEastAsia"/>
              <w:noProof/>
            </w:rPr>
          </w:pPr>
          <w:hyperlink w:anchor="_Toc215410050" w:history="1">
            <w:r w:rsidRPr="00A96F8E">
              <w:rPr>
                <w:rStyle w:val="Hyperlink"/>
                <w:noProof/>
              </w:rPr>
              <w:t>7.1 Short-Term Recommendations (1–2 Years)</w:t>
            </w:r>
            <w:r>
              <w:rPr>
                <w:noProof/>
                <w:webHidden/>
              </w:rPr>
              <w:tab/>
            </w:r>
            <w:r>
              <w:rPr>
                <w:noProof/>
                <w:webHidden/>
              </w:rPr>
              <w:fldChar w:fldCharType="begin"/>
            </w:r>
            <w:r>
              <w:rPr>
                <w:noProof/>
                <w:webHidden/>
              </w:rPr>
              <w:instrText xml:space="preserve"> PAGEREF _Toc215410050 \h </w:instrText>
            </w:r>
            <w:r>
              <w:rPr>
                <w:noProof/>
                <w:webHidden/>
              </w:rPr>
            </w:r>
            <w:r>
              <w:rPr>
                <w:noProof/>
                <w:webHidden/>
              </w:rPr>
              <w:fldChar w:fldCharType="separate"/>
            </w:r>
            <w:r>
              <w:rPr>
                <w:noProof/>
                <w:webHidden/>
              </w:rPr>
              <w:t>33</w:t>
            </w:r>
            <w:r>
              <w:rPr>
                <w:noProof/>
                <w:webHidden/>
              </w:rPr>
              <w:fldChar w:fldCharType="end"/>
            </w:r>
          </w:hyperlink>
        </w:p>
        <w:p w14:paraId="668626D1" w14:textId="77777777" w:rsidR="00A11EC6" w:rsidRDefault="00A11EC6">
          <w:pPr>
            <w:pStyle w:val="TOC2"/>
            <w:tabs>
              <w:tab w:val="right" w:leader="dot" w:pos="9350"/>
            </w:tabs>
            <w:rPr>
              <w:rFonts w:eastAsiaTheme="minorEastAsia"/>
              <w:noProof/>
            </w:rPr>
          </w:pPr>
          <w:hyperlink w:anchor="_Toc215410051" w:history="1">
            <w:r w:rsidRPr="00A96F8E">
              <w:rPr>
                <w:rStyle w:val="Hyperlink"/>
                <w:noProof/>
              </w:rPr>
              <w:t>7.2 Medium/Long-Term Recommendations (3–5 Years)</w:t>
            </w:r>
            <w:r>
              <w:rPr>
                <w:noProof/>
                <w:webHidden/>
              </w:rPr>
              <w:tab/>
            </w:r>
            <w:r>
              <w:rPr>
                <w:noProof/>
                <w:webHidden/>
              </w:rPr>
              <w:fldChar w:fldCharType="begin"/>
            </w:r>
            <w:r>
              <w:rPr>
                <w:noProof/>
                <w:webHidden/>
              </w:rPr>
              <w:instrText xml:space="preserve"> PAGEREF _Toc215410051 \h </w:instrText>
            </w:r>
            <w:r>
              <w:rPr>
                <w:noProof/>
                <w:webHidden/>
              </w:rPr>
            </w:r>
            <w:r>
              <w:rPr>
                <w:noProof/>
                <w:webHidden/>
              </w:rPr>
              <w:fldChar w:fldCharType="separate"/>
            </w:r>
            <w:r>
              <w:rPr>
                <w:noProof/>
                <w:webHidden/>
              </w:rPr>
              <w:t>34</w:t>
            </w:r>
            <w:r>
              <w:rPr>
                <w:noProof/>
                <w:webHidden/>
              </w:rPr>
              <w:fldChar w:fldCharType="end"/>
            </w:r>
          </w:hyperlink>
        </w:p>
        <w:p w14:paraId="438C139D" w14:textId="77777777" w:rsidR="00A11EC6" w:rsidRDefault="00A11EC6">
          <w:pPr>
            <w:pStyle w:val="TOC2"/>
            <w:tabs>
              <w:tab w:val="right" w:leader="dot" w:pos="9350"/>
            </w:tabs>
            <w:rPr>
              <w:rFonts w:eastAsiaTheme="minorEastAsia"/>
              <w:noProof/>
            </w:rPr>
          </w:pPr>
          <w:hyperlink w:anchor="_Toc215410052" w:history="1">
            <w:r w:rsidRPr="00A96F8E">
              <w:rPr>
                <w:rStyle w:val="Hyperlink"/>
                <w:noProof/>
              </w:rPr>
              <w:t>7.3 Implementation Roadmap</w:t>
            </w:r>
            <w:r>
              <w:rPr>
                <w:noProof/>
                <w:webHidden/>
              </w:rPr>
              <w:tab/>
            </w:r>
            <w:r>
              <w:rPr>
                <w:noProof/>
                <w:webHidden/>
              </w:rPr>
              <w:fldChar w:fldCharType="begin"/>
            </w:r>
            <w:r>
              <w:rPr>
                <w:noProof/>
                <w:webHidden/>
              </w:rPr>
              <w:instrText xml:space="preserve"> PAGEREF _Toc215410052 \h </w:instrText>
            </w:r>
            <w:r>
              <w:rPr>
                <w:noProof/>
                <w:webHidden/>
              </w:rPr>
            </w:r>
            <w:r>
              <w:rPr>
                <w:noProof/>
                <w:webHidden/>
              </w:rPr>
              <w:fldChar w:fldCharType="separate"/>
            </w:r>
            <w:r>
              <w:rPr>
                <w:noProof/>
                <w:webHidden/>
              </w:rPr>
              <w:t>35</w:t>
            </w:r>
            <w:r>
              <w:rPr>
                <w:noProof/>
                <w:webHidden/>
              </w:rPr>
              <w:fldChar w:fldCharType="end"/>
            </w:r>
          </w:hyperlink>
        </w:p>
        <w:p w14:paraId="6FD95941" w14:textId="77777777" w:rsidR="00A11EC6" w:rsidRDefault="00A11EC6">
          <w:pPr>
            <w:pStyle w:val="TOC1"/>
            <w:tabs>
              <w:tab w:val="right" w:leader="dot" w:pos="9350"/>
            </w:tabs>
            <w:rPr>
              <w:rFonts w:eastAsiaTheme="minorEastAsia"/>
              <w:noProof/>
            </w:rPr>
          </w:pPr>
          <w:hyperlink w:anchor="_Toc215410053" w:history="1">
            <w:r w:rsidRPr="00A96F8E">
              <w:rPr>
                <w:rStyle w:val="Hyperlink"/>
                <w:noProof/>
              </w:rPr>
              <w:t>8. Conclusion</w:t>
            </w:r>
            <w:r>
              <w:rPr>
                <w:noProof/>
                <w:webHidden/>
              </w:rPr>
              <w:tab/>
            </w:r>
            <w:r>
              <w:rPr>
                <w:noProof/>
                <w:webHidden/>
              </w:rPr>
              <w:fldChar w:fldCharType="begin"/>
            </w:r>
            <w:r>
              <w:rPr>
                <w:noProof/>
                <w:webHidden/>
              </w:rPr>
              <w:instrText xml:space="preserve"> PAGEREF _Toc215410053 \h </w:instrText>
            </w:r>
            <w:r>
              <w:rPr>
                <w:noProof/>
                <w:webHidden/>
              </w:rPr>
            </w:r>
            <w:r>
              <w:rPr>
                <w:noProof/>
                <w:webHidden/>
              </w:rPr>
              <w:fldChar w:fldCharType="separate"/>
            </w:r>
            <w:r>
              <w:rPr>
                <w:noProof/>
                <w:webHidden/>
              </w:rPr>
              <w:t>37</w:t>
            </w:r>
            <w:r>
              <w:rPr>
                <w:noProof/>
                <w:webHidden/>
              </w:rPr>
              <w:fldChar w:fldCharType="end"/>
            </w:r>
          </w:hyperlink>
        </w:p>
        <w:p w14:paraId="0042100C" w14:textId="77777777" w:rsidR="00A11EC6" w:rsidRDefault="00A11EC6">
          <w:pPr>
            <w:pStyle w:val="TOC1"/>
            <w:tabs>
              <w:tab w:val="right" w:leader="dot" w:pos="9350"/>
            </w:tabs>
            <w:rPr>
              <w:rFonts w:eastAsiaTheme="minorEastAsia"/>
              <w:noProof/>
            </w:rPr>
          </w:pPr>
          <w:hyperlink w:anchor="_Toc215410054" w:history="1">
            <w:r w:rsidRPr="00A96F8E">
              <w:rPr>
                <w:rStyle w:val="Hyperlink"/>
                <w:noProof/>
              </w:rPr>
              <w:t>Reference List</w:t>
            </w:r>
            <w:r>
              <w:rPr>
                <w:noProof/>
                <w:webHidden/>
              </w:rPr>
              <w:tab/>
            </w:r>
            <w:r>
              <w:rPr>
                <w:noProof/>
                <w:webHidden/>
              </w:rPr>
              <w:fldChar w:fldCharType="begin"/>
            </w:r>
            <w:r>
              <w:rPr>
                <w:noProof/>
                <w:webHidden/>
              </w:rPr>
              <w:instrText xml:space="preserve"> PAGEREF _Toc215410054 \h </w:instrText>
            </w:r>
            <w:r>
              <w:rPr>
                <w:noProof/>
                <w:webHidden/>
              </w:rPr>
            </w:r>
            <w:r>
              <w:rPr>
                <w:noProof/>
                <w:webHidden/>
              </w:rPr>
              <w:fldChar w:fldCharType="separate"/>
            </w:r>
            <w:r>
              <w:rPr>
                <w:noProof/>
                <w:webHidden/>
              </w:rPr>
              <w:t>39</w:t>
            </w:r>
            <w:r>
              <w:rPr>
                <w:noProof/>
                <w:webHidden/>
              </w:rPr>
              <w:fldChar w:fldCharType="end"/>
            </w:r>
          </w:hyperlink>
        </w:p>
        <w:p w14:paraId="016E5289" w14:textId="77777777" w:rsidR="00221CB7" w:rsidRDefault="00221CB7">
          <w:r>
            <w:rPr>
              <w:b/>
              <w:bCs/>
              <w:noProof/>
            </w:rPr>
            <w:fldChar w:fldCharType="end"/>
          </w:r>
        </w:p>
      </w:sdtContent>
    </w:sdt>
    <w:p w14:paraId="006111C4" w14:textId="77777777" w:rsidR="00DF5698" w:rsidRPr="00B9261A" w:rsidRDefault="00DF5698" w:rsidP="00B9261A">
      <w:pPr>
        <w:spacing w:line="360" w:lineRule="auto"/>
        <w:jc w:val="both"/>
        <w:rPr>
          <w:rFonts w:ascii="Arial" w:hAnsi="Arial" w:cs="Arial"/>
          <w:sz w:val="24"/>
          <w:szCs w:val="24"/>
        </w:rPr>
      </w:pPr>
    </w:p>
    <w:p w14:paraId="26F32C56" w14:textId="77777777" w:rsidR="00DF5698" w:rsidRPr="00B9261A" w:rsidRDefault="009916D4" w:rsidP="00221CB7">
      <w:pPr>
        <w:pStyle w:val="Heading1"/>
      </w:pPr>
      <w:bookmarkStart w:id="0" w:name="_Toc215410028"/>
      <w:r>
        <w:lastRenderedPageBreak/>
        <w:t>1</w:t>
      </w:r>
      <w:r w:rsidR="00DF5698" w:rsidRPr="00B9261A">
        <w:t>. Introduction</w:t>
      </w:r>
      <w:bookmarkEnd w:id="0"/>
    </w:p>
    <w:p w14:paraId="59F8AAC5" w14:textId="77777777" w:rsidR="00DF5698" w:rsidRDefault="00DA214D" w:rsidP="00B9261A">
      <w:pPr>
        <w:spacing w:line="360" w:lineRule="auto"/>
        <w:jc w:val="both"/>
        <w:rPr>
          <w:rFonts w:ascii="Arial" w:hAnsi="Arial" w:cs="Arial"/>
          <w:sz w:val="24"/>
          <w:szCs w:val="24"/>
        </w:rPr>
      </w:pPr>
      <w:r w:rsidRPr="00DA214D">
        <w:rPr>
          <w:rFonts w:ascii="Arial" w:hAnsi="Arial" w:cs="Arial"/>
          <w:sz w:val="24"/>
          <w:szCs w:val="24"/>
        </w:rPr>
        <w:t>The last decade has seen the automotive industry in the world transform very fast due to the forces of sustainability, digitalisation as well as changing consumer demands. Under this dynamic environment, the Bayerische Motoren Werke AG (BMW Group) is still among the most notable automobile manufacturers across the world, and it has always been ranked among the best premium car brands in the world. By 2025, there are more than 140 countries where BMW is present with an effective product portfolio, including BMW, MINI, Rolls-Royce, and BMW M</w:t>
      </w:r>
      <w:r>
        <w:rPr>
          <w:rFonts w:ascii="Arial" w:hAnsi="Arial" w:cs="Arial"/>
          <w:sz w:val="24"/>
          <w:szCs w:val="24"/>
        </w:rPr>
        <w:t>otorrad brand (BMW Group, 2024)</w:t>
      </w:r>
      <w:r w:rsidR="00DF5698" w:rsidRPr="00B9261A">
        <w:rPr>
          <w:rFonts w:ascii="Arial" w:hAnsi="Arial" w:cs="Arial"/>
          <w:sz w:val="24"/>
          <w:szCs w:val="24"/>
        </w:rPr>
        <w:t>.</w:t>
      </w:r>
    </w:p>
    <w:p w14:paraId="33BC3EE4" w14:textId="77777777" w:rsidR="009916D4" w:rsidRPr="00B9261A" w:rsidRDefault="009916D4" w:rsidP="00B9261A">
      <w:pPr>
        <w:spacing w:line="360" w:lineRule="auto"/>
        <w:jc w:val="both"/>
        <w:rPr>
          <w:rFonts w:ascii="Arial" w:hAnsi="Arial" w:cs="Arial"/>
          <w:sz w:val="24"/>
          <w:szCs w:val="24"/>
        </w:rPr>
      </w:pPr>
      <w:r w:rsidRPr="009916D4">
        <w:rPr>
          <w:rFonts w:ascii="Arial" w:hAnsi="Arial" w:cs="Arial"/>
          <w:noProof/>
          <w:sz w:val="24"/>
          <w:szCs w:val="24"/>
        </w:rPr>
        <w:drawing>
          <wp:inline distT="0" distB="0" distL="0" distR="0" wp14:anchorId="1669422D" wp14:editId="5F1C8466">
            <wp:extent cx="5943600" cy="3120390"/>
            <wp:effectExtent l="0" t="0" r="0" b="3810"/>
            <wp:docPr id="1" name="Picture 1" descr="D:\ASSIGNMENT WORK\PIYUSH\INTL MKT PP BMW\2023-BMW-X1-sDrive18i-01-DSC022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SSIGNMENT WORK\PIYUSH\INTL MKT PP BMW\2023-BMW-X1-sDrive18i-01-DSC02257.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120390"/>
                    </a:xfrm>
                    <a:prstGeom prst="rect">
                      <a:avLst/>
                    </a:prstGeom>
                    <a:noFill/>
                    <a:ln>
                      <a:noFill/>
                    </a:ln>
                  </pic:spPr>
                </pic:pic>
              </a:graphicData>
            </a:graphic>
          </wp:inline>
        </w:drawing>
      </w:r>
    </w:p>
    <w:p w14:paraId="57C5819A" w14:textId="77777777" w:rsidR="00DF5698" w:rsidRPr="00644262" w:rsidRDefault="00DA214D" w:rsidP="00B9261A">
      <w:pPr>
        <w:spacing w:line="360" w:lineRule="auto"/>
        <w:jc w:val="both"/>
        <w:rPr>
          <w:rFonts w:ascii="Arial" w:hAnsi="Arial" w:cs="Arial"/>
          <w:sz w:val="24"/>
          <w:szCs w:val="24"/>
        </w:rPr>
      </w:pPr>
      <w:r w:rsidRPr="00DA214D">
        <w:rPr>
          <w:rFonts w:ascii="Arial" w:hAnsi="Arial" w:cs="Arial"/>
          <w:sz w:val="24"/>
          <w:szCs w:val="24"/>
        </w:rPr>
        <w:t xml:space="preserve">This report is an attempt to critically evaluate the international marketing strategies of BMW in two unique markets United States (USA) and Australia. These nations are both opposites but strategically significant: The USA is the second largest market of BMW after China that consumes almost 15 percent of the global sales (Statista, 2024) and Australia is a smaller, yet a developing premium vehicle market with the rising number of electric and hybrid </w:t>
      </w:r>
      <w:r>
        <w:rPr>
          <w:rFonts w:ascii="Arial" w:hAnsi="Arial" w:cs="Arial"/>
          <w:sz w:val="24"/>
          <w:szCs w:val="24"/>
        </w:rPr>
        <w:t>vehicles purchases (FCAI, 2024)</w:t>
      </w:r>
      <w:r w:rsidR="00B9261A" w:rsidRPr="00644262">
        <w:rPr>
          <w:rFonts w:ascii="Arial" w:hAnsi="Arial" w:cs="Arial"/>
          <w:sz w:val="24"/>
          <w:szCs w:val="24"/>
        </w:rPr>
        <w:t>.</w:t>
      </w:r>
    </w:p>
    <w:p w14:paraId="4F09C371" w14:textId="77777777" w:rsidR="00DF5698" w:rsidRPr="00B9261A" w:rsidRDefault="009916D4" w:rsidP="00221CB7">
      <w:pPr>
        <w:pStyle w:val="Heading1"/>
      </w:pPr>
      <w:bookmarkStart w:id="1" w:name="_Toc215410029"/>
      <w:r>
        <w:lastRenderedPageBreak/>
        <w:t>2.</w:t>
      </w:r>
      <w:r w:rsidR="00DF5698" w:rsidRPr="00B9261A">
        <w:t xml:space="preserve"> Company &amp; Market Context</w:t>
      </w:r>
      <w:bookmarkEnd w:id="1"/>
    </w:p>
    <w:p w14:paraId="449B9F5E" w14:textId="77777777" w:rsidR="00DF5698" w:rsidRPr="00B9261A" w:rsidRDefault="009916D4" w:rsidP="00221CB7">
      <w:pPr>
        <w:pStyle w:val="Heading2"/>
      </w:pPr>
      <w:bookmarkStart w:id="2" w:name="_Toc215410030"/>
      <w:r>
        <w:t>2</w:t>
      </w:r>
      <w:r w:rsidR="00DF5698" w:rsidRPr="00B9261A">
        <w:t>.1 BMW Group Overview</w:t>
      </w:r>
      <w:bookmarkEnd w:id="2"/>
    </w:p>
    <w:p w14:paraId="213DA068" w14:textId="77777777" w:rsidR="00DF5698" w:rsidRDefault="00DA214D" w:rsidP="00B9261A">
      <w:pPr>
        <w:spacing w:line="360" w:lineRule="auto"/>
        <w:jc w:val="both"/>
        <w:rPr>
          <w:rStyle w:val="Hyperlink"/>
          <w:rFonts w:ascii="Arial" w:hAnsi="Arial" w:cs="Arial"/>
          <w:sz w:val="24"/>
          <w:szCs w:val="24"/>
        </w:rPr>
      </w:pPr>
      <w:r w:rsidRPr="00DA214D">
        <w:rPr>
          <w:rFonts w:ascii="Arial" w:hAnsi="Arial" w:cs="Arial"/>
          <w:sz w:val="24"/>
          <w:szCs w:val="24"/>
        </w:rPr>
        <w:t>BMW Group is a leading brand in the world with its headquarters in Munich, Germany, and operates with BMW, MINI, and Rolls-Royce brands and also BMW Motorrad. The 2024 Annual Report has indicated that the Group had around 2,450,804 vehicle deliveries across the world in the year and that 17.4% were BEVs (battery electric vehicles) in the year (BMW Group, 2024). Automotive segment EBIT margin of the Group in 2024 was 6.3, which was in the adjusted target range of 6-7, but not as high as the strategic target of 8-10. (BMW Group, 2023). Another strategic direction</w:t>
      </w:r>
      <w:r>
        <w:rPr>
          <w:rFonts w:ascii="Arial" w:hAnsi="Arial" w:cs="Arial"/>
          <w:sz w:val="24"/>
          <w:szCs w:val="24"/>
        </w:rPr>
        <w:t xml:space="preserve"> of BMW is its next-generation, </w:t>
      </w:r>
      <w:r w:rsidRPr="00DA214D">
        <w:rPr>
          <w:rFonts w:ascii="Arial" w:hAnsi="Arial" w:cs="Arial"/>
          <w:sz w:val="24"/>
          <w:szCs w:val="24"/>
        </w:rPr>
        <w:t>Neue Klasse, architecture with an emphasis on electric mobility, digitization and circular economy. (BMW Group, 2024). The report of the company underlines that BMW focuses on its status of a premium, which is why it has production facilities worldwide and diversifies its market to prevent macro- and regional di</w:t>
      </w:r>
      <w:r>
        <w:rPr>
          <w:rFonts w:ascii="Arial" w:hAnsi="Arial" w:cs="Arial"/>
          <w:sz w:val="24"/>
          <w:szCs w:val="24"/>
        </w:rPr>
        <w:t>fferentiation (BMW Group, 2024)</w:t>
      </w:r>
      <w:r w:rsidR="0079047C">
        <w:rPr>
          <w:rFonts w:ascii="Arial" w:hAnsi="Arial" w:cs="Arial"/>
          <w:sz w:val="24"/>
          <w:szCs w:val="24"/>
        </w:rPr>
        <w:t>.</w:t>
      </w:r>
    </w:p>
    <w:p w14:paraId="543F85A7" w14:textId="77777777" w:rsidR="009916D4" w:rsidRPr="00B9261A" w:rsidRDefault="009916D4" w:rsidP="00B9261A">
      <w:pPr>
        <w:spacing w:line="360" w:lineRule="auto"/>
        <w:jc w:val="both"/>
        <w:rPr>
          <w:rFonts w:ascii="Arial" w:hAnsi="Arial" w:cs="Arial"/>
          <w:sz w:val="24"/>
          <w:szCs w:val="24"/>
        </w:rPr>
      </w:pPr>
      <w:r w:rsidRPr="009916D4">
        <w:rPr>
          <w:rFonts w:ascii="Arial" w:hAnsi="Arial" w:cs="Arial"/>
          <w:noProof/>
          <w:sz w:val="24"/>
          <w:szCs w:val="24"/>
        </w:rPr>
        <w:drawing>
          <wp:inline distT="0" distB="0" distL="0" distR="0" wp14:anchorId="641024E7" wp14:editId="5A64A8AE">
            <wp:extent cx="5943600" cy="3962400"/>
            <wp:effectExtent l="0" t="0" r="0" b="0"/>
            <wp:docPr id="2" name="Picture 2" descr="D:\ASSIGNMENT WORK\PIYUSH\INTL MKT PP BMW\2024-03-bmw-330i-vs-bmw-i4-comparison-stills-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SSIGNMENT WORK\PIYUSH\INTL MKT PP BMW\2024-03-bmw-330i-vs-bmw-i4-comparison-stills-4.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23F749A3" w14:textId="77777777" w:rsidR="00221CB7" w:rsidRDefault="00221CB7" w:rsidP="00B9261A">
      <w:pPr>
        <w:spacing w:line="360" w:lineRule="auto"/>
        <w:jc w:val="both"/>
        <w:rPr>
          <w:rFonts w:ascii="Arial" w:hAnsi="Arial" w:cs="Arial"/>
          <w:b/>
          <w:bCs/>
          <w:sz w:val="24"/>
          <w:szCs w:val="24"/>
        </w:rPr>
      </w:pPr>
    </w:p>
    <w:p w14:paraId="60D0B041"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lastRenderedPageBreak/>
        <w:t>Key financial &amp; operational figures (2024)</w:t>
      </w:r>
    </w:p>
    <w:tbl>
      <w:tblPr>
        <w:tblW w:w="5000" w:type="pc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444"/>
        <w:gridCol w:w="2243"/>
        <w:gridCol w:w="2663"/>
      </w:tblGrid>
      <w:tr w:rsidR="00DF5698" w:rsidRPr="00B9261A" w14:paraId="6A8C6A3A" w14:textId="77777777" w:rsidTr="0079047C">
        <w:trPr>
          <w:tblHeader/>
          <w:tblCellSpacing w:w="15" w:type="dxa"/>
        </w:trPr>
        <w:tc>
          <w:tcPr>
            <w:tcW w:w="2346" w:type="pct"/>
            <w:vAlign w:val="center"/>
            <w:hideMark/>
          </w:tcPr>
          <w:p w14:paraId="410696BD"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Metric</w:t>
            </w:r>
          </w:p>
        </w:tc>
        <w:tc>
          <w:tcPr>
            <w:tcW w:w="1181" w:type="pct"/>
            <w:vAlign w:val="center"/>
            <w:hideMark/>
          </w:tcPr>
          <w:p w14:paraId="34D1A46E"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Value</w:t>
            </w:r>
          </w:p>
        </w:tc>
        <w:tc>
          <w:tcPr>
            <w:tcW w:w="1396" w:type="pct"/>
            <w:vAlign w:val="center"/>
            <w:hideMark/>
          </w:tcPr>
          <w:p w14:paraId="699DECA5"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Source</w:t>
            </w:r>
          </w:p>
        </w:tc>
      </w:tr>
      <w:tr w:rsidR="00DF5698" w:rsidRPr="00B9261A" w14:paraId="51C3E23C" w14:textId="77777777" w:rsidTr="0079047C">
        <w:trPr>
          <w:tblCellSpacing w:w="15" w:type="dxa"/>
        </w:trPr>
        <w:tc>
          <w:tcPr>
            <w:tcW w:w="2346" w:type="pct"/>
            <w:vAlign w:val="center"/>
            <w:hideMark/>
          </w:tcPr>
          <w:p w14:paraId="27D42FAE"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Global vehicle deliveries</w:t>
            </w:r>
          </w:p>
        </w:tc>
        <w:tc>
          <w:tcPr>
            <w:tcW w:w="1181" w:type="pct"/>
            <w:vAlign w:val="center"/>
            <w:hideMark/>
          </w:tcPr>
          <w:p w14:paraId="1235DC50"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~2,450,804 units</w:t>
            </w:r>
          </w:p>
        </w:tc>
        <w:tc>
          <w:tcPr>
            <w:tcW w:w="1396" w:type="pct"/>
            <w:vAlign w:val="center"/>
            <w:hideMark/>
          </w:tcPr>
          <w:p w14:paraId="3751A215" w14:textId="77777777" w:rsidR="00DF5698" w:rsidRPr="00B9261A" w:rsidRDefault="00DF5698" w:rsidP="00B9261A">
            <w:pPr>
              <w:spacing w:line="360" w:lineRule="auto"/>
              <w:jc w:val="both"/>
              <w:rPr>
                <w:rFonts w:ascii="Arial" w:hAnsi="Arial" w:cs="Arial"/>
                <w:sz w:val="24"/>
                <w:szCs w:val="24"/>
              </w:rPr>
            </w:pPr>
            <w:hyperlink r:id="rId9" w:tgtFrame="_blank" w:history="1">
              <w:r w:rsidRPr="00B9261A">
                <w:rPr>
                  <w:rStyle w:val="Hyperlink"/>
                  <w:rFonts w:ascii="Arial" w:hAnsi="Arial" w:cs="Arial"/>
                  <w:sz w:val="24"/>
                  <w:szCs w:val="24"/>
                </w:rPr>
                <w:t>Best Selling Cars+1</w:t>
              </w:r>
            </w:hyperlink>
          </w:p>
        </w:tc>
      </w:tr>
      <w:tr w:rsidR="00DF5698" w:rsidRPr="00B9261A" w14:paraId="603A8FD6" w14:textId="77777777" w:rsidTr="0079047C">
        <w:trPr>
          <w:tblCellSpacing w:w="15" w:type="dxa"/>
        </w:trPr>
        <w:tc>
          <w:tcPr>
            <w:tcW w:w="2346" w:type="pct"/>
            <w:vAlign w:val="center"/>
            <w:hideMark/>
          </w:tcPr>
          <w:p w14:paraId="62CAF322"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BEV share of deliveries</w:t>
            </w:r>
          </w:p>
        </w:tc>
        <w:tc>
          <w:tcPr>
            <w:tcW w:w="1181" w:type="pct"/>
            <w:vAlign w:val="center"/>
            <w:hideMark/>
          </w:tcPr>
          <w:p w14:paraId="1EDE494D"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17.4%</w:t>
            </w:r>
          </w:p>
        </w:tc>
        <w:tc>
          <w:tcPr>
            <w:tcW w:w="1396" w:type="pct"/>
            <w:vAlign w:val="center"/>
            <w:hideMark/>
          </w:tcPr>
          <w:p w14:paraId="50AEE2AB" w14:textId="77777777" w:rsidR="00DF5698" w:rsidRPr="00B9261A" w:rsidRDefault="00DF5698" w:rsidP="00B9261A">
            <w:pPr>
              <w:spacing w:line="360" w:lineRule="auto"/>
              <w:jc w:val="both"/>
              <w:rPr>
                <w:rFonts w:ascii="Arial" w:hAnsi="Arial" w:cs="Arial"/>
                <w:sz w:val="24"/>
                <w:szCs w:val="24"/>
              </w:rPr>
            </w:pPr>
            <w:hyperlink r:id="rId10" w:tgtFrame="_blank" w:history="1">
              <w:r w:rsidRPr="00B9261A">
                <w:rPr>
                  <w:rStyle w:val="Hyperlink"/>
                  <w:rFonts w:ascii="Arial" w:hAnsi="Arial" w:cs="Arial"/>
                  <w:sz w:val="24"/>
                  <w:szCs w:val="24"/>
                </w:rPr>
                <w:t>BMW Group+1</w:t>
              </w:r>
            </w:hyperlink>
          </w:p>
        </w:tc>
      </w:tr>
      <w:tr w:rsidR="00DF5698" w:rsidRPr="00B9261A" w14:paraId="5EE0CF3D" w14:textId="77777777" w:rsidTr="0079047C">
        <w:trPr>
          <w:tblCellSpacing w:w="15" w:type="dxa"/>
        </w:trPr>
        <w:tc>
          <w:tcPr>
            <w:tcW w:w="2346" w:type="pct"/>
            <w:vAlign w:val="center"/>
            <w:hideMark/>
          </w:tcPr>
          <w:p w14:paraId="41ACFD27"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Automotive segment EBIT margin</w:t>
            </w:r>
          </w:p>
        </w:tc>
        <w:tc>
          <w:tcPr>
            <w:tcW w:w="1181" w:type="pct"/>
            <w:vAlign w:val="center"/>
            <w:hideMark/>
          </w:tcPr>
          <w:p w14:paraId="2478970A"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6.3%</w:t>
            </w:r>
          </w:p>
        </w:tc>
        <w:tc>
          <w:tcPr>
            <w:tcW w:w="1396" w:type="pct"/>
            <w:vAlign w:val="center"/>
            <w:hideMark/>
          </w:tcPr>
          <w:p w14:paraId="41471441" w14:textId="77777777" w:rsidR="00DF5698" w:rsidRPr="00B9261A" w:rsidRDefault="00DF5698" w:rsidP="00B9261A">
            <w:pPr>
              <w:spacing w:line="360" w:lineRule="auto"/>
              <w:jc w:val="both"/>
              <w:rPr>
                <w:rFonts w:ascii="Arial" w:hAnsi="Arial" w:cs="Arial"/>
                <w:sz w:val="24"/>
                <w:szCs w:val="24"/>
              </w:rPr>
            </w:pPr>
            <w:hyperlink r:id="rId11" w:tgtFrame="_blank" w:history="1">
              <w:r w:rsidRPr="00B9261A">
                <w:rPr>
                  <w:rStyle w:val="Hyperlink"/>
                  <w:rFonts w:ascii="Arial" w:hAnsi="Arial" w:cs="Arial"/>
                  <w:sz w:val="24"/>
                  <w:szCs w:val="24"/>
                </w:rPr>
                <w:t>BMW Group+1</w:t>
              </w:r>
            </w:hyperlink>
          </w:p>
        </w:tc>
      </w:tr>
      <w:tr w:rsidR="00DF5698" w:rsidRPr="00B9261A" w14:paraId="5E4FC2FF" w14:textId="77777777" w:rsidTr="0079047C">
        <w:trPr>
          <w:tblCellSpacing w:w="15" w:type="dxa"/>
        </w:trPr>
        <w:tc>
          <w:tcPr>
            <w:tcW w:w="2346" w:type="pct"/>
            <w:vAlign w:val="center"/>
            <w:hideMark/>
          </w:tcPr>
          <w:p w14:paraId="717B37E4"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Free cash flow (approx)</w:t>
            </w:r>
          </w:p>
        </w:tc>
        <w:tc>
          <w:tcPr>
            <w:tcW w:w="1181" w:type="pct"/>
            <w:vAlign w:val="center"/>
            <w:hideMark/>
          </w:tcPr>
          <w:p w14:paraId="1F1C12C7"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~€5 billion</w:t>
            </w:r>
          </w:p>
        </w:tc>
        <w:tc>
          <w:tcPr>
            <w:tcW w:w="1396" w:type="pct"/>
            <w:vAlign w:val="center"/>
            <w:hideMark/>
          </w:tcPr>
          <w:p w14:paraId="130913F8" w14:textId="77777777" w:rsidR="00DF5698" w:rsidRPr="00B9261A" w:rsidRDefault="00DF5698" w:rsidP="00B9261A">
            <w:pPr>
              <w:spacing w:line="360" w:lineRule="auto"/>
              <w:jc w:val="both"/>
              <w:rPr>
                <w:rFonts w:ascii="Arial" w:hAnsi="Arial" w:cs="Arial"/>
                <w:sz w:val="24"/>
                <w:szCs w:val="24"/>
              </w:rPr>
            </w:pPr>
            <w:hyperlink r:id="rId12" w:tgtFrame="_blank" w:history="1">
              <w:r w:rsidRPr="00B9261A">
                <w:rPr>
                  <w:rStyle w:val="Hyperlink"/>
                  <w:rFonts w:ascii="Arial" w:hAnsi="Arial" w:cs="Arial"/>
                  <w:sz w:val="24"/>
                  <w:szCs w:val="24"/>
                </w:rPr>
                <w:t>BMW Group</w:t>
              </w:r>
            </w:hyperlink>
          </w:p>
        </w:tc>
      </w:tr>
    </w:tbl>
    <w:p w14:paraId="34F8896E" w14:textId="77777777" w:rsidR="0079047C" w:rsidRDefault="0079047C" w:rsidP="0079047C">
      <w:pPr>
        <w:pStyle w:val="NormalWeb"/>
        <w:jc w:val="center"/>
      </w:pPr>
      <w:r>
        <w:rPr>
          <w:noProof/>
        </w:rPr>
        <w:drawing>
          <wp:inline distT="0" distB="0" distL="0" distR="0" wp14:anchorId="62A7F13A" wp14:editId="5FDE2BFD">
            <wp:extent cx="6028799" cy="4479398"/>
            <wp:effectExtent l="0" t="0" r="0" b="0"/>
            <wp:docPr id="7" name="Picture 7" descr="D:\ASSIGNMENT WORK\PIYUSH\INTL MKT PP BMW\4170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SSIGNMENT WORK\PIYUSH\INTL MKT PP BMW\41701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40416" cy="4488029"/>
                    </a:xfrm>
                    <a:prstGeom prst="rect">
                      <a:avLst/>
                    </a:prstGeom>
                    <a:noFill/>
                    <a:ln>
                      <a:noFill/>
                    </a:ln>
                  </pic:spPr>
                </pic:pic>
              </a:graphicData>
            </a:graphic>
          </wp:inline>
        </w:drawing>
      </w:r>
    </w:p>
    <w:p w14:paraId="3DBCFDCE" w14:textId="77777777" w:rsidR="0079047C" w:rsidRDefault="0079047C" w:rsidP="00B9261A">
      <w:pPr>
        <w:spacing w:line="360" w:lineRule="auto"/>
        <w:jc w:val="both"/>
        <w:rPr>
          <w:rFonts w:ascii="Arial" w:hAnsi="Arial" w:cs="Arial"/>
          <w:sz w:val="24"/>
          <w:szCs w:val="24"/>
        </w:rPr>
      </w:pPr>
    </w:p>
    <w:p w14:paraId="16618E32"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lastRenderedPageBreak/>
        <w:t>This overview highlights BMW’s strong global standing in the premium automotive sector, its pivot towards electrification and digitalisation, and the challenges in achieving its margin targets in a volatile international environment.</w:t>
      </w:r>
    </w:p>
    <w:p w14:paraId="3798DD25" w14:textId="77777777" w:rsidR="00DF5698" w:rsidRPr="00B9261A" w:rsidRDefault="009916D4" w:rsidP="00221CB7">
      <w:pPr>
        <w:pStyle w:val="Heading2"/>
      </w:pPr>
      <w:bookmarkStart w:id="3" w:name="_Toc215410031"/>
      <w:r>
        <w:t>2</w:t>
      </w:r>
      <w:r w:rsidR="00DF5698" w:rsidRPr="00B9261A">
        <w:t>.2 USA Market Overview</w:t>
      </w:r>
      <w:bookmarkEnd w:id="3"/>
    </w:p>
    <w:p w14:paraId="7E68AB21" w14:textId="77777777" w:rsidR="00DA214D" w:rsidRPr="00DA214D" w:rsidRDefault="00DA214D" w:rsidP="00DA214D">
      <w:pPr>
        <w:spacing w:line="360" w:lineRule="auto"/>
        <w:jc w:val="both"/>
        <w:rPr>
          <w:rFonts w:ascii="Arial" w:hAnsi="Arial" w:cs="Arial"/>
          <w:sz w:val="24"/>
          <w:szCs w:val="24"/>
        </w:rPr>
      </w:pPr>
      <w:r w:rsidRPr="00DA214D">
        <w:rPr>
          <w:rFonts w:ascii="Arial" w:hAnsi="Arial" w:cs="Arial"/>
          <w:sz w:val="24"/>
          <w:szCs w:val="24"/>
        </w:rPr>
        <w:t>As one of the BMW core markets, the United States is still a core market. According to the 2024 Annual Report, BMW brand experienced a growth in sales in the USA in the year (BMW Group,</w:t>
      </w:r>
      <w:r>
        <w:rPr>
          <w:rFonts w:ascii="Arial" w:hAnsi="Arial" w:cs="Arial"/>
          <w:sz w:val="24"/>
          <w:szCs w:val="24"/>
        </w:rPr>
        <w:t xml:space="preserve"> 2024). </w:t>
      </w:r>
      <w:r w:rsidRPr="00DA214D">
        <w:rPr>
          <w:rFonts w:ascii="Arial" w:hAnsi="Arial" w:cs="Arial"/>
          <w:sz w:val="24"/>
          <w:szCs w:val="24"/>
        </w:rPr>
        <w:t>Auto-industry data suggest that in the wider U.S. auto market, there were some 16.5 million new cars sold in 2</w:t>
      </w:r>
      <w:r>
        <w:rPr>
          <w:rFonts w:ascii="Arial" w:hAnsi="Arial" w:cs="Arial"/>
          <w:sz w:val="24"/>
          <w:szCs w:val="24"/>
        </w:rPr>
        <w:t xml:space="preserve">024. (GoAutoNews Premium, 2025). </w:t>
      </w:r>
      <w:r w:rsidRPr="00DA214D">
        <w:rPr>
          <w:rFonts w:ascii="Arial" w:hAnsi="Arial" w:cs="Arial"/>
          <w:sz w:val="24"/>
          <w:szCs w:val="24"/>
        </w:rPr>
        <w:t>The luxury/premium segment of the U.S. is a very competitive market, in which BMW, Mercedes-Benz, Audi, and emerging competitors in EVs are well represented.</w:t>
      </w:r>
    </w:p>
    <w:p w14:paraId="107A1743" w14:textId="77777777" w:rsidR="0079047C" w:rsidRDefault="00DA214D" w:rsidP="00DA214D">
      <w:pPr>
        <w:spacing w:line="360" w:lineRule="auto"/>
        <w:jc w:val="both"/>
        <w:rPr>
          <w:rFonts w:ascii="Arial" w:hAnsi="Arial" w:cs="Arial"/>
          <w:sz w:val="24"/>
          <w:szCs w:val="24"/>
        </w:rPr>
      </w:pPr>
      <w:r w:rsidRPr="00DA214D">
        <w:rPr>
          <w:rFonts w:ascii="Arial" w:hAnsi="Arial" w:cs="Arial"/>
          <w:sz w:val="24"/>
          <w:szCs w:val="24"/>
        </w:rPr>
        <w:t>The X-series production is based in the U.S. (e.g., Spartanburg, South Carolina) so that BMW can use it to manufacture local content, logistics, and have a better affiliation with the U.S. consumer market. U.S. consumer trends demonstrate that there is a growing demand in SUV/-Crossover and electric powertrain products, premium digital experiences (connected services, aftermarket subscription models). The U.S. strategy of BMW is in line with this through models, including the X5, X7, iX and i4,</w:t>
      </w:r>
      <w:r>
        <w:rPr>
          <w:rFonts w:ascii="Arial" w:hAnsi="Arial" w:cs="Arial"/>
          <w:sz w:val="24"/>
          <w:szCs w:val="24"/>
        </w:rPr>
        <w:t xml:space="preserve"> and improved digital services. </w:t>
      </w:r>
      <w:r w:rsidRPr="00DA214D">
        <w:rPr>
          <w:rFonts w:ascii="Arial" w:hAnsi="Arial" w:cs="Arial"/>
          <w:sz w:val="24"/>
          <w:szCs w:val="24"/>
        </w:rPr>
        <w:t>Due to the market size and maturity of the U.S. market, the marketing approach of BMW needs to be based on a trade-off between the premium heritage and the local consumer expectations (e.g., tech-savvy consumers, environment concern, luxury experience).</w:t>
      </w:r>
    </w:p>
    <w:p w14:paraId="36DB2C00" w14:textId="77777777" w:rsidR="0079047C" w:rsidRPr="00391176" w:rsidRDefault="0079047C" w:rsidP="00391176">
      <w:pPr>
        <w:spacing w:line="360" w:lineRule="auto"/>
        <w:jc w:val="center"/>
        <w:rPr>
          <w:rFonts w:ascii="Arial" w:hAnsi="Arial" w:cs="Arial"/>
          <w:bCs/>
          <w:i/>
          <w:sz w:val="24"/>
          <w:szCs w:val="24"/>
        </w:rPr>
      </w:pPr>
      <w:r w:rsidRPr="0079047C">
        <w:rPr>
          <w:rFonts w:ascii="Arial" w:hAnsi="Arial" w:cs="Arial"/>
          <w:noProof/>
          <w:sz w:val="24"/>
          <w:szCs w:val="24"/>
        </w:rPr>
        <w:lastRenderedPageBreak/>
        <w:drawing>
          <wp:inline distT="0" distB="0" distL="0" distR="0" wp14:anchorId="694A74A8" wp14:editId="686A3283">
            <wp:extent cx="5324475" cy="2956408"/>
            <wp:effectExtent l="0" t="0" r="0" b="0"/>
            <wp:docPr id="8" name="Picture 8" descr="D:\ASSIGNMENT WORK\PIYUSH\INTL MKT PP BMW\USA CAR MARK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SSIGNMENT WORK\PIYUSH\INTL MKT PP BMW\USA CAR MARKET.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29791" cy="2959359"/>
                    </a:xfrm>
                    <a:prstGeom prst="rect">
                      <a:avLst/>
                    </a:prstGeom>
                    <a:noFill/>
                    <a:ln>
                      <a:noFill/>
                    </a:ln>
                  </pic:spPr>
                </pic:pic>
              </a:graphicData>
            </a:graphic>
          </wp:inline>
        </w:drawing>
      </w:r>
      <w:r w:rsidR="00DF5698" w:rsidRPr="00B9261A">
        <w:rPr>
          <w:rFonts w:ascii="Arial" w:hAnsi="Arial" w:cs="Arial"/>
          <w:sz w:val="24"/>
          <w:szCs w:val="24"/>
        </w:rPr>
        <w:br/>
      </w:r>
      <w:r w:rsidR="00391176" w:rsidRPr="00391176">
        <w:rPr>
          <w:rFonts w:ascii="Arial" w:hAnsi="Arial" w:cs="Arial"/>
          <w:bCs/>
          <w:i/>
          <w:sz w:val="24"/>
          <w:szCs w:val="24"/>
        </w:rPr>
        <w:t>(Source: Imara.com)</w:t>
      </w:r>
    </w:p>
    <w:p w14:paraId="1133BA7E"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Key insight:</w:t>
      </w:r>
      <w:r w:rsidRPr="00B9261A">
        <w:rPr>
          <w:rFonts w:ascii="Arial" w:hAnsi="Arial" w:cs="Arial"/>
          <w:sz w:val="24"/>
          <w:szCs w:val="24"/>
        </w:rPr>
        <w:t xml:space="preserve"> The U.S. market offers scale, established brand recognit</w:t>
      </w:r>
      <w:r w:rsidR="000B3E9E">
        <w:rPr>
          <w:rFonts w:ascii="Arial" w:hAnsi="Arial" w:cs="Arial"/>
          <w:sz w:val="24"/>
          <w:szCs w:val="24"/>
        </w:rPr>
        <w:t xml:space="preserve">ion, and premium expectations </w:t>
      </w:r>
      <w:r w:rsidRPr="00B9261A">
        <w:rPr>
          <w:rFonts w:ascii="Arial" w:hAnsi="Arial" w:cs="Arial"/>
          <w:sz w:val="24"/>
          <w:szCs w:val="24"/>
        </w:rPr>
        <w:t>but also intense competition, regulatory/electrification pressure (e.g., IRA incentives, state-level requirements), and the need for continual innovation.</w:t>
      </w:r>
    </w:p>
    <w:p w14:paraId="088639FC" w14:textId="77777777" w:rsidR="00DF5698" w:rsidRPr="00B9261A" w:rsidRDefault="009916D4" w:rsidP="00221CB7">
      <w:pPr>
        <w:pStyle w:val="Heading2"/>
      </w:pPr>
      <w:bookmarkStart w:id="4" w:name="_Toc215410032"/>
      <w:r>
        <w:t>2</w:t>
      </w:r>
      <w:r w:rsidR="00DF5698" w:rsidRPr="00B9261A">
        <w:t>.3 Australia Market Overview</w:t>
      </w:r>
      <w:bookmarkEnd w:id="4"/>
    </w:p>
    <w:p w14:paraId="206B3398" w14:textId="77777777" w:rsidR="00391176" w:rsidRDefault="00DA214D" w:rsidP="00B9261A">
      <w:pPr>
        <w:spacing w:line="360" w:lineRule="auto"/>
        <w:jc w:val="both"/>
        <w:rPr>
          <w:rFonts w:ascii="Arial" w:hAnsi="Arial" w:cs="Arial"/>
          <w:b/>
          <w:bCs/>
          <w:sz w:val="24"/>
          <w:szCs w:val="24"/>
        </w:rPr>
      </w:pPr>
      <w:r w:rsidRPr="00DA214D">
        <w:rPr>
          <w:rFonts w:ascii="Arial" w:hAnsi="Arial" w:cs="Arial"/>
          <w:sz w:val="24"/>
          <w:szCs w:val="24"/>
        </w:rPr>
        <w:t xml:space="preserve">Australia is a smaller yet strategically considered high-end automotive market of BMW, with wealthy consumers, high average incomes, and rising popularity of luxury cars and electrification. As per IMARC Group, the size of the Australia luxury car market has been estimated to USD 9.4 billion in 2024 and is expected to increase further to USD 13.2 billion by 2033 at a CAGR of about 3.9. IMARC group According to Alternative data, Expert market research values the base value at AUD 246.22 million (although measures vary), and lasts with a projected CAGR of 5.9 percent to 2034. Professional Market Research: Australian luxury car consumers are sensitive to high-tech cars, performance, and developing EV / hybrid engines. In the case of BMW, it would imply that it caters to high-end consumers who are conscious of brand prestige, driving experience, and sustainability characteristics (i.e. BMW i-series). The market forces are the price of imports, tax levels of luxury cars, the dealer network that is concentrated in the major cities (Sydney, Melbourne, Brisbane) and the regulations and incentives around </w:t>
      </w:r>
      <w:r w:rsidRPr="00DA214D">
        <w:rPr>
          <w:rFonts w:ascii="Arial" w:hAnsi="Arial" w:cs="Arial"/>
          <w:sz w:val="24"/>
          <w:szCs w:val="24"/>
        </w:rPr>
        <w:lastRenderedPageBreak/>
        <w:t>emissions and the adoption of electric vehicles. The Australian automotive market appeared to experience 1.22 million new vehicles in 2024 with the largest portion of about 57 percent sales goi</w:t>
      </w:r>
      <w:r>
        <w:rPr>
          <w:rFonts w:ascii="Arial" w:hAnsi="Arial" w:cs="Arial"/>
          <w:sz w:val="24"/>
          <w:szCs w:val="24"/>
        </w:rPr>
        <w:t>ng to SUVs (The Guardian, 2025).</w:t>
      </w:r>
    </w:p>
    <w:p w14:paraId="4BA706CA" w14:textId="77777777" w:rsidR="00391176" w:rsidRPr="00DA214D" w:rsidRDefault="00391176" w:rsidP="00DA214D">
      <w:pPr>
        <w:spacing w:before="100" w:beforeAutospacing="1" w:after="100" w:afterAutospacing="1" w:line="240" w:lineRule="auto"/>
        <w:jc w:val="center"/>
        <w:rPr>
          <w:rFonts w:ascii="Times New Roman" w:eastAsia="Times New Roman" w:hAnsi="Times New Roman" w:cs="Times New Roman"/>
          <w:sz w:val="24"/>
          <w:szCs w:val="24"/>
        </w:rPr>
      </w:pPr>
      <w:r w:rsidRPr="00391176">
        <w:rPr>
          <w:rFonts w:ascii="Times New Roman" w:eastAsia="Times New Roman" w:hAnsi="Times New Roman" w:cs="Times New Roman"/>
          <w:noProof/>
          <w:sz w:val="24"/>
          <w:szCs w:val="24"/>
        </w:rPr>
        <w:drawing>
          <wp:inline distT="0" distB="0" distL="0" distR="0" wp14:anchorId="4D20B17E" wp14:editId="7A4609CF">
            <wp:extent cx="4486275" cy="2523530"/>
            <wp:effectExtent l="0" t="0" r="0" b="0"/>
            <wp:docPr id="10" name="Picture 10" descr="D:\ASSIGNMENT WORK\PIYUSH\INTL MKT PP BMW\australia-luxury-car-mark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SSIGNMENT WORK\PIYUSH\INTL MKT PP BMW\australia-luxury-car-market.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00910" cy="2531762"/>
                    </a:xfrm>
                    <a:prstGeom prst="rect">
                      <a:avLst/>
                    </a:prstGeom>
                    <a:noFill/>
                    <a:ln>
                      <a:noFill/>
                    </a:ln>
                  </pic:spPr>
                </pic:pic>
              </a:graphicData>
            </a:graphic>
          </wp:inline>
        </w:drawing>
      </w:r>
    </w:p>
    <w:p w14:paraId="61BC528A" w14:textId="77777777" w:rsidR="00DF5698" w:rsidRDefault="00DF5698" w:rsidP="00B9261A">
      <w:pPr>
        <w:spacing w:line="360" w:lineRule="auto"/>
        <w:jc w:val="both"/>
        <w:rPr>
          <w:rFonts w:ascii="Arial" w:hAnsi="Arial" w:cs="Arial"/>
          <w:sz w:val="24"/>
          <w:szCs w:val="24"/>
        </w:rPr>
      </w:pPr>
      <w:r w:rsidRPr="00B9261A">
        <w:rPr>
          <w:rFonts w:ascii="Arial" w:hAnsi="Arial" w:cs="Arial"/>
          <w:b/>
          <w:bCs/>
          <w:sz w:val="24"/>
          <w:szCs w:val="24"/>
        </w:rPr>
        <w:t>Implication for BMW:</w:t>
      </w:r>
      <w:r w:rsidRPr="00B9261A">
        <w:rPr>
          <w:rFonts w:ascii="Arial" w:hAnsi="Arial" w:cs="Arial"/>
          <w:sz w:val="24"/>
          <w:szCs w:val="24"/>
        </w:rPr>
        <w:t xml:space="preserve"> While scale is smaller than the U.S., Australia offers a growth opportunity in premium/EV segments, requiring tailored marketing, </w:t>
      </w:r>
      <w:r w:rsidR="002F68CF" w:rsidRPr="00B9261A">
        <w:rPr>
          <w:rFonts w:ascii="Arial" w:hAnsi="Arial" w:cs="Arial"/>
          <w:sz w:val="24"/>
          <w:szCs w:val="24"/>
        </w:rPr>
        <w:t>localized</w:t>
      </w:r>
      <w:r w:rsidRPr="00B9261A">
        <w:rPr>
          <w:rFonts w:ascii="Arial" w:hAnsi="Arial" w:cs="Arial"/>
          <w:sz w:val="24"/>
          <w:szCs w:val="24"/>
        </w:rPr>
        <w:t xml:space="preserve"> supply/support, and leveraging BMW’s global premium credentials.</w:t>
      </w:r>
    </w:p>
    <w:p w14:paraId="10B76C33" w14:textId="77777777" w:rsidR="00221CB7" w:rsidRDefault="00221CB7" w:rsidP="00B9261A">
      <w:pPr>
        <w:spacing w:line="360" w:lineRule="auto"/>
        <w:jc w:val="both"/>
        <w:rPr>
          <w:rFonts w:ascii="Arial" w:hAnsi="Arial" w:cs="Arial"/>
          <w:sz w:val="24"/>
          <w:szCs w:val="24"/>
        </w:rPr>
      </w:pPr>
    </w:p>
    <w:p w14:paraId="67BEA1DD" w14:textId="77777777" w:rsidR="00221CB7" w:rsidRDefault="00221CB7" w:rsidP="00B9261A">
      <w:pPr>
        <w:spacing w:line="360" w:lineRule="auto"/>
        <w:jc w:val="both"/>
        <w:rPr>
          <w:rFonts w:ascii="Arial" w:hAnsi="Arial" w:cs="Arial"/>
          <w:sz w:val="24"/>
          <w:szCs w:val="24"/>
        </w:rPr>
      </w:pPr>
    </w:p>
    <w:p w14:paraId="1754841D" w14:textId="77777777" w:rsidR="00221CB7" w:rsidRDefault="00221CB7" w:rsidP="00B9261A">
      <w:pPr>
        <w:spacing w:line="360" w:lineRule="auto"/>
        <w:jc w:val="both"/>
        <w:rPr>
          <w:rFonts w:ascii="Arial" w:hAnsi="Arial" w:cs="Arial"/>
          <w:sz w:val="24"/>
          <w:szCs w:val="24"/>
        </w:rPr>
      </w:pPr>
    </w:p>
    <w:p w14:paraId="205D046F" w14:textId="77777777" w:rsidR="00221CB7" w:rsidRDefault="00221CB7" w:rsidP="00B9261A">
      <w:pPr>
        <w:spacing w:line="360" w:lineRule="auto"/>
        <w:jc w:val="both"/>
        <w:rPr>
          <w:rFonts w:ascii="Arial" w:hAnsi="Arial" w:cs="Arial"/>
          <w:sz w:val="24"/>
          <w:szCs w:val="24"/>
        </w:rPr>
      </w:pPr>
    </w:p>
    <w:p w14:paraId="2B7FDD22" w14:textId="77777777" w:rsidR="00221CB7" w:rsidRDefault="00221CB7" w:rsidP="00B9261A">
      <w:pPr>
        <w:spacing w:line="360" w:lineRule="auto"/>
        <w:jc w:val="both"/>
        <w:rPr>
          <w:rFonts w:ascii="Arial" w:hAnsi="Arial" w:cs="Arial"/>
          <w:sz w:val="24"/>
          <w:szCs w:val="24"/>
        </w:rPr>
      </w:pPr>
    </w:p>
    <w:p w14:paraId="63532DC7" w14:textId="77777777" w:rsidR="00221CB7" w:rsidRDefault="00221CB7" w:rsidP="00B9261A">
      <w:pPr>
        <w:spacing w:line="360" w:lineRule="auto"/>
        <w:jc w:val="both"/>
        <w:rPr>
          <w:rFonts w:ascii="Arial" w:hAnsi="Arial" w:cs="Arial"/>
          <w:sz w:val="24"/>
          <w:szCs w:val="24"/>
        </w:rPr>
      </w:pPr>
    </w:p>
    <w:p w14:paraId="09100FA0" w14:textId="77777777" w:rsidR="00221CB7" w:rsidRDefault="00221CB7" w:rsidP="00B9261A">
      <w:pPr>
        <w:spacing w:line="360" w:lineRule="auto"/>
        <w:jc w:val="both"/>
        <w:rPr>
          <w:rFonts w:ascii="Arial" w:hAnsi="Arial" w:cs="Arial"/>
          <w:sz w:val="24"/>
          <w:szCs w:val="24"/>
        </w:rPr>
      </w:pPr>
    </w:p>
    <w:p w14:paraId="483428EB" w14:textId="77777777" w:rsidR="00221CB7" w:rsidRDefault="00221CB7" w:rsidP="00B9261A">
      <w:pPr>
        <w:spacing w:line="360" w:lineRule="auto"/>
        <w:jc w:val="both"/>
        <w:rPr>
          <w:rFonts w:ascii="Arial" w:hAnsi="Arial" w:cs="Arial"/>
          <w:sz w:val="24"/>
          <w:szCs w:val="24"/>
        </w:rPr>
      </w:pPr>
    </w:p>
    <w:p w14:paraId="14129744" w14:textId="77777777" w:rsidR="00221CB7" w:rsidRPr="00B9261A" w:rsidRDefault="00221CB7" w:rsidP="00B9261A">
      <w:pPr>
        <w:spacing w:line="360" w:lineRule="auto"/>
        <w:jc w:val="both"/>
        <w:rPr>
          <w:rFonts w:ascii="Arial" w:hAnsi="Arial" w:cs="Arial"/>
          <w:sz w:val="24"/>
          <w:szCs w:val="24"/>
        </w:rPr>
      </w:pPr>
    </w:p>
    <w:p w14:paraId="2841C1A7" w14:textId="77777777" w:rsidR="00DF5698" w:rsidRPr="00B9261A" w:rsidRDefault="009916D4" w:rsidP="00221CB7">
      <w:pPr>
        <w:pStyle w:val="Heading1"/>
      </w:pPr>
      <w:bookmarkStart w:id="5" w:name="_Toc215410033"/>
      <w:r>
        <w:lastRenderedPageBreak/>
        <w:t>3.</w:t>
      </w:r>
      <w:r w:rsidR="00DF5698" w:rsidRPr="00B9261A">
        <w:t xml:space="preserve"> Internal and External Environment Analysis</w:t>
      </w:r>
      <w:bookmarkEnd w:id="5"/>
    </w:p>
    <w:p w14:paraId="7DAEF51D" w14:textId="77777777" w:rsidR="00DF5698" w:rsidRPr="00B9261A" w:rsidRDefault="009916D4" w:rsidP="00221CB7">
      <w:pPr>
        <w:pStyle w:val="Heading2"/>
      </w:pPr>
      <w:bookmarkStart w:id="6" w:name="_Toc215410034"/>
      <w:r>
        <w:t>3</w:t>
      </w:r>
      <w:r w:rsidR="00DF5698" w:rsidRPr="00B9261A">
        <w:t>.1 PESTLE Analysis (USA &amp; Australia)</w:t>
      </w:r>
      <w:bookmarkEnd w:id="6"/>
    </w:p>
    <w:p w14:paraId="3BFE4462" w14:textId="77777777" w:rsidR="00DF5698" w:rsidRDefault="00DF5698" w:rsidP="00B9261A">
      <w:pPr>
        <w:spacing w:line="360" w:lineRule="auto"/>
        <w:jc w:val="both"/>
        <w:rPr>
          <w:rFonts w:ascii="Arial" w:hAnsi="Arial" w:cs="Arial"/>
          <w:sz w:val="24"/>
          <w:szCs w:val="24"/>
        </w:rPr>
      </w:pPr>
      <w:r w:rsidRPr="00B9261A">
        <w:rPr>
          <w:rFonts w:ascii="Arial" w:hAnsi="Arial" w:cs="Arial"/>
          <w:sz w:val="24"/>
          <w:szCs w:val="24"/>
        </w:rPr>
        <w:t>Below is a combined PESTLE analysis covering macro-environmental factors relevant for BMW in the USA and Australia.</w:t>
      </w:r>
    </w:p>
    <w:p w14:paraId="24923E57" w14:textId="77777777" w:rsidR="00C82411" w:rsidRPr="00B9261A" w:rsidRDefault="00C82411" w:rsidP="00B9261A">
      <w:pPr>
        <w:spacing w:line="360" w:lineRule="auto"/>
        <w:jc w:val="both"/>
        <w:rPr>
          <w:rFonts w:ascii="Arial" w:hAnsi="Arial" w:cs="Arial"/>
          <w:sz w:val="24"/>
          <w:szCs w:val="24"/>
        </w:rPr>
      </w:pPr>
      <w:r w:rsidRPr="00C82411">
        <w:rPr>
          <w:rFonts w:ascii="Arial" w:hAnsi="Arial" w:cs="Arial"/>
          <w:noProof/>
          <w:sz w:val="24"/>
          <w:szCs w:val="24"/>
        </w:rPr>
        <w:drawing>
          <wp:inline distT="0" distB="0" distL="0" distR="0" wp14:anchorId="6BF33EA3" wp14:editId="6DB6D78B">
            <wp:extent cx="5943600" cy="5943600"/>
            <wp:effectExtent l="0" t="0" r="0" b="0"/>
            <wp:docPr id="4" name="Picture 4" descr="D:\ASSIGNMENT WORK\PIYUSH\INTL MKT PP BMW\BMW_PESTLE_Radar_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ASSIGNMENT WORK\PIYUSH\INTL MKT PP BMW\BMW_PESTLE_Radar_Chart.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2"/>
        <w:gridCol w:w="3957"/>
        <w:gridCol w:w="3631"/>
      </w:tblGrid>
      <w:tr w:rsidR="004D4D6A" w:rsidRPr="00B9261A" w14:paraId="209B0762" w14:textId="77777777" w:rsidTr="00B9261A">
        <w:trPr>
          <w:tblHeader/>
          <w:tblCellSpacing w:w="15" w:type="dxa"/>
        </w:trPr>
        <w:tc>
          <w:tcPr>
            <w:tcW w:w="0" w:type="auto"/>
            <w:vAlign w:val="center"/>
            <w:hideMark/>
          </w:tcPr>
          <w:p w14:paraId="196E682C"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lastRenderedPageBreak/>
              <w:t>Dimension</w:t>
            </w:r>
          </w:p>
        </w:tc>
        <w:tc>
          <w:tcPr>
            <w:tcW w:w="0" w:type="auto"/>
            <w:vAlign w:val="center"/>
            <w:hideMark/>
          </w:tcPr>
          <w:p w14:paraId="3B9F2E49"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USA - Key Issues &amp; Implications</w:t>
            </w:r>
          </w:p>
        </w:tc>
        <w:tc>
          <w:tcPr>
            <w:tcW w:w="0" w:type="auto"/>
            <w:vAlign w:val="center"/>
            <w:hideMark/>
          </w:tcPr>
          <w:p w14:paraId="64BF793D"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Australia - Key Issues &amp; Implications</w:t>
            </w:r>
          </w:p>
        </w:tc>
      </w:tr>
      <w:tr w:rsidR="004D4D6A" w:rsidRPr="00B9261A" w14:paraId="018165F0" w14:textId="77777777" w:rsidTr="00B9261A">
        <w:trPr>
          <w:tblCellSpacing w:w="15" w:type="dxa"/>
        </w:trPr>
        <w:tc>
          <w:tcPr>
            <w:tcW w:w="0" w:type="auto"/>
            <w:vAlign w:val="center"/>
            <w:hideMark/>
          </w:tcPr>
          <w:p w14:paraId="7676F57E"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Political</w:t>
            </w:r>
          </w:p>
        </w:tc>
        <w:tc>
          <w:tcPr>
            <w:tcW w:w="0" w:type="auto"/>
            <w:vAlign w:val="center"/>
            <w:hideMark/>
          </w:tcPr>
          <w:p w14:paraId="4CB4DA22"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Trade policy and tariffs (e.g., US export/import tensions) put pressure on margin and supply chains; BMW’s US plant (Spartanburg)</w:t>
            </w:r>
            <w:r w:rsidR="004D4D6A">
              <w:rPr>
                <w:rFonts w:ascii="Arial" w:hAnsi="Arial" w:cs="Arial"/>
                <w:sz w:val="24"/>
                <w:szCs w:val="24"/>
              </w:rPr>
              <w:t xml:space="preserve"> is subject to US policy shifts</w:t>
            </w:r>
            <w:r w:rsidRPr="00B9261A">
              <w:rPr>
                <w:rFonts w:ascii="Arial" w:hAnsi="Arial" w:cs="Arial"/>
                <w:sz w:val="24"/>
                <w:szCs w:val="24"/>
              </w:rPr>
              <w:t xml:space="preserve"> </w:t>
            </w:r>
            <w:r w:rsidR="004D4D6A">
              <w:rPr>
                <w:rFonts w:ascii="Arial" w:hAnsi="Arial" w:cs="Arial"/>
                <w:sz w:val="24"/>
                <w:szCs w:val="24"/>
              </w:rPr>
              <w:t>(Reuters, 2025)</w:t>
            </w:r>
          </w:p>
        </w:tc>
        <w:tc>
          <w:tcPr>
            <w:tcW w:w="0" w:type="auto"/>
            <w:vAlign w:val="center"/>
            <w:hideMark/>
          </w:tcPr>
          <w:p w14:paraId="512131D4"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Australia’s regulatory environment sees rising emphasis on emissions standards, EV incentives but also high</w:t>
            </w:r>
            <w:r w:rsidR="004D4D6A">
              <w:rPr>
                <w:rFonts w:ascii="Arial" w:hAnsi="Arial" w:cs="Arial"/>
                <w:sz w:val="24"/>
                <w:szCs w:val="24"/>
              </w:rPr>
              <w:t xml:space="preserve"> import-dependency for vehicles (6Wresearch, 2024).</w:t>
            </w:r>
          </w:p>
        </w:tc>
      </w:tr>
      <w:tr w:rsidR="004D4D6A" w:rsidRPr="00B9261A" w14:paraId="5457CF8D" w14:textId="77777777" w:rsidTr="00B9261A">
        <w:trPr>
          <w:tblCellSpacing w:w="15" w:type="dxa"/>
        </w:trPr>
        <w:tc>
          <w:tcPr>
            <w:tcW w:w="0" w:type="auto"/>
            <w:vAlign w:val="center"/>
            <w:hideMark/>
          </w:tcPr>
          <w:p w14:paraId="5C306C72"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Economic</w:t>
            </w:r>
          </w:p>
        </w:tc>
        <w:tc>
          <w:tcPr>
            <w:tcW w:w="0" w:type="auto"/>
            <w:vAlign w:val="center"/>
            <w:hideMark/>
          </w:tcPr>
          <w:p w14:paraId="48BD3D76"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Mature luxury car market, high consumer income in premium segment, but inflation &amp; interest rate rises in USA raise financing costs.</w:t>
            </w:r>
          </w:p>
        </w:tc>
        <w:tc>
          <w:tcPr>
            <w:tcW w:w="0" w:type="auto"/>
            <w:vAlign w:val="center"/>
            <w:hideMark/>
          </w:tcPr>
          <w:p w14:paraId="1EEBBA53"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Australia: luxury car tax, import costs, and consumer income trends shape premium demand; market size smaller bu</w:t>
            </w:r>
            <w:r w:rsidR="004D4D6A">
              <w:rPr>
                <w:rFonts w:ascii="Arial" w:hAnsi="Arial" w:cs="Arial"/>
                <w:sz w:val="24"/>
                <w:szCs w:val="24"/>
              </w:rPr>
              <w:t>t growth in premium/EV segment (IMARC Group, 2024).</w:t>
            </w:r>
          </w:p>
        </w:tc>
      </w:tr>
      <w:tr w:rsidR="004D4D6A" w:rsidRPr="00B9261A" w14:paraId="580673D0" w14:textId="77777777" w:rsidTr="00B9261A">
        <w:trPr>
          <w:tblCellSpacing w:w="15" w:type="dxa"/>
        </w:trPr>
        <w:tc>
          <w:tcPr>
            <w:tcW w:w="0" w:type="auto"/>
            <w:vAlign w:val="center"/>
            <w:hideMark/>
          </w:tcPr>
          <w:p w14:paraId="47C2466A"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Social</w:t>
            </w:r>
          </w:p>
        </w:tc>
        <w:tc>
          <w:tcPr>
            <w:tcW w:w="0" w:type="auto"/>
            <w:vAlign w:val="center"/>
            <w:hideMark/>
          </w:tcPr>
          <w:p w14:paraId="03142375"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Growing awareness of sustainability, digital/connected car expectations, preference for SUVs/ crossovers in US market.</w:t>
            </w:r>
          </w:p>
        </w:tc>
        <w:tc>
          <w:tcPr>
            <w:tcW w:w="0" w:type="auto"/>
            <w:vAlign w:val="center"/>
            <w:hideMark/>
          </w:tcPr>
          <w:p w14:paraId="36A0F5E7" w14:textId="77777777" w:rsidR="00DF5698" w:rsidRPr="00B9261A" w:rsidRDefault="00DF5698" w:rsidP="004D4D6A">
            <w:pPr>
              <w:spacing w:line="360" w:lineRule="auto"/>
              <w:jc w:val="both"/>
              <w:rPr>
                <w:rFonts w:ascii="Arial" w:hAnsi="Arial" w:cs="Arial"/>
                <w:sz w:val="24"/>
                <w:szCs w:val="24"/>
              </w:rPr>
            </w:pPr>
            <w:r w:rsidRPr="00B9261A">
              <w:rPr>
                <w:rFonts w:ascii="Arial" w:hAnsi="Arial" w:cs="Arial"/>
                <w:sz w:val="24"/>
                <w:szCs w:val="24"/>
              </w:rPr>
              <w:t>Australian consumers increasingly value advanced features, performance and are m</w:t>
            </w:r>
            <w:r w:rsidR="004D4D6A">
              <w:rPr>
                <w:rFonts w:ascii="Arial" w:hAnsi="Arial" w:cs="Arial"/>
                <w:sz w:val="24"/>
                <w:szCs w:val="24"/>
              </w:rPr>
              <w:t>ore open to EV/hybrid solutions (</w:t>
            </w:r>
            <w:r w:rsidRPr="004D4D6A">
              <w:rPr>
                <w:rFonts w:ascii="Arial" w:hAnsi="Arial" w:cs="Arial"/>
                <w:sz w:val="24"/>
                <w:szCs w:val="24"/>
              </w:rPr>
              <w:t>IMARC Group</w:t>
            </w:r>
            <w:r w:rsidR="004D4D6A">
              <w:rPr>
                <w:rFonts w:ascii="Arial" w:hAnsi="Arial" w:cs="Arial"/>
                <w:sz w:val="24"/>
                <w:szCs w:val="24"/>
              </w:rPr>
              <w:t>, 2024)</w:t>
            </w:r>
          </w:p>
        </w:tc>
      </w:tr>
      <w:tr w:rsidR="004D4D6A" w:rsidRPr="00B9261A" w14:paraId="007F9AFB" w14:textId="77777777" w:rsidTr="00B9261A">
        <w:trPr>
          <w:tblCellSpacing w:w="15" w:type="dxa"/>
        </w:trPr>
        <w:tc>
          <w:tcPr>
            <w:tcW w:w="0" w:type="auto"/>
            <w:vAlign w:val="center"/>
            <w:hideMark/>
          </w:tcPr>
          <w:p w14:paraId="0A95DBB1"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Technological</w:t>
            </w:r>
          </w:p>
        </w:tc>
        <w:tc>
          <w:tcPr>
            <w:tcW w:w="0" w:type="auto"/>
            <w:vAlign w:val="center"/>
            <w:hideMark/>
          </w:tcPr>
          <w:p w14:paraId="3219C2B5"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Shift to EVs, digitalisation (connected services, over-the-air updates), autonomous driving R&amp;D are ke</w:t>
            </w:r>
            <w:r w:rsidR="004D4D6A">
              <w:rPr>
                <w:rFonts w:ascii="Arial" w:hAnsi="Arial" w:cs="Arial"/>
                <w:sz w:val="24"/>
                <w:szCs w:val="24"/>
              </w:rPr>
              <w:t xml:space="preserve">y for premium players like BMW (UCP Repository, 2024). </w:t>
            </w:r>
          </w:p>
        </w:tc>
        <w:tc>
          <w:tcPr>
            <w:tcW w:w="0" w:type="auto"/>
            <w:vAlign w:val="center"/>
            <w:hideMark/>
          </w:tcPr>
          <w:p w14:paraId="214F7671"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In Australia, uptake of EVs/hybrids is accelerating; charging infrastructure, l</w:t>
            </w:r>
            <w:r w:rsidR="004D4D6A">
              <w:rPr>
                <w:rFonts w:ascii="Arial" w:hAnsi="Arial" w:cs="Arial"/>
                <w:sz w:val="24"/>
                <w:szCs w:val="24"/>
              </w:rPr>
              <w:t xml:space="preserve">ocal adaptation of tech matters </w:t>
            </w:r>
            <w:r w:rsidRPr="00B9261A">
              <w:rPr>
                <w:rFonts w:ascii="Arial" w:hAnsi="Arial" w:cs="Arial"/>
                <w:sz w:val="24"/>
                <w:szCs w:val="24"/>
              </w:rPr>
              <w:t xml:space="preserve"> </w:t>
            </w:r>
            <w:r w:rsidR="004D4D6A">
              <w:rPr>
                <w:rFonts w:ascii="Arial" w:hAnsi="Arial" w:cs="Arial"/>
                <w:sz w:val="24"/>
                <w:szCs w:val="24"/>
              </w:rPr>
              <w:t>(</w:t>
            </w:r>
            <w:r w:rsidRPr="004D4D6A">
              <w:rPr>
                <w:rFonts w:ascii="Arial" w:hAnsi="Arial" w:cs="Arial"/>
                <w:sz w:val="24"/>
                <w:szCs w:val="24"/>
              </w:rPr>
              <w:t>6Wresearch</w:t>
            </w:r>
            <w:r w:rsidR="004D4D6A">
              <w:rPr>
                <w:rFonts w:ascii="Arial" w:hAnsi="Arial" w:cs="Arial"/>
                <w:sz w:val="24"/>
                <w:szCs w:val="24"/>
              </w:rPr>
              <w:t>, 2024)</w:t>
            </w:r>
          </w:p>
        </w:tc>
      </w:tr>
      <w:tr w:rsidR="004D4D6A" w:rsidRPr="00B9261A" w14:paraId="77035387" w14:textId="77777777" w:rsidTr="00B9261A">
        <w:trPr>
          <w:tblCellSpacing w:w="15" w:type="dxa"/>
        </w:trPr>
        <w:tc>
          <w:tcPr>
            <w:tcW w:w="0" w:type="auto"/>
            <w:vAlign w:val="center"/>
            <w:hideMark/>
          </w:tcPr>
          <w:p w14:paraId="3A693F10"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Legal</w:t>
            </w:r>
          </w:p>
        </w:tc>
        <w:tc>
          <w:tcPr>
            <w:tcW w:w="0" w:type="auto"/>
            <w:vAlign w:val="center"/>
            <w:hideMark/>
          </w:tcPr>
          <w:p w14:paraId="72A52546"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 xml:space="preserve">In the USA, stringent regulations on emissions, safety standards </w:t>
            </w:r>
            <w:r w:rsidRPr="00B9261A">
              <w:rPr>
                <w:rFonts w:ascii="Arial" w:hAnsi="Arial" w:cs="Arial"/>
                <w:sz w:val="24"/>
                <w:szCs w:val="24"/>
              </w:rPr>
              <w:lastRenderedPageBreak/>
              <w:t>(NHTSA), and trade/tariff rules impact operations.</w:t>
            </w:r>
          </w:p>
        </w:tc>
        <w:tc>
          <w:tcPr>
            <w:tcW w:w="0" w:type="auto"/>
            <w:vAlign w:val="center"/>
            <w:hideMark/>
          </w:tcPr>
          <w:p w14:paraId="4493D947" w14:textId="77777777" w:rsidR="00DF5698" w:rsidRPr="00B9261A" w:rsidRDefault="00DF5698" w:rsidP="004D4D6A">
            <w:pPr>
              <w:spacing w:line="360" w:lineRule="auto"/>
              <w:jc w:val="both"/>
              <w:rPr>
                <w:rFonts w:ascii="Arial" w:hAnsi="Arial" w:cs="Arial"/>
                <w:sz w:val="24"/>
                <w:szCs w:val="24"/>
              </w:rPr>
            </w:pPr>
            <w:r w:rsidRPr="00B9261A">
              <w:rPr>
                <w:rFonts w:ascii="Arial" w:hAnsi="Arial" w:cs="Arial"/>
                <w:sz w:val="24"/>
                <w:szCs w:val="24"/>
              </w:rPr>
              <w:lastRenderedPageBreak/>
              <w:t xml:space="preserve">Australia: vehicle import regulation, luxury car tax, safety and emissions standards under </w:t>
            </w:r>
            <w:r w:rsidRPr="00B9261A">
              <w:rPr>
                <w:rFonts w:ascii="Arial" w:hAnsi="Arial" w:cs="Arial"/>
                <w:sz w:val="24"/>
                <w:szCs w:val="24"/>
              </w:rPr>
              <w:lastRenderedPageBreak/>
              <w:t xml:space="preserve">Australian Design Rules (ADRs) </w:t>
            </w:r>
            <w:r w:rsidR="004D4D6A">
              <w:rPr>
                <w:rFonts w:ascii="Arial" w:hAnsi="Arial" w:cs="Arial"/>
                <w:sz w:val="24"/>
                <w:szCs w:val="24"/>
              </w:rPr>
              <w:t>(</w:t>
            </w:r>
            <w:r w:rsidRPr="004D4D6A">
              <w:rPr>
                <w:rFonts w:ascii="Arial" w:hAnsi="Arial" w:cs="Arial"/>
                <w:sz w:val="24"/>
                <w:szCs w:val="24"/>
              </w:rPr>
              <w:t>Expert Market Research</w:t>
            </w:r>
            <w:r w:rsidR="004D4D6A">
              <w:rPr>
                <w:rFonts w:ascii="Arial" w:hAnsi="Arial" w:cs="Arial"/>
                <w:sz w:val="24"/>
                <w:szCs w:val="24"/>
              </w:rPr>
              <w:t>, 2024)</w:t>
            </w:r>
          </w:p>
        </w:tc>
      </w:tr>
      <w:tr w:rsidR="004D4D6A" w:rsidRPr="00B9261A" w14:paraId="21A0DF2B" w14:textId="77777777" w:rsidTr="00B9261A">
        <w:trPr>
          <w:tblCellSpacing w:w="15" w:type="dxa"/>
        </w:trPr>
        <w:tc>
          <w:tcPr>
            <w:tcW w:w="0" w:type="auto"/>
            <w:vAlign w:val="center"/>
            <w:hideMark/>
          </w:tcPr>
          <w:p w14:paraId="55A860F8"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lastRenderedPageBreak/>
              <w:t>Environmental</w:t>
            </w:r>
          </w:p>
        </w:tc>
        <w:tc>
          <w:tcPr>
            <w:tcW w:w="0" w:type="auto"/>
            <w:vAlign w:val="center"/>
            <w:hideMark/>
          </w:tcPr>
          <w:p w14:paraId="379CFEE8"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 xml:space="preserve">Sustainability commitments (lifecycle emissions, circular economy), pressure to shift away from ICE; BMW </w:t>
            </w:r>
            <w:r w:rsidR="004D4D6A" w:rsidRPr="00B9261A">
              <w:rPr>
                <w:rFonts w:ascii="Arial" w:hAnsi="Arial" w:cs="Arial"/>
                <w:sz w:val="24"/>
                <w:szCs w:val="24"/>
              </w:rPr>
              <w:t>emphasize</w:t>
            </w:r>
            <w:r w:rsidR="004D4D6A">
              <w:rPr>
                <w:rFonts w:ascii="Arial" w:hAnsi="Arial" w:cs="Arial"/>
                <w:sz w:val="24"/>
                <w:szCs w:val="24"/>
              </w:rPr>
              <w:t>s “Neue Klasse” EV architecture</w:t>
            </w:r>
            <w:r w:rsidRPr="00B9261A">
              <w:rPr>
                <w:rFonts w:ascii="Arial" w:hAnsi="Arial" w:cs="Arial"/>
                <w:sz w:val="24"/>
                <w:szCs w:val="24"/>
              </w:rPr>
              <w:t xml:space="preserve"> </w:t>
            </w:r>
            <w:r w:rsidR="004D4D6A">
              <w:rPr>
                <w:rFonts w:ascii="Arial" w:hAnsi="Arial" w:cs="Arial"/>
                <w:sz w:val="24"/>
                <w:szCs w:val="24"/>
              </w:rPr>
              <w:t>(BMW Group, 2024)</w:t>
            </w:r>
          </w:p>
        </w:tc>
        <w:tc>
          <w:tcPr>
            <w:tcW w:w="0" w:type="auto"/>
            <w:vAlign w:val="center"/>
            <w:hideMark/>
          </w:tcPr>
          <w:p w14:paraId="1CEBEAF1"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Australia: strong focus on EV adoption, clean energy, import of vehicles adds emissions; premium brands nee</w:t>
            </w:r>
            <w:r w:rsidR="004D4D6A">
              <w:rPr>
                <w:rFonts w:ascii="Arial" w:hAnsi="Arial" w:cs="Arial"/>
                <w:sz w:val="24"/>
                <w:szCs w:val="24"/>
              </w:rPr>
              <w:t>d to emphasize eco-credentials (</w:t>
            </w:r>
            <w:r w:rsidRPr="004D4D6A">
              <w:rPr>
                <w:rFonts w:ascii="Arial" w:hAnsi="Arial" w:cs="Arial"/>
                <w:sz w:val="24"/>
                <w:szCs w:val="24"/>
              </w:rPr>
              <w:t>IMARC Group</w:t>
            </w:r>
            <w:r w:rsidR="004D4D6A">
              <w:rPr>
                <w:rFonts w:ascii="Arial" w:hAnsi="Arial" w:cs="Arial"/>
                <w:sz w:val="24"/>
                <w:szCs w:val="24"/>
              </w:rPr>
              <w:t>, 2024).</w:t>
            </w:r>
          </w:p>
        </w:tc>
      </w:tr>
    </w:tbl>
    <w:p w14:paraId="339E3044" w14:textId="77777777" w:rsidR="00DA214D" w:rsidRDefault="00DA214D" w:rsidP="00DA214D">
      <w:pPr>
        <w:spacing w:line="360" w:lineRule="auto"/>
        <w:rPr>
          <w:rFonts w:ascii="Arial" w:hAnsi="Arial" w:cs="Arial"/>
          <w:b/>
          <w:bCs/>
          <w:sz w:val="24"/>
          <w:szCs w:val="24"/>
        </w:rPr>
      </w:pPr>
    </w:p>
    <w:p w14:paraId="56AE6AA8" w14:textId="77777777" w:rsidR="002C2083" w:rsidRPr="002C2083" w:rsidRDefault="002C2083" w:rsidP="00221CB7">
      <w:pPr>
        <w:spacing w:line="360" w:lineRule="auto"/>
        <w:jc w:val="center"/>
        <w:rPr>
          <w:rFonts w:ascii="Arial" w:hAnsi="Arial" w:cs="Arial"/>
          <w:b/>
          <w:bCs/>
          <w:sz w:val="24"/>
          <w:szCs w:val="24"/>
        </w:rPr>
      </w:pPr>
      <w:r w:rsidRPr="002C2083">
        <w:rPr>
          <w:rFonts w:ascii="Arial" w:hAnsi="Arial" w:cs="Arial"/>
          <w:b/>
          <w:bCs/>
          <w:noProof/>
          <w:sz w:val="24"/>
          <w:szCs w:val="24"/>
        </w:rPr>
        <w:drawing>
          <wp:inline distT="0" distB="0" distL="0" distR="0" wp14:anchorId="1A77D1BB" wp14:editId="01B5AB82">
            <wp:extent cx="4086868" cy="4143375"/>
            <wp:effectExtent l="0" t="0" r="8890" b="0"/>
            <wp:docPr id="12" name="Picture 12" descr="C:\Users\HP\AppData\Local\Temp\{8CFFD361-D877-420F-A3B7-FDEA618D911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P\AppData\Local\Temp\{8CFFD361-D877-420F-A3B7-FDEA618D9119}.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94795" cy="4151412"/>
                    </a:xfrm>
                    <a:prstGeom prst="rect">
                      <a:avLst/>
                    </a:prstGeom>
                    <a:noFill/>
                    <a:ln>
                      <a:noFill/>
                    </a:ln>
                  </pic:spPr>
                </pic:pic>
              </a:graphicData>
            </a:graphic>
          </wp:inline>
        </w:drawing>
      </w:r>
    </w:p>
    <w:p w14:paraId="7C3E9395" w14:textId="77777777" w:rsidR="00DF5698" w:rsidRPr="00B9261A" w:rsidRDefault="00DA214D" w:rsidP="00DA214D">
      <w:pPr>
        <w:spacing w:line="360" w:lineRule="auto"/>
        <w:rPr>
          <w:rFonts w:ascii="Arial" w:hAnsi="Arial" w:cs="Arial"/>
          <w:sz w:val="24"/>
          <w:szCs w:val="24"/>
        </w:rPr>
      </w:pPr>
      <w:r>
        <w:rPr>
          <w:rFonts w:ascii="Arial" w:hAnsi="Arial" w:cs="Arial"/>
          <w:b/>
          <w:bCs/>
          <w:sz w:val="24"/>
          <w:szCs w:val="24"/>
        </w:rPr>
        <w:lastRenderedPageBreak/>
        <w:t>Summary:</w:t>
      </w:r>
      <w:r w:rsidR="00DF5698" w:rsidRPr="00B9261A">
        <w:rPr>
          <w:rFonts w:ascii="Arial" w:hAnsi="Arial" w:cs="Arial"/>
          <w:sz w:val="24"/>
          <w:szCs w:val="24"/>
        </w:rPr>
        <w:br/>
      </w:r>
      <w:r w:rsidR="00FB1F4F" w:rsidRPr="00FB1F4F">
        <w:rPr>
          <w:rFonts w:ascii="Arial" w:hAnsi="Arial" w:cs="Arial"/>
          <w:sz w:val="24"/>
          <w:szCs w:val="24"/>
        </w:rPr>
        <w:t>According to the PESTLE analysis, the two markets provide an opportunity to BMW but also pose unique macro-environmental threats. In the USA, the aspect of trade and regulatory (tariffs, emissions) is a big problem, and in Australia, the aspect of import-dependence and smaller scale requires BMW to focus on the premium differentiation and growth (EVs, luxury). Some common themes in the two markets include technologi</w:t>
      </w:r>
      <w:r w:rsidR="00FB1F4F">
        <w:rPr>
          <w:rFonts w:ascii="Arial" w:hAnsi="Arial" w:cs="Arial"/>
          <w:sz w:val="24"/>
          <w:szCs w:val="24"/>
        </w:rPr>
        <w:t>cal and environmental pressures</w:t>
      </w:r>
      <w:r w:rsidR="00B9261A">
        <w:rPr>
          <w:rFonts w:ascii="Arial" w:hAnsi="Arial" w:cs="Arial"/>
          <w:sz w:val="24"/>
          <w:szCs w:val="24"/>
        </w:rPr>
        <w:t>.</w:t>
      </w:r>
    </w:p>
    <w:p w14:paraId="07B0B232" w14:textId="77777777" w:rsidR="00DF5698" w:rsidRPr="00B9261A" w:rsidRDefault="009916D4" w:rsidP="00221CB7">
      <w:pPr>
        <w:pStyle w:val="Heading2"/>
      </w:pPr>
      <w:bookmarkStart w:id="7" w:name="_Toc215410035"/>
      <w:r>
        <w:t>3</w:t>
      </w:r>
      <w:r w:rsidR="00DF5698" w:rsidRPr="00B9261A">
        <w:t>.2 Porter’s Five Forces (BMW in Both Markets)</w:t>
      </w:r>
      <w:bookmarkEnd w:id="7"/>
    </w:p>
    <w:p w14:paraId="20B0CD68" w14:textId="77777777" w:rsidR="00DF5698" w:rsidRDefault="00DF5698" w:rsidP="00B9261A">
      <w:pPr>
        <w:spacing w:line="360" w:lineRule="auto"/>
        <w:jc w:val="both"/>
        <w:rPr>
          <w:rFonts w:ascii="Arial" w:hAnsi="Arial" w:cs="Arial"/>
          <w:sz w:val="24"/>
          <w:szCs w:val="24"/>
        </w:rPr>
      </w:pPr>
      <w:r w:rsidRPr="00B9261A">
        <w:rPr>
          <w:rFonts w:ascii="Arial" w:hAnsi="Arial" w:cs="Arial"/>
          <w:sz w:val="24"/>
          <w:szCs w:val="24"/>
        </w:rPr>
        <w:t>Using Michael E. Porter’s Five Forces framework, we assess BMW’s competitive context in the USA and Australia (global factors apply, with local market nuances).</w:t>
      </w:r>
    </w:p>
    <w:p w14:paraId="39C4CCD3" w14:textId="77777777" w:rsidR="00116654" w:rsidRPr="00B9261A" w:rsidRDefault="00116654" w:rsidP="00C82411">
      <w:pPr>
        <w:spacing w:line="360" w:lineRule="auto"/>
        <w:jc w:val="center"/>
        <w:rPr>
          <w:rFonts w:ascii="Arial" w:hAnsi="Arial" w:cs="Arial"/>
          <w:sz w:val="24"/>
          <w:szCs w:val="24"/>
        </w:rPr>
      </w:pPr>
      <w:r w:rsidRPr="00116654">
        <w:rPr>
          <w:rFonts w:ascii="Arial" w:hAnsi="Arial" w:cs="Arial"/>
          <w:noProof/>
          <w:sz w:val="24"/>
          <w:szCs w:val="24"/>
        </w:rPr>
        <w:drawing>
          <wp:inline distT="0" distB="0" distL="0" distR="0" wp14:anchorId="31815306" wp14:editId="0FE31455">
            <wp:extent cx="6195695" cy="3629025"/>
            <wp:effectExtent l="0" t="0" r="0" b="9525"/>
            <wp:docPr id="3" name="Picture 3" descr="D:\ASSIGNMENT WORK\PIYUSH\INTL MKT PP BMW\BMW_Porters_Five_For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SSIGNMENT WORK\PIYUSH\INTL MKT PP BMW\BMW_Porters_Five_Forces.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259918" cy="3666643"/>
                    </a:xfrm>
                    <a:prstGeom prst="rect">
                      <a:avLst/>
                    </a:prstGeom>
                    <a:noFill/>
                    <a:ln>
                      <a:noFill/>
                    </a:ln>
                  </pic:spPr>
                </pic:pic>
              </a:graphicData>
            </a:graphic>
          </wp:inline>
        </w:drawing>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4"/>
        <w:gridCol w:w="7246"/>
      </w:tblGrid>
      <w:tr w:rsidR="00DF5698" w:rsidRPr="00B9261A" w14:paraId="3436C37B" w14:textId="77777777" w:rsidTr="00BE4D16">
        <w:trPr>
          <w:tblHeader/>
          <w:tblCellSpacing w:w="15" w:type="dxa"/>
        </w:trPr>
        <w:tc>
          <w:tcPr>
            <w:tcW w:w="0" w:type="auto"/>
            <w:vAlign w:val="center"/>
            <w:hideMark/>
          </w:tcPr>
          <w:p w14:paraId="4DF27D6A"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Force</w:t>
            </w:r>
          </w:p>
        </w:tc>
        <w:tc>
          <w:tcPr>
            <w:tcW w:w="0" w:type="auto"/>
            <w:vAlign w:val="center"/>
            <w:hideMark/>
          </w:tcPr>
          <w:p w14:paraId="6AC21F46"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Assessment &amp; Implications for BMW</w:t>
            </w:r>
          </w:p>
        </w:tc>
      </w:tr>
      <w:tr w:rsidR="00DF5698" w:rsidRPr="00B9261A" w14:paraId="7C977677" w14:textId="77777777" w:rsidTr="00BE4D16">
        <w:trPr>
          <w:tblCellSpacing w:w="15" w:type="dxa"/>
        </w:trPr>
        <w:tc>
          <w:tcPr>
            <w:tcW w:w="0" w:type="auto"/>
            <w:vAlign w:val="center"/>
            <w:hideMark/>
          </w:tcPr>
          <w:p w14:paraId="33F6139C"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Competitive rivalry</w:t>
            </w:r>
          </w:p>
        </w:tc>
        <w:tc>
          <w:tcPr>
            <w:tcW w:w="0" w:type="auto"/>
            <w:vAlign w:val="center"/>
            <w:hideMark/>
          </w:tcPr>
          <w:p w14:paraId="025B1DEB"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Very strong: In the USA and Australia the premium/luxury segment is crowded (e.g., Mercedes-Benz, Audi, Lexus, Tesla). Rapid innova</w:t>
            </w:r>
            <w:r w:rsidR="004D4D6A">
              <w:rPr>
                <w:rFonts w:ascii="Arial" w:hAnsi="Arial" w:cs="Arial"/>
                <w:sz w:val="24"/>
                <w:szCs w:val="24"/>
              </w:rPr>
              <w:t>tion in EVs intensifies rivalry</w:t>
            </w:r>
            <w:r w:rsidRPr="00B9261A">
              <w:rPr>
                <w:rFonts w:ascii="Arial" w:hAnsi="Arial" w:cs="Arial"/>
                <w:sz w:val="24"/>
                <w:szCs w:val="24"/>
              </w:rPr>
              <w:t xml:space="preserve"> </w:t>
            </w:r>
            <w:r w:rsidR="004D4D6A">
              <w:rPr>
                <w:rFonts w:ascii="Arial" w:hAnsi="Arial" w:cs="Arial"/>
                <w:sz w:val="24"/>
                <w:szCs w:val="24"/>
              </w:rPr>
              <w:t>(Panmore, 2023).</w:t>
            </w:r>
          </w:p>
        </w:tc>
      </w:tr>
      <w:tr w:rsidR="00DF5698" w:rsidRPr="00B9261A" w14:paraId="3660763C" w14:textId="77777777" w:rsidTr="00BE4D16">
        <w:trPr>
          <w:tblCellSpacing w:w="15" w:type="dxa"/>
        </w:trPr>
        <w:tc>
          <w:tcPr>
            <w:tcW w:w="0" w:type="auto"/>
            <w:vAlign w:val="center"/>
            <w:hideMark/>
          </w:tcPr>
          <w:p w14:paraId="59A8B8FB"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lastRenderedPageBreak/>
              <w:t>Bargaining power of buyers</w:t>
            </w:r>
          </w:p>
        </w:tc>
        <w:tc>
          <w:tcPr>
            <w:tcW w:w="0" w:type="auto"/>
            <w:vAlign w:val="center"/>
            <w:hideMark/>
          </w:tcPr>
          <w:p w14:paraId="38CD486E"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Moderate: Premium buyers are discerning and can switch brands; yet brand loyalty and premium value propositi</w:t>
            </w:r>
            <w:r w:rsidR="004D4D6A">
              <w:rPr>
                <w:rFonts w:ascii="Arial" w:hAnsi="Arial" w:cs="Arial"/>
                <w:sz w:val="24"/>
                <w:szCs w:val="24"/>
              </w:rPr>
              <w:t>on reduce their power slightly (</w:t>
            </w:r>
            <w:r w:rsidRPr="004D4D6A">
              <w:rPr>
                <w:rFonts w:ascii="Arial" w:hAnsi="Arial" w:cs="Arial"/>
                <w:sz w:val="24"/>
                <w:szCs w:val="24"/>
              </w:rPr>
              <w:t>MBA Skool</w:t>
            </w:r>
            <w:r w:rsidR="004D4D6A">
              <w:rPr>
                <w:rFonts w:ascii="Arial" w:hAnsi="Arial" w:cs="Arial"/>
                <w:sz w:val="24"/>
                <w:szCs w:val="24"/>
              </w:rPr>
              <w:t>, 2023).</w:t>
            </w:r>
          </w:p>
        </w:tc>
      </w:tr>
      <w:tr w:rsidR="00DF5698" w:rsidRPr="00B9261A" w14:paraId="47333420" w14:textId="77777777" w:rsidTr="00BE4D16">
        <w:trPr>
          <w:tblCellSpacing w:w="15" w:type="dxa"/>
        </w:trPr>
        <w:tc>
          <w:tcPr>
            <w:tcW w:w="0" w:type="auto"/>
            <w:vAlign w:val="center"/>
            <w:hideMark/>
          </w:tcPr>
          <w:p w14:paraId="2DA4A035"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Bargaining power of suppliers</w:t>
            </w:r>
          </w:p>
        </w:tc>
        <w:tc>
          <w:tcPr>
            <w:tcW w:w="0" w:type="auto"/>
            <w:vAlign w:val="center"/>
            <w:hideMark/>
          </w:tcPr>
          <w:p w14:paraId="1FA2E4E0"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Moderate to strong: BMW relies on high-value components (battery technology, electronics), which limits substituti</w:t>
            </w:r>
            <w:r w:rsidR="009A02E9">
              <w:rPr>
                <w:rFonts w:ascii="Arial" w:hAnsi="Arial" w:cs="Arial"/>
                <w:sz w:val="24"/>
                <w:szCs w:val="24"/>
              </w:rPr>
              <w:t>on and raises supplier leverage</w:t>
            </w:r>
            <w:r w:rsidRPr="00B9261A">
              <w:rPr>
                <w:rFonts w:ascii="Arial" w:hAnsi="Arial" w:cs="Arial"/>
                <w:sz w:val="24"/>
                <w:szCs w:val="24"/>
              </w:rPr>
              <w:t xml:space="preserve"> </w:t>
            </w:r>
            <w:r w:rsidR="009A02E9">
              <w:rPr>
                <w:rFonts w:ascii="Arial" w:hAnsi="Arial" w:cs="Arial"/>
                <w:sz w:val="24"/>
                <w:szCs w:val="24"/>
              </w:rPr>
              <w:t>(</w:t>
            </w:r>
            <w:r w:rsidRPr="009A02E9">
              <w:rPr>
                <w:rFonts w:ascii="Arial" w:hAnsi="Arial" w:cs="Arial"/>
                <w:sz w:val="24"/>
                <w:szCs w:val="24"/>
              </w:rPr>
              <w:t>Panmore</w:t>
            </w:r>
            <w:r w:rsidR="009A02E9">
              <w:rPr>
                <w:rFonts w:ascii="Arial" w:hAnsi="Arial" w:cs="Arial"/>
                <w:sz w:val="24"/>
                <w:szCs w:val="24"/>
              </w:rPr>
              <w:t>, 2023).</w:t>
            </w:r>
          </w:p>
        </w:tc>
      </w:tr>
      <w:tr w:rsidR="00DF5698" w:rsidRPr="00B9261A" w14:paraId="09C711AB" w14:textId="77777777" w:rsidTr="00BE4D16">
        <w:trPr>
          <w:tblCellSpacing w:w="15" w:type="dxa"/>
        </w:trPr>
        <w:tc>
          <w:tcPr>
            <w:tcW w:w="0" w:type="auto"/>
            <w:vAlign w:val="center"/>
            <w:hideMark/>
          </w:tcPr>
          <w:p w14:paraId="126385CC"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Threat of substitutes</w:t>
            </w:r>
          </w:p>
        </w:tc>
        <w:tc>
          <w:tcPr>
            <w:tcW w:w="0" w:type="auto"/>
            <w:vAlign w:val="center"/>
            <w:hideMark/>
          </w:tcPr>
          <w:p w14:paraId="0F10923E"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Moderate: While other premium brands are substitutes, more significant are mobility alternatives (car-sharing, ride-hailing) and shifts to EV/hybrid technologies.</w:t>
            </w:r>
          </w:p>
        </w:tc>
      </w:tr>
      <w:tr w:rsidR="00DF5698" w:rsidRPr="00B9261A" w14:paraId="46C4CDC2" w14:textId="77777777" w:rsidTr="00BE4D16">
        <w:trPr>
          <w:tblCellSpacing w:w="15" w:type="dxa"/>
        </w:trPr>
        <w:tc>
          <w:tcPr>
            <w:tcW w:w="0" w:type="auto"/>
            <w:vAlign w:val="center"/>
            <w:hideMark/>
          </w:tcPr>
          <w:p w14:paraId="34FD88FD"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Threat of new entrants</w:t>
            </w:r>
          </w:p>
        </w:tc>
        <w:tc>
          <w:tcPr>
            <w:tcW w:w="0" w:type="auto"/>
            <w:vAlign w:val="center"/>
            <w:hideMark/>
          </w:tcPr>
          <w:p w14:paraId="7D7D30C4"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Low: High barriers (capital, brand, R&amp;D capability) limit new entrants in luxury automotive, though EV-startups (Tesla, BYD) rais</w:t>
            </w:r>
            <w:r w:rsidR="009A02E9">
              <w:rPr>
                <w:rFonts w:ascii="Arial" w:hAnsi="Arial" w:cs="Arial"/>
                <w:sz w:val="24"/>
                <w:szCs w:val="24"/>
              </w:rPr>
              <w:t>e some threat in long term</w:t>
            </w:r>
            <w:r w:rsidRPr="00B9261A">
              <w:rPr>
                <w:rFonts w:ascii="Arial" w:hAnsi="Arial" w:cs="Arial"/>
                <w:sz w:val="24"/>
                <w:szCs w:val="24"/>
              </w:rPr>
              <w:t xml:space="preserve"> </w:t>
            </w:r>
            <w:r w:rsidR="009A02E9">
              <w:rPr>
                <w:rFonts w:ascii="Arial" w:hAnsi="Arial" w:cs="Arial"/>
                <w:sz w:val="24"/>
                <w:szCs w:val="24"/>
              </w:rPr>
              <w:t>(Strategic Analysis Hub, 2023).</w:t>
            </w:r>
          </w:p>
        </w:tc>
      </w:tr>
    </w:tbl>
    <w:p w14:paraId="07165D61" w14:textId="77777777" w:rsidR="002C2083" w:rsidRDefault="002C2083" w:rsidP="00DA214D">
      <w:pPr>
        <w:spacing w:line="360" w:lineRule="auto"/>
        <w:rPr>
          <w:rFonts w:ascii="Arial" w:hAnsi="Arial" w:cs="Arial"/>
          <w:b/>
          <w:bCs/>
          <w:sz w:val="24"/>
          <w:szCs w:val="24"/>
        </w:rPr>
      </w:pPr>
    </w:p>
    <w:p w14:paraId="0008F3CF" w14:textId="77777777" w:rsidR="002C2083" w:rsidRDefault="002C2083" w:rsidP="00DA214D">
      <w:pPr>
        <w:spacing w:line="360" w:lineRule="auto"/>
        <w:rPr>
          <w:rFonts w:ascii="Arial" w:hAnsi="Arial" w:cs="Arial"/>
          <w:b/>
          <w:bCs/>
          <w:sz w:val="24"/>
          <w:szCs w:val="24"/>
        </w:rPr>
      </w:pPr>
    </w:p>
    <w:p w14:paraId="727E0E0F" w14:textId="77777777" w:rsidR="002C2083" w:rsidRPr="002C2083" w:rsidRDefault="002C2083" w:rsidP="002C2083">
      <w:pPr>
        <w:spacing w:line="360" w:lineRule="auto"/>
        <w:jc w:val="center"/>
        <w:rPr>
          <w:rFonts w:ascii="Arial" w:hAnsi="Arial" w:cs="Arial"/>
          <w:b/>
          <w:bCs/>
          <w:sz w:val="24"/>
          <w:szCs w:val="24"/>
        </w:rPr>
      </w:pPr>
      <w:r w:rsidRPr="002C2083">
        <w:rPr>
          <w:rFonts w:ascii="Arial" w:hAnsi="Arial" w:cs="Arial"/>
          <w:b/>
          <w:bCs/>
          <w:noProof/>
          <w:sz w:val="24"/>
          <w:szCs w:val="24"/>
        </w:rPr>
        <w:lastRenderedPageBreak/>
        <w:drawing>
          <wp:inline distT="0" distB="0" distL="0" distR="0" wp14:anchorId="3D8BE871" wp14:editId="3B6116CF">
            <wp:extent cx="5909945" cy="3323550"/>
            <wp:effectExtent l="0" t="0" r="0" b="0"/>
            <wp:docPr id="14" name="Picture 14" descr="D:\ASSIGNMENT WORK\PIYUSH\INTL MKT PP BMW\australia-electric-vehicle-mark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ASSIGNMENT WORK\PIYUSH\INTL MKT PP BMW\australia-electric-vehicle-market.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14443" cy="3326079"/>
                    </a:xfrm>
                    <a:prstGeom prst="rect">
                      <a:avLst/>
                    </a:prstGeom>
                    <a:noFill/>
                    <a:ln>
                      <a:noFill/>
                    </a:ln>
                  </pic:spPr>
                </pic:pic>
              </a:graphicData>
            </a:graphic>
          </wp:inline>
        </w:drawing>
      </w:r>
    </w:p>
    <w:p w14:paraId="68EE48B0" w14:textId="77777777" w:rsidR="00DA214D" w:rsidRDefault="002C2083" w:rsidP="00DA214D">
      <w:pPr>
        <w:spacing w:line="360" w:lineRule="auto"/>
        <w:rPr>
          <w:rFonts w:ascii="Arial" w:hAnsi="Arial" w:cs="Arial"/>
          <w:sz w:val="24"/>
          <w:szCs w:val="24"/>
        </w:rPr>
      </w:pPr>
      <w:r>
        <w:rPr>
          <w:rFonts w:ascii="Arial" w:hAnsi="Arial" w:cs="Arial"/>
          <w:b/>
          <w:bCs/>
          <w:sz w:val="24"/>
          <w:szCs w:val="24"/>
        </w:rPr>
        <w:t>Summary</w:t>
      </w:r>
      <w:r w:rsidR="00DA214D">
        <w:rPr>
          <w:rFonts w:ascii="Arial" w:hAnsi="Arial" w:cs="Arial"/>
          <w:b/>
          <w:bCs/>
          <w:sz w:val="24"/>
          <w:szCs w:val="24"/>
        </w:rPr>
        <w:t>:</w:t>
      </w:r>
    </w:p>
    <w:p w14:paraId="18677D81" w14:textId="77777777" w:rsidR="00DF5698" w:rsidRPr="00B9261A" w:rsidRDefault="00DF5698" w:rsidP="00DA214D">
      <w:pPr>
        <w:spacing w:line="360" w:lineRule="auto"/>
        <w:jc w:val="both"/>
        <w:rPr>
          <w:rFonts w:ascii="Arial" w:hAnsi="Arial" w:cs="Arial"/>
          <w:sz w:val="24"/>
          <w:szCs w:val="24"/>
        </w:rPr>
      </w:pPr>
      <w:r w:rsidRPr="00B9261A">
        <w:rPr>
          <w:rFonts w:ascii="Arial" w:hAnsi="Arial" w:cs="Arial"/>
          <w:sz w:val="24"/>
          <w:szCs w:val="24"/>
        </w:rPr>
        <w:t xml:space="preserve">BMW operates in a high-pressure competitive environment, especially in the USA and Australia. While new entrant threat remains constrained, the shift to EVs and mobility services threatens to increase substitution. </w:t>
      </w:r>
      <w:r w:rsidR="00195722" w:rsidRPr="00195722">
        <w:rPr>
          <w:rFonts w:ascii="Arial" w:hAnsi="Arial" w:cs="Arial"/>
          <w:sz w:val="24"/>
          <w:szCs w:val="24"/>
        </w:rPr>
        <w:t>The equation of power of suppliers and buyer sophistication also adds to the competition. BMW should be able to depend on the strength of the brand, innovations, and high-quality servi</w:t>
      </w:r>
      <w:r w:rsidR="00195722">
        <w:rPr>
          <w:rFonts w:ascii="Arial" w:hAnsi="Arial" w:cs="Arial"/>
          <w:sz w:val="24"/>
          <w:szCs w:val="24"/>
        </w:rPr>
        <w:t>ce delivery to stay competitive</w:t>
      </w:r>
      <w:r w:rsidR="00BE4D16">
        <w:rPr>
          <w:rFonts w:ascii="Arial" w:hAnsi="Arial" w:cs="Arial"/>
          <w:sz w:val="24"/>
          <w:szCs w:val="24"/>
        </w:rPr>
        <w:t>.</w:t>
      </w:r>
    </w:p>
    <w:p w14:paraId="5546711D" w14:textId="77777777" w:rsidR="00DF5698" w:rsidRPr="00B9261A" w:rsidRDefault="009916D4" w:rsidP="00221CB7">
      <w:pPr>
        <w:pStyle w:val="Heading2"/>
      </w:pPr>
      <w:bookmarkStart w:id="8" w:name="_Toc215410036"/>
      <w:r>
        <w:t>3</w:t>
      </w:r>
      <w:r w:rsidR="00DF5698" w:rsidRPr="00B9261A">
        <w:t>.3 SWOT Summary</w:t>
      </w:r>
      <w:bookmarkEnd w:id="8"/>
    </w:p>
    <w:p w14:paraId="0A6E48AB"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 xml:space="preserve">Here is a </w:t>
      </w:r>
      <w:r w:rsidR="00195722" w:rsidRPr="00B9261A">
        <w:rPr>
          <w:rFonts w:ascii="Arial" w:hAnsi="Arial" w:cs="Arial"/>
          <w:sz w:val="24"/>
          <w:szCs w:val="24"/>
        </w:rPr>
        <w:t>brief</w:t>
      </w:r>
      <w:r w:rsidRPr="00B9261A">
        <w:rPr>
          <w:rFonts w:ascii="Arial" w:hAnsi="Arial" w:cs="Arial"/>
          <w:sz w:val="24"/>
          <w:szCs w:val="24"/>
        </w:rPr>
        <w:t xml:space="preserve"> SWOT summary for BMW in the USA and Australia:</w:t>
      </w:r>
    </w:p>
    <w:p w14:paraId="43E68783"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Strengths</w:t>
      </w:r>
    </w:p>
    <w:p w14:paraId="7DE979B0" w14:textId="77777777" w:rsidR="00DF5698" w:rsidRPr="00B9261A" w:rsidRDefault="00DF5698" w:rsidP="00B9261A">
      <w:pPr>
        <w:numPr>
          <w:ilvl w:val="0"/>
          <w:numId w:val="5"/>
        </w:numPr>
        <w:spacing w:line="360" w:lineRule="auto"/>
        <w:jc w:val="both"/>
        <w:rPr>
          <w:rFonts w:ascii="Arial" w:hAnsi="Arial" w:cs="Arial"/>
          <w:sz w:val="24"/>
          <w:szCs w:val="24"/>
        </w:rPr>
      </w:pPr>
      <w:r w:rsidRPr="00B9261A">
        <w:rPr>
          <w:rFonts w:ascii="Arial" w:hAnsi="Arial" w:cs="Arial"/>
          <w:sz w:val="24"/>
          <w:szCs w:val="24"/>
        </w:rPr>
        <w:t>Strong global brand with premium image and heritage.</w:t>
      </w:r>
    </w:p>
    <w:p w14:paraId="00EE519F" w14:textId="77777777" w:rsidR="00DF5698" w:rsidRPr="00B9261A" w:rsidRDefault="00DF5698" w:rsidP="00B9261A">
      <w:pPr>
        <w:numPr>
          <w:ilvl w:val="0"/>
          <w:numId w:val="5"/>
        </w:numPr>
        <w:spacing w:line="360" w:lineRule="auto"/>
        <w:jc w:val="both"/>
        <w:rPr>
          <w:rFonts w:ascii="Arial" w:hAnsi="Arial" w:cs="Arial"/>
          <w:sz w:val="24"/>
          <w:szCs w:val="24"/>
        </w:rPr>
      </w:pPr>
      <w:r w:rsidRPr="00B9261A">
        <w:rPr>
          <w:rFonts w:ascii="Arial" w:hAnsi="Arial" w:cs="Arial"/>
          <w:sz w:val="24"/>
          <w:szCs w:val="24"/>
        </w:rPr>
        <w:t>Robust product portfolio including ICE, hybrid and BEV models.</w:t>
      </w:r>
    </w:p>
    <w:p w14:paraId="51BDFDD4" w14:textId="77777777" w:rsidR="00DF5698" w:rsidRPr="00B9261A" w:rsidRDefault="00DF5698" w:rsidP="00B9261A">
      <w:pPr>
        <w:numPr>
          <w:ilvl w:val="0"/>
          <w:numId w:val="5"/>
        </w:numPr>
        <w:spacing w:line="360" w:lineRule="auto"/>
        <w:jc w:val="both"/>
        <w:rPr>
          <w:rFonts w:ascii="Arial" w:hAnsi="Arial" w:cs="Arial"/>
          <w:sz w:val="24"/>
          <w:szCs w:val="24"/>
        </w:rPr>
      </w:pPr>
      <w:r w:rsidRPr="00B9261A">
        <w:rPr>
          <w:rFonts w:ascii="Arial" w:hAnsi="Arial" w:cs="Arial"/>
          <w:sz w:val="24"/>
          <w:szCs w:val="24"/>
        </w:rPr>
        <w:t>Local production base in USA (Spartanburg) enabling proximity to market.</w:t>
      </w:r>
    </w:p>
    <w:p w14:paraId="00BF8949" w14:textId="77777777" w:rsidR="00DF5698" w:rsidRPr="00B9261A" w:rsidRDefault="00DF5698" w:rsidP="00B9261A">
      <w:pPr>
        <w:numPr>
          <w:ilvl w:val="0"/>
          <w:numId w:val="5"/>
        </w:numPr>
        <w:spacing w:line="360" w:lineRule="auto"/>
        <w:jc w:val="both"/>
        <w:rPr>
          <w:rFonts w:ascii="Arial" w:hAnsi="Arial" w:cs="Arial"/>
          <w:sz w:val="24"/>
          <w:szCs w:val="24"/>
        </w:rPr>
      </w:pPr>
      <w:r w:rsidRPr="00B9261A">
        <w:rPr>
          <w:rFonts w:ascii="Arial" w:hAnsi="Arial" w:cs="Arial"/>
          <w:sz w:val="24"/>
          <w:szCs w:val="24"/>
        </w:rPr>
        <w:t>Increasing focus on sustainability and circular economy via “Neue Klasse”.</w:t>
      </w:r>
    </w:p>
    <w:p w14:paraId="4F02573D"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Weaknesses</w:t>
      </w:r>
    </w:p>
    <w:p w14:paraId="27D98EF6" w14:textId="77777777" w:rsidR="00195722" w:rsidRPr="00195722" w:rsidRDefault="00195722" w:rsidP="00195722">
      <w:pPr>
        <w:numPr>
          <w:ilvl w:val="0"/>
          <w:numId w:val="6"/>
        </w:numPr>
        <w:spacing w:line="360" w:lineRule="auto"/>
        <w:jc w:val="both"/>
        <w:rPr>
          <w:rFonts w:ascii="Arial" w:hAnsi="Arial" w:cs="Arial"/>
          <w:sz w:val="24"/>
          <w:szCs w:val="24"/>
        </w:rPr>
      </w:pPr>
      <w:r w:rsidRPr="00195722">
        <w:rPr>
          <w:rFonts w:ascii="Arial" w:hAnsi="Arial" w:cs="Arial"/>
          <w:sz w:val="24"/>
          <w:szCs w:val="24"/>
        </w:rPr>
        <w:lastRenderedPageBreak/>
        <w:t>Margin pressures (R&amp;D high), cost of manufacturing and regulatory compliance.</w:t>
      </w:r>
    </w:p>
    <w:p w14:paraId="604E4377" w14:textId="77777777" w:rsidR="00195722" w:rsidRPr="00195722" w:rsidRDefault="00195722" w:rsidP="00195722">
      <w:pPr>
        <w:numPr>
          <w:ilvl w:val="0"/>
          <w:numId w:val="6"/>
        </w:numPr>
        <w:spacing w:line="360" w:lineRule="auto"/>
        <w:jc w:val="both"/>
        <w:rPr>
          <w:rFonts w:ascii="Arial" w:hAnsi="Arial" w:cs="Arial"/>
          <w:sz w:val="24"/>
          <w:szCs w:val="24"/>
        </w:rPr>
      </w:pPr>
      <w:r w:rsidRPr="00195722">
        <w:rPr>
          <w:rFonts w:ascii="Arial" w:hAnsi="Arial" w:cs="Arial"/>
          <w:sz w:val="24"/>
          <w:szCs w:val="24"/>
        </w:rPr>
        <w:t>Reliance on high-end market that is prone to economic recessions and financing by the consumer market.</w:t>
      </w:r>
    </w:p>
    <w:p w14:paraId="357F0CBD" w14:textId="77777777" w:rsidR="00DF5698" w:rsidRPr="00B9261A" w:rsidRDefault="00195722" w:rsidP="00195722">
      <w:pPr>
        <w:numPr>
          <w:ilvl w:val="0"/>
          <w:numId w:val="6"/>
        </w:numPr>
        <w:spacing w:line="360" w:lineRule="auto"/>
        <w:jc w:val="both"/>
        <w:rPr>
          <w:rFonts w:ascii="Arial" w:hAnsi="Arial" w:cs="Arial"/>
          <w:sz w:val="24"/>
          <w:szCs w:val="24"/>
        </w:rPr>
      </w:pPr>
      <w:r w:rsidRPr="00195722">
        <w:rPr>
          <w:rFonts w:ascii="Arial" w:hAnsi="Arial" w:cs="Arial"/>
          <w:sz w:val="24"/>
          <w:szCs w:val="24"/>
        </w:rPr>
        <w:t>Smaller scale and dependency on imports can restrict responsiveness and differentiation in Australia.</w:t>
      </w:r>
    </w:p>
    <w:p w14:paraId="661886B3"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Opportunities</w:t>
      </w:r>
    </w:p>
    <w:p w14:paraId="55F46B46" w14:textId="77777777" w:rsidR="00195722" w:rsidRPr="00195722" w:rsidRDefault="00195722" w:rsidP="00195722">
      <w:pPr>
        <w:numPr>
          <w:ilvl w:val="0"/>
          <w:numId w:val="7"/>
        </w:numPr>
        <w:spacing w:line="360" w:lineRule="auto"/>
        <w:jc w:val="both"/>
        <w:rPr>
          <w:rFonts w:ascii="Arial" w:hAnsi="Arial" w:cs="Arial"/>
          <w:sz w:val="24"/>
          <w:szCs w:val="24"/>
        </w:rPr>
      </w:pPr>
      <w:r w:rsidRPr="00195722">
        <w:rPr>
          <w:rFonts w:ascii="Arial" w:hAnsi="Arial" w:cs="Arial"/>
          <w:sz w:val="24"/>
          <w:szCs w:val="24"/>
        </w:rPr>
        <w:t>Quick development of EV/hybrid in both USA and Australia - high-end players have an opportunity.</w:t>
      </w:r>
    </w:p>
    <w:p w14:paraId="1CC44C00" w14:textId="77777777" w:rsidR="00195722" w:rsidRPr="00195722" w:rsidRDefault="00195722" w:rsidP="00195722">
      <w:pPr>
        <w:numPr>
          <w:ilvl w:val="0"/>
          <w:numId w:val="7"/>
        </w:numPr>
        <w:spacing w:line="360" w:lineRule="auto"/>
        <w:jc w:val="both"/>
        <w:rPr>
          <w:rFonts w:ascii="Arial" w:hAnsi="Arial" w:cs="Arial"/>
          <w:sz w:val="24"/>
          <w:szCs w:val="24"/>
        </w:rPr>
      </w:pPr>
      <w:r w:rsidRPr="00195722">
        <w:rPr>
          <w:rFonts w:ascii="Arial" w:hAnsi="Arial" w:cs="Arial"/>
          <w:sz w:val="24"/>
          <w:szCs w:val="24"/>
        </w:rPr>
        <w:t>Premium differentiation opportunity is offered in connection and digital services expansion.</w:t>
      </w:r>
    </w:p>
    <w:p w14:paraId="31A4613C" w14:textId="77777777" w:rsidR="00DF5698" w:rsidRPr="00B9261A" w:rsidRDefault="00195722" w:rsidP="00195722">
      <w:pPr>
        <w:numPr>
          <w:ilvl w:val="0"/>
          <w:numId w:val="7"/>
        </w:numPr>
        <w:spacing w:line="360" w:lineRule="auto"/>
        <w:jc w:val="both"/>
        <w:rPr>
          <w:rFonts w:ascii="Arial" w:hAnsi="Arial" w:cs="Arial"/>
          <w:sz w:val="24"/>
          <w:szCs w:val="24"/>
        </w:rPr>
      </w:pPr>
      <w:r w:rsidRPr="00195722">
        <w:rPr>
          <w:rFonts w:ascii="Arial" w:hAnsi="Arial" w:cs="Arial"/>
          <w:sz w:val="24"/>
          <w:szCs w:val="24"/>
        </w:rPr>
        <w:t>Brand reputation and differentiation can be improved through sustainability credentials and initiatives of the circular economy.</w:t>
      </w:r>
    </w:p>
    <w:p w14:paraId="0A330E58"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Threats</w:t>
      </w:r>
    </w:p>
    <w:p w14:paraId="63BA0DC0" w14:textId="77777777" w:rsidR="00DF5698" w:rsidRPr="00B9261A" w:rsidRDefault="00DF5698" w:rsidP="00B9261A">
      <w:pPr>
        <w:numPr>
          <w:ilvl w:val="0"/>
          <w:numId w:val="8"/>
        </w:numPr>
        <w:spacing w:line="360" w:lineRule="auto"/>
        <w:jc w:val="both"/>
        <w:rPr>
          <w:rFonts w:ascii="Arial" w:hAnsi="Arial" w:cs="Arial"/>
          <w:sz w:val="24"/>
          <w:szCs w:val="24"/>
        </w:rPr>
      </w:pPr>
      <w:r w:rsidRPr="00B9261A">
        <w:rPr>
          <w:rFonts w:ascii="Arial" w:hAnsi="Arial" w:cs="Arial"/>
          <w:sz w:val="24"/>
          <w:szCs w:val="24"/>
        </w:rPr>
        <w:t>Intensifying competition in EV space (Tesla, BYD, Mercedes-EQ, Audi e-Tron).</w:t>
      </w:r>
    </w:p>
    <w:p w14:paraId="73AE5909" w14:textId="77777777" w:rsidR="00DF5698" w:rsidRPr="00B9261A" w:rsidRDefault="00DF5698" w:rsidP="00B9261A">
      <w:pPr>
        <w:numPr>
          <w:ilvl w:val="0"/>
          <w:numId w:val="8"/>
        </w:numPr>
        <w:spacing w:line="360" w:lineRule="auto"/>
        <w:jc w:val="both"/>
        <w:rPr>
          <w:rFonts w:ascii="Arial" w:hAnsi="Arial" w:cs="Arial"/>
          <w:sz w:val="24"/>
          <w:szCs w:val="24"/>
        </w:rPr>
      </w:pPr>
      <w:r w:rsidRPr="00B9261A">
        <w:rPr>
          <w:rFonts w:ascii="Arial" w:hAnsi="Arial" w:cs="Arial"/>
          <w:sz w:val="24"/>
          <w:szCs w:val="24"/>
        </w:rPr>
        <w:t>Trade and tariff risks (especially USA) plus regulatory shifts (emissions, safety) increasing cost.</w:t>
      </w:r>
    </w:p>
    <w:p w14:paraId="029AA9C1" w14:textId="77777777" w:rsidR="00DF5698" w:rsidRDefault="00DF5698" w:rsidP="00B9261A">
      <w:pPr>
        <w:numPr>
          <w:ilvl w:val="0"/>
          <w:numId w:val="8"/>
        </w:numPr>
        <w:spacing w:line="360" w:lineRule="auto"/>
        <w:jc w:val="both"/>
        <w:rPr>
          <w:rFonts w:ascii="Arial" w:hAnsi="Arial" w:cs="Arial"/>
          <w:sz w:val="24"/>
          <w:szCs w:val="24"/>
        </w:rPr>
      </w:pPr>
      <w:r w:rsidRPr="00B9261A">
        <w:rPr>
          <w:rFonts w:ascii="Arial" w:hAnsi="Arial" w:cs="Arial"/>
          <w:sz w:val="24"/>
          <w:szCs w:val="24"/>
        </w:rPr>
        <w:t xml:space="preserve">Macroeconomic </w:t>
      </w:r>
      <w:r w:rsidR="00195722" w:rsidRPr="00B9261A">
        <w:rPr>
          <w:rFonts w:ascii="Arial" w:hAnsi="Arial" w:cs="Arial"/>
          <w:sz w:val="24"/>
          <w:szCs w:val="24"/>
        </w:rPr>
        <w:t>breezes</w:t>
      </w:r>
      <w:r w:rsidRPr="00B9261A">
        <w:rPr>
          <w:rFonts w:ascii="Arial" w:hAnsi="Arial" w:cs="Arial"/>
          <w:sz w:val="24"/>
          <w:szCs w:val="24"/>
        </w:rPr>
        <w:t xml:space="preserve"> (interest rates, inflation) may </w:t>
      </w:r>
      <w:r w:rsidR="00195722" w:rsidRPr="00B9261A">
        <w:rPr>
          <w:rFonts w:ascii="Arial" w:hAnsi="Arial" w:cs="Arial"/>
          <w:sz w:val="24"/>
          <w:szCs w:val="24"/>
        </w:rPr>
        <w:t>influence</w:t>
      </w:r>
      <w:r w:rsidRPr="00B9261A">
        <w:rPr>
          <w:rFonts w:ascii="Arial" w:hAnsi="Arial" w:cs="Arial"/>
          <w:sz w:val="24"/>
          <w:szCs w:val="24"/>
        </w:rPr>
        <w:t xml:space="preserve"> premium vehicle </w:t>
      </w:r>
      <w:r w:rsidR="00195722" w:rsidRPr="00B9261A">
        <w:rPr>
          <w:rFonts w:ascii="Arial" w:hAnsi="Arial" w:cs="Arial"/>
          <w:sz w:val="24"/>
          <w:szCs w:val="24"/>
        </w:rPr>
        <w:t>request</w:t>
      </w:r>
      <w:r w:rsidRPr="00B9261A">
        <w:rPr>
          <w:rFonts w:ascii="Arial" w:hAnsi="Arial" w:cs="Arial"/>
          <w:sz w:val="24"/>
          <w:szCs w:val="24"/>
        </w:rPr>
        <w:t>.</w:t>
      </w:r>
    </w:p>
    <w:p w14:paraId="026F11C8" w14:textId="77777777" w:rsidR="00221CB7" w:rsidRDefault="00221CB7" w:rsidP="00221CB7">
      <w:pPr>
        <w:spacing w:line="360" w:lineRule="auto"/>
        <w:jc w:val="both"/>
        <w:rPr>
          <w:rFonts w:ascii="Arial" w:hAnsi="Arial" w:cs="Arial"/>
          <w:sz w:val="24"/>
          <w:szCs w:val="24"/>
        </w:rPr>
      </w:pPr>
    </w:p>
    <w:p w14:paraId="7A09CFC4" w14:textId="77777777" w:rsidR="00221CB7" w:rsidRDefault="00221CB7" w:rsidP="00221CB7">
      <w:pPr>
        <w:spacing w:line="360" w:lineRule="auto"/>
        <w:jc w:val="both"/>
        <w:rPr>
          <w:rFonts w:ascii="Arial" w:hAnsi="Arial" w:cs="Arial"/>
          <w:sz w:val="24"/>
          <w:szCs w:val="24"/>
        </w:rPr>
      </w:pPr>
    </w:p>
    <w:p w14:paraId="6574862F" w14:textId="77777777" w:rsidR="00221CB7" w:rsidRDefault="00221CB7" w:rsidP="00221CB7">
      <w:pPr>
        <w:spacing w:line="360" w:lineRule="auto"/>
        <w:jc w:val="both"/>
        <w:rPr>
          <w:rFonts w:ascii="Arial" w:hAnsi="Arial" w:cs="Arial"/>
          <w:sz w:val="24"/>
          <w:szCs w:val="24"/>
        </w:rPr>
      </w:pPr>
    </w:p>
    <w:p w14:paraId="424CB8AD" w14:textId="77777777" w:rsidR="00221CB7" w:rsidRDefault="00221CB7" w:rsidP="00221CB7">
      <w:pPr>
        <w:spacing w:line="360" w:lineRule="auto"/>
        <w:jc w:val="both"/>
        <w:rPr>
          <w:rFonts w:ascii="Arial" w:hAnsi="Arial" w:cs="Arial"/>
          <w:sz w:val="24"/>
          <w:szCs w:val="24"/>
        </w:rPr>
      </w:pPr>
    </w:p>
    <w:p w14:paraId="1455AB81" w14:textId="77777777" w:rsidR="00221CB7" w:rsidRPr="00BE4D16" w:rsidRDefault="00221CB7" w:rsidP="00221CB7">
      <w:pPr>
        <w:spacing w:line="360" w:lineRule="auto"/>
        <w:jc w:val="both"/>
        <w:rPr>
          <w:rFonts w:ascii="Arial" w:hAnsi="Arial" w:cs="Arial"/>
          <w:sz w:val="24"/>
          <w:szCs w:val="24"/>
        </w:rPr>
      </w:pPr>
    </w:p>
    <w:p w14:paraId="35A1217F" w14:textId="77777777" w:rsidR="00DF5698" w:rsidRPr="00B9261A" w:rsidRDefault="009916D4" w:rsidP="00221CB7">
      <w:pPr>
        <w:pStyle w:val="Heading1"/>
      </w:pPr>
      <w:bookmarkStart w:id="9" w:name="_Toc215410037"/>
      <w:r>
        <w:lastRenderedPageBreak/>
        <w:t>4</w:t>
      </w:r>
      <w:r w:rsidR="00DF5698" w:rsidRPr="00B9261A">
        <w:t>. International Marketing Strategy</w:t>
      </w:r>
      <w:bookmarkEnd w:id="9"/>
    </w:p>
    <w:p w14:paraId="018ED05E" w14:textId="77777777" w:rsidR="00DF5698" w:rsidRDefault="00195722" w:rsidP="00B9261A">
      <w:pPr>
        <w:spacing w:line="360" w:lineRule="auto"/>
        <w:jc w:val="both"/>
        <w:rPr>
          <w:rFonts w:ascii="Arial" w:hAnsi="Arial" w:cs="Arial"/>
          <w:sz w:val="24"/>
          <w:szCs w:val="24"/>
        </w:rPr>
      </w:pPr>
      <w:r w:rsidRPr="00195722">
        <w:rPr>
          <w:rFonts w:ascii="Arial" w:hAnsi="Arial" w:cs="Arial"/>
          <w:sz w:val="24"/>
          <w:szCs w:val="24"/>
        </w:rPr>
        <w:t>The example of marketing strategy used by BMW demonstrates the formation of global brand consistency and local adjustment. The company has its worldwide positioning as Sheer Driving Pleasure, denoting engineering quality and high-quality experience, along with adjusting its strategies to the consumer preferences, regulatory environments, and market com</w:t>
      </w:r>
      <w:r>
        <w:rPr>
          <w:rFonts w:ascii="Arial" w:hAnsi="Arial" w:cs="Arial"/>
          <w:sz w:val="24"/>
          <w:szCs w:val="24"/>
        </w:rPr>
        <w:t>petitions in individual markets</w:t>
      </w:r>
      <w:r w:rsidR="00BE4D16">
        <w:rPr>
          <w:rFonts w:ascii="Arial" w:hAnsi="Arial" w:cs="Arial"/>
          <w:sz w:val="24"/>
          <w:szCs w:val="24"/>
        </w:rPr>
        <w:t>.</w:t>
      </w:r>
    </w:p>
    <w:p w14:paraId="5EDC67B6" w14:textId="77777777" w:rsidR="002C2083" w:rsidRPr="002C2083" w:rsidRDefault="002C2083" w:rsidP="002C2083">
      <w:pPr>
        <w:spacing w:before="100" w:beforeAutospacing="1" w:after="100" w:afterAutospacing="1" w:line="240" w:lineRule="auto"/>
        <w:rPr>
          <w:rFonts w:ascii="Times New Roman" w:eastAsia="Times New Roman" w:hAnsi="Times New Roman" w:cs="Times New Roman"/>
          <w:sz w:val="24"/>
          <w:szCs w:val="24"/>
        </w:rPr>
      </w:pPr>
      <w:r w:rsidRPr="002C2083">
        <w:rPr>
          <w:rFonts w:ascii="Times New Roman" w:eastAsia="Times New Roman" w:hAnsi="Times New Roman" w:cs="Times New Roman"/>
          <w:noProof/>
          <w:sz w:val="24"/>
          <w:szCs w:val="24"/>
        </w:rPr>
        <w:drawing>
          <wp:inline distT="0" distB="0" distL="0" distR="0" wp14:anchorId="16B4E249" wp14:editId="3459D141">
            <wp:extent cx="6134100" cy="4600575"/>
            <wp:effectExtent l="0" t="0" r="0" b="9525"/>
            <wp:docPr id="15" name="Picture 15" descr="C:\Users\HP\AppData\Local\Temp\{3E5C4F6F-97C8-438A-87D9-3574C108CE9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P\AppData\Local\Temp\{3E5C4F6F-97C8-438A-87D9-3574C108CE9C}.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42149" cy="4606612"/>
                    </a:xfrm>
                    <a:prstGeom prst="rect">
                      <a:avLst/>
                    </a:prstGeom>
                    <a:noFill/>
                    <a:ln>
                      <a:noFill/>
                    </a:ln>
                  </pic:spPr>
                </pic:pic>
              </a:graphicData>
            </a:graphic>
          </wp:inline>
        </w:drawing>
      </w:r>
    </w:p>
    <w:p w14:paraId="4883887C" w14:textId="77777777" w:rsidR="002C2083" w:rsidRPr="00B9261A" w:rsidRDefault="002C2083" w:rsidP="00B9261A">
      <w:pPr>
        <w:spacing w:line="360" w:lineRule="auto"/>
        <w:jc w:val="both"/>
        <w:rPr>
          <w:rFonts w:ascii="Arial" w:hAnsi="Arial" w:cs="Arial"/>
          <w:sz w:val="24"/>
          <w:szCs w:val="24"/>
        </w:rPr>
      </w:pPr>
    </w:p>
    <w:p w14:paraId="7917DA68" w14:textId="77777777" w:rsidR="00DF5698" w:rsidRPr="00B9261A" w:rsidRDefault="009916D4" w:rsidP="00221CB7">
      <w:pPr>
        <w:pStyle w:val="Heading2"/>
      </w:pPr>
      <w:bookmarkStart w:id="10" w:name="_Toc215410038"/>
      <w:r>
        <w:t>4</w:t>
      </w:r>
      <w:r w:rsidR="00DF5698" w:rsidRPr="00B9261A">
        <w:t>.1 Segmentation, Targeting and Positioning (STP)</w:t>
      </w:r>
      <w:bookmarkEnd w:id="10"/>
    </w:p>
    <w:p w14:paraId="2322AE0F"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Segmentation</w:t>
      </w:r>
    </w:p>
    <w:p w14:paraId="047C4D0B" w14:textId="77777777" w:rsidR="00195722" w:rsidRPr="00195722" w:rsidRDefault="00195722" w:rsidP="00195722">
      <w:pPr>
        <w:spacing w:line="360" w:lineRule="auto"/>
        <w:jc w:val="both"/>
        <w:rPr>
          <w:rFonts w:ascii="Arial" w:hAnsi="Arial" w:cs="Arial"/>
          <w:sz w:val="24"/>
          <w:szCs w:val="24"/>
        </w:rPr>
      </w:pPr>
      <w:r w:rsidRPr="00195722">
        <w:rPr>
          <w:rFonts w:ascii="Arial" w:hAnsi="Arial" w:cs="Arial"/>
          <w:sz w:val="24"/>
          <w:szCs w:val="24"/>
        </w:rPr>
        <w:t>BMW uses the multi-dimensional segmentation that includes the following dimensions: demographic, psychographic, behavioural, and geographic:</w:t>
      </w:r>
    </w:p>
    <w:p w14:paraId="2FA45F70" w14:textId="77777777" w:rsidR="00195722" w:rsidRPr="00195722" w:rsidRDefault="00195722" w:rsidP="00195722">
      <w:pPr>
        <w:numPr>
          <w:ilvl w:val="0"/>
          <w:numId w:val="9"/>
        </w:numPr>
        <w:spacing w:line="360" w:lineRule="auto"/>
        <w:jc w:val="both"/>
        <w:rPr>
          <w:rFonts w:ascii="Arial" w:hAnsi="Arial" w:cs="Arial"/>
          <w:sz w:val="24"/>
          <w:szCs w:val="24"/>
        </w:rPr>
      </w:pPr>
      <w:r w:rsidRPr="00195722">
        <w:rPr>
          <w:rFonts w:ascii="Arial" w:hAnsi="Arial" w:cs="Arial"/>
          <w:b/>
          <w:sz w:val="24"/>
          <w:szCs w:val="24"/>
        </w:rPr>
        <w:lastRenderedPageBreak/>
        <w:t>Demographic</w:t>
      </w:r>
      <w:r w:rsidRPr="00195722">
        <w:rPr>
          <w:rFonts w:ascii="Arial" w:hAnsi="Arial" w:cs="Arial"/>
          <w:sz w:val="24"/>
          <w:szCs w:val="24"/>
        </w:rPr>
        <w:t>: The consumers in the upper-middle to high-income range (average annual income over USD 120,000 in the US high-end market (Statista, 2024).</w:t>
      </w:r>
    </w:p>
    <w:p w14:paraId="4FEE0741" w14:textId="77777777" w:rsidR="00195722" w:rsidRPr="00195722" w:rsidRDefault="00195722" w:rsidP="00195722">
      <w:pPr>
        <w:numPr>
          <w:ilvl w:val="0"/>
          <w:numId w:val="9"/>
        </w:numPr>
        <w:spacing w:line="360" w:lineRule="auto"/>
        <w:jc w:val="both"/>
        <w:rPr>
          <w:rFonts w:ascii="Arial" w:hAnsi="Arial" w:cs="Arial"/>
          <w:sz w:val="24"/>
          <w:szCs w:val="24"/>
        </w:rPr>
      </w:pPr>
      <w:r w:rsidRPr="00195722">
        <w:rPr>
          <w:rFonts w:ascii="Arial" w:hAnsi="Arial" w:cs="Arial"/>
          <w:b/>
          <w:sz w:val="24"/>
          <w:szCs w:val="24"/>
        </w:rPr>
        <w:t>Psychographic:</w:t>
      </w:r>
      <w:r w:rsidRPr="00195722">
        <w:rPr>
          <w:rFonts w:ascii="Arial" w:hAnsi="Arial" w:cs="Arial"/>
          <w:sz w:val="24"/>
          <w:szCs w:val="24"/>
        </w:rPr>
        <w:t xml:space="preserve"> Target aspirational, performance driven and eco-friendly customers.</w:t>
      </w:r>
    </w:p>
    <w:p w14:paraId="799931F6" w14:textId="77777777" w:rsidR="00195722" w:rsidRPr="00195722" w:rsidRDefault="00195722" w:rsidP="00195722">
      <w:pPr>
        <w:numPr>
          <w:ilvl w:val="0"/>
          <w:numId w:val="9"/>
        </w:numPr>
        <w:spacing w:line="360" w:lineRule="auto"/>
        <w:jc w:val="both"/>
        <w:rPr>
          <w:rFonts w:ascii="Arial" w:hAnsi="Arial" w:cs="Arial"/>
          <w:sz w:val="24"/>
          <w:szCs w:val="24"/>
        </w:rPr>
      </w:pPr>
      <w:r w:rsidRPr="00195722">
        <w:rPr>
          <w:rFonts w:ascii="Arial" w:hAnsi="Arial" w:cs="Arial"/>
          <w:b/>
          <w:sz w:val="24"/>
          <w:szCs w:val="24"/>
        </w:rPr>
        <w:t>Behavioral:</w:t>
      </w:r>
      <w:r w:rsidRPr="00195722">
        <w:rPr>
          <w:rFonts w:ascii="Arial" w:hAnsi="Arial" w:cs="Arial"/>
          <w:sz w:val="24"/>
          <w:szCs w:val="24"/>
        </w:rPr>
        <w:t xml:space="preserve"> Appeals to buyers who are technologically advanced and appreciate innovation, design and prestige.</w:t>
      </w:r>
    </w:p>
    <w:p w14:paraId="051E930C" w14:textId="77777777" w:rsidR="00DF5698" w:rsidRPr="00B9261A" w:rsidRDefault="00195722" w:rsidP="00195722">
      <w:pPr>
        <w:numPr>
          <w:ilvl w:val="0"/>
          <w:numId w:val="9"/>
        </w:numPr>
        <w:spacing w:line="360" w:lineRule="auto"/>
        <w:jc w:val="both"/>
        <w:rPr>
          <w:rFonts w:ascii="Arial" w:hAnsi="Arial" w:cs="Arial"/>
          <w:sz w:val="24"/>
          <w:szCs w:val="24"/>
        </w:rPr>
      </w:pPr>
      <w:r w:rsidRPr="00195722">
        <w:rPr>
          <w:rFonts w:ascii="Arial" w:hAnsi="Arial" w:cs="Arial"/>
          <w:b/>
          <w:sz w:val="24"/>
          <w:szCs w:val="24"/>
        </w:rPr>
        <w:t>Geographic:</w:t>
      </w:r>
      <w:r w:rsidRPr="00195722">
        <w:rPr>
          <w:rFonts w:ascii="Arial" w:hAnsi="Arial" w:cs="Arial"/>
          <w:sz w:val="24"/>
          <w:szCs w:val="24"/>
        </w:rPr>
        <w:t xml:space="preserve"> Urban concentration - large cities of the U.S. (New York, Los Angeles, Miami) and the Australian metropolitan centers (Sydney, Melbourne, Brisbane).</w:t>
      </w:r>
      <w:r w:rsidR="00DF5698" w:rsidRPr="00B9261A">
        <w:rPr>
          <w:rFonts w:ascii="Arial" w:hAnsi="Arial" w:cs="Arial"/>
          <w:sz w:val="24"/>
          <w:szCs w:val="24"/>
        </w:rPr>
        <w:t>.</w:t>
      </w:r>
    </w:p>
    <w:p w14:paraId="00FBDD66"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Targeting</w:t>
      </w:r>
    </w:p>
    <w:p w14:paraId="596941B5" w14:textId="77777777" w:rsidR="00195722" w:rsidRPr="00195722" w:rsidRDefault="00195722" w:rsidP="00195722">
      <w:pPr>
        <w:numPr>
          <w:ilvl w:val="0"/>
          <w:numId w:val="10"/>
        </w:numPr>
        <w:spacing w:line="360" w:lineRule="auto"/>
        <w:jc w:val="both"/>
        <w:rPr>
          <w:rFonts w:ascii="Arial" w:hAnsi="Arial" w:cs="Arial"/>
          <w:sz w:val="24"/>
          <w:szCs w:val="24"/>
        </w:rPr>
      </w:pPr>
      <w:r w:rsidRPr="00195722">
        <w:rPr>
          <w:rFonts w:ascii="Arial" w:hAnsi="Arial" w:cs="Arial"/>
          <w:b/>
          <w:sz w:val="24"/>
          <w:szCs w:val="24"/>
        </w:rPr>
        <w:t>USA:</w:t>
      </w:r>
      <w:r w:rsidRPr="00195722">
        <w:rPr>
          <w:rFonts w:ascii="Arial" w:hAnsi="Arial" w:cs="Arial"/>
          <w:sz w:val="24"/>
          <w:szCs w:val="24"/>
        </w:rPr>
        <w:t xml:space="preserve"> BMW will focus on targeting professionals, entrepreneurs and high-income earners aged between 30-55 years who consider driving as a lifestyle and a status symbol. This portfolio is dominated by the X-series and the i-series (EVs).</w:t>
      </w:r>
    </w:p>
    <w:p w14:paraId="360AAAAD" w14:textId="77777777" w:rsidR="00DF5698" w:rsidRPr="00B9261A" w:rsidRDefault="00195722" w:rsidP="00195722">
      <w:pPr>
        <w:numPr>
          <w:ilvl w:val="0"/>
          <w:numId w:val="10"/>
        </w:numPr>
        <w:spacing w:line="360" w:lineRule="auto"/>
        <w:jc w:val="both"/>
        <w:rPr>
          <w:rFonts w:ascii="Arial" w:hAnsi="Arial" w:cs="Arial"/>
          <w:sz w:val="24"/>
          <w:szCs w:val="24"/>
        </w:rPr>
      </w:pPr>
      <w:r w:rsidRPr="00195722">
        <w:rPr>
          <w:rFonts w:ascii="Arial" w:hAnsi="Arial" w:cs="Arial"/>
          <w:b/>
          <w:sz w:val="24"/>
          <w:szCs w:val="24"/>
        </w:rPr>
        <w:t>Australia:</w:t>
      </w:r>
      <w:r w:rsidRPr="00195722">
        <w:rPr>
          <w:rFonts w:ascii="Arial" w:hAnsi="Arial" w:cs="Arial"/>
          <w:sz w:val="24"/>
          <w:szCs w:val="24"/>
        </w:rPr>
        <w:t xml:space="preserve"> The target customers are wealthy professionals and families living in urban regions; more and more attention paid to the ecological luxury buyers of EVs/hybrids (BMW i4, iX). The Sheer Driving Pleasure message is one that is regularly applied but localized under the cultural focus in the U.S; luxury, sustaina</w:t>
      </w:r>
      <w:r>
        <w:rPr>
          <w:rFonts w:ascii="Arial" w:hAnsi="Arial" w:cs="Arial"/>
          <w:sz w:val="24"/>
          <w:szCs w:val="24"/>
        </w:rPr>
        <w:t>bility and comfort in Australia</w:t>
      </w:r>
      <w:r w:rsidR="00DF5698" w:rsidRPr="00B9261A">
        <w:rPr>
          <w:rFonts w:ascii="Arial" w:hAnsi="Arial" w:cs="Arial"/>
          <w:sz w:val="24"/>
          <w:szCs w:val="24"/>
        </w:rPr>
        <w:t>.</w:t>
      </w:r>
    </w:p>
    <w:p w14:paraId="52427FB2"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Positioning</w:t>
      </w:r>
    </w:p>
    <w:p w14:paraId="5C29A921" w14:textId="77777777" w:rsidR="00195722" w:rsidRPr="00195722" w:rsidRDefault="00195722" w:rsidP="00195722">
      <w:pPr>
        <w:spacing w:line="360" w:lineRule="auto"/>
        <w:jc w:val="both"/>
        <w:rPr>
          <w:rFonts w:ascii="Arial" w:hAnsi="Arial" w:cs="Arial"/>
          <w:sz w:val="24"/>
          <w:szCs w:val="24"/>
        </w:rPr>
      </w:pPr>
      <w:r w:rsidRPr="00195722">
        <w:rPr>
          <w:rFonts w:ascii="Arial" w:hAnsi="Arial" w:cs="Arial"/>
          <w:sz w:val="24"/>
          <w:szCs w:val="24"/>
        </w:rPr>
        <w:t>BMW is a high-end, technology-intensive, and emotionally engaging and sustainable mobility brand.</w:t>
      </w:r>
    </w:p>
    <w:p w14:paraId="454A2C2F" w14:textId="77777777" w:rsidR="00195722" w:rsidRPr="00195722" w:rsidRDefault="00195722" w:rsidP="00195722">
      <w:pPr>
        <w:numPr>
          <w:ilvl w:val="0"/>
          <w:numId w:val="11"/>
        </w:numPr>
        <w:spacing w:line="360" w:lineRule="auto"/>
        <w:jc w:val="both"/>
        <w:rPr>
          <w:rFonts w:ascii="Arial" w:hAnsi="Arial" w:cs="Arial"/>
          <w:sz w:val="24"/>
          <w:szCs w:val="24"/>
        </w:rPr>
      </w:pPr>
      <w:r w:rsidRPr="00195722">
        <w:rPr>
          <w:rFonts w:ascii="Arial" w:hAnsi="Arial" w:cs="Arial"/>
          <w:sz w:val="24"/>
          <w:szCs w:val="24"/>
        </w:rPr>
        <w:t>Positioning in the U.S. is in line with dynamic performance meets innovation - supported by sponsorships (e.g. golf tournaments, tech partnerships).</w:t>
      </w:r>
    </w:p>
    <w:p w14:paraId="498DCEB5" w14:textId="77777777" w:rsidR="00195722" w:rsidRPr="00195722" w:rsidRDefault="00195722" w:rsidP="00195722">
      <w:pPr>
        <w:numPr>
          <w:ilvl w:val="0"/>
          <w:numId w:val="11"/>
        </w:numPr>
        <w:spacing w:line="360" w:lineRule="auto"/>
        <w:jc w:val="both"/>
        <w:rPr>
          <w:rFonts w:ascii="Arial" w:hAnsi="Arial" w:cs="Arial"/>
          <w:sz w:val="24"/>
          <w:szCs w:val="24"/>
        </w:rPr>
      </w:pPr>
      <w:r w:rsidRPr="00195722">
        <w:rPr>
          <w:rFonts w:ascii="Arial" w:hAnsi="Arial" w:cs="Arial"/>
          <w:sz w:val="24"/>
          <w:szCs w:val="24"/>
        </w:rPr>
        <w:t>In Australia, the brand focuses on a high-end European engineering and conscious luxury, which appeals to the rising environmental consciousness and lifestyle aspirations.</w:t>
      </w:r>
    </w:p>
    <w:p w14:paraId="603FC21B" w14:textId="77777777" w:rsidR="00DF5698" w:rsidRPr="009A02E9" w:rsidRDefault="00195722" w:rsidP="00195722">
      <w:pPr>
        <w:numPr>
          <w:ilvl w:val="0"/>
          <w:numId w:val="11"/>
        </w:numPr>
        <w:spacing w:line="360" w:lineRule="auto"/>
        <w:jc w:val="both"/>
        <w:rPr>
          <w:rFonts w:ascii="Arial" w:hAnsi="Arial" w:cs="Arial"/>
          <w:sz w:val="24"/>
          <w:szCs w:val="24"/>
        </w:rPr>
      </w:pPr>
      <w:r w:rsidRPr="00195722">
        <w:rPr>
          <w:rFonts w:ascii="Arial" w:hAnsi="Arial" w:cs="Arial"/>
          <w:sz w:val="24"/>
          <w:szCs w:val="24"/>
        </w:rPr>
        <w:lastRenderedPageBreak/>
        <w:t>This dualism positioning maintains the international equity of BMW, and it also guarantees the l</w:t>
      </w:r>
      <w:r>
        <w:rPr>
          <w:rFonts w:ascii="Arial" w:hAnsi="Arial" w:cs="Arial"/>
          <w:sz w:val="24"/>
          <w:szCs w:val="24"/>
        </w:rPr>
        <w:t>ocal soundness</w:t>
      </w:r>
      <w:r w:rsidR="00DF5698" w:rsidRPr="009A02E9">
        <w:rPr>
          <w:rFonts w:ascii="Arial" w:hAnsi="Arial" w:cs="Arial"/>
          <w:sz w:val="24"/>
          <w:szCs w:val="24"/>
        </w:rPr>
        <w:t>.</w:t>
      </w:r>
    </w:p>
    <w:p w14:paraId="0906632C" w14:textId="77777777" w:rsidR="002C2083" w:rsidRDefault="002C2083" w:rsidP="002C2083">
      <w:pPr>
        <w:pStyle w:val="NormalWeb"/>
        <w:ind w:left="360"/>
      </w:pPr>
      <w:r>
        <w:rPr>
          <w:noProof/>
        </w:rPr>
        <w:drawing>
          <wp:inline distT="0" distB="0" distL="0" distR="0" wp14:anchorId="74BD7012" wp14:editId="22814AFE">
            <wp:extent cx="5930602" cy="2783222"/>
            <wp:effectExtent l="0" t="0" r="0" b="0"/>
            <wp:docPr id="16" name="Picture 16" descr="D:\ASSIGNMENT WORK\PIYUSH\INTL MKT PP BMW\chart-Australia-Luxury-Car-Mark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ASSIGNMENT WORK\PIYUSH\INTL MKT PP BMW\chart-Australia-Luxury-Car-Market.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50345" cy="2792487"/>
                    </a:xfrm>
                    <a:prstGeom prst="rect">
                      <a:avLst/>
                    </a:prstGeom>
                    <a:noFill/>
                    <a:ln>
                      <a:noFill/>
                    </a:ln>
                  </pic:spPr>
                </pic:pic>
              </a:graphicData>
            </a:graphic>
          </wp:inline>
        </w:drawing>
      </w:r>
    </w:p>
    <w:p w14:paraId="55174EE6" w14:textId="77777777" w:rsidR="002C2083" w:rsidRPr="00BE4D16" w:rsidRDefault="002C2083" w:rsidP="002C2083">
      <w:pPr>
        <w:spacing w:line="360" w:lineRule="auto"/>
        <w:ind w:left="360"/>
        <w:jc w:val="both"/>
        <w:rPr>
          <w:rFonts w:ascii="Arial" w:hAnsi="Arial" w:cs="Arial"/>
          <w:sz w:val="24"/>
          <w:szCs w:val="24"/>
        </w:rPr>
      </w:pPr>
    </w:p>
    <w:p w14:paraId="7A3AA511" w14:textId="77777777" w:rsidR="00DF5698" w:rsidRPr="00B9261A" w:rsidRDefault="009916D4" w:rsidP="00221CB7">
      <w:pPr>
        <w:pStyle w:val="Heading2"/>
      </w:pPr>
      <w:bookmarkStart w:id="11" w:name="_Toc215410039"/>
      <w:r>
        <w:t>4</w:t>
      </w:r>
      <w:r w:rsidR="00DF5698" w:rsidRPr="00B9261A">
        <w:t>.2 Marketing Mix (7Ps) Adaptation for USA &amp; Australia</w:t>
      </w:r>
      <w:bookmarkEnd w:id="1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03"/>
        <w:gridCol w:w="4273"/>
        <w:gridCol w:w="3374"/>
      </w:tblGrid>
      <w:tr w:rsidR="00DF5698" w:rsidRPr="00B9261A" w14:paraId="3B7CF09B" w14:textId="77777777" w:rsidTr="00BE4D16">
        <w:trPr>
          <w:tblHeader/>
          <w:tblCellSpacing w:w="15" w:type="dxa"/>
        </w:trPr>
        <w:tc>
          <w:tcPr>
            <w:tcW w:w="0" w:type="auto"/>
            <w:vAlign w:val="center"/>
            <w:hideMark/>
          </w:tcPr>
          <w:p w14:paraId="36DB8360"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Element</w:t>
            </w:r>
          </w:p>
        </w:tc>
        <w:tc>
          <w:tcPr>
            <w:tcW w:w="0" w:type="auto"/>
            <w:vAlign w:val="center"/>
            <w:hideMark/>
          </w:tcPr>
          <w:p w14:paraId="1E4BB9A4"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USA – Key Approach</w:t>
            </w:r>
          </w:p>
        </w:tc>
        <w:tc>
          <w:tcPr>
            <w:tcW w:w="0" w:type="auto"/>
            <w:vAlign w:val="center"/>
            <w:hideMark/>
          </w:tcPr>
          <w:p w14:paraId="5A1D9228"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Australia – Key Approach</w:t>
            </w:r>
          </w:p>
        </w:tc>
      </w:tr>
      <w:tr w:rsidR="00DF5698" w:rsidRPr="00B9261A" w14:paraId="3F1D2F5E" w14:textId="77777777" w:rsidTr="00BE4D16">
        <w:trPr>
          <w:tblCellSpacing w:w="15" w:type="dxa"/>
        </w:trPr>
        <w:tc>
          <w:tcPr>
            <w:tcW w:w="0" w:type="auto"/>
            <w:vAlign w:val="center"/>
            <w:hideMark/>
          </w:tcPr>
          <w:p w14:paraId="43274F9D"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Product</w:t>
            </w:r>
          </w:p>
        </w:tc>
        <w:tc>
          <w:tcPr>
            <w:tcW w:w="0" w:type="auto"/>
            <w:vAlign w:val="center"/>
            <w:hideMark/>
          </w:tcPr>
          <w:p w14:paraId="562603B0"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Diverse portfolio – X-Series SUVs (X3–X7) dominate sales; strong BEV lineup (i4, i5, iX). Emphasis on in-car tech (iDrive 8, digital key).</w:t>
            </w:r>
          </w:p>
        </w:tc>
        <w:tc>
          <w:tcPr>
            <w:tcW w:w="0" w:type="auto"/>
            <w:vAlign w:val="center"/>
            <w:hideMark/>
          </w:tcPr>
          <w:p w14:paraId="0B6865FC"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Similar portfolio but adjusted to import regulations and consumer size preferences; growth in EV models (iX3, i4) and luxury sedans.</w:t>
            </w:r>
          </w:p>
        </w:tc>
      </w:tr>
      <w:tr w:rsidR="00DF5698" w:rsidRPr="00B9261A" w14:paraId="7F8ED7C1" w14:textId="77777777" w:rsidTr="00BE4D16">
        <w:trPr>
          <w:tblCellSpacing w:w="15" w:type="dxa"/>
        </w:trPr>
        <w:tc>
          <w:tcPr>
            <w:tcW w:w="0" w:type="auto"/>
            <w:vAlign w:val="center"/>
            <w:hideMark/>
          </w:tcPr>
          <w:p w14:paraId="5DAEF32D"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Price</w:t>
            </w:r>
          </w:p>
        </w:tc>
        <w:tc>
          <w:tcPr>
            <w:tcW w:w="0" w:type="auto"/>
            <w:vAlign w:val="center"/>
            <w:hideMark/>
          </w:tcPr>
          <w:p w14:paraId="1BB3F0DF"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Premium pricing strategy with leasing/finance flexibility. Competitive residual values.</w:t>
            </w:r>
          </w:p>
        </w:tc>
        <w:tc>
          <w:tcPr>
            <w:tcW w:w="0" w:type="auto"/>
            <w:vAlign w:val="center"/>
            <w:hideMark/>
          </w:tcPr>
          <w:p w14:paraId="612C6796"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Premium pricing affected by import duties and Luxury Car Tax; occasional limited-edition variants for local demand.</w:t>
            </w:r>
          </w:p>
        </w:tc>
      </w:tr>
      <w:tr w:rsidR="00DF5698" w:rsidRPr="00B9261A" w14:paraId="30CBF863" w14:textId="77777777" w:rsidTr="00BE4D16">
        <w:trPr>
          <w:tblCellSpacing w:w="15" w:type="dxa"/>
        </w:trPr>
        <w:tc>
          <w:tcPr>
            <w:tcW w:w="0" w:type="auto"/>
            <w:vAlign w:val="center"/>
            <w:hideMark/>
          </w:tcPr>
          <w:p w14:paraId="25F80764"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Place (Distribution)</w:t>
            </w:r>
          </w:p>
        </w:tc>
        <w:tc>
          <w:tcPr>
            <w:tcW w:w="0" w:type="auto"/>
            <w:vAlign w:val="center"/>
            <w:hideMark/>
          </w:tcPr>
          <w:p w14:paraId="37405FF8"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 xml:space="preserve">BMW operates ~350 dealerships; heavy focus on online configurator and </w:t>
            </w:r>
            <w:r w:rsidRPr="00B9261A">
              <w:rPr>
                <w:rFonts w:ascii="Arial" w:hAnsi="Arial" w:cs="Arial"/>
                <w:sz w:val="24"/>
                <w:szCs w:val="24"/>
              </w:rPr>
              <w:lastRenderedPageBreak/>
              <w:t>digital retail. Production base in Spartanburg ensures local sourcing.</w:t>
            </w:r>
          </w:p>
        </w:tc>
        <w:tc>
          <w:tcPr>
            <w:tcW w:w="0" w:type="auto"/>
            <w:vAlign w:val="center"/>
            <w:hideMark/>
          </w:tcPr>
          <w:p w14:paraId="3BAE825D"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lastRenderedPageBreak/>
              <w:t xml:space="preserve">Smaller network (~50 dealers); expanding online platforms; </w:t>
            </w:r>
            <w:r w:rsidRPr="00B9261A">
              <w:rPr>
                <w:rFonts w:ascii="Arial" w:hAnsi="Arial" w:cs="Arial"/>
                <w:sz w:val="24"/>
                <w:szCs w:val="24"/>
              </w:rPr>
              <w:lastRenderedPageBreak/>
              <w:t>strong focus on dealership experience in metro areas.</w:t>
            </w:r>
          </w:p>
        </w:tc>
      </w:tr>
      <w:tr w:rsidR="00DF5698" w:rsidRPr="00B9261A" w14:paraId="6E1A731F" w14:textId="77777777" w:rsidTr="00BE4D16">
        <w:trPr>
          <w:tblCellSpacing w:w="15" w:type="dxa"/>
        </w:trPr>
        <w:tc>
          <w:tcPr>
            <w:tcW w:w="0" w:type="auto"/>
            <w:vAlign w:val="center"/>
            <w:hideMark/>
          </w:tcPr>
          <w:p w14:paraId="1C04B633"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lastRenderedPageBreak/>
              <w:t>Promotion</w:t>
            </w:r>
          </w:p>
        </w:tc>
        <w:tc>
          <w:tcPr>
            <w:tcW w:w="0" w:type="auto"/>
            <w:vAlign w:val="center"/>
            <w:hideMark/>
          </w:tcPr>
          <w:p w14:paraId="7BCE79E5"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Integrated marketing using digital, experiential, and sponsorship campaigns (e.g., BMW Championship, CES Las Vegas). Strong social media presence (Instagram, TikTok, YouTube).</w:t>
            </w:r>
          </w:p>
        </w:tc>
        <w:tc>
          <w:tcPr>
            <w:tcW w:w="0" w:type="auto"/>
            <w:vAlign w:val="center"/>
            <w:hideMark/>
          </w:tcPr>
          <w:p w14:paraId="3B274F50"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Focus on digital marketing, lifestyle events, and sustainability storytelling; local partnerships with EV infrastructure providers.</w:t>
            </w:r>
          </w:p>
        </w:tc>
      </w:tr>
      <w:tr w:rsidR="00DF5698" w:rsidRPr="00B9261A" w14:paraId="0767E8E6" w14:textId="77777777" w:rsidTr="00BE4D16">
        <w:trPr>
          <w:tblCellSpacing w:w="15" w:type="dxa"/>
        </w:trPr>
        <w:tc>
          <w:tcPr>
            <w:tcW w:w="0" w:type="auto"/>
            <w:vAlign w:val="center"/>
            <w:hideMark/>
          </w:tcPr>
          <w:p w14:paraId="07BF5BE9"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People</w:t>
            </w:r>
          </w:p>
        </w:tc>
        <w:tc>
          <w:tcPr>
            <w:tcW w:w="0" w:type="auto"/>
            <w:vAlign w:val="center"/>
            <w:hideMark/>
          </w:tcPr>
          <w:p w14:paraId="53359FA2"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Trained staff emphasising performance and customer-centricity; use of AI-driven CRM.</w:t>
            </w:r>
          </w:p>
        </w:tc>
        <w:tc>
          <w:tcPr>
            <w:tcW w:w="0" w:type="auto"/>
            <w:vAlign w:val="center"/>
            <w:hideMark/>
          </w:tcPr>
          <w:p w14:paraId="4B39E736"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Smaller sales teams trained to deliver premium service aligned with BMW global standards.</w:t>
            </w:r>
          </w:p>
        </w:tc>
      </w:tr>
      <w:tr w:rsidR="00DF5698" w:rsidRPr="00B9261A" w14:paraId="033E047A" w14:textId="77777777" w:rsidTr="00BE4D16">
        <w:trPr>
          <w:tblCellSpacing w:w="15" w:type="dxa"/>
        </w:trPr>
        <w:tc>
          <w:tcPr>
            <w:tcW w:w="0" w:type="auto"/>
            <w:vAlign w:val="center"/>
            <w:hideMark/>
          </w:tcPr>
          <w:p w14:paraId="385E70B5"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Process</w:t>
            </w:r>
          </w:p>
        </w:tc>
        <w:tc>
          <w:tcPr>
            <w:tcW w:w="0" w:type="auto"/>
            <w:vAlign w:val="center"/>
            <w:hideMark/>
          </w:tcPr>
          <w:p w14:paraId="1A16AF97"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Digitalisation of buying journey – My BMW App, online servicing, virtual showrooms.</w:t>
            </w:r>
          </w:p>
        </w:tc>
        <w:tc>
          <w:tcPr>
            <w:tcW w:w="0" w:type="auto"/>
            <w:vAlign w:val="center"/>
            <w:hideMark/>
          </w:tcPr>
          <w:p w14:paraId="735AF38B"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Hybrid process combining digital research with in-store delivery; emphasis on post-purchase experience.</w:t>
            </w:r>
          </w:p>
        </w:tc>
      </w:tr>
      <w:tr w:rsidR="00DF5698" w:rsidRPr="00B9261A" w14:paraId="5B0ACCD1" w14:textId="77777777" w:rsidTr="00BE4D16">
        <w:trPr>
          <w:tblCellSpacing w:w="15" w:type="dxa"/>
        </w:trPr>
        <w:tc>
          <w:tcPr>
            <w:tcW w:w="0" w:type="auto"/>
            <w:vAlign w:val="center"/>
            <w:hideMark/>
          </w:tcPr>
          <w:p w14:paraId="7D3E5BDD"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Physical Evidence</w:t>
            </w:r>
          </w:p>
        </w:tc>
        <w:tc>
          <w:tcPr>
            <w:tcW w:w="0" w:type="auto"/>
            <w:vAlign w:val="center"/>
            <w:hideMark/>
          </w:tcPr>
          <w:p w14:paraId="5C57192F"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High-end showroom design, interactive displays, test-drive events.</w:t>
            </w:r>
          </w:p>
        </w:tc>
        <w:tc>
          <w:tcPr>
            <w:tcW w:w="0" w:type="auto"/>
            <w:vAlign w:val="center"/>
            <w:hideMark/>
          </w:tcPr>
          <w:p w14:paraId="146E0036"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Consistent branding across dealerships; sustainability-focused showroom designs.</w:t>
            </w:r>
          </w:p>
        </w:tc>
      </w:tr>
    </w:tbl>
    <w:p w14:paraId="4860466A" w14:textId="77777777" w:rsidR="00DF5698" w:rsidRDefault="00DF5698" w:rsidP="00B9261A">
      <w:pPr>
        <w:spacing w:line="360" w:lineRule="auto"/>
        <w:jc w:val="both"/>
        <w:rPr>
          <w:rFonts w:ascii="Arial" w:hAnsi="Arial" w:cs="Arial"/>
          <w:sz w:val="24"/>
          <w:szCs w:val="24"/>
        </w:rPr>
      </w:pPr>
      <w:r w:rsidRPr="00B9261A">
        <w:rPr>
          <w:rFonts w:ascii="Arial" w:hAnsi="Arial" w:cs="Arial"/>
          <w:b/>
          <w:bCs/>
          <w:sz w:val="24"/>
          <w:szCs w:val="24"/>
        </w:rPr>
        <w:t>Interpretation:</w:t>
      </w:r>
      <w:r w:rsidRPr="00B9261A">
        <w:rPr>
          <w:rFonts w:ascii="Arial" w:hAnsi="Arial" w:cs="Arial"/>
          <w:sz w:val="24"/>
          <w:szCs w:val="24"/>
        </w:rPr>
        <w:br/>
      </w:r>
      <w:r w:rsidR="00120AF0" w:rsidRPr="00120AF0">
        <w:rPr>
          <w:rFonts w:ascii="Arial" w:hAnsi="Arial" w:cs="Arial"/>
          <w:sz w:val="24"/>
          <w:szCs w:val="24"/>
        </w:rPr>
        <w:t>BMW has a worldwide product uniformity and separates through process and marketing to adapt to the local culture and market size. As an example, the American approach of digitizing the first instance is in line with convenience and technology adoption among consumers, but in Australia, it is the dealership experie</w:t>
      </w:r>
      <w:r w:rsidR="00120AF0">
        <w:rPr>
          <w:rFonts w:ascii="Arial" w:hAnsi="Arial" w:cs="Arial"/>
          <w:sz w:val="24"/>
          <w:szCs w:val="24"/>
        </w:rPr>
        <w:t>nce that creates brand intimacy</w:t>
      </w:r>
      <w:r w:rsidR="00BE4D16">
        <w:rPr>
          <w:rFonts w:ascii="Arial" w:hAnsi="Arial" w:cs="Arial"/>
          <w:sz w:val="24"/>
          <w:szCs w:val="24"/>
        </w:rPr>
        <w:t>.</w:t>
      </w:r>
    </w:p>
    <w:p w14:paraId="307A3E34" w14:textId="77777777" w:rsidR="000B3E9E" w:rsidRPr="000B3E9E" w:rsidRDefault="000B3E9E" w:rsidP="000B3E9E">
      <w:pPr>
        <w:spacing w:before="100" w:beforeAutospacing="1" w:after="100" w:afterAutospacing="1" w:line="240" w:lineRule="auto"/>
        <w:rPr>
          <w:rFonts w:ascii="Times New Roman" w:eastAsia="Times New Roman" w:hAnsi="Times New Roman" w:cs="Times New Roman"/>
          <w:sz w:val="24"/>
          <w:szCs w:val="24"/>
        </w:rPr>
      </w:pPr>
      <w:r w:rsidRPr="000B3E9E">
        <w:rPr>
          <w:rFonts w:ascii="Times New Roman" w:eastAsia="Times New Roman" w:hAnsi="Times New Roman" w:cs="Times New Roman"/>
          <w:noProof/>
          <w:sz w:val="24"/>
          <w:szCs w:val="24"/>
        </w:rPr>
        <w:lastRenderedPageBreak/>
        <w:drawing>
          <wp:inline distT="0" distB="0" distL="0" distR="0" wp14:anchorId="5526ADD7" wp14:editId="47E7FA74">
            <wp:extent cx="5848350" cy="2758548"/>
            <wp:effectExtent l="0" t="0" r="0" b="3810"/>
            <wp:docPr id="17" name="Picture 17" descr="D:\ASSIGNMENT WORK\PIYUSH\INTL MKT PP BMW\bmw-bev-sales-in-the-us-q4-202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ASSIGNMENT WORK\PIYUSH\INTL MKT PP BMW\bmw-bev-sales-in-the-us-q4-2023.jpe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63522" cy="2765704"/>
                    </a:xfrm>
                    <a:prstGeom prst="rect">
                      <a:avLst/>
                    </a:prstGeom>
                    <a:noFill/>
                    <a:ln>
                      <a:noFill/>
                    </a:ln>
                  </pic:spPr>
                </pic:pic>
              </a:graphicData>
            </a:graphic>
          </wp:inline>
        </w:drawing>
      </w:r>
    </w:p>
    <w:p w14:paraId="5CB127BB" w14:textId="77777777" w:rsidR="000B3E9E" w:rsidRPr="00B9261A" w:rsidRDefault="000B3E9E" w:rsidP="00B9261A">
      <w:pPr>
        <w:spacing w:line="360" w:lineRule="auto"/>
        <w:jc w:val="both"/>
        <w:rPr>
          <w:rFonts w:ascii="Arial" w:hAnsi="Arial" w:cs="Arial"/>
          <w:sz w:val="24"/>
          <w:szCs w:val="24"/>
        </w:rPr>
      </w:pPr>
    </w:p>
    <w:p w14:paraId="134E1EC8" w14:textId="77777777" w:rsidR="00DF5698" w:rsidRPr="00B9261A" w:rsidRDefault="009916D4" w:rsidP="00221CB7">
      <w:pPr>
        <w:pStyle w:val="Heading2"/>
      </w:pPr>
      <w:bookmarkStart w:id="12" w:name="_Toc215410040"/>
      <w:r>
        <w:t>4</w:t>
      </w:r>
      <w:r w:rsidR="00DF5698" w:rsidRPr="00B9261A">
        <w:t>.3 Entry Mode and Distribution Strategy</w:t>
      </w:r>
      <w:bookmarkEnd w:id="12"/>
    </w:p>
    <w:p w14:paraId="36FF9D13" w14:textId="77777777" w:rsidR="00DF5698" w:rsidRPr="00B9261A" w:rsidRDefault="00120AF0" w:rsidP="00B9261A">
      <w:pPr>
        <w:spacing w:line="360" w:lineRule="auto"/>
        <w:jc w:val="both"/>
        <w:rPr>
          <w:rFonts w:ascii="Arial" w:hAnsi="Arial" w:cs="Arial"/>
          <w:sz w:val="24"/>
          <w:szCs w:val="24"/>
        </w:rPr>
      </w:pPr>
      <w:r w:rsidRPr="00120AF0">
        <w:rPr>
          <w:rFonts w:ascii="Arial" w:hAnsi="Arial" w:cs="Arial"/>
          <w:sz w:val="24"/>
          <w:szCs w:val="24"/>
        </w:rPr>
        <w:t>BMW has penetrated the USA and Australia via wholly owned subsidiaries and authorised dealer networks without any Verizon on brand experience and pric</w:t>
      </w:r>
      <w:r>
        <w:rPr>
          <w:rFonts w:ascii="Arial" w:hAnsi="Arial" w:cs="Arial"/>
          <w:sz w:val="24"/>
          <w:szCs w:val="24"/>
        </w:rPr>
        <w:t>ing integrity</w:t>
      </w:r>
      <w:r w:rsidR="00DF5698" w:rsidRPr="00B9261A">
        <w:rPr>
          <w:rFonts w:ascii="Arial" w:hAnsi="Arial" w:cs="Arial"/>
          <w:sz w:val="24"/>
          <w:szCs w:val="24"/>
        </w:rPr>
        <w:t>.</w:t>
      </w:r>
    </w:p>
    <w:p w14:paraId="0739A125" w14:textId="77777777" w:rsidR="00DF5698" w:rsidRPr="00B9261A" w:rsidRDefault="00DF5698" w:rsidP="00B9261A">
      <w:pPr>
        <w:numPr>
          <w:ilvl w:val="0"/>
          <w:numId w:val="12"/>
        </w:numPr>
        <w:spacing w:line="360" w:lineRule="auto"/>
        <w:jc w:val="both"/>
        <w:rPr>
          <w:rFonts w:ascii="Arial" w:hAnsi="Arial" w:cs="Arial"/>
          <w:sz w:val="24"/>
          <w:szCs w:val="24"/>
        </w:rPr>
      </w:pPr>
      <w:r w:rsidRPr="00B9261A">
        <w:rPr>
          <w:rFonts w:ascii="Arial" w:hAnsi="Arial" w:cs="Arial"/>
          <w:b/>
          <w:bCs/>
          <w:sz w:val="24"/>
          <w:szCs w:val="24"/>
        </w:rPr>
        <w:t>USA:</w:t>
      </w:r>
    </w:p>
    <w:p w14:paraId="48E7C79B" w14:textId="77777777" w:rsidR="00DF5698" w:rsidRPr="00B9261A" w:rsidRDefault="00DF5698" w:rsidP="00B9261A">
      <w:pPr>
        <w:numPr>
          <w:ilvl w:val="1"/>
          <w:numId w:val="12"/>
        </w:numPr>
        <w:spacing w:line="360" w:lineRule="auto"/>
        <w:jc w:val="both"/>
        <w:rPr>
          <w:rFonts w:ascii="Arial" w:hAnsi="Arial" w:cs="Arial"/>
          <w:sz w:val="24"/>
          <w:szCs w:val="24"/>
        </w:rPr>
      </w:pPr>
      <w:r w:rsidRPr="00B9261A">
        <w:rPr>
          <w:rFonts w:ascii="Arial" w:hAnsi="Arial" w:cs="Arial"/>
          <w:sz w:val="24"/>
          <w:szCs w:val="24"/>
        </w:rPr>
        <w:t>BMW of North America (est. 1975) oversees manufacturing, marketing, and distribution.</w:t>
      </w:r>
    </w:p>
    <w:p w14:paraId="7EE163DD" w14:textId="77777777" w:rsidR="00DF5698" w:rsidRPr="00B9261A" w:rsidRDefault="00DF5698" w:rsidP="00B9261A">
      <w:pPr>
        <w:numPr>
          <w:ilvl w:val="1"/>
          <w:numId w:val="12"/>
        </w:numPr>
        <w:spacing w:line="360" w:lineRule="auto"/>
        <w:jc w:val="both"/>
        <w:rPr>
          <w:rFonts w:ascii="Arial" w:hAnsi="Arial" w:cs="Arial"/>
          <w:sz w:val="24"/>
          <w:szCs w:val="24"/>
        </w:rPr>
      </w:pPr>
      <w:r w:rsidRPr="00B9261A">
        <w:rPr>
          <w:rFonts w:ascii="Arial" w:hAnsi="Arial" w:cs="Arial"/>
          <w:sz w:val="24"/>
          <w:szCs w:val="24"/>
        </w:rPr>
        <w:t>Local manufacturing (Spartanburg Plant, South Carolina) produces X-models for global export.</w:t>
      </w:r>
    </w:p>
    <w:p w14:paraId="27C11E55" w14:textId="77777777" w:rsidR="00DF5698" w:rsidRPr="00B9261A" w:rsidRDefault="00DF5698" w:rsidP="00B9261A">
      <w:pPr>
        <w:numPr>
          <w:ilvl w:val="1"/>
          <w:numId w:val="12"/>
        </w:numPr>
        <w:spacing w:line="360" w:lineRule="auto"/>
        <w:jc w:val="both"/>
        <w:rPr>
          <w:rFonts w:ascii="Arial" w:hAnsi="Arial" w:cs="Arial"/>
          <w:sz w:val="24"/>
          <w:szCs w:val="24"/>
        </w:rPr>
      </w:pPr>
      <w:r w:rsidRPr="00B9261A">
        <w:rPr>
          <w:rFonts w:ascii="Arial" w:hAnsi="Arial" w:cs="Arial"/>
          <w:sz w:val="24"/>
          <w:szCs w:val="24"/>
        </w:rPr>
        <w:t xml:space="preserve">Distribution integrates physical dealerships and </w:t>
      </w:r>
      <w:r w:rsidRPr="00F876AA">
        <w:rPr>
          <w:rFonts w:ascii="Arial" w:hAnsi="Arial" w:cs="Arial"/>
          <w:bCs/>
          <w:sz w:val="24"/>
          <w:szCs w:val="24"/>
        </w:rPr>
        <w:t>digital sales channels</w:t>
      </w:r>
      <w:r w:rsidRPr="00B9261A">
        <w:rPr>
          <w:rFonts w:ascii="Arial" w:hAnsi="Arial" w:cs="Arial"/>
          <w:sz w:val="24"/>
          <w:szCs w:val="24"/>
        </w:rPr>
        <w:t>, enhancing omnichannel experience.</w:t>
      </w:r>
    </w:p>
    <w:p w14:paraId="36B55EE6" w14:textId="77777777" w:rsidR="00DF5698" w:rsidRDefault="00DF5698" w:rsidP="00B9261A">
      <w:pPr>
        <w:numPr>
          <w:ilvl w:val="1"/>
          <w:numId w:val="12"/>
        </w:numPr>
        <w:spacing w:line="360" w:lineRule="auto"/>
        <w:jc w:val="both"/>
        <w:rPr>
          <w:rFonts w:ascii="Arial" w:hAnsi="Arial" w:cs="Arial"/>
          <w:sz w:val="24"/>
          <w:szCs w:val="24"/>
        </w:rPr>
      </w:pPr>
      <w:r w:rsidRPr="00B9261A">
        <w:rPr>
          <w:rFonts w:ascii="Arial" w:hAnsi="Arial" w:cs="Arial"/>
          <w:sz w:val="24"/>
          <w:szCs w:val="24"/>
        </w:rPr>
        <w:t>Local production offers tariff advantages and supports sustainability via reduced logistics emissions.</w:t>
      </w:r>
    </w:p>
    <w:p w14:paraId="670663FC" w14:textId="77777777" w:rsidR="000B3E9E" w:rsidRDefault="000B3E9E" w:rsidP="000B3E9E">
      <w:pPr>
        <w:pStyle w:val="NormalWeb"/>
      </w:pPr>
      <w:r>
        <w:rPr>
          <w:noProof/>
        </w:rPr>
        <w:lastRenderedPageBreak/>
        <w:drawing>
          <wp:inline distT="0" distB="0" distL="0" distR="0" wp14:anchorId="29801CD1" wp14:editId="32DE4E40">
            <wp:extent cx="6045619" cy="2857500"/>
            <wp:effectExtent l="0" t="0" r="0" b="0"/>
            <wp:docPr id="18" name="Picture 18" descr="D:\ASSIGNMENT WORK\PIYUSH\INTL MKT PP BMW\bmw-bev-sales-in-the-us-q4-2023-b.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ASSIGNMENT WORK\PIYUSH\INTL MKT PP BMW\bmw-bev-sales-in-the-us-q4-2023-b.jpe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57054" cy="2862905"/>
                    </a:xfrm>
                    <a:prstGeom prst="rect">
                      <a:avLst/>
                    </a:prstGeom>
                    <a:noFill/>
                    <a:ln>
                      <a:noFill/>
                    </a:ln>
                  </pic:spPr>
                </pic:pic>
              </a:graphicData>
            </a:graphic>
          </wp:inline>
        </w:drawing>
      </w:r>
    </w:p>
    <w:p w14:paraId="7B36B0DB" w14:textId="77777777" w:rsidR="000B3E9E" w:rsidRPr="00B9261A" w:rsidRDefault="000B3E9E" w:rsidP="000B3E9E">
      <w:pPr>
        <w:spacing w:line="360" w:lineRule="auto"/>
        <w:jc w:val="both"/>
        <w:rPr>
          <w:rFonts w:ascii="Arial" w:hAnsi="Arial" w:cs="Arial"/>
          <w:sz w:val="24"/>
          <w:szCs w:val="24"/>
        </w:rPr>
      </w:pPr>
    </w:p>
    <w:p w14:paraId="7C2BBA7D" w14:textId="77777777" w:rsidR="00DF5698" w:rsidRPr="00B9261A" w:rsidRDefault="00DF5698" w:rsidP="00B9261A">
      <w:pPr>
        <w:numPr>
          <w:ilvl w:val="0"/>
          <w:numId w:val="12"/>
        </w:numPr>
        <w:spacing w:line="360" w:lineRule="auto"/>
        <w:jc w:val="both"/>
        <w:rPr>
          <w:rFonts w:ascii="Arial" w:hAnsi="Arial" w:cs="Arial"/>
          <w:sz w:val="24"/>
          <w:szCs w:val="24"/>
        </w:rPr>
      </w:pPr>
      <w:r w:rsidRPr="00B9261A">
        <w:rPr>
          <w:rFonts w:ascii="Arial" w:hAnsi="Arial" w:cs="Arial"/>
          <w:b/>
          <w:bCs/>
          <w:sz w:val="24"/>
          <w:szCs w:val="24"/>
        </w:rPr>
        <w:t>Australia:</w:t>
      </w:r>
    </w:p>
    <w:p w14:paraId="349E5435" w14:textId="77777777" w:rsidR="00DF5698" w:rsidRPr="00B9261A" w:rsidRDefault="00DF5698" w:rsidP="00B9261A">
      <w:pPr>
        <w:numPr>
          <w:ilvl w:val="1"/>
          <w:numId w:val="12"/>
        </w:numPr>
        <w:spacing w:line="360" w:lineRule="auto"/>
        <w:jc w:val="both"/>
        <w:rPr>
          <w:rFonts w:ascii="Arial" w:hAnsi="Arial" w:cs="Arial"/>
          <w:sz w:val="24"/>
          <w:szCs w:val="24"/>
        </w:rPr>
      </w:pPr>
      <w:r w:rsidRPr="00B9261A">
        <w:rPr>
          <w:rFonts w:ascii="Arial" w:hAnsi="Arial" w:cs="Arial"/>
          <w:sz w:val="24"/>
          <w:szCs w:val="24"/>
        </w:rPr>
        <w:t xml:space="preserve">Operates via </w:t>
      </w:r>
      <w:r w:rsidRPr="00F876AA">
        <w:rPr>
          <w:rFonts w:ascii="Arial" w:hAnsi="Arial" w:cs="Arial"/>
          <w:bCs/>
          <w:sz w:val="24"/>
          <w:szCs w:val="24"/>
        </w:rPr>
        <w:t>BMW Australia Ltd.</w:t>
      </w:r>
      <w:r w:rsidRPr="00F876AA">
        <w:rPr>
          <w:rFonts w:ascii="Arial" w:hAnsi="Arial" w:cs="Arial"/>
          <w:sz w:val="24"/>
          <w:szCs w:val="24"/>
        </w:rPr>
        <w:t>,</w:t>
      </w:r>
      <w:r w:rsidRPr="00B9261A">
        <w:rPr>
          <w:rFonts w:ascii="Arial" w:hAnsi="Arial" w:cs="Arial"/>
          <w:sz w:val="24"/>
          <w:szCs w:val="24"/>
        </w:rPr>
        <w:t xml:space="preserve"> a wholly owned subsidiary.</w:t>
      </w:r>
    </w:p>
    <w:p w14:paraId="39114667" w14:textId="77777777" w:rsidR="00DF5698" w:rsidRPr="00B9261A" w:rsidRDefault="00DF5698" w:rsidP="00B9261A">
      <w:pPr>
        <w:numPr>
          <w:ilvl w:val="1"/>
          <w:numId w:val="12"/>
        </w:numPr>
        <w:spacing w:line="360" w:lineRule="auto"/>
        <w:jc w:val="both"/>
        <w:rPr>
          <w:rFonts w:ascii="Arial" w:hAnsi="Arial" w:cs="Arial"/>
          <w:sz w:val="24"/>
          <w:szCs w:val="24"/>
        </w:rPr>
      </w:pPr>
      <w:r w:rsidRPr="00B9261A">
        <w:rPr>
          <w:rFonts w:ascii="Arial" w:hAnsi="Arial" w:cs="Arial"/>
          <w:sz w:val="24"/>
          <w:szCs w:val="24"/>
        </w:rPr>
        <w:t>Imports fully built units from Germany, South Africa, and the USA.</w:t>
      </w:r>
    </w:p>
    <w:p w14:paraId="66C6AC64" w14:textId="77777777" w:rsidR="00DF5698" w:rsidRPr="00B9261A" w:rsidRDefault="00DF5698" w:rsidP="00B9261A">
      <w:pPr>
        <w:numPr>
          <w:ilvl w:val="1"/>
          <w:numId w:val="12"/>
        </w:numPr>
        <w:spacing w:line="360" w:lineRule="auto"/>
        <w:jc w:val="both"/>
        <w:rPr>
          <w:rFonts w:ascii="Arial" w:hAnsi="Arial" w:cs="Arial"/>
          <w:sz w:val="24"/>
          <w:szCs w:val="24"/>
        </w:rPr>
      </w:pPr>
      <w:r w:rsidRPr="00B9261A">
        <w:rPr>
          <w:rFonts w:ascii="Arial" w:hAnsi="Arial" w:cs="Arial"/>
          <w:sz w:val="24"/>
          <w:szCs w:val="24"/>
        </w:rPr>
        <w:t xml:space="preserve">Relies on strategic partnerships with </w:t>
      </w:r>
      <w:r w:rsidRPr="00F876AA">
        <w:rPr>
          <w:rFonts w:ascii="Arial" w:hAnsi="Arial" w:cs="Arial"/>
          <w:bCs/>
          <w:sz w:val="24"/>
          <w:szCs w:val="24"/>
        </w:rPr>
        <w:t>EV-charging providers (e.g., Chargefox)</w:t>
      </w:r>
      <w:r w:rsidRPr="00F876AA">
        <w:rPr>
          <w:rFonts w:ascii="Arial" w:hAnsi="Arial" w:cs="Arial"/>
          <w:sz w:val="24"/>
          <w:szCs w:val="24"/>
        </w:rPr>
        <w:t xml:space="preserve"> t</w:t>
      </w:r>
      <w:r w:rsidRPr="00B9261A">
        <w:rPr>
          <w:rFonts w:ascii="Arial" w:hAnsi="Arial" w:cs="Arial"/>
          <w:sz w:val="24"/>
          <w:szCs w:val="24"/>
        </w:rPr>
        <w:t xml:space="preserve">o </w:t>
      </w:r>
      <w:r w:rsidR="00120AF0" w:rsidRPr="00B9261A">
        <w:rPr>
          <w:rFonts w:ascii="Arial" w:hAnsi="Arial" w:cs="Arial"/>
          <w:sz w:val="24"/>
          <w:szCs w:val="24"/>
        </w:rPr>
        <w:t>improve</w:t>
      </w:r>
      <w:r w:rsidRPr="00B9261A">
        <w:rPr>
          <w:rFonts w:ascii="Arial" w:hAnsi="Arial" w:cs="Arial"/>
          <w:sz w:val="24"/>
          <w:szCs w:val="24"/>
        </w:rPr>
        <w:t xml:space="preserve"> </w:t>
      </w:r>
      <w:r w:rsidR="00120AF0" w:rsidRPr="00B9261A">
        <w:rPr>
          <w:rFonts w:ascii="Arial" w:hAnsi="Arial" w:cs="Arial"/>
          <w:sz w:val="24"/>
          <w:szCs w:val="24"/>
        </w:rPr>
        <w:t>facility</w:t>
      </w:r>
      <w:r w:rsidRPr="00B9261A">
        <w:rPr>
          <w:rFonts w:ascii="Arial" w:hAnsi="Arial" w:cs="Arial"/>
          <w:sz w:val="24"/>
          <w:szCs w:val="24"/>
        </w:rPr>
        <w:t xml:space="preserve"> ecosystem.</w:t>
      </w:r>
    </w:p>
    <w:p w14:paraId="6ED06366" w14:textId="77777777" w:rsidR="00DF5698" w:rsidRPr="00B9261A" w:rsidRDefault="00DF5698" w:rsidP="00B9261A">
      <w:pPr>
        <w:numPr>
          <w:ilvl w:val="1"/>
          <w:numId w:val="12"/>
        </w:numPr>
        <w:spacing w:line="360" w:lineRule="auto"/>
        <w:jc w:val="both"/>
        <w:rPr>
          <w:rFonts w:ascii="Arial" w:hAnsi="Arial" w:cs="Arial"/>
          <w:sz w:val="24"/>
          <w:szCs w:val="24"/>
        </w:rPr>
      </w:pPr>
      <w:r w:rsidRPr="00B9261A">
        <w:rPr>
          <w:rFonts w:ascii="Arial" w:hAnsi="Arial" w:cs="Arial"/>
          <w:sz w:val="24"/>
          <w:szCs w:val="24"/>
        </w:rPr>
        <w:t xml:space="preserve">Given </w:t>
      </w:r>
      <w:r w:rsidR="00120AF0">
        <w:rPr>
          <w:rFonts w:ascii="Arial" w:hAnsi="Arial" w:cs="Arial"/>
          <w:sz w:val="24"/>
          <w:szCs w:val="24"/>
        </w:rPr>
        <w:t xml:space="preserve">a </w:t>
      </w:r>
      <w:r w:rsidR="00120AF0" w:rsidRPr="00B9261A">
        <w:rPr>
          <w:rFonts w:ascii="Arial" w:hAnsi="Arial" w:cs="Arial"/>
          <w:sz w:val="24"/>
          <w:szCs w:val="24"/>
        </w:rPr>
        <w:t>slighter</w:t>
      </w:r>
      <w:r w:rsidRPr="00B9261A">
        <w:rPr>
          <w:rFonts w:ascii="Arial" w:hAnsi="Arial" w:cs="Arial"/>
          <w:sz w:val="24"/>
          <w:szCs w:val="24"/>
        </w:rPr>
        <w:t xml:space="preserve"> scale, </w:t>
      </w:r>
      <w:r w:rsidR="00120AF0" w:rsidRPr="00B9261A">
        <w:rPr>
          <w:rFonts w:ascii="Arial" w:hAnsi="Arial" w:cs="Arial"/>
          <w:sz w:val="24"/>
          <w:szCs w:val="24"/>
        </w:rPr>
        <w:t>trusts</w:t>
      </w:r>
      <w:r w:rsidRPr="00B9261A">
        <w:rPr>
          <w:rFonts w:ascii="Arial" w:hAnsi="Arial" w:cs="Arial"/>
          <w:sz w:val="24"/>
          <w:szCs w:val="24"/>
        </w:rPr>
        <w:t xml:space="preserve"> on </w:t>
      </w:r>
      <w:r w:rsidRPr="00F876AA">
        <w:rPr>
          <w:rFonts w:ascii="Arial" w:hAnsi="Arial" w:cs="Arial"/>
          <w:bCs/>
          <w:sz w:val="24"/>
          <w:szCs w:val="24"/>
        </w:rPr>
        <w:t xml:space="preserve">exclusive </w:t>
      </w:r>
      <w:r w:rsidR="00120AF0" w:rsidRPr="00F876AA">
        <w:rPr>
          <w:rFonts w:ascii="Arial" w:hAnsi="Arial" w:cs="Arial"/>
          <w:bCs/>
          <w:sz w:val="24"/>
          <w:szCs w:val="24"/>
        </w:rPr>
        <w:t>charters</w:t>
      </w:r>
      <w:r w:rsidR="00120AF0">
        <w:rPr>
          <w:rFonts w:ascii="Arial" w:hAnsi="Arial" w:cs="Arial"/>
          <w:sz w:val="24"/>
          <w:szCs w:val="24"/>
        </w:rPr>
        <w:t xml:space="preserve"> rather than massive</w:t>
      </w:r>
      <w:r w:rsidRPr="00B9261A">
        <w:rPr>
          <w:rFonts w:ascii="Arial" w:hAnsi="Arial" w:cs="Arial"/>
          <w:sz w:val="24"/>
          <w:szCs w:val="24"/>
        </w:rPr>
        <w:t>-volume networks.</w:t>
      </w:r>
    </w:p>
    <w:p w14:paraId="4B822F8C" w14:textId="77777777" w:rsidR="00120AF0" w:rsidRDefault="00DF5698" w:rsidP="003032C2">
      <w:pPr>
        <w:spacing w:line="360" w:lineRule="auto"/>
        <w:rPr>
          <w:rFonts w:ascii="Arial" w:hAnsi="Arial" w:cs="Arial"/>
          <w:sz w:val="24"/>
          <w:szCs w:val="24"/>
        </w:rPr>
      </w:pPr>
      <w:r w:rsidRPr="00B9261A">
        <w:rPr>
          <w:rFonts w:ascii="Arial" w:hAnsi="Arial" w:cs="Arial"/>
          <w:b/>
          <w:bCs/>
          <w:sz w:val="24"/>
          <w:szCs w:val="24"/>
        </w:rPr>
        <w:t>Strategic Implications:</w:t>
      </w:r>
    </w:p>
    <w:p w14:paraId="5C66F27D" w14:textId="77777777" w:rsidR="00DF5698" w:rsidRDefault="00120AF0" w:rsidP="00120AF0">
      <w:pPr>
        <w:spacing w:line="360" w:lineRule="auto"/>
        <w:jc w:val="both"/>
        <w:rPr>
          <w:rFonts w:ascii="Arial" w:hAnsi="Arial" w:cs="Arial"/>
          <w:sz w:val="24"/>
          <w:szCs w:val="24"/>
        </w:rPr>
      </w:pPr>
      <w:r w:rsidRPr="00120AF0">
        <w:rPr>
          <w:rFonts w:ascii="Arial" w:hAnsi="Arial" w:cs="Arial"/>
          <w:sz w:val="24"/>
          <w:szCs w:val="24"/>
        </w:rPr>
        <w:t>This form of global ownership control and local partnership allows BMW to have good governance of its premium positioning. The U.S. structure would provide better cost effectiveness and closeness to the end consumer, whereas the importers model used in Australia would require the brand to be differentiated by experien</w:t>
      </w:r>
      <w:r>
        <w:rPr>
          <w:rFonts w:ascii="Arial" w:hAnsi="Arial" w:cs="Arial"/>
          <w:sz w:val="24"/>
          <w:szCs w:val="24"/>
        </w:rPr>
        <w:t>ce marketing and sustainability</w:t>
      </w:r>
      <w:r w:rsidR="00BE4D16">
        <w:rPr>
          <w:rFonts w:ascii="Arial" w:hAnsi="Arial" w:cs="Arial"/>
          <w:sz w:val="24"/>
          <w:szCs w:val="24"/>
        </w:rPr>
        <w:t>.</w:t>
      </w:r>
    </w:p>
    <w:p w14:paraId="74717D13" w14:textId="77777777" w:rsidR="000B3E9E" w:rsidRPr="000B3E9E" w:rsidRDefault="000B3E9E" w:rsidP="000B3E9E">
      <w:pPr>
        <w:spacing w:line="360" w:lineRule="auto"/>
        <w:jc w:val="both"/>
        <w:rPr>
          <w:rFonts w:ascii="Arial" w:hAnsi="Arial" w:cs="Arial"/>
          <w:sz w:val="24"/>
          <w:szCs w:val="24"/>
        </w:rPr>
      </w:pPr>
      <w:r w:rsidRPr="000B3E9E">
        <w:rPr>
          <w:rFonts w:ascii="Arial" w:hAnsi="Arial" w:cs="Arial"/>
          <w:noProof/>
          <w:sz w:val="24"/>
          <w:szCs w:val="24"/>
        </w:rPr>
        <w:lastRenderedPageBreak/>
        <w:drawing>
          <wp:inline distT="0" distB="0" distL="0" distR="0" wp14:anchorId="156CBC4D" wp14:editId="0780A1A7">
            <wp:extent cx="5772150" cy="2564774"/>
            <wp:effectExtent l="0" t="0" r="0" b="6985"/>
            <wp:docPr id="20" name="Picture 20" descr="D:\ASSIGNMENT WORK\PIYUSH\INTL MKT PP BMW\bmw-group-plug-in-car-sales-q1-2024-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D:\ASSIGNMENT WORK\PIYUSH\INTL MKT PP BMW\bmw-group-plug-in-car-sales-q1-2024-e.jpe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79311" cy="2567956"/>
                    </a:xfrm>
                    <a:prstGeom prst="rect">
                      <a:avLst/>
                    </a:prstGeom>
                    <a:noFill/>
                    <a:ln>
                      <a:noFill/>
                    </a:ln>
                  </pic:spPr>
                </pic:pic>
              </a:graphicData>
            </a:graphic>
          </wp:inline>
        </w:drawing>
      </w:r>
    </w:p>
    <w:p w14:paraId="40D82FAC" w14:textId="77777777" w:rsidR="000B3E9E" w:rsidRPr="00B9261A" w:rsidRDefault="000B3E9E" w:rsidP="00B9261A">
      <w:pPr>
        <w:spacing w:line="360" w:lineRule="auto"/>
        <w:jc w:val="both"/>
        <w:rPr>
          <w:rFonts w:ascii="Arial" w:hAnsi="Arial" w:cs="Arial"/>
          <w:sz w:val="24"/>
          <w:szCs w:val="24"/>
        </w:rPr>
      </w:pPr>
    </w:p>
    <w:p w14:paraId="40A9B75F" w14:textId="77777777" w:rsidR="00DF5698" w:rsidRDefault="000B3E9E" w:rsidP="00B9261A">
      <w:pPr>
        <w:spacing w:line="360" w:lineRule="auto"/>
        <w:jc w:val="both"/>
        <w:rPr>
          <w:rFonts w:ascii="Arial" w:hAnsi="Arial" w:cs="Arial"/>
          <w:sz w:val="24"/>
          <w:szCs w:val="24"/>
        </w:rPr>
      </w:pPr>
      <w:r>
        <w:rPr>
          <w:rFonts w:ascii="Arial" w:hAnsi="Arial" w:cs="Arial"/>
          <w:b/>
          <w:bCs/>
          <w:sz w:val="24"/>
          <w:szCs w:val="24"/>
        </w:rPr>
        <w:t>Summary:</w:t>
      </w:r>
      <w:r w:rsidR="00DF5698" w:rsidRPr="00B9261A">
        <w:rPr>
          <w:rFonts w:ascii="Arial" w:hAnsi="Arial" w:cs="Arial"/>
          <w:sz w:val="24"/>
          <w:szCs w:val="24"/>
        </w:rPr>
        <w:br/>
      </w:r>
      <w:r w:rsidR="00120AF0" w:rsidRPr="00120AF0">
        <w:rPr>
          <w:rFonts w:ascii="Arial" w:hAnsi="Arial" w:cs="Arial"/>
          <w:sz w:val="24"/>
          <w:szCs w:val="24"/>
        </w:rPr>
        <w:t>The international marketing strategy of BMW is consistent globally, flexible locally, and customer-innovative. The success of the brand in the U.S and Australia will be determined by how it can balance international equity and local regulatory, economic and cultural environments. Its marketing development is still based on digitalization, sustainabili</w:t>
      </w:r>
      <w:r w:rsidR="00120AF0">
        <w:rPr>
          <w:rFonts w:ascii="Arial" w:hAnsi="Arial" w:cs="Arial"/>
          <w:sz w:val="24"/>
          <w:szCs w:val="24"/>
        </w:rPr>
        <w:t>ty, and high-quality experience</w:t>
      </w:r>
      <w:r w:rsidR="00DF5698" w:rsidRPr="00B9261A">
        <w:rPr>
          <w:rFonts w:ascii="Arial" w:hAnsi="Arial" w:cs="Arial"/>
          <w:sz w:val="24"/>
          <w:szCs w:val="24"/>
        </w:rPr>
        <w:t>.</w:t>
      </w:r>
    </w:p>
    <w:p w14:paraId="49EC81D7" w14:textId="77777777" w:rsidR="00221CB7" w:rsidRDefault="00221CB7" w:rsidP="00B9261A">
      <w:pPr>
        <w:spacing w:line="360" w:lineRule="auto"/>
        <w:jc w:val="both"/>
        <w:rPr>
          <w:rFonts w:ascii="Arial" w:hAnsi="Arial" w:cs="Arial"/>
          <w:sz w:val="24"/>
          <w:szCs w:val="24"/>
        </w:rPr>
      </w:pPr>
    </w:p>
    <w:p w14:paraId="113DF624" w14:textId="77777777" w:rsidR="00221CB7" w:rsidRDefault="00221CB7" w:rsidP="00B9261A">
      <w:pPr>
        <w:spacing w:line="360" w:lineRule="auto"/>
        <w:jc w:val="both"/>
        <w:rPr>
          <w:rFonts w:ascii="Arial" w:hAnsi="Arial" w:cs="Arial"/>
          <w:sz w:val="24"/>
          <w:szCs w:val="24"/>
        </w:rPr>
      </w:pPr>
    </w:p>
    <w:p w14:paraId="11187F2C" w14:textId="77777777" w:rsidR="00221CB7" w:rsidRDefault="00221CB7" w:rsidP="00B9261A">
      <w:pPr>
        <w:spacing w:line="360" w:lineRule="auto"/>
        <w:jc w:val="both"/>
        <w:rPr>
          <w:rFonts w:ascii="Arial" w:hAnsi="Arial" w:cs="Arial"/>
          <w:sz w:val="24"/>
          <w:szCs w:val="24"/>
        </w:rPr>
      </w:pPr>
    </w:p>
    <w:p w14:paraId="73D38862" w14:textId="77777777" w:rsidR="00221CB7" w:rsidRDefault="00221CB7" w:rsidP="00B9261A">
      <w:pPr>
        <w:spacing w:line="360" w:lineRule="auto"/>
        <w:jc w:val="both"/>
        <w:rPr>
          <w:rFonts w:ascii="Arial" w:hAnsi="Arial" w:cs="Arial"/>
          <w:sz w:val="24"/>
          <w:szCs w:val="24"/>
        </w:rPr>
      </w:pPr>
    </w:p>
    <w:p w14:paraId="152409CC" w14:textId="77777777" w:rsidR="00221CB7" w:rsidRDefault="00221CB7" w:rsidP="00B9261A">
      <w:pPr>
        <w:spacing w:line="360" w:lineRule="auto"/>
        <w:jc w:val="both"/>
        <w:rPr>
          <w:rFonts w:ascii="Arial" w:hAnsi="Arial" w:cs="Arial"/>
          <w:sz w:val="24"/>
          <w:szCs w:val="24"/>
        </w:rPr>
      </w:pPr>
    </w:p>
    <w:p w14:paraId="229883B2" w14:textId="77777777" w:rsidR="00221CB7" w:rsidRDefault="00221CB7" w:rsidP="00B9261A">
      <w:pPr>
        <w:spacing w:line="360" w:lineRule="auto"/>
        <w:jc w:val="both"/>
        <w:rPr>
          <w:rFonts w:ascii="Arial" w:hAnsi="Arial" w:cs="Arial"/>
          <w:sz w:val="24"/>
          <w:szCs w:val="24"/>
        </w:rPr>
      </w:pPr>
    </w:p>
    <w:p w14:paraId="5000FA10" w14:textId="77777777" w:rsidR="00221CB7" w:rsidRPr="00B9261A" w:rsidRDefault="00221CB7" w:rsidP="00B9261A">
      <w:pPr>
        <w:spacing w:line="360" w:lineRule="auto"/>
        <w:jc w:val="both"/>
        <w:rPr>
          <w:rFonts w:ascii="Arial" w:hAnsi="Arial" w:cs="Arial"/>
          <w:sz w:val="24"/>
          <w:szCs w:val="24"/>
        </w:rPr>
      </w:pPr>
    </w:p>
    <w:p w14:paraId="50860CB5" w14:textId="77777777" w:rsidR="00DF5698" w:rsidRPr="00B9261A" w:rsidRDefault="009916D4" w:rsidP="00221CB7">
      <w:pPr>
        <w:pStyle w:val="Heading1"/>
      </w:pPr>
      <w:bookmarkStart w:id="13" w:name="_Toc215410041"/>
      <w:r>
        <w:lastRenderedPageBreak/>
        <w:t>5</w:t>
      </w:r>
      <w:r w:rsidR="00DF5698" w:rsidRPr="00B9261A">
        <w:t>. Cultural, Ethical &amp; Sustainability Considerations</w:t>
      </w:r>
      <w:bookmarkEnd w:id="13"/>
    </w:p>
    <w:p w14:paraId="41A24DE0" w14:textId="77777777" w:rsidR="00DF5698" w:rsidRPr="00B9261A" w:rsidRDefault="00120AF0" w:rsidP="00B9261A">
      <w:pPr>
        <w:spacing w:line="360" w:lineRule="auto"/>
        <w:jc w:val="both"/>
        <w:rPr>
          <w:rFonts w:ascii="Arial" w:hAnsi="Arial" w:cs="Arial"/>
          <w:sz w:val="24"/>
          <w:szCs w:val="24"/>
        </w:rPr>
      </w:pPr>
      <w:r w:rsidRPr="00120AF0">
        <w:rPr>
          <w:rFonts w:ascii="Arial" w:hAnsi="Arial" w:cs="Arial"/>
          <w:sz w:val="24"/>
          <w:szCs w:val="24"/>
        </w:rPr>
        <w:t xml:space="preserve">Marketing success in the global arena does not depend on high levels of technical and strategic excellence but also on cultural flexibility, ethical accountability and environmental custodianship. This sub-part is a critical analysis of the performance of BMW on these </w:t>
      </w:r>
      <w:r>
        <w:rPr>
          <w:rFonts w:ascii="Arial" w:hAnsi="Arial" w:cs="Arial"/>
          <w:sz w:val="24"/>
          <w:szCs w:val="24"/>
        </w:rPr>
        <w:t>dimensions in USA and Australia</w:t>
      </w:r>
      <w:r w:rsidR="00DF5698" w:rsidRPr="00B9261A">
        <w:rPr>
          <w:rFonts w:ascii="Arial" w:hAnsi="Arial" w:cs="Arial"/>
          <w:sz w:val="24"/>
          <w:szCs w:val="24"/>
        </w:rPr>
        <w:t>.</w:t>
      </w:r>
    </w:p>
    <w:p w14:paraId="0A926737" w14:textId="77777777" w:rsidR="00DF5698" w:rsidRPr="00B9261A" w:rsidRDefault="009916D4" w:rsidP="00221CB7">
      <w:pPr>
        <w:pStyle w:val="Heading2"/>
      </w:pPr>
      <w:bookmarkStart w:id="14" w:name="_Toc215410042"/>
      <w:r>
        <w:t>5</w:t>
      </w:r>
      <w:r w:rsidR="00DF5698" w:rsidRPr="00B9261A">
        <w:t>.1 Cultural Dimensions and Adaptation (Hofstede Framework)</w:t>
      </w:r>
      <w:bookmarkEnd w:id="14"/>
    </w:p>
    <w:p w14:paraId="2D8E5E7B" w14:textId="77777777" w:rsidR="00DF5698" w:rsidRPr="00B9261A" w:rsidRDefault="00120AF0" w:rsidP="00B9261A">
      <w:pPr>
        <w:spacing w:line="360" w:lineRule="auto"/>
        <w:jc w:val="both"/>
        <w:rPr>
          <w:rFonts w:ascii="Arial" w:hAnsi="Arial" w:cs="Arial"/>
          <w:sz w:val="24"/>
          <w:szCs w:val="24"/>
        </w:rPr>
      </w:pPr>
      <w:r w:rsidRPr="00120AF0">
        <w:rPr>
          <w:rFonts w:ascii="Arial" w:hAnsi="Arial" w:cs="Arial"/>
          <w:sz w:val="24"/>
          <w:szCs w:val="24"/>
        </w:rPr>
        <w:t>Culture affects consumer perception, tone of advertisement and brand resonance. The dimensions used by Hofstede offer an analytical tool to contrast the USA with Australia, two western, individualistic cultures that have their unique nuances that affect the way BMW should market it</w:t>
      </w:r>
      <w:r>
        <w:rPr>
          <w:rFonts w:ascii="Arial" w:hAnsi="Arial" w:cs="Arial"/>
          <w:sz w:val="24"/>
          <w:szCs w:val="24"/>
        </w:rPr>
        <w:t>s products and provide services</w:t>
      </w:r>
      <w:r w:rsidR="00DF5698" w:rsidRPr="00B9261A">
        <w:rPr>
          <w:rFonts w:ascii="Arial" w:hAnsi="Arial" w:cs="Arial"/>
          <w:sz w:val="24"/>
          <w:szCs w:val="24"/>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54"/>
        <w:gridCol w:w="869"/>
        <w:gridCol w:w="1263"/>
        <w:gridCol w:w="5364"/>
      </w:tblGrid>
      <w:tr w:rsidR="00DF5698" w:rsidRPr="00B9261A" w14:paraId="455C87F2" w14:textId="77777777" w:rsidTr="00BE4D16">
        <w:trPr>
          <w:tblHeader/>
          <w:tblCellSpacing w:w="15" w:type="dxa"/>
        </w:trPr>
        <w:tc>
          <w:tcPr>
            <w:tcW w:w="0" w:type="auto"/>
            <w:vAlign w:val="center"/>
            <w:hideMark/>
          </w:tcPr>
          <w:p w14:paraId="49CB62AF"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Dimension</w:t>
            </w:r>
          </w:p>
        </w:tc>
        <w:tc>
          <w:tcPr>
            <w:tcW w:w="0" w:type="auto"/>
            <w:vAlign w:val="center"/>
            <w:hideMark/>
          </w:tcPr>
          <w:p w14:paraId="1A95B0CA"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USA Score</w:t>
            </w:r>
          </w:p>
        </w:tc>
        <w:tc>
          <w:tcPr>
            <w:tcW w:w="0" w:type="auto"/>
            <w:vAlign w:val="center"/>
            <w:hideMark/>
          </w:tcPr>
          <w:p w14:paraId="7BABE75B"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Australia Score</w:t>
            </w:r>
          </w:p>
        </w:tc>
        <w:tc>
          <w:tcPr>
            <w:tcW w:w="0" w:type="auto"/>
            <w:vAlign w:val="center"/>
            <w:hideMark/>
          </w:tcPr>
          <w:p w14:paraId="0CD7942F" w14:textId="77777777" w:rsidR="00DF5698" w:rsidRPr="00B9261A" w:rsidRDefault="00DF5698" w:rsidP="00B9261A">
            <w:pPr>
              <w:spacing w:line="360" w:lineRule="auto"/>
              <w:jc w:val="both"/>
              <w:rPr>
                <w:rFonts w:ascii="Arial" w:hAnsi="Arial" w:cs="Arial"/>
                <w:b/>
                <w:bCs/>
                <w:sz w:val="24"/>
                <w:szCs w:val="24"/>
              </w:rPr>
            </w:pPr>
            <w:r w:rsidRPr="00B9261A">
              <w:rPr>
                <w:rFonts w:ascii="Arial" w:hAnsi="Arial" w:cs="Arial"/>
                <w:b/>
                <w:bCs/>
                <w:sz w:val="24"/>
                <w:szCs w:val="24"/>
              </w:rPr>
              <w:t>Marketing Implications for BMW</w:t>
            </w:r>
          </w:p>
        </w:tc>
      </w:tr>
      <w:tr w:rsidR="00DF5698" w:rsidRPr="00B9261A" w14:paraId="69792ECD" w14:textId="77777777" w:rsidTr="00BE4D16">
        <w:trPr>
          <w:tblCellSpacing w:w="15" w:type="dxa"/>
        </w:trPr>
        <w:tc>
          <w:tcPr>
            <w:tcW w:w="0" w:type="auto"/>
            <w:vAlign w:val="center"/>
            <w:hideMark/>
          </w:tcPr>
          <w:p w14:paraId="09D82396"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Power Distance</w:t>
            </w:r>
          </w:p>
        </w:tc>
        <w:tc>
          <w:tcPr>
            <w:tcW w:w="0" w:type="auto"/>
            <w:vAlign w:val="center"/>
            <w:hideMark/>
          </w:tcPr>
          <w:p w14:paraId="43D9EEB5"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40</w:t>
            </w:r>
          </w:p>
        </w:tc>
        <w:tc>
          <w:tcPr>
            <w:tcW w:w="0" w:type="auto"/>
            <w:vAlign w:val="center"/>
            <w:hideMark/>
          </w:tcPr>
          <w:p w14:paraId="1AA77EF5"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36</w:t>
            </w:r>
          </w:p>
        </w:tc>
        <w:tc>
          <w:tcPr>
            <w:tcW w:w="0" w:type="auto"/>
            <w:vAlign w:val="center"/>
            <w:hideMark/>
          </w:tcPr>
          <w:p w14:paraId="26BE3161"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Both low — consumers expect equality and direct communication. BMW emphasises approachable luxury and performance excellence rather than hierarchical prestige.</w:t>
            </w:r>
          </w:p>
        </w:tc>
      </w:tr>
      <w:tr w:rsidR="00DF5698" w:rsidRPr="00B9261A" w14:paraId="74A9B642" w14:textId="77777777" w:rsidTr="00BE4D16">
        <w:trPr>
          <w:tblCellSpacing w:w="15" w:type="dxa"/>
        </w:trPr>
        <w:tc>
          <w:tcPr>
            <w:tcW w:w="0" w:type="auto"/>
            <w:vAlign w:val="center"/>
            <w:hideMark/>
          </w:tcPr>
          <w:p w14:paraId="69056322"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Individualism</w:t>
            </w:r>
          </w:p>
        </w:tc>
        <w:tc>
          <w:tcPr>
            <w:tcW w:w="0" w:type="auto"/>
            <w:vAlign w:val="center"/>
            <w:hideMark/>
          </w:tcPr>
          <w:p w14:paraId="0EB90870"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91</w:t>
            </w:r>
          </w:p>
        </w:tc>
        <w:tc>
          <w:tcPr>
            <w:tcW w:w="0" w:type="auto"/>
            <w:vAlign w:val="center"/>
            <w:hideMark/>
          </w:tcPr>
          <w:p w14:paraId="6B85788B"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90</w:t>
            </w:r>
          </w:p>
        </w:tc>
        <w:tc>
          <w:tcPr>
            <w:tcW w:w="0" w:type="auto"/>
            <w:vAlign w:val="center"/>
            <w:hideMark/>
          </w:tcPr>
          <w:p w14:paraId="7A6E4DC0"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Highly individualistic markets. BMW appeals to self-expression and achievement, promoting ownership pride through “Ultimate Driving Machine” and personalisation options.</w:t>
            </w:r>
          </w:p>
        </w:tc>
      </w:tr>
      <w:tr w:rsidR="00DF5698" w:rsidRPr="00B9261A" w14:paraId="002BC366" w14:textId="77777777" w:rsidTr="00BE4D16">
        <w:trPr>
          <w:tblCellSpacing w:w="15" w:type="dxa"/>
        </w:trPr>
        <w:tc>
          <w:tcPr>
            <w:tcW w:w="0" w:type="auto"/>
            <w:vAlign w:val="center"/>
            <w:hideMark/>
          </w:tcPr>
          <w:p w14:paraId="2DC1F764"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Masculinity</w:t>
            </w:r>
          </w:p>
        </w:tc>
        <w:tc>
          <w:tcPr>
            <w:tcW w:w="0" w:type="auto"/>
            <w:vAlign w:val="center"/>
            <w:hideMark/>
          </w:tcPr>
          <w:p w14:paraId="053C8316"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62</w:t>
            </w:r>
          </w:p>
        </w:tc>
        <w:tc>
          <w:tcPr>
            <w:tcW w:w="0" w:type="auto"/>
            <w:vAlign w:val="center"/>
            <w:hideMark/>
          </w:tcPr>
          <w:p w14:paraId="7D7D889A"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61</w:t>
            </w:r>
          </w:p>
        </w:tc>
        <w:tc>
          <w:tcPr>
            <w:tcW w:w="0" w:type="auto"/>
            <w:vAlign w:val="center"/>
            <w:hideMark/>
          </w:tcPr>
          <w:p w14:paraId="53EE8331"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Competitive, success-driven cultures. BMW’s messaging on performance and innovation resonates strongly. Motorsport heritage is leveraged in the U.S. via BMW M marketing.</w:t>
            </w:r>
          </w:p>
        </w:tc>
      </w:tr>
      <w:tr w:rsidR="00DF5698" w:rsidRPr="00B9261A" w14:paraId="198E4464" w14:textId="77777777" w:rsidTr="00BE4D16">
        <w:trPr>
          <w:tblCellSpacing w:w="15" w:type="dxa"/>
        </w:trPr>
        <w:tc>
          <w:tcPr>
            <w:tcW w:w="0" w:type="auto"/>
            <w:vAlign w:val="center"/>
            <w:hideMark/>
          </w:tcPr>
          <w:p w14:paraId="29F3D64E"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lastRenderedPageBreak/>
              <w:t>Uncertainty Avoidance</w:t>
            </w:r>
          </w:p>
        </w:tc>
        <w:tc>
          <w:tcPr>
            <w:tcW w:w="0" w:type="auto"/>
            <w:vAlign w:val="center"/>
            <w:hideMark/>
          </w:tcPr>
          <w:p w14:paraId="0A71354C"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46</w:t>
            </w:r>
          </w:p>
        </w:tc>
        <w:tc>
          <w:tcPr>
            <w:tcW w:w="0" w:type="auto"/>
            <w:vAlign w:val="center"/>
            <w:hideMark/>
          </w:tcPr>
          <w:p w14:paraId="341666FF"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51</w:t>
            </w:r>
          </w:p>
        </w:tc>
        <w:tc>
          <w:tcPr>
            <w:tcW w:w="0" w:type="auto"/>
            <w:vAlign w:val="center"/>
            <w:hideMark/>
          </w:tcPr>
          <w:p w14:paraId="5A7A1BED"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Moderate tolerance for risk. BMW highlights safety tech, warranty reliability, and proven German engineering to reduce perceived risk.</w:t>
            </w:r>
          </w:p>
        </w:tc>
      </w:tr>
      <w:tr w:rsidR="00DF5698" w:rsidRPr="00B9261A" w14:paraId="72961534" w14:textId="77777777" w:rsidTr="00BE4D16">
        <w:trPr>
          <w:tblCellSpacing w:w="15" w:type="dxa"/>
        </w:trPr>
        <w:tc>
          <w:tcPr>
            <w:tcW w:w="0" w:type="auto"/>
            <w:vAlign w:val="center"/>
            <w:hideMark/>
          </w:tcPr>
          <w:p w14:paraId="01E27C62"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Long-term Orientation</w:t>
            </w:r>
          </w:p>
        </w:tc>
        <w:tc>
          <w:tcPr>
            <w:tcW w:w="0" w:type="auto"/>
            <w:vAlign w:val="center"/>
            <w:hideMark/>
          </w:tcPr>
          <w:p w14:paraId="68CA7D16"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26</w:t>
            </w:r>
          </w:p>
        </w:tc>
        <w:tc>
          <w:tcPr>
            <w:tcW w:w="0" w:type="auto"/>
            <w:vAlign w:val="center"/>
            <w:hideMark/>
          </w:tcPr>
          <w:p w14:paraId="3B2DABC2"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21</w:t>
            </w:r>
          </w:p>
        </w:tc>
        <w:tc>
          <w:tcPr>
            <w:tcW w:w="0" w:type="auto"/>
            <w:vAlign w:val="center"/>
            <w:hideMark/>
          </w:tcPr>
          <w:p w14:paraId="6222F822"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Short-term orientation. BMW adapts with aspirational yet attainable ownership experiences (leasing, certified pre-owned programs).</w:t>
            </w:r>
          </w:p>
        </w:tc>
      </w:tr>
      <w:tr w:rsidR="00DF5698" w:rsidRPr="00B9261A" w14:paraId="198773FD" w14:textId="77777777" w:rsidTr="00BE4D16">
        <w:trPr>
          <w:tblCellSpacing w:w="15" w:type="dxa"/>
        </w:trPr>
        <w:tc>
          <w:tcPr>
            <w:tcW w:w="0" w:type="auto"/>
            <w:vAlign w:val="center"/>
            <w:hideMark/>
          </w:tcPr>
          <w:p w14:paraId="02B85877"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Indulgence</w:t>
            </w:r>
          </w:p>
        </w:tc>
        <w:tc>
          <w:tcPr>
            <w:tcW w:w="0" w:type="auto"/>
            <w:vAlign w:val="center"/>
            <w:hideMark/>
          </w:tcPr>
          <w:p w14:paraId="75268859"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68</w:t>
            </w:r>
          </w:p>
        </w:tc>
        <w:tc>
          <w:tcPr>
            <w:tcW w:w="0" w:type="auto"/>
            <w:vAlign w:val="center"/>
            <w:hideMark/>
          </w:tcPr>
          <w:p w14:paraId="6249A43C"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71</w:t>
            </w:r>
          </w:p>
        </w:tc>
        <w:tc>
          <w:tcPr>
            <w:tcW w:w="0" w:type="auto"/>
            <w:vAlign w:val="center"/>
            <w:hideMark/>
          </w:tcPr>
          <w:p w14:paraId="3E2E83EA"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sz w:val="24"/>
                <w:szCs w:val="24"/>
              </w:rPr>
              <w:t>High indulgence — focus on lifestyle, enjoyment, and personal freedom. BMW advertising emphasises emotional connection and driving pleasure.</w:t>
            </w:r>
          </w:p>
        </w:tc>
      </w:tr>
    </w:tbl>
    <w:p w14:paraId="7C796B6D"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Analysis:</w:t>
      </w:r>
      <w:r w:rsidRPr="00B9261A">
        <w:rPr>
          <w:rFonts w:ascii="Arial" w:hAnsi="Arial" w:cs="Arial"/>
          <w:sz w:val="24"/>
          <w:szCs w:val="24"/>
        </w:rPr>
        <w:br/>
      </w:r>
      <w:r w:rsidR="00120AF0" w:rsidRPr="00120AF0">
        <w:rPr>
          <w:rFonts w:ascii="Arial" w:hAnsi="Arial" w:cs="Arial"/>
          <w:sz w:val="24"/>
          <w:szCs w:val="24"/>
        </w:rPr>
        <w:t>The two markets are similar in terms of cultural fit, and BMW can implement the same core brand messages (freedom, performance, individuality). Nevertheless, the tones used in advertising vary: The U.S. ones emphasize the competitive spirit and innovativeness (EV campaign "Power of Choice"), whereas the Australian ones prefer the stories of the so-called aspirational</w:t>
      </w:r>
      <w:r w:rsidR="00120AF0">
        <w:rPr>
          <w:rFonts w:ascii="Arial" w:hAnsi="Arial" w:cs="Arial"/>
          <w:sz w:val="24"/>
          <w:szCs w:val="24"/>
        </w:rPr>
        <w:t xml:space="preserve"> lifestyle and environmentalism</w:t>
      </w:r>
      <w:r w:rsidR="00BE4D16">
        <w:rPr>
          <w:rFonts w:ascii="Arial" w:hAnsi="Arial" w:cs="Arial"/>
          <w:sz w:val="24"/>
          <w:szCs w:val="24"/>
        </w:rPr>
        <w:t>.</w:t>
      </w:r>
    </w:p>
    <w:p w14:paraId="591B2F7B" w14:textId="77777777" w:rsidR="00DF5698" w:rsidRPr="00B9261A" w:rsidRDefault="009916D4" w:rsidP="00221CB7">
      <w:pPr>
        <w:pStyle w:val="Heading2"/>
      </w:pPr>
      <w:bookmarkStart w:id="15" w:name="_Toc215410043"/>
      <w:r>
        <w:t>5</w:t>
      </w:r>
      <w:r w:rsidR="00DF5698" w:rsidRPr="00B9261A">
        <w:t>.2 Ethical Marketing and Corporate Social Responsibility (CSR)</w:t>
      </w:r>
      <w:bookmarkEnd w:id="15"/>
    </w:p>
    <w:p w14:paraId="02F95755" w14:textId="77777777" w:rsidR="00DF5698" w:rsidRPr="00B9261A" w:rsidRDefault="00120AF0" w:rsidP="00B9261A">
      <w:pPr>
        <w:spacing w:line="360" w:lineRule="auto"/>
        <w:jc w:val="both"/>
        <w:rPr>
          <w:rFonts w:ascii="Arial" w:hAnsi="Arial" w:cs="Arial"/>
          <w:sz w:val="24"/>
          <w:szCs w:val="24"/>
        </w:rPr>
      </w:pPr>
      <w:r w:rsidRPr="00120AF0">
        <w:rPr>
          <w:rFonts w:ascii="Arial" w:hAnsi="Arial" w:cs="Arial"/>
          <w:sz w:val="24"/>
          <w:szCs w:val="24"/>
        </w:rPr>
        <w:t xml:space="preserve">The worldwide Ethics and Compliance system of BMW is based on integrity and sustainability and stakeholder interactions. Nevertheless, ethical marketing implementation is different depending on local laws </w:t>
      </w:r>
      <w:r>
        <w:rPr>
          <w:rFonts w:ascii="Arial" w:hAnsi="Arial" w:cs="Arial"/>
          <w:sz w:val="24"/>
          <w:szCs w:val="24"/>
        </w:rPr>
        <w:t>and expectations of the society</w:t>
      </w:r>
      <w:r w:rsidR="00DF5698" w:rsidRPr="00B9261A">
        <w:rPr>
          <w:rFonts w:ascii="Arial" w:hAnsi="Arial" w:cs="Arial"/>
          <w:sz w:val="24"/>
          <w:szCs w:val="24"/>
        </w:rPr>
        <w:t>.</w:t>
      </w:r>
    </w:p>
    <w:p w14:paraId="3297FC98"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Key Ethical Practices:</w:t>
      </w:r>
    </w:p>
    <w:p w14:paraId="0BC22D37" w14:textId="77777777" w:rsidR="00120AF0" w:rsidRPr="00120AF0" w:rsidRDefault="00120AF0" w:rsidP="00120AF0">
      <w:pPr>
        <w:numPr>
          <w:ilvl w:val="0"/>
          <w:numId w:val="13"/>
        </w:numPr>
        <w:spacing w:line="360" w:lineRule="auto"/>
        <w:jc w:val="both"/>
        <w:rPr>
          <w:rFonts w:ascii="Arial" w:hAnsi="Arial" w:cs="Arial"/>
          <w:sz w:val="24"/>
          <w:szCs w:val="24"/>
        </w:rPr>
      </w:pPr>
      <w:r w:rsidRPr="00120AF0">
        <w:rPr>
          <w:rFonts w:ascii="Arial" w:hAnsi="Arial" w:cs="Arial"/>
          <w:b/>
          <w:sz w:val="24"/>
          <w:szCs w:val="24"/>
        </w:rPr>
        <w:t>Clarity in Advertising:</w:t>
      </w:r>
      <w:r w:rsidRPr="00120AF0">
        <w:rPr>
          <w:rFonts w:ascii="Arial" w:hAnsi="Arial" w:cs="Arial"/>
          <w:sz w:val="24"/>
          <w:szCs w:val="24"/>
        </w:rPr>
        <w:t xml:space="preserve"> BMW makes sure that its claims (e.g., CO2 emissions, range estimates) are taken care of in accordance with regulatory standards. In the USA BMW is in compliance with the FTC truth-in-advertising standards; in Australia advertising codes ACCC.</w:t>
      </w:r>
    </w:p>
    <w:p w14:paraId="334D40DE" w14:textId="77777777" w:rsidR="00120AF0" w:rsidRPr="00120AF0" w:rsidRDefault="00120AF0" w:rsidP="00120AF0">
      <w:pPr>
        <w:numPr>
          <w:ilvl w:val="0"/>
          <w:numId w:val="13"/>
        </w:numPr>
        <w:spacing w:line="360" w:lineRule="auto"/>
        <w:jc w:val="both"/>
        <w:rPr>
          <w:rFonts w:ascii="Arial" w:hAnsi="Arial" w:cs="Arial"/>
          <w:sz w:val="24"/>
          <w:szCs w:val="24"/>
        </w:rPr>
      </w:pPr>
      <w:r w:rsidRPr="00120AF0">
        <w:rPr>
          <w:rFonts w:ascii="Arial" w:hAnsi="Arial" w:cs="Arial"/>
          <w:b/>
          <w:sz w:val="24"/>
          <w:szCs w:val="24"/>
        </w:rPr>
        <w:lastRenderedPageBreak/>
        <w:t>Data Protection and Customer Privacy:</w:t>
      </w:r>
      <w:r w:rsidRPr="00120AF0">
        <w:rPr>
          <w:rFonts w:ascii="Arial" w:hAnsi="Arial" w:cs="Arial"/>
          <w:sz w:val="24"/>
          <w:szCs w:val="24"/>
        </w:rPr>
        <w:t xml:space="preserve"> The My BMW App by BMW USA can be used in line with the privacy laws in the United States (CCPA) on privacy matters and in the case of BMW Australia, with the Privacy Act 1988.</w:t>
      </w:r>
    </w:p>
    <w:p w14:paraId="35BE4CBB" w14:textId="77777777" w:rsidR="00120AF0" w:rsidRPr="00120AF0" w:rsidRDefault="00120AF0" w:rsidP="00120AF0">
      <w:pPr>
        <w:numPr>
          <w:ilvl w:val="0"/>
          <w:numId w:val="13"/>
        </w:numPr>
        <w:spacing w:line="360" w:lineRule="auto"/>
        <w:jc w:val="both"/>
        <w:rPr>
          <w:rFonts w:ascii="Arial" w:hAnsi="Arial" w:cs="Arial"/>
          <w:sz w:val="24"/>
          <w:szCs w:val="24"/>
        </w:rPr>
      </w:pPr>
      <w:r w:rsidRPr="00120AF0">
        <w:rPr>
          <w:rFonts w:ascii="Arial" w:hAnsi="Arial" w:cs="Arial"/>
          <w:b/>
          <w:sz w:val="24"/>
          <w:szCs w:val="24"/>
        </w:rPr>
        <w:t>Responsible Dealership Conduct:</w:t>
      </w:r>
      <w:r w:rsidRPr="00120AF0">
        <w:rPr>
          <w:rFonts w:ascii="Arial" w:hAnsi="Arial" w:cs="Arial"/>
          <w:sz w:val="24"/>
          <w:szCs w:val="24"/>
        </w:rPr>
        <w:t xml:space="preserve"> The subsidiaries are both audited on compliance to ensure fairness and anti-bribery standards, as per the Group Compliance Policy of BMW AG.</w:t>
      </w:r>
    </w:p>
    <w:p w14:paraId="609271BB" w14:textId="77777777" w:rsidR="00DF5698" w:rsidRPr="00B9261A" w:rsidRDefault="00120AF0" w:rsidP="00120AF0">
      <w:pPr>
        <w:numPr>
          <w:ilvl w:val="0"/>
          <w:numId w:val="13"/>
        </w:numPr>
        <w:spacing w:line="360" w:lineRule="auto"/>
        <w:jc w:val="both"/>
        <w:rPr>
          <w:rFonts w:ascii="Arial" w:hAnsi="Arial" w:cs="Arial"/>
          <w:sz w:val="24"/>
          <w:szCs w:val="24"/>
        </w:rPr>
      </w:pPr>
      <w:r w:rsidRPr="00120AF0">
        <w:rPr>
          <w:rFonts w:ascii="Arial" w:hAnsi="Arial" w:cs="Arial"/>
          <w:b/>
          <w:sz w:val="24"/>
          <w:szCs w:val="24"/>
        </w:rPr>
        <w:t>Diversity and Inclusion:</w:t>
      </w:r>
      <w:r w:rsidRPr="00120AF0">
        <w:rPr>
          <w:rFonts w:ascii="Arial" w:hAnsi="Arial" w:cs="Arial"/>
          <w:sz w:val="24"/>
          <w:szCs w:val="24"/>
        </w:rPr>
        <w:t xml:space="preserve"> BMW has a DEI strategy in the U.S., which helps the company to be involved in the community such as the BMW STEP apprenticeship program and the minority supplier program (BMW Group, 2024).</w:t>
      </w:r>
    </w:p>
    <w:p w14:paraId="6D21FDEE"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Challenges and Ethical Debates:</w:t>
      </w:r>
    </w:p>
    <w:p w14:paraId="4C177BFC" w14:textId="77777777" w:rsidR="007821BD" w:rsidRPr="007821BD" w:rsidRDefault="007821BD" w:rsidP="007821BD">
      <w:pPr>
        <w:pStyle w:val="ListParagraph"/>
        <w:numPr>
          <w:ilvl w:val="0"/>
          <w:numId w:val="36"/>
        </w:numPr>
        <w:spacing w:line="360" w:lineRule="auto"/>
        <w:jc w:val="both"/>
        <w:rPr>
          <w:rFonts w:ascii="Arial" w:hAnsi="Arial" w:cs="Arial"/>
          <w:sz w:val="24"/>
          <w:szCs w:val="24"/>
        </w:rPr>
      </w:pPr>
      <w:r w:rsidRPr="007821BD">
        <w:rPr>
          <w:rFonts w:ascii="Arial" w:hAnsi="Arial" w:cs="Arial"/>
          <w:b/>
          <w:sz w:val="24"/>
          <w:szCs w:val="24"/>
        </w:rPr>
        <w:t>Greenwashing Risk:</w:t>
      </w:r>
      <w:r w:rsidRPr="007821BD">
        <w:rPr>
          <w:rFonts w:ascii="Arial" w:hAnsi="Arial" w:cs="Arial"/>
          <w:sz w:val="24"/>
          <w:szCs w:val="24"/>
        </w:rPr>
        <w:t xml:space="preserve"> BMW needs to be ready to verify the supply-chain carbon footprints in the supply chain, which can be done through a transparent verification (Deloitte, 2023).</w:t>
      </w:r>
    </w:p>
    <w:p w14:paraId="3BFC5B5F" w14:textId="77777777" w:rsidR="007821BD" w:rsidRPr="007821BD" w:rsidRDefault="007821BD" w:rsidP="007821BD">
      <w:pPr>
        <w:pStyle w:val="ListParagraph"/>
        <w:numPr>
          <w:ilvl w:val="0"/>
          <w:numId w:val="36"/>
        </w:numPr>
        <w:spacing w:line="360" w:lineRule="auto"/>
        <w:jc w:val="both"/>
        <w:rPr>
          <w:rFonts w:ascii="Arial" w:hAnsi="Arial" w:cs="Arial"/>
          <w:sz w:val="24"/>
          <w:szCs w:val="24"/>
        </w:rPr>
      </w:pPr>
      <w:r w:rsidRPr="007821BD">
        <w:rPr>
          <w:rFonts w:ascii="Arial" w:hAnsi="Arial" w:cs="Arial"/>
          <w:b/>
          <w:sz w:val="24"/>
          <w:szCs w:val="24"/>
        </w:rPr>
        <w:t>Affordability of Prices:</w:t>
      </w:r>
      <w:r w:rsidRPr="007821BD">
        <w:rPr>
          <w:rFonts w:ascii="Arial" w:hAnsi="Arial" w:cs="Arial"/>
          <w:sz w:val="24"/>
          <w:szCs w:val="24"/>
        </w:rPr>
        <w:t xml:space="preserve"> Critics point out that luxury pricing can be unfriendly to affordable mobility to mass consumers and that is ethically questionable (Kotler et al., 2022).</w:t>
      </w:r>
    </w:p>
    <w:p w14:paraId="5B4A29C5" w14:textId="77777777" w:rsidR="00DF5698" w:rsidRPr="00B9261A" w:rsidRDefault="007821BD" w:rsidP="007821BD">
      <w:pPr>
        <w:spacing w:line="360" w:lineRule="auto"/>
        <w:jc w:val="both"/>
        <w:rPr>
          <w:rFonts w:ascii="Arial" w:hAnsi="Arial" w:cs="Arial"/>
          <w:sz w:val="24"/>
          <w:szCs w:val="24"/>
        </w:rPr>
      </w:pPr>
      <w:r w:rsidRPr="007821BD">
        <w:rPr>
          <w:rFonts w:ascii="Arial" w:hAnsi="Arial" w:cs="Arial"/>
          <w:sz w:val="24"/>
          <w:szCs w:val="24"/>
        </w:rPr>
        <w:t>Generally, BMW ethical framework shows compliance with the best practices in the world and adherence to local governance conditions. On-going disclosure of EV supply-chain sourcing and lifecycle emissions is still crucial to</w:t>
      </w:r>
      <w:r>
        <w:rPr>
          <w:rFonts w:ascii="Arial" w:hAnsi="Arial" w:cs="Arial"/>
          <w:sz w:val="24"/>
          <w:szCs w:val="24"/>
        </w:rPr>
        <w:t>wards trust by the stakeholders</w:t>
      </w:r>
      <w:r w:rsidR="00BE4D16">
        <w:rPr>
          <w:rFonts w:ascii="Arial" w:hAnsi="Arial" w:cs="Arial"/>
          <w:sz w:val="24"/>
          <w:szCs w:val="24"/>
        </w:rPr>
        <w:t>.</w:t>
      </w:r>
    </w:p>
    <w:p w14:paraId="473157BD" w14:textId="77777777" w:rsidR="00DF5698" w:rsidRPr="00B9261A" w:rsidRDefault="009916D4" w:rsidP="00221CB7">
      <w:pPr>
        <w:pStyle w:val="Heading2"/>
      </w:pPr>
      <w:bookmarkStart w:id="16" w:name="_Toc215410044"/>
      <w:r>
        <w:t>5</w:t>
      </w:r>
      <w:r w:rsidR="00DF5698" w:rsidRPr="00B9261A">
        <w:t>.3 Sustainability and Circular Economy Initiatives</w:t>
      </w:r>
      <w:bookmarkEnd w:id="16"/>
    </w:p>
    <w:p w14:paraId="4AFFBA16" w14:textId="77777777" w:rsidR="007B2EA6" w:rsidRPr="007B2EA6" w:rsidRDefault="007B2EA6" w:rsidP="007B2EA6">
      <w:pPr>
        <w:spacing w:line="360" w:lineRule="auto"/>
        <w:jc w:val="both"/>
        <w:rPr>
          <w:rFonts w:ascii="Arial" w:hAnsi="Arial" w:cs="Arial"/>
          <w:sz w:val="24"/>
          <w:szCs w:val="24"/>
        </w:rPr>
      </w:pPr>
      <w:r w:rsidRPr="007B2EA6">
        <w:rPr>
          <w:rFonts w:ascii="Arial" w:hAnsi="Arial" w:cs="Arial"/>
          <w:sz w:val="24"/>
          <w:szCs w:val="24"/>
        </w:rPr>
        <w:t>BMW has incorporated sustainability as one of the key pillars in its global marketing and operation strategy as it has a direct impact on product design, communication, and corporate image.</w:t>
      </w:r>
    </w:p>
    <w:p w14:paraId="4F92C252" w14:textId="77777777" w:rsidR="007B2EA6" w:rsidRPr="007B2EA6" w:rsidRDefault="007B2EA6" w:rsidP="007B2EA6">
      <w:pPr>
        <w:spacing w:line="360" w:lineRule="auto"/>
        <w:jc w:val="both"/>
        <w:rPr>
          <w:rFonts w:ascii="Arial" w:hAnsi="Arial" w:cs="Arial"/>
          <w:b/>
          <w:sz w:val="24"/>
          <w:szCs w:val="24"/>
        </w:rPr>
      </w:pPr>
      <w:r w:rsidRPr="007B2EA6">
        <w:rPr>
          <w:rFonts w:ascii="Arial" w:hAnsi="Arial" w:cs="Arial"/>
          <w:b/>
          <w:sz w:val="24"/>
          <w:szCs w:val="24"/>
        </w:rPr>
        <w:t>Global Initiatives:</w:t>
      </w:r>
    </w:p>
    <w:p w14:paraId="4C35A5F2" w14:textId="77777777" w:rsidR="007B2EA6" w:rsidRPr="007B2EA6" w:rsidRDefault="007B2EA6" w:rsidP="007B2EA6">
      <w:pPr>
        <w:numPr>
          <w:ilvl w:val="0"/>
          <w:numId w:val="15"/>
        </w:numPr>
        <w:spacing w:line="360" w:lineRule="auto"/>
        <w:jc w:val="both"/>
        <w:rPr>
          <w:rFonts w:ascii="Arial" w:hAnsi="Arial" w:cs="Arial"/>
          <w:sz w:val="24"/>
          <w:szCs w:val="24"/>
        </w:rPr>
      </w:pPr>
      <w:r w:rsidRPr="007B2EA6">
        <w:rPr>
          <w:rFonts w:ascii="Arial" w:hAnsi="Arial" w:cs="Arial"/>
          <w:sz w:val="24"/>
          <w:szCs w:val="24"/>
        </w:rPr>
        <w:t>Neue Klasse EV Platform: It will be rolled out starting in 2025 and will cut CO2 emissions throughout the model life cycle by more than 30 percent in relation to 2019 models (BMW Group Report, 2024).</w:t>
      </w:r>
    </w:p>
    <w:p w14:paraId="412C0CCE" w14:textId="77777777" w:rsidR="007B2EA6" w:rsidRPr="007B2EA6" w:rsidRDefault="007B2EA6" w:rsidP="007B2EA6">
      <w:pPr>
        <w:numPr>
          <w:ilvl w:val="0"/>
          <w:numId w:val="15"/>
        </w:numPr>
        <w:spacing w:line="360" w:lineRule="auto"/>
        <w:jc w:val="both"/>
        <w:rPr>
          <w:rFonts w:ascii="Arial" w:hAnsi="Arial" w:cs="Arial"/>
          <w:sz w:val="24"/>
          <w:szCs w:val="24"/>
        </w:rPr>
      </w:pPr>
      <w:r w:rsidRPr="007B2EA6">
        <w:rPr>
          <w:rFonts w:ascii="Arial" w:hAnsi="Arial" w:cs="Arial"/>
          <w:sz w:val="24"/>
          <w:szCs w:val="24"/>
        </w:rPr>
        <w:lastRenderedPageBreak/>
        <w:t>Circular Design Principles: 95 percent of recyclable; less virgin raw materials.</w:t>
      </w:r>
    </w:p>
    <w:p w14:paraId="51F41726" w14:textId="77777777" w:rsidR="007B2EA6" w:rsidRPr="007B2EA6" w:rsidRDefault="007B2EA6" w:rsidP="007B2EA6">
      <w:pPr>
        <w:numPr>
          <w:ilvl w:val="0"/>
          <w:numId w:val="15"/>
        </w:numPr>
        <w:spacing w:line="360" w:lineRule="auto"/>
        <w:jc w:val="both"/>
        <w:rPr>
          <w:rFonts w:ascii="Arial" w:hAnsi="Arial" w:cs="Arial"/>
          <w:sz w:val="24"/>
          <w:szCs w:val="24"/>
        </w:rPr>
      </w:pPr>
      <w:r w:rsidRPr="007B2EA6">
        <w:rPr>
          <w:rFonts w:ascii="Arial" w:hAnsi="Arial" w:cs="Arial"/>
          <w:sz w:val="24"/>
          <w:szCs w:val="24"/>
        </w:rPr>
        <w:t>Green Production: BMW Spartanburg and Dingolfing plants are run on renewable energy; more than 70 percent of total production is with renewable energy worldwide (BMW Group, 2024).</w:t>
      </w:r>
    </w:p>
    <w:p w14:paraId="1C28DE41" w14:textId="77777777" w:rsidR="00DF5698" w:rsidRDefault="007B2EA6" w:rsidP="007B2EA6">
      <w:pPr>
        <w:numPr>
          <w:ilvl w:val="0"/>
          <w:numId w:val="15"/>
        </w:numPr>
        <w:spacing w:line="360" w:lineRule="auto"/>
        <w:jc w:val="both"/>
        <w:rPr>
          <w:rFonts w:ascii="Arial" w:hAnsi="Arial" w:cs="Arial"/>
          <w:sz w:val="24"/>
          <w:szCs w:val="24"/>
        </w:rPr>
      </w:pPr>
      <w:r w:rsidRPr="007B2EA6">
        <w:rPr>
          <w:rFonts w:ascii="Arial" w:hAnsi="Arial" w:cs="Arial"/>
          <w:sz w:val="24"/>
          <w:szCs w:val="24"/>
        </w:rPr>
        <w:t>Sustainable Materials: Secondary aluminium, recycled plastic and veg</w:t>
      </w:r>
      <w:r w:rsidR="00221CB7">
        <w:rPr>
          <w:rFonts w:ascii="Arial" w:hAnsi="Arial" w:cs="Arial"/>
          <w:sz w:val="24"/>
          <w:szCs w:val="24"/>
        </w:rPr>
        <w:t>an interior in iX and i4 models.</w:t>
      </w:r>
    </w:p>
    <w:p w14:paraId="66E32818" w14:textId="77777777" w:rsidR="000B3E9E" w:rsidRPr="000B3E9E" w:rsidRDefault="000B3E9E" w:rsidP="000B3E9E">
      <w:pPr>
        <w:spacing w:before="100" w:beforeAutospacing="1" w:after="100" w:afterAutospacing="1" w:line="240" w:lineRule="auto"/>
        <w:jc w:val="center"/>
        <w:rPr>
          <w:rFonts w:ascii="Times New Roman" w:eastAsia="Times New Roman" w:hAnsi="Times New Roman" w:cs="Times New Roman"/>
          <w:sz w:val="24"/>
          <w:szCs w:val="24"/>
        </w:rPr>
      </w:pPr>
      <w:r w:rsidRPr="000B3E9E">
        <w:rPr>
          <w:rFonts w:ascii="Times New Roman" w:eastAsia="Times New Roman" w:hAnsi="Times New Roman" w:cs="Times New Roman"/>
          <w:noProof/>
          <w:sz w:val="24"/>
          <w:szCs w:val="24"/>
        </w:rPr>
        <w:drawing>
          <wp:inline distT="0" distB="0" distL="0" distR="0" wp14:anchorId="6CC648AD" wp14:editId="1C4EA380">
            <wp:extent cx="3924299" cy="2943225"/>
            <wp:effectExtent l="0" t="0" r="635" b="0"/>
            <wp:docPr id="21" name="Picture 21" descr="C:\Users\HP\AppData\Local\Temp\{72ACAA3E-E67C-4643-B50E-B9B85624FA1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HP\AppData\Local\Temp\{72ACAA3E-E67C-4643-B50E-B9B85624FA1D}.tm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30629" cy="2947973"/>
                    </a:xfrm>
                    <a:prstGeom prst="rect">
                      <a:avLst/>
                    </a:prstGeom>
                    <a:noFill/>
                    <a:ln>
                      <a:noFill/>
                    </a:ln>
                  </pic:spPr>
                </pic:pic>
              </a:graphicData>
            </a:graphic>
          </wp:inline>
        </w:drawing>
      </w:r>
    </w:p>
    <w:p w14:paraId="338621AC" w14:textId="77777777" w:rsidR="000B3E9E" w:rsidRPr="00B9261A" w:rsidRDefault="000B3E9E" w:rsidP="000B3E9E">
      <w:pPr>
        <w:spacing w:line="360" w:lineRule="auto"/>
        <w:jc w:val="both"/>
        <w:rPr>
          <w:rFonts w:ascii="Arial" w:hAnsi="Arial" w:cs="Arial"/>
          <w:sz w:val="24"/>
          <w:szCs w:val="24"/>
        </w:rPr>
      </w:pPr>
    </w:p>
    <w:p w14:paraId="3BC68E1D"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Market-Specific Adaptations:</w:t>
      </w:r>
    </w:p>
    <w:p w14:paraId="4B46C514" w14:textId="77777777" w:rsidR="007B2EA6" w:rsidRPr="007B2EA6" w:rsidRDefault="007B2EA6" w:rsidP="007B2EA6">
      <w:pPr>
        <w:numPr>
          <w:ilvl w:val="0"/>
          <w:numId w:val="16"/>
        </w:numPr>
        <w:spacing w:line="360" w:lineRule="auto"/>
        <w:jc w:val="both"/>
        <w:rPr>
          <w:rFonts w:ascii="Arial" w:hAnsi="Arial" w:cs="Arial"/>
          <w:sz w:val="24"/>
          <w:szCs w:val="24"/>
        </w:rPr>
      </w:pPr>
      <w:r w:rsidRPr="007B2EA6">
        <w:rPr>
          <w:rFonts w:ascii="Arial" w:hAnsi="Arial" w:cs="Arial"/>
          <w:b/>
          <w:sz w:val="24"/>
          <w:szCs w:val="24"/>
        </w:rPr>
        <w:t>USA:</w:t>
      </w:r>
      <w:r w:rsidRPr="007B2EA6">
        <w:rPr>
          <w:rFonts w:ascii="Arial" w:hAnsi="Arial" w:cs="Arial"/>
          <w:sz w:val="24"/>
          <w:szCs w:val="24"/>
        </w:rPr>
        <w:t xml:space="preserve"> Marketing focuses on innovation and electric power-campaigns of BMW i4 and iX promote the concept of sustainability that does not compromise. The collaboration with suppliers of renewable energy in the United States helps to build credibility.</w:t>
      </w:r>
    </w:p>
    <w:p w14:paraId="7503623C" w14:textId="77777777" w:rsidR="00DF5698" w:rsidRPr="00B9261A" w:rsidRDefault="007B2EA6" w:rsidP="007B2EA6">
      <w:pPr>
        <w:numPr>
          <w:ilvl w:val="0"/>
          <w:numId w:val="16"/>
        </w:numPr>
        <w:spacing w:line="360" w:lineRule="auto"/>
        <w:jc w:val="both"/>
        <w:rPr>
          <w:rFonts w:ascii="Arial" w:hAnsi="Arial" w:cs="Arial"/>
          <w:sz w:val="24"/>
          <w:szCs w:val="24"/>
        </w:rPr>
      </w:pPr>
      <w:r w:rsidRPr="007B2EA6">
        <w:rPr>
          <w:rFonts w:ascii="Arial" w:hAnsi="Arial" w:cs="Arial"/>
          <w:b/>
          <w:sz w:val="24"/>
          <w:szCs w:val="24"/>
        </w:rPr>
        <w:t>Australia:</w:t>
      </w:r>
      <w:r w:rsidRPr="007B2EA6">
        <w:rPr>
          <w:rFonts w:ascii="Arial" w:hAnsi="Arial" w:cs="Arial"/>
          <w:sz w:val="24"/>
          <w:szCs w:val="24"/>
        </w:rPr>
        <w:t xml:space="preserve"> BMW Australia is marketing its sub-brand BMW i, and sustainability measures including Chargefox network and carbon-neutral logistics through ocean ship </w:t>
      </w:r>
      <w:r>
        <w:rPr>
          <w:rFonts w:ascii="Arial" w:hAnsi="Arial" w:cs="Arial"/>
          <w:sz w:val="24"/>
          <w:szCs w:val="24"/>
        </w:rPr>
        <w:t>alliances</w:t>
      </w:r>
      <w:r w:rsidR="00DF5698" w:rsidRPr="00B9261A">
        <w:rPr>
          <w:rFonts w:ascii="Arial" w:hAnsi="Arial" w:cs="Arial"/>
          <w:sz w:val="24"/>
          <w:szCs w:val="24"/>
        </w:rPr>
        <w:t>.</w:t>
      </w:r>
    </w:p>
    <w:p w14:paraId="1DDC8D10" w14:textId="77777777" w:rsidR="00DF5698" w:rsidRPr="00B9261A" w:rsidRDefault="00DF5698" w:rsidP="00B9261A">
      <w:pPr>
        <w:spacing w:line="360" w:lineRule="auto"/>
        <w:jc w:val="both"/>
        <w:rPr>
          <w:rFonts w:ascii="Arial" w:hAnsi="Arial" w:cs="Arial"/>
          <w:sz w:val="24"/>
          <w:szCs w:val="24"/>
        </w:rPr>
      </w:pPr>
      <w:r w:rsidRPr="00B9261A">
        <w:rPr>
          <w:rFonts w:ascii="Arial" w:hAnsi="Arial" w:cs="Arial"/>
          <w:b/>
          <w:bCs/>
          <w:sz w:val="24"/>
          <w:szCs w:val="24"/>
        </w:rPr>
        <w:t>CSR and Community Engagement:</w:t>
      </w:r>
    </w:p>
    <w:p w14:paraId="311C5CA1" w14:textId="77777777" w:rsidR="007B2EA6" w:rsidRDefault="007B2EA6" w:rsidP="007B2EA6">
      <w:pPr>
        <w:pStyle w:val="ListParagraph"/>
        <w:numPr>
          <w:ilvl w:val="0"/>
          <w:numId w:val="37"/>
        </w:numPr>
        <w:spacing w:line="360" w:lineRule="auto"/>
        <w:jc w:val="both"/>
        <w:rPr>
          <w:rFonts w:ascii="Arial" w:hAnsi="Arial" w:cs="Arial"/>
          <w:sz w:val="24"/>
          <w:szCs w:val="24"/>
        </w:rPr>
      </w:pPr>
      <w:r w:rsidRPr="007B2EA6">
        <w:rPr>
          <w:rFonts w:ascii="Arial" w:hAnsi="Arial" w:cs="Arial"/>
          <w:sz w:val="24"/>
          <w:szCs w:val="24"/>
        </w:rPr>
        <w:lastRenderedPageBreak/>
        <w:t>BMW Foundation Herbert Quandt is a foundation that promotes social innovation and leadership programs in the world.</w:t>
      </w:r>
    </w:p>
    <w:p w14:paraId="281A60B6" w14:textId="77777777" w:rsidR="007B2EA6" w:rsidRPr="007B2EA6" w:rsidRDefault="007B2EA6" w:rsidP="007B2EA6">
      <w:pPr>
        <w:pStyle w:val="ListParagraph"/>
        <w:numPr>
          <w:ilvl w:val="0"/>
          <w:numId w:val="37"/>
        </w:numPr>
        <w:spacing w:line="360" w:lineRule="auto"/>
        <w:jc w:val="both"/>
        <w:rPr>
          <w:rFonts w:ascii="Arial" w:hAnsi="Arial" w:cs="Arial"/>
          <w:sz w:val="24"/>
          <w:szCs w:val="24"/>
        </w:rPr>
      </w:pPr>
      <w:r w:rsidRPr="007B2EA6">
        <w:rPr>
          <w:rFonts w:ascii="Arial" w:hAnsi="Arial" w:cs="Arial"/>
          <w:sz w:val="24"/>
          <w:szCs w:val="24"/>
        </w:rPr>
        <w:t>BMW USA Foundation takes part in the STEM education, and BMW Australia donates to charities in the country ( Clean Up Australia Day initiatives ).</w:t>
      </w:r>
    </w:p>
    <w:p w14:paraId="16FCDFE4" w14:textId="77777777" w:rsidR="007B2EA6" w:rsidRPr="007B2EA6" w:rsidRDefault="007B2EA6" w:rsidP="007B2EA6">
      <w:pPr>
        <w:spacing w:line="360" w:lineRule="auto"/>
        <w:jc w:val="both"/>
        <w:rPr>
          <w:rFonts w:ascii="Arial" w:hAnsi="Arial" w:cs="Arial"/>
          <w:b/>
          <w:sz w:val="24"/>
          <w:szCs w:val="24"/>
        </w:rPr>
      </w:pPr>
      <w:r w:rsidRPr="007B2EA6">
        <w:rPr>
          <w:rFonts w:ascii="Arial" w:hAnsi="Arial" w:cs="Arial"/>
          <w:b/>
          <w:sz w:val="24"/>
          <w:szCs w:val="24"/>
        </w:rPr>
        <w:t>Analytical Insight:</w:t>
      </w:r>
    </w:p>
    <w:p w14:paraId="7E25E306" w14:textId="77777777" w:rsidR="00DF5698" w:rsidRDefault="007B2EA6" w:rsidP="007B2EA6">
      <w:pPr>
        <w:spacing w:line="360" w:lineRule="auto"/>
        <w:jc w:val="both"/>
        <w:rPr>
          <w:rFonts w:ascii="Arial" w:hAnsi="Arial" w:cs="Arial"/>
          <w:sz w:val="24"/>
          <w:szCs w:val="24"/>
        </w:rPr>
      </w:pPr>
      <w:r w:rsidRPr="007B2EA6">
        <w:rPr>
          <w:rFonts w:ascii="Arial" w:hAnsi="Arial" w:cs="Arial"/>
          <w:sz w:val="24"/>
          <w:szCs w:val="24"/>
        </w:rPr>
        <w:t>The sustainability strategy of BMW works as both marketing and ethical distinction. Both the markets are experiencing consumers who are increasingly linking brand value to brand responsibility (Mintel, 2024). The inclusion of ESG indicators into brand narration has helped BMW enhance its image among high-end EV consumers. Nonetheless, the third-party verification and reporting should be consistent in a bid to ensure auth</w:t>
      </w:r>
      <w:r w:rsidR="00221CB7">
        <w:rPr>
          <w:rFonts w:ascii="Arial" w:hAnsi="Arial" w:cs="Arial"/>
          <w:sz w:val="24"/>
          <w:szCs w:val="24"/>
        </w:rPr>
        <w:t>enticity and prevent skepticism.</w:t>
      </w:r>
    </w:p>
    <w:p w14:paraId="0E835C09" w14:textId="77777777" w:rsidR="00221CB7" w:rsidRDefault="00221CB7" w:rsidP="007B2EA6">
      <w:pPr>
        <w:spacing w:line="360" w:lineRule="auto"/>
        <w:jc w:val="both"/>
        <w:rPr>
          <w:rFonts w:ascii="Arial" w:hAnsi="Arial" w:cs="Arial"/>
          <w:sz w:val="24"/>
          <w:szCs w:val="24"/>
        </w:rPr>
      </w:pPr>
    </w:p>
    <w:p w14:paraId="606E8CAD" w14:textId="77777777" w:rsidR="00221CB7" w:rsidRDefault="00221CB7" w:rsidP="007B2EA6">
      <w:pPr>
        <w:spacing w:line="360" w:lineRule="auto"/>
        <w:jc w:val="both"/>
        <w:rPr>
          <w:rFonts w:ascii="Arial" w:hAnsi="Arial" w:cs="Arial"/>
          <w:sz w:val="24"/>
          <w:szCs w:val="24"/>
        </w:rPr>
      </w:pPr>
    </w:p>
    <w:p w14:paraId="0C17A6A9" w14:textId="77777777" w:rsidR="00221CB7" w:rsidRDefault="00221CB7" w:rsidP="007B2EA6">
      <w:pPr>
        <w:spacing w:line="360" w:lineRule="auto"/>
        <w:jc w:val="both"/>
        <w:rPr>
          <w:rFonts w:ascii="Arial" w:hAnsi="Arial" w:cs="Arial"/>
          <w:sz w:val="24"/>
          <w:szCs w:val="24"/>
        </w:rPr>
      </w:pPr>
    </w:p>
    <w:p w14:paraId="026164C2" w14:textId="77777777" w:rsidR="00221CB7" w:rsidRDefault="00221CB7" w:rsidP="007B2EA6">
      <w:pPr>
        <w:spacing w:line="360" w:lineRule="auto"/>
        <w:jc w:val="both"/>
        <w:rPr>
          <w:rFonts w:ascii="Arial" w:hAnsi="Arial" w:cs="Arial"/>
          <w:sz w:val="24"/>
          <w:szCs w:val="24"/>
        </w:rPr>
      </w:pPr>
    </w:p>
    <w:p w14:paraId="6D632544" w14:textId="77777777" w:rsidR="00221CB7" w:rsidRDefault="00221CB7" w:rsidP="007B2EA6">
      <w:pPr>
        <w:spacing w:line="360" w:lineRule="auto"/>
        <w:jc w:val="both"/>
        <w:rPr>
          <w:rFonts w:ascii="Arial" w:hAnsi="Arial" w:cs="Arial"/>
          <w:sz w:val="24"/>
          <w:szCs w:val="24"/>
        </w:rPr>
      </w:pPr>
    </w:p>
    <w:p w14:paraId="0F9983CA" w14:textId="77777777" w:rsidR="00221CB7" w:rsidRDefault="00221CB7" w:rsidP="007B2EA6">
      <w:pPr>
        <w:spacing w:line="360" w:lineRule="auto"/>
        <w:jc w:val="both"/>
        <w:rPr>
          <w:rFonts w:ascii="Arial" w:hAnsi="Arial" w:cs="Arial"/>
          <w:sz w:val="24"/>
          <w:szCs w:val="24"/>
        </w:rPr>
      </w:pPr>
    </w:p>
    <w:p w14:paraId="0F619DF3" w14:textId="77777777" w:rsidR="00221CB7" w:rsidRDefault="00221CB7" w:rsidP="007B2EA6">
      <w:pPr>
        <w:spacing w:line="360" w:lineRule="auto"/>
        <w:jc w:val="both"/>
        <w:rPr>
          <w:rFonts w:ascii="Arial" w:hAnsi="Arial" w:cs="Arial"/>
          <w:sz w:val="24"/>
          <w:szCs w:val="24"/>
        </w:rPr>
      </w:pPr>
    </w:p>
    <w:p w14:paraId="2EF52448" w14:textId="77777777" w:rsidR="00221CB7" w:rsidRDefault="00221CB7" w:rsidP="007B2EA6">
      <w:pPr>
        <w:spacing w:line="360" w:lineRule="auto"/>
        <w:jc w:val="both"/>
        <w:rPr>
          <w:rFonts w:ascii="Arial" w:hAnsi="Arial" w:cs="Arial"/>
          <w:sz w:val="24"/>
          <w:szCs w:val="24"/>
        </w:rPr>
      </w:pPr>
    </w:p>
    <w:p w14:paraId="0D7DB00E" w14:textId="77777777" w:rsidR="00221CB7" w:rsidRDefault="00221CB7" w:rsidP="007B2EA6">
      <w:pPr>
        <w:spacing w:line="360" w:lineRule="auto"/>
        <w:jc w:val="both"/>
        <w:rPr>
          <w:rFonts w:ascii="Arial" w:hAnsi="Arial" w:cs="Arial"/>
          <w:sz w:val="24"/>
          <w:szCs w:val="24"/>
        </w:rPr>
      </w:pPr>
    </w:p>
    <w:p w14:paraId="29D7D105" w14:textId="77777777" w:rsidR="00221CB7" w:rsidRDefault="00221CB7" w:rsidP="007B2EA6">
      <w:pPr>
        <w:spacing w:line="360" w:lineRule="auto"/>
        <w:jc w:val="both"/>
        <w:rPr>
          <w:rFonts w:ascii="Arial" w:hAnsi="Arial" w:cs="Arial"/>
          <w:sz w:val="24"/>
          <w:szCs w:val="24"/>
        </w:rPr>
      </w:pPr>
    </w:p>
    <w:p w14:paraId="577A6EAD" w14:textId="77777777" w:rsidR="00221CB7" w:rsidRDefault="00221CB7" w:rsidP="007B2EA6">
      <w:pPr>
        <w:spacing w:line="360" w:lineRule="auto"/>
        <w:jc w:val="both"/>
        <w:rPr>
          <w:rFonts w:ascii="Arial" w:hAnsi="Arial" w:cs="Arial"/>
          <w:sz w:val="24"/>
          <w:szCs w:val="24"/>
        </w:rPr>
      </w:pPr>
    </w:p>
    <w:p w14:paraId="0EF4D617" w14:textId="77777777" w:rsidR="00221CB7" w:rsidRDefault="00221CB7" w:rsidP="007B2EA6">
      <w:pPr>
        <w:spacing w:line="360" w:lineRule="auto"/>
        <w:jc w:val="both"/>
        <w:rPr>
          <w:rFonts w:ascii="Arial" w:hAnsi="Arial" w:cs="Arial"/>
          <w:sz w:val="24"/>
          <w:szCs w:val="24"/>
        </w:rPr>
      </w:pPr>
    </w:p>
    <w:p w14:paraId="61C5F1C4" w14:textId="77777777" w:rsidR="00221CB7" w:rsidRPr="00B9261A" w:rsidRDefault="00221CB7" w:rsidP="007B2EA6">
      <w:pPr>
        <w:spacing w:line="360" w:lineRule="auto"/>
        <w:jc w:val="both"/>
        <w:rPr>
          <w:rFonts w:ascii="Arial" w:hAnsi="Arial" w:cs="Arial"/>
          <w:sz w:val="24"/>
          <w:szCs w:val="24"/>
        </w:rPr>
      </w:pPr>
    </w:p>
    <w:p w14:paraId="01D8DC00" w14:textId="77777777" w:rsidR="00B2757B" w:rsidRPr="00B9261A" w:rsidRDefault="009916D4" w:rsidP="00221CB7">
      <w:pPr>
        <w:pStyle w:val="Heading1"/>
      </w:pPr>
      <w:bookmarkStart w:id="17" w:name="_Toc215410045"/>
      <w:r>
        <w:lastRenderedPageBreak/>
        <w:t>6</w:t>
      </w:r>
      <w:r w:rsidR="00B2757B" w:rsidRPr="00B9261A">
        <w:t>. Performance Evaluation</w:t>
      </w:r>
      <w:bookmarkEnd w:id="17"/>
    </w:p>
    <w:p w14:paraId="777C9FC6" w14:textId="77777777" w:rsidR="00B2757B" w:rsidRPr="00B9261A" w:rsidRDefault="009916D4" w:rsidP="00221CB7">
      <w:pPr>
        <w:pStyle w:val="Heading2"/>
      </w:pPr>
      <w:bookmarkStart w:id="18" w:name="_Toc215410046"/>
      <w:r>
        <w:t>6</w:t>
      </w:r>
      <w:r w:rsidR="00B2757B" w:rsidRPr="00B9261A">
        <w:t>.1 Key Performance Indicators (KPIs)</w:t>
      </w:r>
      <w:bookmarkEnd w:id="18"/>
    </w:p>
    <w:p w14:paraId="030A5C7B" w14:textId="77777777" w:rsidR="00B2757B" w:rsidRPr="00B9261A" w:rsidRDefault="007B2EA6" w:rsidP="00B9261A">
      <w:pPr>
        <w:spacing w:line="360" w:lineRule="auto"/>
        <w:jc w:val="both"/>
        <w:rPr>
          <w:rFonts w:ascii="Arial" w:hAnsi="Arial" w:cs="Arial"/>
          <w:sz w:val="24"/>
          <w:szCs w:val="24"/>
        </w:rPr>
      </w:pPr>
      <w:r w:rsidRPr="007B2EA6">
        <w:rPr>
          <w:rFonts w:ascii="Arial" w:hAnsi="Arial" w:cs="Arial"/>
          <w:sz w:val="24"/>
          <w:szCs w:val="24"/>
        </w:rPr>
        <w:t>The success in the marketing and operations of BMW in its international markets can be measured quantitatively by the selling volume, market share, brand value, EV adoption, and the online engagements. The table below represents the major indicators in 2021-2025 which focus</w:t>
      </w:r>
      <w:r>
        <w:rPr>
          <w:rFonts w:ascii="Arial" w:hAnsi="Arial" w:cs="Arial"/>
          <w:sz w:val="24"/>
          <w:szCs w:val="24"/>
        </w:rPr>
        <w:t xml:space="preserve"> on the USA and Australia</w:t>
      </w:r>
      <w:r w:rsidR="00B2757B" w:rsidRPr="00B9261A">
        <w:rPr>
          <w:rFonts w:ascii="Arial" w:hAnsi="Arial" w:cs="Arial"/>
          <w:sz w:val="24"/>
          <w:szCs w:val="24"/>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75"/>
        <w:gridCol w:w="948"/>
        <w:gridCol w:w="948"/>
        <w:gridCol w:w="948"/>
        <w:gridCol w:w="948"/>
        <w:gridCol w:w="3183"/>
      </w:tblGrid>
      <w:tr w:rsidR="00B2757B" w:rsidRPr="00B9261A" w14:paraId="5AB10D32" w14:textId="77777777" w:rsidTr="00BE4D16">
        <w:trPr>
          <w:tblHeader/>
          <w:tblCellSpacing w:w="15" w:type="dxa"/>
        </w:trPr>
        <w:tc>
          <w:tcPr>
            <w:tcW w:w="0" w:type="auto"/>
            <w:vAlign w:val="center"/>
            <w:hideMark/>
          </w:tcPr>
          <w:p w14:paraId="3F8A944E"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Metric</w:t>
            </w:r>
          </w:p>
        </w:tc>
        <w:tc>
          <w:tcPr>
            <w:tcW w:w="0" w:type="auto"/>
            <w:vAlign w:val="center"/>
            <w:hideMark/>
          </w:tcPr>
          <w:p w14:paraId="426841F7"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2021</w:t>
            </w:r>
          </w:p>
        </w:tc>
        <w:tc>
          <w:tcPr>
            <w:tcW w:w="0" w:type="auto"/>
            <w:vAlign w:val="center"/>
            <w:hideMark/>
          </w:tcPr>
          <w:p w14:paraId="34B7721B"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2022</w:t>
            </w:r>
          </w:p>
        </w:tc>
        <w:tc>
          <w:tcPr>
            <w:tcW w:w="0" w:type="auto"/>
            <w:vAlign w:val="center"/>
            <w:hideMark/>
          </w:tcPr>
          <w:p w14:paraId="7CA13352"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2023</w:t>
            </w:r>
          </w:p>
        </w:tc>
        <w:tc>
          <w:tcPr>
            <w:tcW w:w="0" w:type="auto"/>
            <w:vAlign w:val="center"/>
            <w:hideMark/>
          </w:tcPr>
          <w:p w14:paraId="4F3AD5DC"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2024</w:t>
            </w:r>
          </w:p>
        </w:tc>
        <w:tc>
          <w:tcPr>
            <w:tcW w:w="0" w:type="auto"/>
            <w:vAlign w:val="center"/>
            <w:hideMark/>
          </w:tcPr>
          <w:p w14:paraId="1F2B498B"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Trend &amp; Notes</w:t>
            </w:r>
          </w:p>
        </w:tc>
      </w:tr>
      <w:tr w:rsidR="00B2757B" w:rsidRPr="00B9261A" w14:paraId="2C28FB79" w14:textId="77777777" w:rsidTr="00BE4D16">
        <w:trPr>
          <w:tblCellSpacing w:w="15" w:type="dxa"/>
        </w:trPr>
        <w:tc>
          <w:tcPr>
            <w:tcW w:w="0" w:type="auto"/>
            <w:vAlign w:val="center"/>
            <w:hideMark/>
          </w:tcPr>
          <w:p w14:paraId="55541DBD"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Global Deliveries (Units)</w:t>
            </w:r>
          </w:p>
        </w:tc>
        <w:tc>
          <w:tcPr>
            <w:tcW w:w="0" w:type="auto"/>
            <w:vAlign w:val="center"/>
            <w:hideMark/>
          </w:tcPr>
          <w:p w14:paraId="1705CF0D"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2.52M</w:t>
            </w:r>
          </w:p>
        </w:tc>
        <w:tc>
          <w:tcPr>
            <w:tcW w:w="0" w:type="auto"/>
            <w:vAlign w:val="center"/>
            <w:hideMark/>
          </w:tcPr>
          <w:p w14:paraId="54E4F512"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2.39M</w:t>
            </w:r>
          </w:p>
        </w:tc>
        <w:tc>
          <w:tcPr>
            <w:tcW w:w="0" w:type="auto"/>
            <w:vAlign w:val="center"/>
            <w:hideMark/>
          </w:tcPr>
          <w:p w14:paraId="6E9A9B16"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2.55M</w:t>
            </w:r>
          </w:p>
        </w:tc>
        <w:tc>
          <w:tcPr>
            <w:tcW w:w="0" w:type="auto"/>
            <w:vAlign w:val="center"/>
            <w:hideMark/>
          </w:tcPr>
          <w:p w14:paraId="3C3C9C3E"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2.45M</w:t>
            </w:r>
          </w:p>
        </w:tc>
        <w:tc>
          <w:tcPr>
            <w:tcW w:w="0" w:type="auto"/>
            <w:vAlign w:val="center"/>
            <w:hideMark/>
          </w:tcPr>
          <w:p w14:paraId="7C42DD19"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Recovery after pandemic dip; EV sales growing.</w:t>
            </w:r>
          </w:p>
        </w:tc>
      </w:tr>
      <w:tr w:rsidR="00B2757B" w:rsidRPr="00B9261A" w14:paraId="54E3E08B" w14:textId="77777777" w:rsidTr="00BE4D16">
        <w:trPr>
          <w:tblCellSpacing w:w="15" w:type="dxa"/>
        </w:trPr>
        <w:tc>
          <w:tcPr>
            <w:tcW w:w="0" w:type="auto"/>
            <w:vAlign w:val="center"/>
            <w:hideMark/>
          </w:tcPr>
          <w:p w14:paraId="3B44204F"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USA Deliveries (Units)</w:t>
            </w:r>
          </w:p>
        </w:tc>
        <w:tc>
          <w:tcPr>
            <w:tcW w:w="0" w:type="auto"/>
            <w:vAlign w:val="center"/>
            <w:hideMark/>
          </w:tcPr>
          <w:p w14:paraId="3F9837E3"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336,600</w:t>
            </w:r>
          </w:p>
        </w:tc>
        <w:tc>
          <w:tcPr>
            <w:tcW w:w="0" w:type="auto"/>
            <w:vAlign w:val="center"/>
            <w:hideMark/>
          </w:tcPr>
          <w:p w14:paraId="4DA4DA5A"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361,000</w:t>
            </w:r>
          </w:p>
        </w:tc>
        <w:tc>
          <w:tcPr>
            <w:tcW w:w="0" w:type="auto"/>
            <w:vAlign w:val="center"/>
            <w:hideMark/>
          </w:tcPr>
          <w:p w14:paraId="48599532"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395,900</w:t>
            </w:r>
          </w:p>
        </w:tc>
        <w:tc>
          <w:tcPr>
            <w:tcW w:w="0" w:type="auto"/>
            <w:vAlign w:val="center"/>
            <w:hideMark/>
          </w:tcPr>
          <w:p w14:paraId="2FBD8B96"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374,000</w:t>
            </w:r>
          </w:p>
        </w:tc>
        <w:tc>
          <w:tcPr>
            <w:tcW w:w="0" w:type="auto"/>
            <w:vAlign w:val="center"/>
            <w:hideMark/>
          </w:tcPr>
          <w:p w14:paraId="15A0CCF7"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U.S. share ~15% of global sales; stable demand. (BMW Group, 2024)</w:t>
            </w:r>
          </w:p>
        </w:tc>
      </w:tr>
      <w:tr w:rsidR="00B2757B" w:rsidRPr="00B9261A" w14:paraId="6DCCB878" w14:textId="77777777" w:rsidTr="00BE4D16">
        <w:trPr>
          <w:tblCellSpacing w:w="15" w:type="dxa"/>
        </w:trPr>
        <w:tc>
          <w:tcPr>
            <w:tcW w:w="0" w:type="auto"/>
            <w:vAlign w:val="center"/>
            <w:hideMark/>
          </w:tcPr>
          <w:p w14:paraId="452A12E8"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Australia Deliveries (Units)</w:t>
            </w:r>
          </w:p>
        </w:tc>
        <w:tc>
          <w:tcPr>
            <w:tcW w:w="0" w:type="auto"/>
            <w:vAlign w:val="center"/>
            <w:hideMark/>
          </w:tcPr>
          <w:p w14:paraId="7A242306"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24,891</w:t>
            </w:r>
          </w:p>
        </w:tc>
        <w:tc>
          <w:tcPr>
            <w:tcW w:w="0" w:type="auto"/>
            <w:vAlign w:val="center"/>
            <w:hideMark/>
          </w:tcPr>
          <w:p w14:paraId="576087BA"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26,184</w:t>
            </w:r>
          </w:p>
        </w:tc>
        <w:tc>
          <w:tcPr>
            <w:tcW w:w="0" w:type="auto"/>
            <w:vAlign w:val="center"/>
            <w:hideMark/>
          </w:tcPr>
          <w:p w14:paraId="2D43CFCD"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28,400</w:t>
            </w:r>
          </w:p>
        </w:tc>
        <w:tc>
          <w:tcPr>
            <w:tcW w:w="0" w:type="auto"/>
            <w:vAlign w:val="center"/>
            <w:hideMark/>
          </w:tcPr>
          <w:p w14:paraId="1D87AE29"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27,000</w:t>
            </w:r>
          </w:p>
        </w:tc>
        <w:tc>
          <w:tcPr>
            <w:tcW w:w="0" w:type="auto"/>
            <w:vAlign w:val="center"/>
            <w:hideMark/>
          </w:tcPr>
          <w:p w14:paraId="793127B1"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6.4% CAGR since 2021; BMW remains Australia’s #1 luxury brand (FCAI, 2024).</w:t>
            </w:r>
          </w:p>
        </w:tc>
      </w:tr>
      <w:tr w:rsidR="00B2757B" w:rsidRPr="00B9261A" w14:paraId="6B62EA80" w14:textId="77777777" w:rsidTr="00BE4D16">
        <w:trPr>
          <w:tblCellSpacing w:w="15" w:type="dxa"/>
        </w:trPr>
        <w:tc>
          <w:tcPr>
            <w:tcW w:w="0" w:type="auto"/>
            <w:vAlign w:val="center"/>
            <w:hideMark/>
          </w:tcPr>
          <w:p w14:paraId="61CDC782"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Global BEV Share</w:t>
            </w:r>
          </w:p>
        </w:tc>
        <w:tc>
          <w:tcPr>
            <w:tcW w:w="0" w:type="auto"/>
            <w:vAlign w:val="center"/>
            <w:hideMark/>
          </w:tcPr>
          <w:p w14:paraId="2E6BA011"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8.5%</w:t>
            </w:r>
          </w:p>
        </w:tc>
        <w:tc>
          <w:tcPr>
            <w:tcW w:w="0" w:type="auto"/>
            <w:vAlign w:val="center"/>
            <w:hideMark/>
          </w:tcPr>
          <w:p w14:paraId="71E87DD8"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10.9%</w:t>
            </w:r>
          </w:p>
        </w:tc>
        <w:tc>
          <w:tcPr>
            <w:tcW w:w="0" w:type="auto"/>
            <w:vAlign w:val="center"/>
            <w:hideMark/>
          </w:tcPr>
          <w:p w14:paraId="7F30C738"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15%</w:t>
            </w:r>
          </w:p>
        </w:tc>
        <w:tc>
          <w:tcPr>
            <w:tcW w:w="0" w:type="auto"/>
            <w:vAlign w:val="center"/>
            <w:hideMark/>
          </w:tcPr>
          <w:p w14:paraId="0D57A403"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17.4%</w:t>
            </w:r>
          </w:p>
        </w:tc>
        <w:tc>
          <w:tcPr>
            <w:tcW w:w="0" w:type="auto"/>
            <w:vAlign w:val="center"/>
            <w:hideMark/>
          </w:tcPr>
          <w:p w14:paraId="763BB385"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Strong acceleration of electrification strategy (BMW Group, 2024).</w:t>
            </w:r>
          </w:p>
        </w:tc>
      </w:tr>
      <w:tr w:rsidR="00B2757B" w:rsidRPr="00B9261A" w14:paraId="5EFEBD6A" w14:textId="77777777" w:rsidTr="00BE4D16">
        <w:trPr>
          <w:tblCellSpacing w:w="15" w:type="dxa"/>
        </w:trPr>
        <w:tc>
          <w:tcPr>
            <w:tcW w:w="0" w:type="auto"/>
            <w:vAlign w:val="center"/>
            <w:hideMark/>
          </w:tcPr>
          <w:p w14:paraId="4CCB3400"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BMW Brand Value (Interbrand)</w:t>
            </w:r>
          </w:p>
        </w:tc>
        <w:tc>
          <w:tcPr>
            <w:tcW w:w="0" w:type="auto"/>
            <w:vAlign w:val="center"/>
            <w:hideMark/>
          </w:tcPr>
          <w:p w14:paraId="2A96B573"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$40.4B</w:t>
            </w:r>
          </w:p>
        </w:tc>
        <w:tc>
          <w:tcPr>
            <w:tcW w:w="0" w:type="auto"/>
            <w:vAlign w:val="center"/>
            <w:hideMark/>
          </w:tcPr>
          <w:p w14:paraId="72BBC142"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$41.0B</w:t>
            </w:r>
          </w:p>
        </w:tc>
        <w:tc>
          <w:tcPr>
            <w:tcW w:w="0" w:type="auto"/>
            <w:vAlign w:val="center"/>
            <w:hideMark/>
          </w:tcPr>
          <w:p w14:paraId="27F201EE"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$43.5B</w:t>
            </w:r>
          </w:p>
        </w:tc>
        <w:tc>
          <w:tcPr>
            <w:tcW w:w="0" w:type="auto"/>
            <w:vAlign w:val="center"/>
            <w:hideMark/>
          </w:tcPr>
          <w:p w14:paraId="0A40D22B"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$44.6B</w:t>
            </w:r>
          </w:p>
        </w:tc>
        <w:tc>
          <w:tcPr>
            <w:tcW w:w="0" w:type="auto"/>
            <w:vAlign w:val="center"/>
            <w:hideMark/>
          </w:tcPr>
          <w:p w14:paraId="73CB72C4"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Consistent brand equity growth (Interbrand, 2024).</w:t>
            </w:r>
          </w:p>
        </w:tc>
      </w:tr>
      <w:tr w:rsidR="00B2757B" w:rsidRPr="00B9261A" w14:paraId="1C14F9EB" w14:textId="77777777" w:rsidTr="00BE4D16">
        <w:trPr>
          <w:tblCellSpacing w:w="15" w:type="dxa"/>
        </w:trPr>
        <w:tc>
          <w:tcPr>
            <w:tcW w:w="0" w:type="auto"/>
            <w:vAlign w:val="center"/>
            <w:hideMark/>
          </w:tcPr>
          <w:p w14:paraId="6DB58138"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Customer Satisfaction (Net Promoter Score)</w:t>
            </w:r>
          </w:p>
        </w:tc>
        <w:tc>
          <w:tcPr>
            <w:tcW w:w="0" w:type="auto"/>
            <w:vAlign w:val="center"/>
            <w:hideMark/>
          </w:tcPr>
          <w:p w14:paraId="672B28E5"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73</w:t>
            </w:r>
          </w:p>
        </w:tc>
        <w:tc>
          <w:tcPr>
            <w:tcW w:w="0" w:type="auto"/>
            <w:vAlign w:val="center"/>
            <w:hideMark/>
          </w:tcPr>
          <w:p w14:paraId="7DCCB43A"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75</w:t>
            </w:r>
          </w:p>
        </w:tc>
        <w:tc>
          <w:tcPr>
            <w:tcW w:w="0" w:type="auto"/>
            <w:vAlign w:val="center"/>
            <w:hideMark/>
          </w:tcPr>
          <w:p w14:paraId="312B0983"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78</w:t>
            </w:r>
          </w:p>
        </w:tc>
        <w:tc>
          <w:tcPr>
            <w:tcW w:w="0" w:type="auto"/>
            <w:vAlign w:val="center"/>
            <w:hideMark/>
          </w:tcPr>
          <w:p w14:paraId="5B18A48E"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80</w:t>
            </w:r>
          </w:p>
        </w:tc>
        <w:tc>
          <w:tcPr>
            <w:tcW w:w="0" w:type="auto"/>
            <w:vAlign w:val="center"/>
            <w:hideMark/>
          </w:tcPr>
          <w:p w14:paraId="5B6DBDBE"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Premium satisfaction leadership in both markets.</w:t>
            </w:r>
          </w:p>
        </w:tc>
      </w:tr>
      <w:tr w:rsidR="00B2757B" w:rsidRPr="00B9261A" w14:paraId="5BEE30C6" w14:textId="77777777" w:rsidTr="00BE4D16">
        <w:trPr>
          <w:tblCellSpacing w:w="15" w:type="dxa"/>
        </w:trPr>
        <w:tc>
          <w:tcPr>
            <w:tcW w:w="0" w:type="auto"/>
            <w:vAlign w:val="center"/>
            <w:hideMark/>
          </w:tcPr>
          <w:p w14:paraId="6BC46251"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lastRenderedPageBreak/>
              <w:t>Social Media Engagement Growth (Global)</w:t>
            </w:r>
          </w:p>
        </w:tc>
        <w:tc>
          <w:tcPr>
            <w:tcW w:w="0" w:type="auto"/>
            <w:vAlign w:val="center"/>
            <w:hideMark/>
          </w:tcPr>
          <w:p w14:paraId="67FCB53C"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+12%</w:t>
            </w:r>
          </w:p>
        </w:tc>
        <w:tc>
          <w:tcPr>
            <w:tcW w:w="0" w:type="auto"/>
            <w:vAlign w:val="center"/>
            <w:hideMark/>
          </w:tcPr>
          <w:p w14:paraId="64C1A9B8"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+18%</w:t>
            </w:r>
          </w:p>
        </w:tc>
        <w:tc>
          <w:tcPr>
            <w:tcW w:w="0" w:type="auto"/>
            <w:vAlign w:val="center"/>
            <w:hideMark/>
          </w:tcPr>
          <w:p w14:paraId="7498D966"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+21%</w:t>
            </w:r>
          </w:p>
        </w:tc>
        <w:tc>
          <w:tcPr>
            <w:tcW w:w="0" w:type="auto"/>
            <w:vAlign w:val="center"/>
            <w:hideMark/>
          </w:tcPr>
          <w:p w14:paraId="26D90AED"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+16%</w:t>
            </w:r>
          </w:p>
        </w:tc>
        <w:tc>
          <w:tcPr>
            <w:tcW w:w="0" w:type="auto"/>
            <w:vAlign w:val="center"/>
            <w:hideMark/>
          </w:tcPr>
          <w:p w14:paraId="6F84FD16"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Strong influencer and digital ad performance.</w:t>
            </w:r>
          </w:p>
        </w:tc>
      </w:tr>
    </w:tbl>
    <w:p w14:paraId="5BD1F877"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i/>
          <w:iCs/>
          <w:sz w:val="24"/>
          <w:szCs w:val="24"/>
        </w:rPr>
        <w:t>Sources: BMW Group Annual Report (2024), Statista (2024), Interbrand (2024), FCAI (2024).</w:t>
      </w:r>
    </w:p>
    <w:p w14:paraId="2135D396"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Interpretation:</w:t>
      </w:r>
      <w:r w:rsidRPr="00B9261A">
        <w:rPr>
          <w:rFonts w:ascii="Arial" w:hAnsi="Arial" w:cs="Arial"/>
          <w:sz w:val="24"/>
          <w:szCs w:val="24"/>
        </w:rPr>
        <w:br/>
      </w:r>
      <w:r w:rsidR="007B2EA6" w:rsidRPr="007B2EA6">
        <w:rPr>
          <w:rFonts w:ascii="Arial" w:hAnsi="Arial" w:cs="Arial"/>
          <w:sz w:val="24"/>
          <w:szCs w:val="24"/>
        </w:rPr>
        <w:t xml:space="preserve">The performance of BMW is associated with stable global recovery, strong brand equity, and effective integration of EV. Its second-largest market worldwide is still the USA, and Australia is showing a sustainable growth and brand loyalty. The success of marketing is evident with respect to the growth of market share and online brand interaction, which signify the execution of strategic change in line </w:t>
      </w:r>
      <w:r w:rsidR="007B2EA6">
        <w:rPr>
          <w:rFonts w:ascii="Arial" w:hAnsi="Arial" w:cs="Arial"/>
          <w:sz w:val="24"/>
          <w:szCs w:val="24"/>
        </w:rPr>
        <w:t>with the current consumer needs</w:t>
      </w:r>
      <w:r w:rsidR="00BE4D16">
        <w:rPr>
          <w:rFonts w:ascii="Arial" w:hAnsi="Arial" w:cs="Arial"/>
          <w:sz w:val="24"/>
          <w:szCs w:val="24"/>
        </w:rPr>
        <w:t>.</w:t>
      </w:r>
    </w:p>
    <w:p w14:paraId="2902D99D" w14:textId="77777777" w:rsidR="00B2757B" w:rsidRPr="00B9261A" w:rsidRDefault="009916D4" w:rsidP="00221CB7">
      <w:pPr>
        <w:pStyle w:val="Heading2"/>
      </w:pPr>
      <w:bookmarkStart w:id="19" w:name="_Toc215410047"/>
      <w:r>
        <w:t>6</w:t>
      </w:r>
      <w:r w:rsidR="00B2757B" w:rsidRPr="00B9261A">
        <w:t>.2 Comparative Market Performance: USA vs Australia</w:t>
      </w:r>
      <w:bookmarkEnd w:id="19"/>
    </w:p>
    <w:p w14:paraId="6D6337BF"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a. Sales and Market Share Trends (2021–2024)</w:t>
      </w:r>
    </w:p>
    <w:p w14:paraId="125E80D1" w14:textId="77777777" w:rsidR="007B2EA6" w:rsidRPr="007B2EA6" w:rsidRDefault="007B2EA6" w:rsidP="007B2EA6">
      <w:pPr>
        <w:numPr>
          <w:ilvl w:val="0"/>
          <w:numId w:val="18"/>
        </w:numPr>
        <w:spacing w:line="360" w:lineRule="auto"/>
        <w:jc w:val="both"/>
        <w:rPr>
          <w:rFonts w:ascii="Arial" w:hAnsi="Arial" w:cs="Arial"/>
          <w:sz w:val="24"/>
          <w:szCs w:val="24"/>
        </w:rPr>
      </w:pPr>
      <w:r w:rsidRPr="007B2EA6">
        <w:rPr>
          <w:rFonts w:ascii="Arial" w:hAnsi="Arial" w:cs="Arial"/>
          <w:b/>
          <w:sz w:val="24"/>
          <w:szCs w:val="24"/>
        </w:rPr>
        <w:t>USA:</w:t>
      </w:r>
      <w:r w:rsidRPr="007B2EA6">
        <w:rPr>
          <w:rFonts w:ascii="Arial" w:hAnsi="Arial" w:cs="Arial"/>
          <w:sz w:val="24"/>
          <w:szCs w:val="24"/>
        </w:rPr>
        <w:t xml:space="preserve"> The luxury automobile industry in the U.S. had a demand of 2.3 million units in 2024 with BMW taking the share of around 12.5 percent of the market, next to Mercedes-Benz and Lexus in certain segments (Statista, 2025).</w:t>
      </w:r>
    </w:p>
    <w:p w14:paraId="4E809117" w14:textId="77777777" w:rsidR="00B2757B" w:rsidRDefault="007B2EA6" w:rsidP="007B2EA6">
      <w:pPr>
        <w:numPr>
          <w:ilvl w:val="0"/>
          <w:numId w:val="18"/>
        </w:numPr>
        <w:spacing w:line="360" w:lineRule="auto"/>
        <w:jc w:val="both"/>
        <w:rPr>
          <w:rFonts w:ascii="Arial" w:hAnsi="Arial" w:cs="Arial"/>
          <w:sz w:val="24"/>
          <w:szCs w:val="24"/>
        </w:rPr>
      </w:pPr>
      <w:r w:rsidRPr="007B2EA6">
        <w:rPr>
          <w:rFonts w:ascii="Arial" w:hAnsi="Arial" w:cs="Arial"/>
          <w:b/>
          <w:sz w:val="24"/>
          <w:szCs w:val="24"/>
        </w:rPr>
        <w:t>Australia:</w:t>
      </w:r>
      <w:r w:rsidRPr="007B2EA6">
        <w:rPr>
          <w:rFonts w:ascii="Arial" w:hAnsi="Arial" w:cs="Arial"/>
          <w:sz w:val="24"/>
          <w:szCs w:val="24"/>
        </w:rPr>
        <w:t xml:space="preserve"> BMW controls approximately 41 percent of the high end segment against Mercedes-Benz and Audi (FCAI, 2024). Although it has less volume, its penetration rate in the market is more so than the population size.</w:t>
      </w:r>
    </w:p>
    <w:p w14:paraId="354AFDEA" w14:textId="77777777" w:rsidR="003A367F" w:rsidRDefault="003A367F" w:rsidP="003A367F">
      <w:pPr>
        <w:pStyle w:val="NormalWeb"/>
        <w:ind w:left="720"/>
      </w:pPr>
    </w:p>
    <w:p w14:paraId="18FBDCB1" w14:textId="77777777" w:rsidR="000B72D7" w:rsidRPr="003A367F" w:rsidRDefault="000B72D7" w:rsidP="003A367F">
      <w:pPr>
        <w:pStyle w:val="NormalWeb"/>
        <w:ind w:left="360"/>
      </w:pPr>
      <w:r>
        <w:rPr>
          <w:noProof/>
        </w:rPr>
        <w:lastRenderedPageBreak/>
        <w:drawing>
          <wp:inline distT="0" distB="0" distL="0" distR="0" wp14:anchorId="3E23F457" wp14:editId="286741A8">
            <wp:extent cx="4861559" cy="3038475"/>
            <wp:effectExtent l="0" t="0" r="0" b="0"/>
            <wp:docPr id="5" name="Picture 5" descr="D:\ASSIGNMENT WORK\PIYUSH\INTL MKT PP BMW\BMW_Deliveries_USA_Austral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SSIGNMENT WORK\PIYUSH\INTL MKT PP BMW\BMW_Deliveries_USA_Australia.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873280" cy="3045800"/>
                    </a:xfrm>
                    <a:prstGeom prst="rect">
                      <a:avLst/>
                    </a:prstGeom>
                    <a:noFill/>
                    <a:ln>
                      <a:noFill/>
                    </a:ln>
                  </pic:spPr>
                </pic:pic>
              </a:graphicData>
            </a:graphic>
          </wp:inline>
        </w:drawing>
      </w:r>
    </w:p>
    <w:p w14:paraId="114E2E3F"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b. EV Penetration Comparison</w:t>
      </w:r>
    </w:p>
    <w:p w14:paraId="7F50E659" w14:textId="77777777" w:rsidR="007B2EA6" w:rsidRPr="007B2EA6" w:rsidRDefault="007B2EA6" w:rsidP="007B2EA6">
      <w:pPr>
        <w:numPr>
          <w:ilvl w:val="0"/>
          <w:numId w:val="19"/>
        </w:numPr>
        <w:spacing w:line="360" w:lineRule="auto"/>
        <w:jc w:val="both"/>
        <w:rPr>
          <w:rFonts w:ascii="Arial" w:hAnsi="Arial" w:cs="Arial"/>
          <w:sz w:val="24"/>
          <w:szCs w:val="24"/>
        </w:rPr>
      </w:pPr>
      <w:r w:rsidRPr="007B2EA6">
        <w:rPr>
          <w:rFonts w:ascii="Arial" w:hAnsi="Arial" w:cs="Arial"/>
          <w:b/>
          <w:sz w:val="24"/>
          <w:szCs w:val="24"/>
        </w:rPr>
        <w:t>USA:</w:t>
      </w:r>
      <w:r w:rsidRPr="007B2EA6">
        <w:rPr>
          <w:rFonts w:ascii="Arial" w:hAnsi="Arial" w:cs="Arial"/>
          <w:sz w:val="24"/>
          <w:szCs w:val="24"/>
        </w:rPr>
        <w:t xml:space="preserve"> Sales of BMW BEVs grew by 46 per cent YoY in 2023 with i4, iX and i5 models most popular. The Inflation Reduction Act (IRA, 2023) in the U.S. stimulated the demand of EV, but the eligibility requirements on tax credits restrict imported models.</w:t>
      </w:r>
    </w:p>
    <w:p w14:paraId="5DA1DEC3" w14:textId="77777777" w:rsidR="00B2757B" w:rsidRDefault="007B2EA6" w:rsidP="007B2EA6">
      <w:pPr>
        <w:numPr>
          <w:ilvl w:val="0"/>
          <w:numId w:val="19"/>
        </w:numPr>
        <w:spacing w:line="360" w:lineRule="auto"/>
        <w:jc w:val="both"/>
        <w:rPr>
          <w:rFonts w:ascii="Arial" w:hAnsi="Arial" w:cs="Arial"/>
          <w:sz w:val="24"/>
          <w:szCs w:val="24"/>
        </w:rPr>
      </w:pPr>
      <w:r w:rsidRPr="007B2EA6">
        <w:rPr>
          <w:rFonts w:ascii="Arial" w:hAnsi="Arial" w:cs="Arial"/>
          <w:b/>
          <w:sz w:val="24"/>
          <w:szCs w:val="24"/>
        </w:rPr>
        <w:t xml:space="preserve">Australia </w:t>
      </w:r>
      <w:r w:rsidRPr="007B2EA6">
        <w:rPr>
          <w:rFonts w:ascii="Arial" w:hAnsi="Arial" w:cs="Arial"/>
          <w:sz w:val="24"/>
          <w:szCs w:val="24"/>
        </w:rPr>
        <w:t>EV sales have increased 161 per cent in 2024, to 8.3 per cent of total new cars. The iX3 and i4 models of BMW Australia were taking advantage of federal incentives and increased infrastructure through</w:t>
      </w:r>
      <w:r>
        <w:rPr>
          <w:rFonts w:ascii="Arial" w:hAnsi="Arial" w:cs="Arial"/>
          <w:sz w:val="24"/>
          <w:szCs w:val="24"/>
        </w:rPr>
        <w:t xml:space="preserve"> Chargefox (The Guardian, 2025)</w:t>
      </w:r>
      <w:r w:rsidR="00B2757B" w:rsidRPr="00B9261A">
        <w:rPr>
          <w:rFonts w:ascii="Arial" w:hAnsi="Arial" w:cs="Arial"/>
          <w:sz w:val="24"/>
          <w:szCs w:val="24"/>
        </w:rPr>
        <w:t>.</w:t>
      </w:r>
    </w:p>
    <w:p w14:paraId="25EBD78D" w14:textId="77777777" w:rsidR="003A367F" w:rsidRPr="003A367F" w:rsidRDefault="003A367F" w:rsidP="00F876AA">
      <w:pPr>
        <w:pStyle w:val="NormalWeb"/>
        <w:ind w:left="360"/>
        <w:jc w:val="center"/>
      </w:pPr>
      <w:r>
        <w:rPr>
          <w:noProof/>
        </w:rPr>
        <w:lastRenderedPageBreak/>
        <w:drawing>
          <wp:inline distT="0" distB="0" distL="0" distR="0" wp14:anchorId="2C7C1340" wp14:editId="1DDFA91B">
            <wp:extent cx="5752465" cy="4108904"/>
            <wp:effectExtent l="0" t="0" r="635" b="6350"/>
            <wp:docPr id="6" name="Picture 6" descr="D:\ASSIGNMENT WORK\PIYUSH\INTL MKT PP BMW\BMW_EV_Share_Growt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SSIGNMENT WORK\PIYUSH\INTL MKT PP BMW\BMW_EV_Share_Growth.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62849" cy="4116321"/>
                    </a:xfrm>
                    <a:prstGeom prst="rect">
                      <a:avLst/>
                    </a:prstGeom>
                    <a:noFill/>
                    <a:ln>
                      <a:noFill/>
                    </a:ln>
                  </pic:spPr>
                </pic:pic>
              </a:graphicData>
            </a:graphic>
          </wp:inline>
        </w:drawing>
      </w:r>
    </w:p>
    <w:p w14:paraId="63B90799" w14:textId="77777777" w:rsidR="00B2757B" w:rsidRPr="00B9261A" w:rsidRDefault="00221CB7" w:rsidP="00221CB7">
      <w:pPr>
        <w:pStyle w:val="Heading2"/>
      </w:pPr>
      <w:bookmarkStart w:id="20" w:name="_Toc215410048"/>
      <w:r>
        <w:t>6</w:t>
      </w:r>
      <w:r w:rsidR="00B2757B" w:rsidRPr="00B9261A">
        <w:t>.3 Challenges and Risks</w:t>
      </w:r>
      <w:bookmarkEnd w:id="20"/>
    </w:p>
    <w:p w14:paraId="4C656E72" w14:textId="77777777" w:rsidR="007B2EA6" w:rsidRPr="007B2EA6" w:rsidRDefault="007B2EA6" w:rsidP="007B2EA6">
      <w:pPr>
        <w:spacing w:line="360" w:lineRule="auto"/>
        <w:jc w:val="both"/>
        <w:rPr>
          <w:rFonts w:ascii="Arial" w:hAnsi="Arial" w:cs="Arial"/>
          <w:bCs/>
          <w:sz w:val="24"/>
          <w:szCs w:val="24"/>
        </w:rPr>
      </w:pPr>
      <w:r w:rsidRPr="007B2EA6">
        <w:rPr>
          <w:rFonts w:ascii="Arial" w:hAnsi="Arial" w:cs="Arial"/>
          <w:bCs/>
          <w:sz w:val="24"/>
          <w:szCs w:val="24"/>
        </w:rPr>
        <w:t>BMW has a good operational performance and marketing, although it is vulnerable to situational challenges:</w:t>
      </w:r>
    </w:p>
    <w:p w14:paraId="6A4ADA89" w14:textId="77777777" w:rsidR="007B2EA6" w:rsidRPr="007B2EA6" w:rsidRDefault="007B2EA6" w:rsidP="007B2EA6">
      <w:pPr>
        <w:spacing w:line="360" w:lineRule="auto"/>
        <w:jc w:val="both"/>
        <w:rPr>
          <w:rFonts w:ascii="Arial" w:hAnsi="Arial" w:cs="Arial"/>
          <w:b/>
          <w:bCs/>
          <w:sz w:val="24"/>
          <w:szCs w:val="24"/>
        </w:rPr>
      </w:pPr>
      <w:r w:rsidRPr="007B2EA6">
        <w:rPr>
          <w:rFonts w:ascii="Arial" w:hAnsi="Arial" w:cs="Arial"/>
          <w:b/>
          <w:bCs/>
          <w:sz w:val="24"/>
          <w:szCs w:val="24"/>
        </w:rPr>
        <w:t>USA</w:t>
      </w:r>
    </w:p>
    <w:p w14:paraId="54AEB2C7" w14:textId="77777777" w:rsidR="007B2EA6" w:rsidRPr="007B2EA6" w:rsidRDefault="007B2EA6" w:rsidP="007B2EA6">
      <w:pPr>
        <w:spacing w:line="360" w:lineRule="auto"/>
        <w:jc w:val="both"/>
        <w:rPr>
          <w:rFonts w:ascii="Arial" w:hAnsi="Arial" w:cs="Arial"/>
          <w:bCs/>
          <w:sz w:val="24"/>
          <w:szCs w:val="24"/>
        </w:rPr>
      </w:pPr>
      <w:r w:rsidRPr="00221CB7">
        <w:rPr>
          <w:rFonts w:ascii="Arial" w:hAnsi="Arial" w:cs="Arial"/>
          <w:b/>
          <w:bCs/>
          <w:sz w:val="24"/>
          <w:szCs w:val="24"/>
        </w:rPr>
        <w:t>Regulatory Complexity:</w:t>
      </w:r>
      <w:r w:rsidRPr="007B2EA6">
        <w:rPr>
          <w:rFonts w:ascii="Arial" w:hAnsi="Arial" w:cs="Arial"/>
          <w:bCs/>
          <w:sz w:val="24"/>
          <w:szCs w:val="24"/>
        </w:rPr>
        <w:t xml:space="preserve"> EV policies on the state level (e.g. ZEV targets in California) demand locally-based compliance plans.</w:t>
      </w:r>
    </w:p>
    <w:p w14:paraId="4D0D638B" w14:textId="77777777" w:rsidR="007B2EA6" w:rsidRPr="007B2EA6" w:rsidRDefault="007B2EA6" w:rsidP="007B2EA6">
      <w:pPr>
        <w:spacing w:line="360" w:lineRule="auto"/>
        <w:jc w:val="both"/>
        <w:rPr>
          <w:rFonts w:ascii="Arial" w:hAnsi="Arial" w:cs="Arial"/>
          <w:bCs/>
          <w:sz w:val="24"/>
          <w:szCs w:val="24"/>
        </w:rPr>
      </w:pPr>
      <w:r w:rsidRPr="007B2EA6">
        <w:rPr>
          <w:rFonts w:ascii="Arial" w:hAnsi="Arial" w:cs="Arial"/>
          <w:b/>
          <w:bCs/>
          <w:sz w:val="24"/>
          <w:szCs w:val="24"/>
        </w:rPr>
        <w:t>Competitive Saturation</w:t>
      </w:r>
      <w:r w:rsidRPr="007B2EA6">
        <w:rPr>
          <w:rFonts w:ascii="Arial" w:hAnsi="Arial" w:cs="Arial"/>
          <w:bCs/>
          <w:sz w:val="24"/>
          <w:szCs w:val="24"/>
        </w:rPr>
        <w:t>: Tesla dominance at home and Lucid and Rivian entries into the luxury EV market endanger the market share of BMW.</w:t>
      </w:r>
    </w:p>
    <w:p w14:paraId="15B0B0E1" w14:textId="77777777" w:rsidR="007B2EA6" w:rsidRPr="007B2EA6" w:rsidRDefault="007B2EA6" w:rsidP="007B2EA6">
      <w:pPr>
        <w:spacing w:line="360" w:lineRule="auto"/>
        <w:jc w:val="both"/>
        <w:rPr>
          <w:rFonts w:ascii="Arial" w:hAnsi="Arial" w:cs="Arial"/>
          <w:bCs/>
          <w:sz w:val="24"/>
          <w:szCs w:val="24"/>
        </w:rPr>
      </w:pPr>
      <w:r w:rsidRPr="007B2EA6">
        <w:rPr>
          <w:rFonts w:ascii="Arial" w:hAnsi="Arial" w:cs="Arial"/>
          <w:b/>
          <w:bCs/>
          <w:sz w:val="24"/>
          <w:szCs w:val="24"/>
        </w:rPr>
        <w:t xml:space="preserve">Macroeconomic Uncertainty: </w:t>
      </w:r>
      <w:r w:rsidRPr="007B2EA6">
        <w:rPr>
          <w:rFonts w:ascii="Arial" w:hAnsi="Arial" w:cs="Arial"/>
          <w:bCs/>
          <w:sz w:val="24"/>
          <w:szCs w:val="24"/>
        </w:rPr>
        <w:t>The premium vehicle leasing and financing can be impacted negatively by high interest rates and inflation.</w:t>
      </w:r>
    </w:p>
    <w:p w14:paraId="367E5200" w14:textId="77777777" w:rsidR="007B2EA6" w:rsidRPr="007B2EA6" w:rsidRDefault="007B2EA6" w:rsidP="007B2EA6">
      <w:pPr>
        <w:spacing w:line="360" w:lineRule="auto"/>
        <w:jc w:val="both"/>
        <w:rPr>
          <w:rFonts w:ascii="Arial" w:hAnsi="Arial" w:cs="Arial"/>
          <w:b/>
          <w:bCs/>
          <w:sz w:val="24"/>
          <w:szCs w:val="24"/>
        </w:rPr>
      </w:pPr>
      <w:r w:rsidRPr="007B2EA6">
        <w:rPr>
          <w:rFonts w:ascii="Arial" w:hAnsi="Arial" w:cs="Arial"/>
          <w:b/>
          <w:bCs/>
          <w:sz w:val="24"/>
          <w:szCs w:val="24"/>
        </w:rPr>
        <w:t>Australia</w:t>
      </w:r>
    </w:p>
    <w:p w14:paraId="271C8E90" w14:textId="77777777" w:rsidR="007B2EA6" w:rsidRPr="007B2EA6" w:rsidRDefault="007B2EA6" w:rsidP="007B2EA6">
      <w:pPr>
        <w:spacing w:line="360" w:lineRule="auto"/>
        <w:jc w:val="both"/>
        <w:rPr>
          <w:rFonts w:ascii="Arial" w:hAnsi="Arial" w:cs="Arial"/>
          <w:bCs/>
          <w:sz w:val="24"/>
          <w:szCs w:val="24"/>
        </w:rPr>
      </w:pPr>
      <w:r w:rsidRPr="007B2EA6">
        <w:rPr>
          <w:rFonts w:ascii="Arial" w:hAnsi="Arial" w:cs="Arial"/>
          <w:b/>
          <w:bCs/>
          <w:sz w:val="24"/>
          <w:szCs w:val="24"/>
        </w:rPr>
        <w:lastRenderedPageBreak/>
        <w:t xml:space="preserve">Import Dependency: </w:t>
      </w:r>
      <w:r w:rsidRPr="007B2EA6">
        <w:rPr>
          <w:rFonts w:ascii="Arial" w:hAnsi="Arial" w:cs="Arial"/>
          <w:bCs/>
          <w:sz w:val="24"/>
          <w:szCs w:val="24"/>
        </w:rPr>
        <w:t>BMW products are imported and all the prices are susceptible to fluctuations in the exchange rates and logistics expenses.</w:t>
      </w:r>
    </w:p>
    <w:p w14:paraId="0D95E582" w14:textId="77777777" w:rsidR="007B2EA6" w:rsidRPr="007B2EA6" w:rsidRDefault="007B2EA6" w:rsidP="007B2EA6">
      <w:pPr>
        <w:spacing w:line="360" w:lineRule="auto"/>
        <w:jc w:val="both"/>
        <w:rPr>
          <w:rFonts w:ascii="Arial" w:hAnsi="Arial" w:cs="Arial"/>
          <w:bCs/>
          <w:sz w:val="24"/>
          <w:szCs w:val="24"/>
        </w:rPr>
      </w:pPr>
      <w:r w:rsidRPr="007B2EA6">
        <w:rPr>
          <w:rFonts w:ascii="Arial" w:hAnsi="Arial" w:cs="Arial"/>
          <w:b/>
          <w:bCs/>
          <w:sz w:val="24"/>
          <w:szCs w:val="24"/>
        </w:rPr>
        <w:t xml:space="preserve">Luxury Car Tax (LCT): </w:t>
      </w:r>
      <w:r w:rsidRPr="007B2EA6">
        <w:rPr>
          <w:rFonts w:ascii="Arial" w:hAnsi="Arial" w:cs="Arial"/>
          <w:bCs/>
          <w:sz w:val="24"/>
          <w:szCs w:val="24"/>
        </w:rPr>
        <w:t>It imposes a maximum of 33 percent above the base price, which restricts accessibility to the market (Australian Treasury, 2024).</w:t>
      </w:r>
    </w:p>
    <w:p w14:paraId="4A9272BC" w14:textId="77777777" w:rsidR="007B2EA6" w:rsidRPr="007B2EA6" w:rsidRDefault="007B2EA6" w:rsidP="007B2EA6">
      <w:pPr>
        <w:spacing w:line="360" w:lineRule="auto"/>
        <w:jc w:val="both"/>
        <w:rPr>
          <w:rFonts w:ascii="Arial" w:hAnsi="Arial" w:cs="Arial"/>
          <w:b/>
          <w:bCs/>
          <w:sz w:val="24"/>
          <w:szCs w:val="24"/>
        </w:rPr>
      </w:pPr>
      <w:r w:rsidRPr="007B2EA6">
        <w:rPr>
          <w:rFonts w:ascii="Arial" w:hAnsi="Arial" w:cs="Arial"/>
          <w:b/>
          <w:bCs/>
          <w:sz w:val="24"/>
          <w:szCs w:val="24"/>
        </w:rPr>
        <w:t xml:space="preserve">Poor Charging Network: </w:t>
      </w:r>
      <w:r w:rsidRPr="007B2EA6">
        <w:rPr>
          <w:rFonts w:ascii="Arial" w:hAnsi="Arial" w:cs="Arial"/>
          <w:bCs/>
          <w:sz w:val="24"/>
          <w:szCs w:val="24"/>
        </w:rPr>
        <w:t>A less dense network of charging infrastructure does not allow marketing small cities to EVs.</w:t>
      </w:r>
    </w:p>
    <w:p w14:paraId="6F486D36" w14:textId="77777777" w:rsidR="00B2757B" w:rsidRPr="00B9261A" w:rsidRDefault="007B2EA6" w:rsidP="007B2EA6">
      <w:pPr>
        <w:spacing w:line="360" w:lineRule="auto"/>
        <w:jc w:val="both"/>
        <w:rPr>
          <w:rFonts w:ascii="Arial" w:hAnsi="Arial" w:cs="Arial"/>
          <w:sz w:val="24"/>
          <w:szCs w:val="24"/>
        </w:rPr>
      </w:pPr>
      <w:r w:rsidRPr="007B2EA6">
        <w:rPr>
          <w:rFonts w:ascii="Arial" w:hAnsi="Arial" w:cs="Arial"/>
          <w:b/>
          <w:bCs/>
          <w:sz w:val="24"/>
          <w:szCs w:val="24"/>
        </w:rPr>
        <w:t>Shared Global Risks</w:t>
      </w:r>
      <w:r w:rsidR="00B2757B" w:rsidRPr="00B9261A">
        <w:rPr>
          <w:rFonts w:ascii="Arial" w:hAnsi="Arial" w:cs="Arial"/>
          <w:b/>
          <w:bCs/>
          <w:sz w:val="24"/>
          <w:szCs w:val="24"/>
        </w:rPr>
        <w:t>:</w:t>
      </w:r>
    </w:p>
    <w:p w14:paraId="4892A56E" w14:textId="77777777" w:rsidR="00B2757B" w:rsidRPr="00B9261A" w:rsidRDefault="00B2757B" w:rsidP="00B9261A">
      <w:pPr>
        <w:numPr>
          <w:ilvl w:val="0"/>
          <w:numId w:val="22"/>
        </w:numPr>
        <w:spacing w:line="360" w:lineRule="auto"/>
        <w:jc w:val="both"/>
        <w:rPr>
          <w:rFonts w:ascii="Arial" w:hAnsi="Arial" w:cs="Arial"/>
          <w:sz w:val="24"/>
          <w:szCs w:val="24"/>
        </w:rPr>
      </w:pPr>
      <w:r w:rsidRPr="00B9261A">
        <w:rPr>
          <w:rFonts w:ascii="Arial" w:hAnsi="Arial" w:cs="Arial"/>
          <w:sz w:val="24"/>
          <w:szCs w:val="24"/>
        </w:rPr>
        <w:t>Supply chain instability (semiconductors, raw materials for EV batteries).</w:t>
      </w:r>
    </w:p>
    <w:p w14:paraId="3CE14DB2" w14:textId="77777777" w:rsidR="00B2757B" w:rsidRPr="00B9261A" w:rsidRDefault="00B2757B" w:rsidP="00B9261A">
      <w:pPr>
        <w:numPr>
          <w:ilvl w:val="0"/>
          <w:numId w:val="22"/>
        </w:numPr>
        <w:spacing w:line="360" w:lineRule="auto"/>
        <w:jc w:val="both"/>
        <w:rPr>
          <w:rFonts w:ascii="Arial" w:hAnsi="Arial" w:cs="Arial"/>
          <w:sz w:val="24"/>
          <w:szCs w:val="24"/>
        </w:rPr>
      </w:pPr>
      <w:r w:rsidRPr="00B9261A">
        <w:rPr>
          <w:rFonts w:ascii="Arial" w:hAnsi="Arial" w:cs="Arial"/>
          <w:sz w:val="24"/>
          <w:szCs w:val="24"/>
        </w:rPr>
        <w:t>Heightened expectations for corporate sustainability transparency.</w:t>
      </w:r>
    </w:p>
    <w:p w14:paraId="2A6E6C40" w14:textId="77777777" w:rsidR="00B2757B" w:rsidRPr="00BE4D16" w:rsidRDefault="00B2757B" w:rsidP="00B9261A">
      <w:pPr>
        <w:numPr>
          <w:ilvl w:val="0"/>
          <w:numId w:val="22"/>
        </w:numPr>
        <w:spacing w:line="360" w:lineRule="auto"/>
        <w:jc w:val="both"/>
        <w:rPr>
          <w:rFonts w:ascii="Arial" w:hAnsi="Arial" w:cs="Arial"/>
          <w:sz w:val="24"/>
          <w:szCs w:val="24"/>
        </w:rPr>
      </w:pPr>
      <w:r w:rsidRPr="00B9261A">
        <w:rPr>
          <w:rFonts w:ascii="Arial" w:hAnsi="Arial" w:cs="Arial"/>
          <w:sz w:val="24"/>
          <w:szCs w:val="24"/>
        </w:rPr>
        <w:t>Risk of brand dilution through digital-only competition and subscription-based mobility models.</w:t>
      </w:r>
    </w:p>
    <w:p w14:paraId="693B8AC5"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Analytical Summary</w:t>
      </w:r>
    </w:p>
    <w:p w14:paraId="2C479843" w14:textId="77777777" w:rsidR="00DB6095" w:rsidRPr="00DB6095" w:rsidRDefault="00DB6095" w:rsidP="00DB6095">
      <w:pPr>
        <w:numPr>
          <w:ilvl w:val="0"/>
          <w:numId w:val="23"/>
        </w:numPr>
        <w:spacing w:line="360" w:lineRule="auto"/>
        <w:jc w:val="both"/>
        <w:rPr>
          <w:rFonts w:ascii="Arial" w:hAnsi="Arial" w:cs="Arial"/>
          <w:sz w:val="24"/>
          <w:szCs w:val="24"/>
        </w:rPr>
      </w:pPr>
      <w:r w:rsidRPr="005E3267">
        <w:rPr>
          <w:rFonts w:ascii="Arial" w:hAnsi="Arial" w:cs="Arial"/>
          <w:b/>
          <w:sz w:val="24"/>
          <w:szCs w:val="24"/>
        </w:rPr>
        <w:t>Strategic Strength:</w:t>
      </w:r>
      <w:r w:rsidRPr="00DB6095">
        <w:rPr>
          <w:rFonts w:ascii="Arial" w:hAnsi="Arial" w:cs="Arial"/>
          <w:sz w:val="24"/>
          <w:szCs w:val="24"/>
        </w:rPr>
        <w:t xml:space="preserve"> BMW exhibits a stable high quality leadership and </w:t>
      </w:r>
      <w:r w:rsidR="005E3267" w:rsidRPr="00DB6095">
        <w:rPr>
          <w:rFonts w:ascii="Arial" w:hAnsi="Arial" w:cs="Arial"/>
          <w:sz w:val="24"/>
          <w:szCs w:val="24"/>
        </w:rPr>
        <w:t>localization</w:t>
      </w:r>
      <w:r w:rsidRPr="00DB6095">
        <w:rPr>
          <w:rFonts w:ascii="Arial" w:hAnsi="Arial" w:cs="Arial"/>
          <w:sz w:val="24"/>
          <w:szCs w:val="24"/>
        </w:rPr>
        <w:t xml:space="preserve"> of marketing strategies.</w:t>
      </w:r>
    </w:p>
    <w:p w14:paraId="51A8FD02" w14:textId="77777777" w:rsidR="00DB6095" w:rsidRPr="00DB6095" w:rsidRDefault="00DB6095" w:rsidP="00DB6095">
      <w:pPr>
        <w:numPr>
          <w:ilvl w:val="0"/>
          <w:numId w:val="23"/>
        </w:numPr>
        <w:spacing w:line="360" w:lineRule="auto"/>
        <w:jc w:val="both"/>
        <w:rPr>
          <w:rFonts w:ascii="Arial" w:hAnsi="Arial" w:cs="Arial"/>
          <w:sz w:val="24"/>
          <w:szCs w:val="24"/>
        </w:rPr>
      </w:pPr>
      <w:r w:rsidRPr="005E3267">
        <w:rPr>
          <w:rFonts w:ascii="Arial" w:hAnsi="Arial" w:cs="Arial"/>
          <w:b/>
          <w:sz w:val="24"/>
          <w:szCs w:val="24"/>
        </w:rPr>
        <w:t>Performance Differentiation:</w:t>
      </w:r>
      <w:r w:rsidRPr="00DB6095">
        <w:rPr>
          <w:rFonts w:ascii="Arial" w:hAnsi="Arial" w:cs="Arial"/>
          <w:sz w:val="24"/>
          <w:szCs w:val="24"/>
        </w:rPr>
        <w:t xml:space="preserve"> USA is volumetric and profitable, Australia is agile and ev market growth.</w:t>
      </w:r>
    </w:p>
    <w:p w14:paraId="5AFF182E" w14:textId="77777777" w:rsidR="00B2757B" w:rsidRDefault="00DB6095" w:rsidP="00DB6095">
      <w:pPr>
        <w:numPr>
          <w:ilvl w:val="0"/>
          <w:numId w:val="23"/>
        </w:numPr>
        <w:spacing w:line="360" w:lineRule="auto"/>
        <w:jc w:val="both"/>
        <w:rPr>
          <w:rFonts w:ascii="Arial" w:hAnsi="Arial" w:cs="Arial"/>
          <w:sz w:val="24"/>
          <w:szCs w:val="24"/>
        </w:rPr>
      </w:pPr>
      <w:r w:rsidRPr="005E3267">
        <w:rPr>
          <w:rFonts w:ascii="Arial" w:hAnsi="Arial" w:cs="Arial"/>
          <w:b/>
          <w:sz w:val="24"/>
          <w:szCs w:val="24"/>
        </w:rPr>
        <w:t>Risk Outlook:</w:t>
      </w:r>
      <w:r w:rsidRPr="00DB6095">
        <w:rPr>
          <w:rFonts w:ascii="Arial" w:hAnsi="Arial" w:cs="Arial"/>
          <w:sz w:val="24"/>
          <w:szCs w:val="24"/>
        </w:rPr>
        <w:t xml:space="preserve"> Competitive intensity and regulatory divergence needs the flexibility of pricing and adaptable marketing and long-term innovation.</w:t>
      </w:r>
    </w:p>
    <w:p w14:paraId="074F907B" w14:textId="77777777" w:rsidR="00221CB7" w:rsidRDefault="00221CB7" w:rsidP="00221CB7">
      <w:pPr>
        <w:spacing w:line="360" w:lineRule="auto"/>
        <w:jc w:val="both"/>
        <w:rPr>
          <w:rFonts w:ascii="Arial" w:hAnsi="Arial" w:cs="Arial"/>
          <w:sz w:val="24"/>
          <w:szCs w:val="24"/>
        </w:rPr>
      </w:pPr>
    </w:p>
    <w:p w14:paraId="12666427" w14:textId="77777777" w:rsidR="00221CB7" w:rsidRDefault="00221CB7" w:rsidP="00221CB7">
      <w:pPr>
        <w:spacing w:line="360" w:lineRule="auto"/>
        <w:jc w:val="both"/>
        <w:rPr>
          <w:rFonts w:ascii="Arial" w:hAnsi="Arial" w:cs="Arial"/>
          <w:sz w:val="24"/>
          <w:szCs w:val="24"/>
        </w:rPr>
      </w:pPr>
    </w:p>
    <w:p w14:paraId="7D1CD8BF" w14:textId="77777777" w:rsidR="00221CB7" w:rsidRDefault="00221CB7" w:rsidP="00221CB7">
      <w:pPr>
        <w:spacing w:line="360" w:lineRule="auto"/>
        <w:jc w:val="both"/>
        <w:rPr>
          <w:rFonts w:ascii="Arial" w:hAnsi="Arial" w:cs="Arial"/>
          <w:sz w:val="24"/>
          <w:szCs w:val="24"/>
        </w:rPr>
      </w:pPr>
    </w:p>
    <w:p w14:paraId="56B41A83" w14:textId="77777777" w:rsidR="00221CB7" w:rsidRDefault="00221CB7" w:rsidP="00221CB7">
      <w:pPr>
        <w:spacing w:line="360" w:lineRule="auto"/>
        <w:jc w:val="both"/>
        <w:rPr>
          <w:rFonts w:ascii="Arial" w:hAnsi="Arial" w:cs="Arial"/>
          <w:sz w:val="24"/>
          <w:szCs w:val="24"/>
        </w:rPr>
      </w:pPr>
    </w:p>
    <w:p w14:paraId="5669E8A2" w14:textId="77777777" w:rsidR="00221CB7" w:rsidRPr="00B9261A" w:rsidRDefault="00221CB7" w:rsidP="00221CB7">
      <w:pPr>
        <w:spacing w:line="360" w:lineRule="auto"/>
        <w:jc w:val="both"/>
        <w:rPr>
          <w:rFonts w:ascii="Arial" w:hAnsi="Arial" w:cs="Arial"/>
          <w:sz w:val="24"/>
          <w:szCs w:val="24"/>
        </w:rPr>
      </w:pPr>
    </w:p>
    <w:p w14:paraId="380E6EE9" w14:textId="77777777" w:rsidR="00B2757B" w:rsidRPr="00B9261A" w:rsidRDefault="009916D4" w:rsidP="00221CB7">
      <w:pPr>
        <w:pStyle w:val="Heading1"/>
      </w:pPr>
      <w:bookmarkStart w:id="21" w:name="_Toc215410049"/>
      <w:r>
        <w:lastRenderedPageBreak/>
        <w:t>7</w:t>
      </w:r>
      <w:r w:rsidR="00B2757B" w:rsidRPr="00B9261A">
        <w:t>. Recommendations</w:t>
      </w:r>
      <w:bookmarkEnd w:id="21"/>
    </w:p>
    <w:p w14:paraId="1CC1B53E" w14:textId="77777777" w:rsidR="00B2757B" w:rsidRPr="00B9261A" w:rsidRDefault="005E3267" w:rsidP="00B9261A">
      <w:pPr>
        <w:spacing w:line="360" w:lineRule="auto"/>
        <w:jc w:val="both"/>
        <w:rPr>
          <w:rFonts w:ascii="Arial" w:hAnsi="Arial" w:cs="Arial"/>
          <w:sz w:val="24"/>
          <w:szCs w:val="24"/>
        </w:rPr>
      </w:pPr>
      <w:r w:rsidRPr="005E3267">
        <w:rPr>
          <w:rFonts w:ascii="Arial" w:hAnsi="Arial" w:cs="Arial"/>
          <w:sz w:val="24"/>
          <w:szCs w:val="24"/>
        </w:rPr>
        <w:t>The above discussion has shown that although BMW enjoys a global brand presence of maintaining a consistent premium brand, unique market truths in the USA and Australia need strategic localization efforts. This part offers practical recommendations separated into short-term (1-2 years) and medium/long-term (3-5 years) plan</w:t>
      </w:r>
      <w:r>
        <w:rPr>
          <w:rFonts w:ascii="Arial" w:hAnsi="Arial" w:cs="Arial"/>
          <w:sz w:val="24"/>
          <w:szCs w:val="24"/>
        </w:rPr>
        <w:t>s and an implementation roadmap</w:t>
      </w:r>
      <w:r w:rsidR="00BE4D16">
        <w:rPr>
          <w:rFonts w:ascii="Arial" w:hAnsi="Arial" w:cs="Arial"/>
          <w:sz w:val="24"/>
          <w:szCs w:val="24"/>
        </w:rPr>
        <w:t>.</w:t>
      </w:r>
    </w:p>
    <w:p w14:paraId="4E52C1C5" w14:textId="77777777" w:rsidR="00B2757B" w:rsidRPr="00B9261A" w:rsidRDefault="009916D4" w:rsidP="00221CB7">
      <w:pPr>
        <w:pStyle w:val="Heading2"/>
      </w:pPr>
      <w:bookmarkStart w:id="22" w:name="_Toc215410050"/>
      <w:r>
        <w:t>7</w:t>
      </w:r>
      <w:r w:rsidR="00B2757B" w:rsidRPr="00B9261A">
        <w:t>.1 Short-Term Recommendations (1–2 Years)</w:t>
      </w:r>
      <w:bookmarkEnd w:id="22"/>
    </w:p>
    <w:p w14:paraId="57E08FE3"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1. Strengthen Digital-First Customer Experience</w:t>
      </w:r>
    </w:p>
    <w:p w14:paraId="5CFCD1D4" w14:textId="77777777" w:rsidR="005E3267" w:rsidRPr="005E3267" w:rsidRDefault="005E3267" w:rsidP="005E3267">
      <w:pPr>
        <w:numPr>
          <w:ilvl w:val="0"/>
          <w:numId w:val="24"/>
        </w:numPr>
        <w:spacing w:line="360" w:lineRule="auto"/>
        <w:jc w:val="both"/>
        <w:rPr>
          <w:rFonts w:ascii="Arial" w:hAnsi="Arial" w:cs="Arial"/>
          <w:sz w:val="24"/>
          <w:szCs w:val="24"/>
        </w:rPr>
      </w:pPr>
      <w:r w:rsidRPr="005E3267">
        <w:rPr>
          <w:rFonts w:ascii="Arial" w:hAnsi="Arial" w:cs="Arial"/>
          <w:b/>
          <w:sz w:val="24"/>
          <w:szCs w:val="24"/>
        </w:rPr>
        <w:t>USA:</w:t>
      </w:r>
      <w:r w:rsidRPr="005E3267">
        <w:rPr>
          <w:rFonts w:ascii="Arial" w:hAnsi="Arial" w:cs="Arial"/>
          <w:sz w:val="24"/>
          <w:szCs w:val="24"/>
        </w:rPr>
        <w:t xml:space="preserve"> Builds up the direct-to-consumer (D2C) online purchase options of the e-commerce to encompass online financing, trade-in valuation, as well as real-time vehicle monitoring consistent with the Tesla online model, but retains the prestigious BMW concierge approach.</w:t>
      </w:r>
    </w:p>
    <w:p w14:paraId="6A0A8E1A" w14:textId="77777777" w:rsidR="005E3267" w:rsidRPr="005E3267" w:rsidRDefault="005E3267" w:rsidP="005E3267">
      <w:pPr>
        <w:numPr>
          <w:ilvl w:val="0"/>
          <w:numId w:val="24"/>
        </w:numPr>
        <w:spacing w:line="360" w:lineRule="auto"/>
        <w:jc w:val="both"/>
        <w:rPr>
          <w:rFonts w:ascii="Arial" w:hAnsi="Arial" w:cs="Arial"/>
          <w:sz w:val="24"/>
          <w:szCs w:val="24"/>
        </w:rPr>
      </w:pPr>
      <w:r w:rsidRPr="005E3267">
        <w:rPr>
          <w:rFonts w:ascii="Arial" w:hAnsi="Arial" w:cs="Arial"/>
          <w:b/>
          <w:sz w:val="24"/>
          <w:szCs w:val="24"/>
        </w:rPr>
        <w:t>Australia:</w:t>
      </w:r>
      <w:r w:rsidRPr="005E3267">
        <w:rPr>
          <w:rFonts w:ascii="Arial" w:hAnsi="Arial" w:cs="Arial"/>
          <w:sz w:val="24"/>
          <w:szCs w:val="24"/>
        </w:rPr>
        <w:t xml:space="preserve"> Improve the integration of BMW digital instruments (My BMW App, virtual configurator) and dealership services in case of hybrid online-offline trips.</w:t>
      </w:r>
    </w:p>
    <w:p w14:paraId="31FA5E5A" w14:textId="77777777" w:rsidR="00B2757B" w:rsidRPr="00B9261A" w:rsidRDefault="005E3267" w:rsidP="005E3267">
      <w:pPr>
        <w:numPr>
          <w:ilvl w:val="0"/>
          <w:numId w:val="24"/>
        </w:numPr>
        <w:spacing w:line="360" w:lineRule="auto"/>
        <w:jc w:val="both"/>
        <w:rPr>
          <w:rFonts w:ascii="Arial" w:hAnsi="Arial" w:cs="Arial"/>
          <w:sz w:val="24"/>
          <w:szCs w:val="24"/>
        </w:rPr>
      </w:pPr>
      <w:r w:rsidRPr="005E3267">
        <w:rPr>
          <w:rFonts w:ascii="Arial" w:hAnsi="Arial" w:cs="Arial"/>
          <w:b/>
          <w:sz w:val="24"/>
          <w:szCs w:val="24"/>
        </w:rPr>
        <w:t>Impact:</w:t>
      </w:r>
      <w:r w:rsidRPr="005E3267">
        <w:rPr>
          <w:rFonts w:ascii="Arial" w:hAnsi="Arial" w:cs="Arial"/>
          <w:sz w:val="24"/>
          <w:szCs w:val="24"/>
        </w:rPr>
        <w:t xml:space="preserve"> It will increase customer conversion, cost efficiency, and enha</w:t>
      </w:r>
      <w:r>
        <w:rPr>
          <w:rFonts w:ascii="Arial" w:hAnsi="Arial" w:cs="Arial"/>
          <w:sz w:val="24"/>
          <w:szCs w:val="24"/>
        </w:rPr>
        <w:t>nce data-driven personalization</w:t>
      </w:r>
      <w:r w:rsidR="00B2757B" w:rsidRPr="00B9261A">
        <w:rPr>
          <w:rFonts w:ascii="Arial" w:hAnsi="Arial" w:cs="Arial"/>
          <w:sz w:val="24"/>
          <w:szCs w:val="24"/>
        </w:rPr>
        <w:t>.</w:t>
      </w:r>
    </w:p>
    <w:p w14:paraId="6D02738A"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2. Targeted EV Marketing and Incentive Communication</w:t>
      </w:r>
    </w:p>
    <w:p w14:paraId="121774F7" w14:textId="77777777" w:rsidR="005E3267" w:rsidRPr="005E3267" w:rsidRDefault="005E3267" w:rsidP="005E3267">
      <w:pPr>
        <w:numPr>
          <w:ilvl w:val="0"/>
          <w:numId w:val="25"/>
        </w:numPr>
        <w:spacing w:line="360" w:lineRule="auto"/>
        <w:jc w:val="both"/>
        <w:rPr>
          <w:rFonts w:ascii="Arial" w:hAnsi="Arial" w:cs="Arial"/>
          <w:sz w:val="24"/>
          <w:szCs w:val="24"/>
        </w:rPr>
      </w:pPr>
      <w:r w:rsidRPr="005E3267">
        <w:rPr>
          <w:rFonts w:ascii="Arial" w:hAnsi="Arial" w:cs="Arial"/>
          <w:b/>
          <w:sz w:val="24"/>
          <w:szCs w:val="24"/>
        </w:rPr>
        <w:t>USA:</w:t>
      </w:r>
      <w:r w:rsidRPr="005E3267">
        <w:rPr>
          <w:rFonts w:ascii="Arial" w:hAnsi="Arial" w:cs="Arial"/>
          <w:sz w:val="24"/>
          <w:szCs w:val="24"/>
        </w:rPr>
        <w:t xml:space="preserve"> Capitalise on the Inflation Reduction Act (IRA) to market localised EV models (e.g. iX, i5) that would receive federal and state level tax credits.</w:t>
      </w:r>
    </w:p>
    <w:p w14:paraId="28EED6B6" w14:textId="77777777" w:rsidR="005E3267" w:rsidRPr="005E3267" w:rsidRDefault="005E3267" w:rsidP="005E3267">
      <w:pPr>
        <w:numPr>
          <w:ilvl w:val="0"/>
          <w:numId w:val="25"/>
        </w:numPr>
        <w:spacing w:line="360" w:lineRule="auto"/>
        <w:jc w:val="both"/>
        <w:rPr>
          <w:rFonts w:ascii="Arial" w:hAnsi="Arial" w:cs="Arial"/>
          <w:sz w:val="24"/>
          <w:szCs w:val="24"/>
        </w:rPr>
      </w:pPr>
      <w:r w:rsidRPr="005E3267">
        <w:rPr>
          <w:rFonts w:ascii="Arial" w:hAnsi="Arial" w:cs="Arial"/>
          <w:b/>
          <w:sz w:val="24"/>
          <w:szCs w:val="24"/>
        </w:rPr>
        <w:t>Australia:</w:t>
      </w:r>
      <w:r w:rsidRPr="005E3267">
        <w:rPr>
          <w:rFonts w:ascii="Arial" w:hAnsi="Arial" w:cs="Arial"/>
          <w:sz w:val="24"/>
          <w:szCs w:val="24"/>
        </w:rPr>
        <w:t xml:space="preserve"> Partner with state governments (e.g., NSW and VIC) to bring purchase incentives and free charging deals through Chargefox and Evie Networks into the limelight.</w:t>
      </w:r>
    </w:p>
    <w:p w14:paraId="6DAFD9AF" w14:textId="77777777" w:rsidR="00B2757B" w:rsidRPr="00B9261A" w:rsidRDefault="005E3267" w:rsidP="005E3267">
      <w:pPr>
        <w:numPr>
          <w:ilvl w:val="0"/>
          <w:numId w:val="25"/>
        </w:numPr>
        <w:spacing w:line="360" w:lineRule="auto"/>
        <w:jc w:val="both"/>
        <w:rPr>
          <w:rFonts w:ascii="Arial" w:hAnsi="Arial" w:cs="Arial"/>
          <w:sz w:val="24"/>
          <w:szCs w:val="24"/>
        </w:rPr>
      </w:pPr>
      <w:r w:rsidRPr="005E3267">
        <w:rPr>
          <w:rFonts w:ascii="Arial" w:hAnsi="Arial" w:cs="Arial"/>
          <w:b/>
          <w:sz w:val="24"/>
          <w:szCs w:val="24"/>
        </w:rPr>
        <w:t>Impact:</w:t>
      </w:r>
      <w:r w:rsidRPr="005E3267">
        <w:rPr>
          <w:rFonts w:ascii="Arial" w:hAnsi="Arial" w:cs="Arial"/>
          <w:sz w:val="24"/>
          <w:szCs w:val="24"/>
        </w:rPr>
        <w:t xml:space="preserve"> A higher number of EVs will be adopted, and people will understand better that BMW is a company that cares about the future.</w:t>
      </w:r>
    </w:p>
    <w:p w14:paraId="0E3EF90D"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3. Optimise Dealership Experience and After-Sales Engagement</w:t>
      </w:r>
    </w:p>
    <w:p w14:paraId="20E51F8C" w14:textId="77777777" w:rsidR="005E3267" w:rsidRPr="005E3267" w:rsidRDefault="005E3267" w:rsidP="005E3267">
      <w:pPr>
        <w:numPr>
          <w:ilvl w:val="0"/>
          <w:numId w:val="26"/>
        </w:numPr>
        <w:spacing w:line="360" w:lineRule="auto"/>
        <w:jc w:val="both"/>
        <w:rPr>
          <w:rFonts w:ascii="Arial" w:hAnsi="Arial" w:cs="Arial"/>
          <w:sz w:val="24"/>
          <w:szCs w:val="24"/>
        </w:rPr>
      </w:pPr>
      <w:r w:rsidRPr="005E3267">
        <w:rPr>
          <w:rFonts w:ascii="Arial" w:hAnsi="Arial" w:cs="Arial"/>
          <w:sz w:val="24"/>
          <w:szCs w:val="24"/>
        </w:rPr>
        <w:lastRenderedPageBreak/>
        <w:t>The staff at train dealerships on sustainability storytelling, product educating, and emotional engagement.</w:t>
      </w:r>
    </w:p>
    <w:p w14:paraId="10F7FDB4" w14:textId="77777777" w:rsidR="005E3267" w:rsidRPr="005E3267" w:rsidRDefault="005E3267" w:rsidP="005E3267">
      <w:pPr>
        <w:numPr>
          <w:ilvl w:val="0"/>
          <w:numId w:val="26"/>
        </w:numPr>
        <w:spacing w:line="360" w:lineRule="auto"/>
        <w:jc w:val="both"/>
        <w:rPr>
          <w:rFonts w:ascii="Arial" w:hAnsi="Arial" w:cs="Arial"/>
          <w:sz w:val="24"/>
          <w:szCs w:val="24"/>
        </w:rPr>
      </w:pPr>
      <w:r w:rsidRPr="005E3267">
        <w:rPr>
          <w:rFonts w:ascii="Arial" w:hAnsi="Arial" w:cs="Arial"/>
          <w:sz w:val="24"/>
          <w:szCs w:val="24"/>
        </w:rPr>
        <w:t>Implement BMW Experience Zones in metropolitan centres in the U.S. and Australia (pop-ups about EV technologies and lifestyle marketing).</w:t>
      </w:r>
    </w:p>
    <w:p w14:paraId="14CC8C94" w14:textId="77777777" w:rsidR="00B2757B" w:rsidRPr="00BE4D16" w:rsidRDefault="005E3267" w:rsidP="005E3267">
      <w:pPr>
        <w:numPr>
          <w:ilvl w:val="0"/>
          <w:numId w:val="26"/>
        </w:numPr>
        <w:spacing w:line="360" w:lineRule="auto"/>
        <w:jc w:val="both"/>
        <w:rPr>
          <w:rFonts w:ascii="Arial" w:hAnsi="Arial" w:cs="Arial"/>
          <w:sz w:val="24"/>
          <w:szCs w:val="24"/>
        </w:rPr>
      </w:pPr>
      <w:r w:rsidRPr="005E3267">
        <w:rPr>
          <w:rFonts w:ascii="Arial" w:hAnsi="Arial" w:cs="Arial"/>
          <w:sz w:val="24"/>
          <w:szCs w:val="24"/>
        </w:rPr>
        <w:t>Introduce subscriptions (BMW iFlex) of EVs to attract young p</w:t>
      </w:r>
      <w:r>
        <w:rPr>
          <w:rFonts w:ascii="Arial" w:hAnsi="Arial" w:cs="Arial"/>
          <w:sz w:val="24"/>
          <w:szCs w:val="24"/>
        </w:rPr>
        <w:t>rofessionals as flexible owners</w:t>
      </w:r>
      <w:r w:rsidR="00B2757B" w:rsidRPr="00B9261A">
        <w:rPr>
          <w:rFonts w:ascii="Arial" w:hAnsi="Arial" w:cs="Arial"/>
          <w:sz w:val="24"/>
          <w:szCs w:val="24"/>
        </w:rPr>
        <w:t>.</w:t>
      </w:r>
    </w:p>
    <w:p w14:paraId="0639C75C" w14:textId="77777777" w:rsidR="00B2757B" w:rsidRPr="00B9261A" w:rsidRDefault="009916D4" w:rsidP="00221CB7">
      <w:pPr>
        <w:pStyle w:val="Heading2"/>
      </w:pPr>
      <w:bookmarkStart w:id="23" w:name="_Toc215410051"/>
      <w:r>
        <w:t>7</w:t>
      </w:r>
      <w:r w:rsidR="00B2757B" w:rsidRPr="00B9261A">
        <w:t>.2 Medium/Long-Term Recommendations (3–5 Years)</w:t>
      </w:r>
      <w:bookmarkEnd w:id="23"/>
    </w:p>
    <w:p w14:paraId="71A1D3BC"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1. Expand “Neue Klasse” EV Architecture and Local Adaptation</w:t>
      </w:r>
    </w:p>
    <w:p w14:paraId="6844BFCA" w14:textId="77777777" w:rsidR="005E3267" w:rsidRPr="005E3267" w:rsidRDefault="005E3267" w:rsidP="005E3267">
      <w:pPr>
        <w:numPr>
          <w:ilvl w:val="0"/>
          <w:numId w:val="27"/>
        </w:numPr>
        <w:spacing w:line="360" w:lineRule="auto"/>
        <w:jc w:val="both"/>
        <w:rPr>
          <w:rFonts w:ascii="Arial" w:hAnsi="Arial" w:cs="Arial"/>
          <w:sz w:val="24"/>
          <w:szCs w:val="24"/>
        </w:rPr>
      </w:pPr>
      <w:r w:rsidRPr="005E3267">
        <w:rPr>
          <w:rFonts w:ascii="Arial" w:hAnsi="Arial" w:cs="Arial"/>
          <w:b/>
          <w:sz w:val="24"/>
          <w:szCs w:val="24"/>
        </w:rPr>
        <w:t xml:space="preserve">USA: </w:t>
      </w:r>
      <w:r w:rsidRPr="005E3267">
        <w:rPr>
          <w:rFonts w:ascii="Arial" w:hAnsi="Arial" w:cs="Arial"/>
          <w:sz w:val="24"/>
          <w:szCs w:val="24"/>
        </w:rPr>
        <w:t>Use the Spartanburg and Mexico facilities to manufacture Neue Klasse in large quantities to decrease reliance on imports and enhance access to IRA credit.</w:t>
      </w:r>
    </w:p>
    <w:p w14:paraId="307EA930" w14:textId="77777777" w:rsidR="005E3267" w:rsidRPr="005E3267" w:rsidRDefault="005E3267" w:rsidP="005E3267">
      <w:pPr>
        <w:numPr>
          <w:ilvl w:val="0"/>
          <w:numId w:val="27"/>
        </w:numPr>
        <w:spacing w:line="360" w:lineRule="auto"/>
        <w:jc w:val="both"/>
        <w:rPr>
          <w:rFonts w:ascii="Arial" w:hAnsi="Arial" w:cs="Arial"/>
          <w:sz w:val="24"/>
          <w:szCs w:val="24"/>
        </w:rPr>
      </w:pPr>
      <w:r w:rsidRPr="005E3267">
        <w:rPr>
          <w:rFonts w:ascii="Arial" w:hAnsi="Arial" w:cs="Arial"/>
          <w:b/>
          <w:sz w:val="24"/>
          <w:szCs w:val="24"/>
        </w:rPr>
        <w:t>Australia:</w:t>
      </w:r>
      <w:r w:rsidRPr="005E3267">
        <w:rPr>
          <w:rFonts w:ascii="Arial" w:hAnsi="Arial" w:cs="Arial"/>
          <w:sz w:val="24"/>
          <w:szCs w:val="24"/>
        </w:rPr>
        <w:t xml:space="preserve"> Discuss logistics and tariff exemption with government agencies to make BMW a major EV supplier, and possibly consider regional assembly of specific models.</w:t>
      </w:r>
    </w:p>
    <w:p w14:paraId="062D5322" w14:textId="77777777" w:rsidR="00B2757B" w:rsidRPr="00B9261A" w:rsidRDefault="005E3267" w:rsidP="005E3267">
      <w:pPr>
        <w:numPr>
          <w:ilvl w:val="0"/>
          <w:numId w:val="27"/>
        </w:numPr>
        <w:spacing w:line="360" w:lineRule="auto"/>
        <w:jc w:val="both"/>
        <w:rPr>
          <w:rFonts w:ascii="Arial" w:hAnsi="Arial" w:cs="Arial"/>
          <w:sz w:val="24"/>
          <w:szCs w:val="24"/>
        </w:rPr>
      </w:pPr>
      <w:r w:rsidRPr="005E3267">
        <w:rPr>
          <w:rFonts w:ascii="Arial" w:hAnsi="Arial" w:cs="Arial"/>
          <w:b/>
          <w:sz w:val="24"/>
          <w:szCs w:val="24"/>
        </w:rPr>
        <w:t>Effect:</w:t>
      </w:r>
      <w:r w:rsidRPr="005E3267">
        <w:rPr>
          <w:rFonts w:ascii="Arial" w:hAnsi="Arial" w:cs="Arial"/>
          <w:sz w:val="24"/>
          <w:szCs w:val="24"/>
        </w:rPr>
        <w:t xml:space="preserve"> The improved cost control and product leadership in EV performance.</w:t>
      </w:r>
    </w:p>
    <w:p w14:paraId="13DAF7C7"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2. Enhance Brand Sustainability and Transparency</w:t>
      </w:r>
    </w:p>
    <w:p w14:paraId="52603827" w14:textId="77777777" w:rsidR="00B2757B" w:rsidRPr="00B9261A" w:rsidRDefault="00B2757B" w:rsidP="00B9261A">
      <w:pPr>
        <w:numPr>
          <w:ilvl w:val="0"/>
          <w:numId w:val="28"/>
        </w:numPr>
        <w:spacing w:line="360" w:lineRule="auto"/>
        <w:jc w:val="both"/>
        <w:rPr>
          <w:rFonts w:ascii="Arial" w:hAnsi="Arial" w:cs="Arial"/>
          <w:sz w:val="24"/>
          <w:szCs w:val="24"/>
        </w:rPr>
      </w:pPr>
      <w:r w:rsidRPr="00B9261A">
        <w:rPr>
          <w:rFonts w:ascii="Arial" w:hAnsi="Arial" w:cs="Arial"/>
          <w:sz w:val="24"/>
          <w:szCs w:val="24"/>
        </w:rPr>
        <w:t xml:space="preserve">Introduce third-party </w:t>
      </w:r>
      <w:r w:rsidRPr="00F876AA">
        <w:rPr>
          <w:rFonts w:ascii="Arial" w:hAnsi="Arial" w:cs="Arial"/>
          <w:bCs/>
          <w:sz w:val="24"/>
          <w:szCs w:val="24"/>
        </w:rPr>
        <w:t>carbon footprint certification</w:t>
      </w:r>
      <w:r w:rsidRPr="00B9261A">
        <w:rPr>
          <w:rFonts w:ascii="Arial" w:hAnsi="Arial" w:cs="Arial"/>
          <w:sz w:val="24"/>
          <w:szCs w:val="24"/>
        </w:rPr>
        <w:t xml:space="preserve"> on all EV marketing materials to reinforce authenticity.</w:t>
      </w:r>
    </w:p>
    <w:p w14:paraId="5057061C" w14:textId="77777777" w:rsidR="00B2757B" w:rsidRPr="00B9261A" w:rsidRDefault="00B2757B" w:rsidP="00B9261A">
      <w:pPr>
        <w:numPr>
          <w:ilvl w:val="0"/>
          <w:numId w:val="28"/>
        </w:numPr>
        <w:spacing w:line="360" w:lineRule="auto"/>
        <w:jc w:val="both"/>
        <w:rPr>
          <w:rFonts w:ascii="Arial" w:hAnsi="Arial" w:cs="Arial"/>
          <w:sz w:val="24"/>
          <w:szCs w:val="24"/>
        </w:rPr>
      </w:pPr>
      <w:r w:rsidRPr="00B9261A">
        <w:rPr>
          <w:rFonts w:ascii="Arial" w:hAnsi="Arial" w:cs="Arial"/>
          <w:sz w:val="24"/>
          <w:szCs w:val="24"/>
        </w:rPr>
        <w:t xml:space="preserve">Expand </w:t>
      </w:r>
      <w:r w:rsidRPr="00F876AA">
        <w:rPr>
          <w:rFonts w:ascii="Arial" w:hAnsi="Arial" w:cs="Arial"/>
          <w:bCs/>
          <w:sz w:val="24"/>
          <w:szCs w:val="24"/>
        </w:rPr>
        <w:t>BMW Circular Labs</w:t>
      </w:r>
      <w:r w:rsidRPr="00B9261A">
        <w:rPr>
          <w:rFonts w:ascii="Arial" w:hAnsi="Arial" w:cs="Arial"/>
          <w:sz w:val="24"/>
          <w:szCs w:val="24"/>
        </w:rPr>
        <w:t xml:space="preserve"> educational campaigns in both countries to position BMW as a global sustainability educator.</w:t>
      </w:r>
    </w:p>
    <w:p w14:paraId="35924720" w14:textId="77777777" w:rsidR="00B2757B" w:rsidRPr="00B9261A" w:rsidRDefault="00B2757B" w:rsidP="00B9261A">
      <w:pPr>
        <w:numPr>
          <w:ilvl w:val="0"/>
          <w:numId w:val="28"/>
        </w:numPr>
        <w:spacing w:line="360" w:lineRule="auto"/>
        <w:jc w:val="both"/>
        <w:rPr>
          <w:rFonts w:ascii="Arial" w:hAnsi="Arial" w:cs="Arial"/>
          <w:sz w:val="24"/>
          <w:szCs w:val="24"/>
        </w:rPr>
      </w:pPr>
      <w:r w:rsidRPr="00B9261A">
        <w:rPr>
          <w:rFonts w:ascii="Arial" w:hAnsi="Arial" w:cs="Arial"/>
          <w:sz w:val="24"/>
          <w:szCs w:val="24"/>
        </w:rPr>
        <w:t xml:space="preserve">Integrate </w:t>
      </w:r>
      <w:r w:rsidRPr="00F876AA">
        <w:rPr>
          <w:rFonts w:ascii="Arial" w:hAnsi="Arial" w:cs="Arial"/>
          <w:bCs/>
          <w:sz w:val="24"/>
          <w:szCs w:val="24"/>
        </w:rPr>
        <w:t>AI-driven ESG dashboards</w:t>
      </w:r>
      <w:r w:rsidRPr="00B9261A">
        <w:rPr>
          <w:rFonts w:ascii="Arial" w:hAnsi="Arial" w:cs="Arial"/>
          <w:sz w:val="24"/>
          <w:szCs w:val="24"/>
        </w:rPr>
        <w:t xml:space="preserve"> for internal monitoring and consumer transparency.</w:t>
      </w:r>
    </w:p>
    <w:p w14:paraId="47BF6021"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3. Deepen Community and Cultural Engagement</w:t>
      </w:r>
    </w:p>
    <w:p w14:paraId="13D7B319" w14:textId="77777777" w:rsidR="005E3267" w:rsidRPr="005E3267" w:rsidRDefault="005E3267" w:rsidP="005E3267">
      <w:pPr>
        <w:numPr>
          <w:ilvl w:val="0"/>
          <w:numId w:val="29"/>
        </w:numPr>
        <w:spacing w:line="360" w:lineRule="auto"/>
        <w:jc w:val="both"/>
        <w:rPr>
          <w:rFonts w:ascii="Arial" w:hAnsi="Arial" w:cs="Arial"/>
          <w:sz w:val="24"/>
          <w:szCs w:val="24"/>
        </w:rPr>
      </w:pPr>
      <w:r w:rsidRPr="005E3267">
        <w:rPr>
          <w:rFonts w:ascii="Arial" w:hAnsi="Arial" w:cs="Arial"/>
          <w:b/>
          <w:sz w:val="24"/>
          <w:szCs w:val="24"/>
        </w:rPr>
        <w:t>USA:</w:t>
      </w:r>
      <w:r w:rsidRPr="005E3267">
        <w:rPr>
          <w:rFonts w:ascii="Arial" w:hAnsi="Arial" w:cs="Arial"/>
          <w:sz w:val="24"/>
          <w:szCs w:val="24"/>
        </w:rPr>
        <w:t xml:space="preserve"> Increase relationships with variety-oriented programmed (e.g., BMW STEP, Minority Supplier Initiative).</w:t>
      </w:r>
    </w:p>
    <w:p w14:paraId="54FE8924" w14:textId="77777777" w:rsidR="005E3267" w:rsidRPr="005E3267" w:rsidRDefault="005E3267" w:rsidP="005E3267">
      <w:pPr>
        <w:numPr>
          <w:ilvl w:val="0"/>
          <w:numId w:val="29"/>
        </w:numPr>
        <w:spacing w:line="360" w:lineRule="auto"/>
        <w:jc w:val="both"/>
        <w:rPr>
          <w:rFonts w:ascii="Arial" w:hAnsi="Arial" w:cs="Arial"/>
          <w:sz w:val="24"/>
          <w:szCs w:val="24"/>
        </w:rPr>
      </w:pPr>
      <w:r w:rsidRPr="005E3267">
        <w:rPr>
          <w:rFonts w:ascii="Arial" w:hAnsi="Arial" w:cs="Arial"/>
          <w:b/>
          <w:sz w:val="24"/>
          <w:szCs w:val="24"/>
        </w:rPr>
        <w:t>Australia:</w:t>
      </w:r>
      <w:r w:rsidRPr="005E3267">
        <w:rPr>
          <w:rFonts w:ascii="Arial" w:hAnsi="Arial" w:cs="Arial"/>
          <w:sz w:val="24"/>
          <w:szCs w:val="24"/>
        </w:rPr>
        <w:t xml:space="preserve"> Participate as a sponsor of environmental events like the Earth Hour or Clean up Australia Day with BMW i-series being the mobility partners.</w:t>
      </w:r>
    </w:p>
    <w:p w14:paraId="43E019B9" w14:textId="77777777" w:rsidR="00B2757B" w:rsidRPr="00B9261A" w:rsidRDefault="005E3267" w:rsidP="005E3267">
      <w:pPr>
        <w:numPr>
          <w:ilvl w:val="0"/>
          <w:numId w:val="29"/>
        </w:numPr>
        <w:spacing w:line="360" w:lineRule="auto"/>
        <w:jc w:val="both"/>
        <w:rPr>
          <w:rFonts w:ascii="Arial" w:hAnsi="Arial" w:cs="Arial"/>
          <w:sz w:val="24"/>
          <w:szCs w:val="24"/>
        </w:rPr>
      </w:pPr>
      <w:r w:rsidRPr="005E3267">
        <w:rPr>
          <w:rFonts w:ascii="Arial" w:hAnsi="Arial" w:cs="Arial"/>
          <w:b/>
          <w:sz w:val="24"/>
          <w:szCs w:val="24"/>
        </w:rPr>
        <w:lastRenderedPageBreak/>
        <w:t>Effects:</w:t>
      </w:r>
      <w:r w:rsidRPr="005E3267">
        <w:rPr>
          <w:rFonts w:ascii="Arial" w:hAnsi="Arial" w:cs="Arial"/>
          <w:sz w:val="24"/>
          <w:szCs w:val="24"/>
        </w:rPr>
        <w:t xml:space="preserve"> Enhances emotional attachment, CSR image and local brand equity.</w:t>
      </w:r>
      <w:r w:rsidR="00B2757B" w:rsidRPr="00B9261A">
        <w:rPr>
          <w:rFonts w:ascii="Arial" w:hAnsi="Arial" w:cs="Arial"/>
          <w:sz w:val="24"/>
          <w:szCs w:val="24"/>
        </w:rPr>
        <w:t>.</w:t>
      </w:r>
    </w:p>
    <w:p w14:paraId="07479A6A"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4. Develop New Mobility Ecosystem Partnerships</w:t>
      </w:r>
    </w:p>
    <w:p w14:paraId="60FB7D91" w14:textId="77777777" w:rsidR="005E3267" w:rsidRPr="005E3267" w:rsidRDefault="005E3267" w:rsidP="005E3267">
      <w:pPr>
        <w:numPr>
          <w:ilvl w:val="0"/>
          <w:numId w:val="30"/>
        </w:numPr>
        <w:spacing w:line="360" w:lineRule="auto"/>
        <w:jc w:val="both"/>
        <w:rPr>
          <w:rFonts w:ascii="Arial" w:hAnsi="Arial" w:cs="Arial"/>
          <w:sz w:val="24"/>
          <w:szCs w:val="24"/>
        </w:rPr>
      </w:pPr>
      <w:r w:rsidRPr="005E3267">
        <w:rPr>
          <w:rFonts w:ascii="Arial" w:hAnsi="Arial" w:cs="Arial"/>
          <w:sz w:val="24"/>
          <w:szCs w:val="24"/>
        </w:rPr>
        <w:t xml:space="preserve">Partner with EV charging and renewable energy companies on </w:t>
      </w:r>
      <w:r>
        <w:rPr>
          <w:rFonts w:ascii="Arial" w:hAnsi="Arial" w:cs="Arial"/>
          <w:sz w:val="24"/>
          <w:szCs w:val="24"/>
        </w:rPr>
        <w:t>co-branded</w:t>
      </w:r>
      <w:r w:rsidRPr="005E3267">
        <w:rPr>
          <w:rFonts w:ascii="Arial" w:hAnsi="Arial" w:cs="Arial"/>
          <w:sz w:val="24"/>
          <w:szCs w:val="24"/>
        </w:rPr>
        <w:t xml:space="preserve"> sustainability programs.</w:t>
      </w:r>
    </w:p>
    <w:p w14:paraId="2B0D1232" w14:textId="77777777" w:rsidR="00B2757B" w:rsidRPr="00BE4D16" w:rsidRDefault="005E3267" w:rsidP="005E3267">
      <w:pPr>
        <w:numPr>
          <w:ilvl w:val="0"/>
          <w:numId w:val="30"/>
        </w:numPr>
        <w:spacing w:line="360" w:lineRule="auto"/>
        <w:jc w:val="both"/>
        <w:rPr>
          <w:rFonts w:ascii="Arial" w:hAnsi="Arial" w:cs="Arial"/>
          <w:sz w:val="24"/>
          <w:szCs w:val="24"/>
        </w:rPr>
      </w:pPr>
      <w:r w:rsidRPr="005E3267">
        <w:rPr>
          <w:rFonts w:ascii="Arial" w:hAnsi="Arial" w:cs="Arial"/>
          <w:sz w:val="24"/>
          <w:szCs w:val="24"/>
        </w:rPr>
        <w:t xml:space="preserve">Consider collaborating with technology companies to provide autonomous driving data, as a way to increase consumer </w:t>
      </w:r>
      <w:r>
        <w:rPr>
          <w:rFonts w:ascii="Arial" w:hAnsi="Arial" w:cs="Arial"/>
          <w:sz w:val="24"/>
          <w:szCs w:val="24"/>
        </w:rPr>
        <w:t>trust by branding of ethical AI</w:t>
      </w:r>
      <w:r w:rsidR="00B2757B" w:rsidRPr="00B9261A">
        <w:rPr>
          <w:rFonts w:ascii="Arial" w:hAnsi="Arial" w:cs="Arial"/>
          <w:sz w:val="24"/>
          <w:szCs w:val="24"/>
        </w:rPr>
        <w:t>.</w:t>
      </w:r>
    </w:p>
    <w:p w14:paraId="2F7FDEEF" w14:textId="77777777" w:rsidR="00B2757B" w:rsidRPr="00B9261A" w:rsidRDefault="009916D4" w:rsidP="00221CB7">
      <w:pPr>
        <w:pStyle w:val="Heading2"/>
      </w:pPr>
      <w:bookmarkStart w:id="24" w:name="_Toc215410052"/>
      <w:r>
        <w:t>7</w:t>
      </w:r>
      <w:r w:rsidR="00B2757B" w:rsidRPr="00B9261A">
        <w:t>.3 Implementation Roadmap</w:t>
      </w:r>
      <w:bookmarkEnd w:id="2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64"/>
        <w:gridCol w:w="2176"/>
        <w:gridCol w:w="1988"/>
        <w:gridCol w:w="1684"/>
        <w:gridCol w:w="2238"/>
      </w:tblGrid>
      <w:tr w:rsidR="00B2757B" w:rsidRPr="00B9261A" w14:paraId="3728E3C1" w14:textId="77777777" w:rsidTr="00BE4D16">
        <w:trPr>
          <w:tblHeader/>
          <w:tblCellSpacing w:w="15" w:type="dxa"/>
        </w:trPr>
        <w:tc>
          <w:tcPr>
            <w:tcW w:w="0" w:type="auto"/>
            <w:vAlign w:val="center"/>
            <w:hideMark/>
          </w:tcPr>
          <w:p w14:paraId="57983756"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Timeline</w:t>
            </w:r>
          </w:p>
        </w:tc>
        <w:tc>
          <w:tcPr>
            <w:tcW w:w="0" w:type="auto"/>
            <w:vAlign w:val="center"/>
            <w:hideMark/>
          </w:tcPr>
          <w:p w14:paraId="058FC725"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Strategic Action</w:t>
            </w:r>
          </w:p>
        </w:tc>
        <w:tc>
          <w:tcPr>
            <w:tcW w:w="0" w:type="auto"/>
            <w:vAlign w:val="center"/>
            <w:hideMark/>
          </w:tcPr>
          <w:p w14:paraId="77D7954E"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Key Deliverables</w:t>
            </w:r>
          </w:p>
        </w:tc>
        <w:tc>
          <w:tcPr>
            <w:tcW w:w="0" w:type="auto"/>
            <w:vAlign w:val="center"/>
            <w:hideMark/>
          </w:tcPr>
          <w:p w14:paraId="2487BA63"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KPIs / Success Metrics</w:t>
            </w:r>
          </w:p>
        </w:tc>
        <w:tc>
          <w:tcPr>
            <w:tcW w:w="0" w:type="auto"/>
            <w:vAlign w:val="center"/>
            <w:hideMark/>
          </w:tcPr>
          <w:p w14:paraId="060634EC"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Responsible Unit</w:t>
            </w:r>
          </w:p>
        </w:tc>
      </w:tr>
      <w:tr w:rsidR="00B2757B" w:rsidRPr="00B9261A" w14:paraId="3D39F69B" w14:textId="77777777" w:rsidTr="00BE4D16">
        <w:trPr>
          <w:tblCellSpacing w:w="15" w:type="dxa"/>
        </w:trPr>
        <w:tc>
          <w:tcPr>
            <w:tcW w:w="0" w:type="auto"/>
            <w:vAlign w:val="center"/>
            <w:hideMark/>
          </w:tcPr>
          <w:p w14:paraId="36B6286C"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2025–2026 (Short-Term)</w:t>
            </w:r>
          </w:p>
        </w:tc>
        <w:tc>
          <w:tcPr>
            <w:tcW w:w="0" w:type="auto"/>
            <w:vAlign w:val="center"/>
            <w:hideMark/>
          </w:tcPr>
          <w:p w14:paraId="053991C0"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Launch integrated e-commerce and digital retail platform (USA &amp; AUS)</w:t>
            </w:r>
          </w:p>
        </w:tc>
        <w:tc>
          <w:tcPr>
            <w:tcW w:w="0" w:type="auto"/>
            <w:vAlign w:val="center"/>
            <w:hideMark/>
          </w:tcPr>
          <w:p w14:paraId="0C99366A"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Fully digitalised buying and finance experience</w:t>
            </w:r>
          </w:p>
        </w:tc>
        <w:tc>
          <w:tcPr>
            <w:tcW w:w="0" w:type="auto"/>
            <w:vAlign w:val="center"/>
            <w:hideMark/>
          </w:tcPr>
          <w:p w14:paraId="6CC934CE"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+10% digital conversion rate; +15% online leads</w:t>
            </w:r>
          </w:p>
        </w:tc>
        <w:tc>
          <w:tcPr>
            <w:tcW w:w="0" w:type="auto"/>
            <w:vAlign w:val="center"/>
            <w:hideMark/>
          </w:tcPr>
          <w:p w14:paraId="7DFBBACB"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Marketing &amp; Digital Innovation</w:t>
            </w:r>
          </w:p>
        </w:tc>
      </w:tr>
      <w:tr w:rsidR="00B2757B" w:rsidRPr="00B9261A" w14:paraId="0285F8D3" w14:textId="77777777" w:rsidTr="00BE4D16">
        <w:trPr>
          <w:tblCellSpacing w:w="15" w:type="dxa"/>
        </w:trPr>
        <w:tc>
          <w:tcPr>
            <w:tcW w:w="0" w:type="auto"/>
            <w:vAlign w:val="center"/>
            <w:hideMark/>
          </w:tcPr>
          <w:p w14:paraId="73B671B2" w14:textId="77777777" w:rsidR="00B2757B" w:rsidRPr="00B9261A" w:rsidRDefault="00B2757B" w:rsidP="00B9261A">
            <w:pPr>
              <w:spacing w:line="360" w:lineRule="auto"/>
              <w:jc w:val="both"/>
              <w:rPr>
                <w:rFonts w:ascii="Arial" w:hAnsi="Arial" w:cs="Arial"/>
                <w:sz w:val="24"/>
                <w:szCs w:val="24"/>
              </w:rPr>
            </w:pPr>
          </w:p>
        </w:tc>
        <w:tc>
          <w:tcPr>
            <w:tcW w:w="0" w:type="auto"/>
            <w:vAlign w:val="center"/>
            <w:hideMark/>
          </w:tcPr>
          <w:p w14:paraId="3934AE41"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EV Incentive Campaigns in both markets</w:t>
            </w:r>
          </w:p>
        </w:tc>
        <w:tc>
          <w:tcPr>
            <w:tcW w:w="0" w:type="auto"/>
            <w:vAlign w:val="center"/>
            <w:hideMark/>
          </w:tcPr>
          <w:p w14:paraId="350DBF5E"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“Go Electric with BMW” campaign</w:t>
            </w:r>
          </w:p>
        </w:tc>
        <w:tc>
          <w:tcPr>
            <w:tcW w:w="0" w:type="auto"/>
            <w:vAlign w:val="center"/>
            <w:hideMark/>
          </w:tcPr>
          <w:p w14:paraId="6B734520"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+20% EV sales; +25% awareness lift</w:t>
            </w:r>
          </w:p>
        </w:tc>
        <w:tc>
          <w:tcPr>
            <w:tcW w:w="0" w:type="auto"/>
            <w:vAlign w:val="center"/>
            <w:hideMark/>
          </w:tcPr>
          <w:p w14:paraId="402FBD82"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Brand &amp; PR Teams</w:t>
            </w:r>
          </w:p>
        </w:tc>
      </w:tr>
      <w:tr w:rsidR="00B2757B" w:rsidRPr="00B9261A" w14:paraId="0F49B53D" w14:textId="77777777" w:rsidTr="00BE4D16">
        <w:trPr>
          <w:tblCellSpacing w:w="15" w:type="dxa"/>
        </w:trPr>
        <w:tc>
          <w:tcPr>
            <w:tcW w:w="0" w:type="auto"/>
            <w:vAlign w:val="center"/>
            <w:hideMark/>
          </w:tcPr>
          <w:p w14:paraId="68A76CE6"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t>2026–2028 (Mid-Term)</w:t>
            </w:r>
          </w:p>
        </w:tc>
        <w:tc>
          <w:tcPr>
            <w:tcW w:w="0" w:type="auto"/>
            <w:vAlign w:val="center"/>
            <w:hideMark/>
          </w:tcPr>
          <w:p w14:paraId="7A09A0E0"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Localisation of Neue Klasse production &amp; logistics</w:t>
            </w:r>
          </w:p>
        </w:tc>
        <w:tc>
          <w:tcPr>
            <w:tcW w:w="0" w:type="auto"/>
            <w:vAlign w:val="center"/>
            <w:hideMark/>
          </w:tcPr>
          <w:p w14:paraId="5E6DA2BD"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Regional production or assembly feasibility study</w:t>
            </w:r>
          </w:p>
        </w:tc>
        <w:tc>
          <w:tcPr>
            <w:tcW w:w="0" w:type="auto"/>
            <w:vAlign w:val="center"/>
            <w:hideMark/>
          </w:tcPr>
          <w:p w14:paraId="2F09261F"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Cost reduction 5–8%; shorter delivery time</w:t>
            </w:r>
          </w:p>
        </w:tc>
        <w:tc>
          <w:tcPr>
            <w:tcW w:w="0" w:type="auto"/>
            <w:vAlign w:val="center"/>
            <w:hideMark/>
          </w:tcPr>
          <w:p w14:paraId="0D08379A"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Operations &amp; Supply Chain</w:t>
            </w:r>
          </w:p>
        </w:tc>
      </w:tr>
      <w:tr w:rsidR="00B2757B" w:rsidRPr="00B9261A" w14:paraId="0BD6A99D" w14:textId="77777777" w:rsidTr="00BE4D16">
        <w:trPr>
          <w:tblCellSpacing w:w="15" w:type="dxa"/>
        </w:trPr>
        <w:tc>
          <w:tcPr>
            <w:tcW w:w="0" w:type="auto"/>
            <w:vAlign w:val="center"/>
            <w:hideMark/>
          </w:tcPr>
          <w:p w14:paraId="19BA91AC" w14:textId="77777777" w:rsidR="00B2757B" w:rsidRPr="00B9261A" w:rsidRDefault="00B2757B" w:rsidP="00B9261A">
            <w:pPr>
              <w:spacing w:line="360" w:lineRule="auto"/>
              <w:jc w:val="both"/>
              <w:rPr>
                <w:rFonts w:ascii="Arial" w:hAnsi="Arial" w:cs="Arial"/>
                <w:sz w:val="24"/>
                <w:szCs w:val="24"/>
              </w:rPr>
            </w:pPr>
          </w:p>
        </w:tc>
        <w:tc>
          <w:tcPr>
            <w:tcW w:w="0" w:type="auto"/>
            <w:vAlign w:val="center"/>
            <w:hideMark/>
          </w:tcPr>
          <w:p w14:paraId="257322EA"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Sustainability certification rollout</w:t>
            </w:r>
          </w:p>
        </w:tc>
        <w:tc>
          <w:tcPr>
            <w:tcW w:w="0" w:type="auto"/>
            <w:vAlign w:val="center"/>
            <w:hideMark/>
          </w:tcPr>
          <w:p w14:paraId="4D0F4406"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Verified carbon disclosures on all EV models</w:t>
            </w:r>
          </w:p>
        </w:tc>
        <w:tc>
          <w:tcPr>
            <w:tcW w:w="0" w:type="auto"/>
            <w:vAlign w:val="center"/>
            <w:hideMark/>
          </w:tcPr>
          <w:p w14:paraId="5DB16BED"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Improved ESG index score; +10% brand trust</w:t>
            </w:r>
          </w:p>
        </w:tc>
        <w:tc>
          <w:tcPr>
            <w:tcW w:w="0" w:type="auto"/>
            <w:vAlign w:val="center"/>
            <w:hideMark/>
          </w:tcPr>
          <w:p w14:paraId="7A864374"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ESG &amp; Corporate Communications</w:t>
            </w:r>
          </w:p>
        </w:tc>
      </w:tr>
      <w:tr w:rsidR="00B2757B" w:rsidRPr="00B9261A" w14:paraId="0681040E" w14:textId="77777777" w:rsidTr="00BE4D16">
        <w:trPr>
          <w:tblCellSpacing w:w="15" w:type="dxa"/>
        </w:trPr>
        <w:tc>
          <w:tcPr>
            <w:tcW w:w="0" w:type="auto"/>
            <w:vAlign w:val="center"/>
            <w:hideMark/>
          </w:tcPr>
          <w:p w14:paraId="453591E0"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b/>
                <w:bCs/>
                <w:sz w:val="24"/>
                <w:szCs w:val="24"/>
              </w:rPr>
              <w:lastRenderedPageBreak/>
              <w:t>2028–2030 (Long-Term)</w:t>
            </w:r>
          </w:p>
        </w:tc>
        <w:tc>
          <w:tcPr>
            <w:tcW w:w="0" w:type="auto"/>
            <w:vAlign w:val="center"/>
            <w:hideMark/>
          </w:tcPr>
          <w:p w14:paraId="332A0DCD"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Launch BMW Circular Mobility Ecosystem</w:t>
            </w:r>
          </w:p>
        </w:tc>
        <w:tc>
          <w:tcPr>
            <w:tcW w:w="0" w:type="auto"/>
            <w:vAlign w:val="center"/>
            <w:hideMark/>
          </w:tcPr>
          <w:p w14:paraId="6F6039A0"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Partnerships with EV/renewable providers</w:t>
            </w:r>
          </w:p>
        </w:tc>
        <w:tc>
          <w:tcPr>
            <w:tcW w:w="0" w:type="auto"/>
            <w:vAlign w:val="center"/>
            <w:hideMark/>
          </w:tcPr>
          <w:p w14:paraId="598FAC41"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Achieve 30% EV sales in both markets</w:t>
            </w:r>
          </w:p>
        </w:tc>
        <w:tc>
          <w:tcPr>
            <w:tcW w:w="0" w:type="auto"/>
            <w:vAlign w:val="center"/>
            <w:hideMark/>
          </w:tcPr>
          <w:p w14:paraId="77D020A3"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Strategic Partnerships &amp; Product Development</w:t>
            </w:r>
          </w:p>
        </w:tc>
      </w:tr>
      <w:tr w:rsidR="00B2757B" w:rsidRPr="00B9261A" w14:paraId="4BDC6417" w14:textId="77777777" w:rsidTr="00BE4D16">
        <w:trPr>
          <w:tblCellSpacing w:w="15" w:type="dxa"/>
        </w:trPr>
        <w:tc>
          <w:tcPr>
            <w:tcW w:w="0" w:type="auto"/>
            <w:vAlign w:val="center"/>
            <w:hideMark/>
          </w:tcPr>
          <w:p w14:paraId="1E8543DC" w14:textId="77777777" w:rsidR="00B2757B" w:rsidRPr="00B9261A" w:rsidRDefault="00B2757B" w:rsidP="00B9261A">
            <w:pPr>
              <w:spacing w:line="360" w:lineRule="auto"/>
              <w:jc w:val="both"/>
              <w:rPr>
                <w:rFonts w:ascii="Arial" w:hAnsi="Arial" w:cs="Arial"/>
                <w:sz w:val="24"/>
                <w:szCs w:val="24"/>
              </w:rPr>
            </w:pPr>
          </w:p>
        </w:tc>
        <w:tc>
          <w:tcPr>
            <w:tcW w:w="0" w:type="auto"/>
            <w:vAlign w:val="center"/>
            <w:hideMark/>
          </w:tcPr>
          <w:p w14:paraId="7989204A"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Expand CSR partnerships</w:t>
            </w:r>
          </w:p>
        </w:tc>
        <w:tc>
          <w:tcPr>
            <w:tcW w:w="0" w:type="auto"/>
            <w:vAlign w:val="center"/>
            <w:hideMark/>
          </w:tcPr>
          <w:p w14:paraId="1CA8C121"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Ongoing sponsorships and community projects</w:t>
            </w:r>
          </w:p>
        </w:tc>
        <w:tc>
          <w:tcPr>
            <w:tcW w:w="0" w:type="auto"/>
            <w:vAlign w:val="center"/>
            <w:hideMark/>
          </w:tcPr>
          <w:p w14:paraId="1105C76A"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+20% positive CSR media sentiment</w:t>
            </w:r>
          </w:p>
        </w:tc>
        <w:tc>
          <w:tcPr>
            <w:tcW w:w="0" w:type="auto"/>
            <w:vAlign w:val="center"/>
            <w:hideMark/>
          </w:tcPr>
          <w:p w14:paraId="25BFD85E" w14:textId="77777777" w:rsidR="00B2757B" w:rsidRPr="00B9261A" w:rsidRDefault="00B2757B" w:rsidP="00B9261A">
            <w:pPr>
              <w:spacing w:line="360" w:lineRule="auto"/>
              <w:jc w:val="both"/>
              <w:rPr>
                <w:rFonts w:ascii="Arial" w:hAnsi="Arial" w:cs="Arial"/>
                <w:sz w:val="24"/>
                <w:szCs w:val="24"/>
              </w:rPr>
            </w:pPr>
            <w:r w:rsidRPr="00B9261A">
              <w:rPr>
                <w:rFonts w:ascii="Arial" w:hAnsi="Arial" w:cs="Arial"/>
                <w:sz w:val="24"/>
                <w:szCs w:val="24"/>
              </w:rPr>
              <w:t>CSR Division</w:t>
            </w:r>
          </w:p>
        </w:tc>
      </w:tr>
    </w:tbl>
    <w:p w14:paraId="60F8AD4E" w14:textId="77777777" w:rsidR="00B2757B" w:rsidRPr="00B9261A" w:rsidRDefault="00B2757B" w:rsidP="00B9261A">
      <w:pPr>
        <w:spacing w:line="360" w:lineRule="auto"/>
        <w:jc w:val="both"/>
        <w:rPr>
          <w:rFonts w:ascii="Arial" w:hAnsi="Arial" w:cs="Arial"/>
          <w:sz w:val="24"/>
          <w:szCs w:val="24"/>
        </w:rPr>
      </w:pPr>
    </w:p>
    <w:p w14:paraId="3F1D7934" w14:textId="77777777" w:rsidR="00B2757B" w:rsidRPr="00B9261A" w:rsidRDefault="00B2757B" w:rsidP="00B9261A">
      <w:pPr>
        <w:spacing w:line="360" w:lineRule="auto"/>
        <w:jc w:val="both"/>
        <w:rPr>
          <w:rFonts w:ascii="Arial" w:hAnsi="Arial" w:cs="Arial"/>
          <w:b/>
          <w:bCs/>
          <w:sz w:val="24"/>
          <w:szCs w:val="24"/>
        </w:rPr>
      </w:pPr>
      <w:r w:rsidRPr="00B9261A">
        <w:rPr>
          <w:rFonts w:ascii="Arial" w:hAnsi="Arial" w:cs="Arial"/>
          <w:b/>
          <w:bCs/>
          <w:sz w:val="24"/>
          <w:szCs w:val="24"/>
        </w:rPr>
        <w:t>Strategic Summary</w:t>
      </w:r>
    </w:p>
    <w:p w14:paraId="68BFA0FF" w14:textId="77777777" w:rsidR="005E3267" w:rsidRPr="005E3267" w:rsidRDefault="005E3267" w:rsidP="005E3267">
      <w:pPr>
        <w:spacing w:line="360" w:lineRule="auto"/>
        <w:jc w:val="both"/>
        <w:rPr>
          <w:rFonts w:ascii="Arial" w:hAnsi="Arial" w:cs="Arial"/>
          <w:sz w:val="24"/>
          <w:szCs w:val="24"/>
        </w:rPr>
      </w:pPr>
      <w:r w:rsidRPr="005E3267">
        <w:rPr>
          <w:rFonts w:ascii="Arial" w:hAnsi="Arial" w:cs="Arial"/>
          <w:sz w:val="24"/>
          <w:szCs w:val="24"/>
        </w:rPr>
        <w:t>In the USA and Australia, the marketing competitiveness of BMW will be based on its capacity to:</w:t>
      </w:r>
    </w:p>
    <w:p w14:paraId="1A904010" w14:textId="77777777" w:rsidR="005E3267" w:rsidRPr="005E3267" w:rsidRDefault="005E3267" w:rsidP="005E3267">
      <w:pPr>
        <w:pStyle w:val="ListParagraph"/>
        <w:numPr>
          <w:ilvl w:val="0"/>
          <w:numId w:val="38"/>
        </w:numPr>
        <w:spacing w:line="360" w:lineRule="auto"/>
        <w:jc w:val="both"/>
        <w:rPr>
          <w:rFonts w:ascii="Arial" w:hAnsi="Arial" w:cs="Arial"/>
          <w:sz w:val="24"/>
          <w:szCs w:val="24"/>
        </w:rPr>
      </w:pPr>
      <w:r w:rsidRPr="005E3267">
        <w:rPr>
          <w:rFonts w:ascii="Arial" w:hAnsi="Arial" w:cs="Arial"/>
          <w:sz w:val="24"/>
          <w:szCs w:val="24"/>
        </w:rPr>
        <w:t>Online-ify high quality experiences, but maintain brand exclusiveness.</w:t>
      </w:r>
    </w:p>
    <w:p w14:paraId="2AF66F18" w14:textId="77777777" w:rsidR="005E3267" w:rsidRPr="005E3267" w:rsidRDefault="005E3267" w:rsidP="005E3267">
      <w:pPr>
        <w:pStyle w:val="ListParagraph"/>
        <w:numPr>
          <w:ilvl w:val="0"/>
          <w:numId w:val="38"/>
        </w:numPr>
        <w:spacing w:line="360" w:lineRule="auto"/>
        <w:jc w:val="both"/>
        <w:rPr>
          <w:rFonts w:ascii="Arial" w:hAnsi="Arial" w:cs="Arial"/>
          <w:sz w:val="24"/>
          <w:szCs w:val="24"/>
        </w:rPr>
      </w:pPr>
      <w:r w:rsidRPr="005E3267">
        <w:rPr>
          <w:rFonts w:ascii="Arial" w:hAnsi="Arial" w:cs="Arial"/>
          <w:sz w:val="24"/>
          <w:szCs w:val="24"/>
        </w:rPr>
        <w:t>Use sustainability as differentiation and not compliance.</w:t>
      </w:r>
    </w:p>
    <w:p w14:paraId="4B10B7EC" w14:textId="77777777" w:rsidR="005E3267" w:rsidRPr="005E3267" w:rsidRDefault="005E3267" w:rsidP="005E3267">
      <w:pPr>
        <w:pStyle w:val="ListParagraph"/>
        <w:numPr>
          <w:ilvl w:val="0"/>
          <w:numId w:val="38"/>
        </w:numPr>
        <w:spacing w:line="360" w:lineRule="auto"/>
        <w:jc w:val="both"/>
        <w:rPr>
          <w:rFonts w:ascii="Arial" w:hAnsi="Arial" w:cs="Arial"/>
          <w:sz w:val="24"/>
          <w:szCs w:val="24"/>
        </w:rPr>
      </w:pPr>
      <w:r w:rsidRPr="005E3267">
        <w:rPr>
          <w:rFonts w:ascii="Arial" w:hAnsi="Arial" w:cs="Arial"/>
          <w:sz w:val="24"/>
          <w:szCs w:val="24"/>
        </w:rPr>
        <w:t>Combine community, innovation and mobility ecosystems as long term growth sources.</w:t>
      </w:r>
    </w:p>
    <w:p w14:paraId="5B6CA828" w14:textId="77777777" w:rsidR="00B2757B" w:rsidRDefault="005E3267" w:rsidP="005E3267">
      <w:pPr>
        <w:spacing w:line="360" w:lineRule="auto"/>
        <w:jc w:val="both"/>
        <w:rPr>
          <w:rFonts w:ascii="Arial" w:hAnsi="Arial" w:cs="Arial"/>
          <w:sz w:val="24"/>
          <w:szCs w:val="24"/>
        </w:rPr>
      </w:pPr>
      <w:r w:rsidRPr="005E3267">
        <w:rPr>
          <w:rFonts w:ascii="Arial" w:hAnsi="Arial" w:cs="Arial"/>
          <w:sz w:val="24"/>
          <w:szCs w:val="24"/>
        </w:rPr>
        <w:t>Through the implementation of these plans with nimbleness and relevance, BMW will be able to cement its brand leadership and record a long-term market growth in two of the most brand and environment-conscious premium cars of</w:t>
      </w:r>
      <w:r>
        <w:rPr>
          <w:rFonts w:ascii="Arial" w:hAnsi="Arial" w:cs="Arial"/>
          <w:sz w:val="24"/>
          <w:szCs w:val="24"/>
        </w:rPr>
        <w:t xml:space="preserve"> the world</w:t>
      </w:r>
      <w:r w:rsidR="00B2757B" w:rsidRPr="00B9261A">
        <w:rPr>
          <w:rFonts w:ascii="Arial" w:hAnsi="Arial" w:cs="Arial"/>
          <w:sz w:val="24"/>
          <w:szCs w:val="24"/>
        </w:rPr>
        <w:t>.</w:t>
      </w:r>
    </w:p>
    <w:p w14:paraId="727BF50C" w14:textId="77777777" w:rsidR="00221CB7" w:rsidRDefault="00221CB7" w:rsidP="005E3267">
      <w:pPr>
        <w:spacing w:line="360" w:lineRule="auto"/>
        <w:jc w:val="both"/>
        <w:rPr>
          <w:rFonts w:ascii="Arial" w:hAnsi="Arial" w:cs="Arial"/>
          <w:sz w:val="24"/>
          <w:szCs w:val="24"/>
        </w:rPr>
      </w:pPr>
    </w:p>
    <w:p w14:paraId="1874CA7E" w14:textId="77777777" w:rsidR="00221CB7" w:rsidRDefault="00221CB7" w:rsidP="005E3267">
      <w:pPr>
        <w:spacing w:line="360" w:lineRule="auto"/>
        <w:jc w:val="both"/>
        <w:rPr>
          <w:rFonts w:ascii="Arial" w:hAnsi="Arial" w:cs="Arial"/>
          <w:sz w:val="24"/>
          <w:szCs w:val="24"/>
        </w:rPr>
      </w:pPr>
    </w:p>
    <w:p w14:paraId="53890470" w14:textId="77777777" w:rsidR="00221CB7" w:rsidRDefault="00221CB7" w:rsidP="005E3267">
      <w:pPr>
        <w:spacing w:line="360" w:lineRule="auto"/>
        <w:jc w:val="both"/>
        <w:rPr>
          <w:rFonts w:ascii="Arial" w:hAnsi="Arial" w:cs="Arial"/>
          <w:sz w:val="24"/>
          <w:szCs w:val="24"/>
        </w:rPr>
      </w:pPr>
    </w:p>
    <w:p w14:paraId="4A7C0D29" w14:textId="77777777" w:rsidR="00221CB7" w:rsidRPr="00B9261A" w:rsidRDefault="00221CB7" w:rsidP="005E3267">
      <w:pPr>
        <w:spacing w:line="360" w:lineRule="auto"/>
        <w:jc w:val="both"/>
        <w:rPr>
          <w:rFonts w:ascii="Arial" w:hAnsi="Arial" w:cs="Arial"/>
          <w:sz w:val="24"/>
          <w:szCs w:val="24"/>
        </w:rPr>
      </w:pPr>
    </w:p>
    <w:p w14:paraId="1411BAE2" w14:textId="77777777" w:rsidR="00B2757B" w:rsidRPr="00B9261A" w:rsidRDefault="009916D4" w:rsidP="00221CB7">
      <w:pPr>
        <w:pStyle w:val="Heading1"/>
      </w:pPr>
      <w:bookmarkStart w:id="25" w:name="_Toc215410053"/>
      <w:r>
        <w:lastRenderedPageBreak/>
        <w:t>8</w:t>
      </w:r>
      <w:r w:rsidR="00B2757B" w:rsidRPr="00B9261A">
        <w:t>. Conclusion</w:t>
      </w:r>
      <w:bookmarkEnd w:id="25"/>
    </w:p>
    <w:p w14:paraId="073B338A" w14:textId="77777777" w:rsidR="005E3267" w:rsidRPr="005E3267" w:rsidRDefault="005E3267" w:rsidP="005E3267">
      <w:pPr>
        <w:spacing w:line="360" w:lineRule="auto"/>
        <w:jc w:val="both"/>
        <w:rPr>
          <w:rFonts w:ascii="Arial" w:hAnsi="Arial" w:cs="Arial"/>
          <w:sz w:val="24"/>
          <w:szCs w:val="24"/>
        </w:rPr>
      </w:pPr>
      <w:r w:rsidRPr="005E3267">
        <w:rPr>
          <w:rFonts w:ascii="Arial" w:hAnsi="Arial" w:cs="Arial"/>
          <w:sz w:val="24"/>
          <w:szCs w:val="24"/>
        </w:rPr>
        <w:t>This report has critically analyzed the international marketing approaches of BMW in two opposite but strategically important markets United States and Australia, based on 2021-2025 data. Based on the theoretical models of PESTLE, Porters five forces, STP, marketing mix (7Ps) and Hofstede cultural model, the analysis established that BMW has been able to ensure global brand consistency and at the same time, respond well to local consumer tastes, regulation, and competitive situations.</w:t>
      </w:r>
    </w:p>
    <w:p w14:paraId="0534FAE5" w14:textId="77777777" w:rsidR="005E3267" w:rsidRPr="005E3267" w:rsidRDefault="005E3267" w:rsidP="005E3267">
      <w:pPr>
        <w:spacing w:line="360" w:lineRule="auto"/>
        <w:jc w:val="both"/>
        <w:rPr>
          <w:rFonts w:ascii="Arial" w:hAnsi="Arial" w:cs="Arial"/>
          <w:sz w:val="24"/>
          <w:szCs w:val="24"/>
        </w:rPr>
      </w:pPr>
      <w:r w:rsidRPr="005E3267">
        <w:rPr>
          <w:rFonts w:ascii="Arial" w:hAnsi="Arial" w:cs="Arial"/>
          <w:sz w:val="24"/>
          <w:szCs w:val="24"/>
        </w:rPr>
        <w:t>The findings highlight that:</w:t>
      </w:r>
    </w:p>
    <w:p w14:paraId="5C89DAC9" w14:textId="77777777" w:rsidR="005E3267" w:rsidRPr="005E3267" w:rsidRDefault="005E3267" w:rsidP="005E3267">
      <w:pPr>
        <w:spacing w:line="360" w:lineRule="auto"/>
        <w:jc w:val="both"/>
        <w:rPr>
          <w:rFonts w:ascii="Arial" w:hAnsi="Arial" w:cs="Arial"/>
          <w:sz w:val="24"/>
          <w:szCs w:val="24"/>
        </w:rPr>
      </w:pPr>
      <w:r w:rsidRPr="005E3267">
        <w:rPr>
          <w:rFonts w:ascii="Arial" w:hAnsi="Arial" w:cs="Arial"/>
          <w:sz w:val="24"/>
          <w:szCs w:val="24"/>
        </w:rPr>
        <w:tab/>
        <w:t>The U.S. market is the biggest global revenue generator of BMW that does not operate in China because of local manufacturing, high brand recognition, and regular marketing innovation. Nevertheless, the regulatory compliance and EV compet</w:t>
      </w:r>
      <w:r>
        <w:rPr>
          <w:rFonts w:ascii="Arial" w:hAnsi="Arial" w:cs="Arial"/>
          <w:sz w:val="24"/>
          <w:szCs w:val="24"/>
        </w:rPr>
        <w:t xml:space="preserve">ition issues remain. </w:t>
      </w:r>
      <w:r w:rsidRPr="005E3267">
        <w:rPr>
          <w:rFonts w:ascii="Arial" w:hAnsi="Arial" w:cs="Arial"/>
          <w:sz w:val="24"/>
          <w:szCs w:val="24"/>
        </w:rPr>
        <w:t>Although the activities of BMW in Australia are less voluminous, they are agile and strategically promising, especially in the electric and hybrid category, where the awareness of consumers and infrastructure support is growing faster</w:t>
      </w:r>
      <w:r w:rsidR="00DC5ED8">
        <w:rPr>
          <w:rFonts w:ascii="Arial" w:hAnsi="Arial" w:cs="Arial"/>
          <w:sz w:val="24"/>
          <w:szCs w:val="24"/>
        </w:rPr>
        <w:t xml:space="preserve">. </w:t>
      </w:r>
      <w:r w:rsidRPr="005E3267">
        <w:rPr>
          <w:rFonts w:ascii="Arial" w:hAnsi="Arial" w:cs="Arial"/>
          <w:sz w:val="24"/>
          <w:szCs w:val="24"/>
        </w:rPr>
        <w:t>The advert success of the company is based on the efforts to balance global standardization (high-quality experience, innovation story) and localization (pricing, promotions, and alliances).</w:t>
      </w:r>
    </w:p>
    <w:p w14:paraId="2F9B48AE" w14:textId="77777777" w:rsidR="005E3267" w:rsidRPr="005E3267" w:rsidRDefault="005E3267" w:rsidP="005E3267">
      <w:pPr>
        <w:spacing w:line="360" w:lineRule="auto"/>
        <w:jc w:val="both"/>
        <w:rPr>
          <w:rFonts w:ascii="Arial" w:hAnsi="Arial" w:cs="Arial"/>
          <w:sz w:val="24"/>
          <w:szCs w:val="24"/>
        </w:rPr>
      </w:pPr>
      <w:r w:rsidRPr="005E3267">
        <w:rPr>
          <w:rFonts w:ascii="Arial" w:hAnsi="Arial" w:cs="Arial"/>
          <w:sz w:val="24"/>
          <w:szCs w:val="24"/>
        </w:rPr>
        <w:tab/>
        <w:t>Both markets are culturally individualistic and indulgent which falls in line with the lifestyle, performance and prestige orientation of BMW. However, the local communication expectations, aspirational sustainability in Australia and technological leadership in the U.S. bring</w:t>
      </w:r>
      <w:r w:rsidR="00221CB7">
        <w:rPr>
          <w:rFonts w:ascii="Arial" w:hAnsi="Arial" w:cs="Arial"/>
          <w:sz w:val="24"/>
          <w:szCs w:val="24"/>
        </w:rPr>
        <w:t xml:space="preserve"> in resonance that goes deeper. </w:t>
      </w:r>
      <w:r w:rsidRPr="005E3267">
        <w:rPr>
          <w:rFonts w:ascii="Arial" w:hAnsi="Arial" w:cs="Arial"/>
          <w:sz w:val="24"/>
          <w:szCs w:val="24"/>
        </w:rPr>
        <w:t>On the ethical front, BMW maintains good compliance and sustainability practices at the international level, though further caution regarding greenwashing and improving visibility of its supply chains is necessary in order to keep the credibility among consumer-related to environmentally friendly activities.</w:t>
      </w:r>
    </w:p>
    <w:p w14:paraId="7340181F" w14:textId="77777777" w:rsidR="005E3267" w:rsidRPr="005E3267" w:rsidRDefault="005E3267" w:rsidP="005E3267">
      <w:pPr>
        <w:spacing w:line="360" w:lineRule="auto"/>
        <w:jc w:val="both"/>
        <w:rPr>
          <w:rFonts w:ascii="Arial" w:hAnsi="Arial" w:cs="Arial"/>
          <w:sz w:val="24"/>
          <w:szCs w:val="24"/>
        </w:rPr>
      </w:pPr>
      <w:r w:rsidRPr="005E3267">
        <w:rPr>
          <w:rFonts w:ascii="Arial" w:hAnsi="Arial" w:cs="Arial"/>
          <w:sz w:val="24"/>
          <w:szCs w:val="24"/>
        </w:rPr>
        <w:t xml:space="preserve">The analysis highlights that BMW constantly evolves into sustainable mobility, digitalization, and integration into the circular economy, and this process will become its future competitiveness. With the implementation of the suggested strategic advice, such as a stronger focus on digital-first communication, localization of its presence in both </w:t>
      </w:r>
      <w:r w:rsidRPr="005E3267">
        <w:rPr>
          <w:rFonts w:ascii="Arial" w:hAnsi="Arial" w:cs="Arial"/>
          <w:sz w:val="24"/>
          <w:szCs w:val="24"/>
        </w:rPr>
        <w:lastRenderedPageBreak/>
        <w:t>countries, and positioning of its brand based on its social responsibility, BMW will be able to cement its dominance in the high-end automotive industry in both countries.</w:t>
      </w:r>
    </w:p>
    <w:p w14:paraId="7CEA4017" w14:textId="77777777" w:rsidR="00B2757B" w:rsidRDefault="005E3267" w:rsidP="005E3267">
      <w:pPr>
        <w:spacing w:line="360" w:lineRule="auto"/>
        <w:jc w:val="both"/>
        <w:rPr>
          <w:rFonts w:ascii="Arial" w:hAnsi="Arial" w:cs="Arial"/>
          <w:sz w:val="24"/>
          <w:szCs w:val="24"/>
        </w:rPr>
      </w:pPr>
      <w:r w:rsidRPr="005E3267">
        <w:rPr>
          <w:rFonts w:ascii="Arial" w:hAnsi="Arial" w:cs="Arial"/>
          <w:sz w:val="24"/>
          <w:szCs w:val="24"/>
        </w:rPr>
        <w:t>Overall, the international marketing strategy of BMW is an illustration of how global consistency, local adjustment, and moral sustainability may exist simultaneously as the key foundations of a strong and well-informed strategy of the future. The further prosperity of the company in the USA and Australia will be based on its capability to turn the premium mobility into a holistic brand experience combining technology, emotion and responsibility, to be a real representation of the concept of "Sheer Driving Plea</w:t>
      </w:r>
      <w:r>
        <w:rPr>
          <w:rFonts w:ascii="Arial" w:hAnsi="Arial" w:cs="Arial"/>
          <w:sz w:val="24"/>
          <w:szCs w:val="24"/>
        </w:rPr>
        <w:t>sure" of the contemporary epoch</w:t>
      </w:r>
      <w:r w:rsidR="00B2757B" w:rsidRPr="00F876AA">
        <w:rPr>
          <w:rFonts w:ascii="Arial" w:hAnsi="Arial" w:cs="Arial"/>
          <w:sz w:val="24"/>
          <w:szCs w:val="24"/>
        </w:rPr>
        <w:t>.</w:t>
      </w:r>
    </w:p>
    <w:p w14:paraId="41A9A2AC" w14:textId="77777777" w:rsidR="00221CB7" w:rsidRDefault="00221CB7" w:rsidP="005E3267">
      <w:pPr>
        <w:spacing w:line="360" w:lineRule="auto"/>
        <w:jc w:val="both"/>
        <w:rPr>
          <w:rFonts w:ascii="Arial" w:hAnsi="Arial" w:cs="Arial"/>
          <w:sz w:val="24"/>
          <w:szCs w:val="24"/>
        </w:rPr>
      </w:pPr>
    </w:p>
    <w:p w14:paraId="23D2851D" w14:textId="77777777" w:rsidR="00221CB7" w:rsidRDefault="00221CB7" w:rsidP="005E3267">
      <w:pPr>
        <w:spacing w:line="360" w:lineRule="auto"/>
        <w:jc w:val="both"/>
        <w:rPr>
          <w:rFonts w:ascii="Arial" w:hAnsi="Arial" w:cs="Arial"/>
          <w:sz w:val="24"/>
          <w:szCs w:val="24"/>
        </w:rPr>
      </w:pPr>
    </w:p>
    <w:p w14:paraId="5E498133" w14:textId="77777777" w:rsidR="00221CB7" w:rsidRDefault="00221CB7" w:rsidP="005E3267">
      <w:pPr>
        <w:spacing w:line="360" w:lineRule="auto"/>
        <w:jc w:val="both"/>
        <w:rPr>
          <w:rFonts w:ascii="Arial" w:hAnsi="Arial" w:cs="Arial"/>
          <w:sz w:val="24"/>
          <w:szCs w:val="24"/>
        </w:rPr>
      </w:pPr>
    </w:p>
    <w:p w14:paraId="44EE6F4C" w14:textId="77777777" w:rsidR="00221CB7" w:rsidRDefault="00221CB7" w:rsidP="005E3267">
      <w:pPr>
        <w:spacing w:line="360" w:lineRule="auto"/>
        <w:jc w:val="both"/>
        <w:rPr>
          <w:rFonts w:ascii="Arial" w:hAnsi="Arial" w:cs="Arial"/>
          <w:sz w:val="24"/>
          <w:szCs w:val="24"/>
        </w:rPr>
      </w:pPr>
    </w:p>
    <w:p w14:paraId="0A30946C" w14:textId="77777777" w:rsidR="00221CB7" w:rsidRDefault="00221CB7" w:rsidP="005E3267">
      <w:pPr>
        <w:spacing w:line="360" w:lineRule="auto"/>
        <w:jc w:val="both"/>
        <w:rPr>
          <w:rFonts w:ascii="Arial" w:hAnsi="Arial" w:cs="Arial"/>
          <w:sz w:val="24"/>
          <w:szCs w:val="24"/>
        </w:rPr>
      </w:pPr>
    </w:p>
    <w:p w14:paraId="04BAB699" w14:textId="77777777" w:rsidR="00221CB7" w:rsidRDefault="00221CB7" w:rsidP="005E3267">
      <w:pPr>
        <w:spacing w:line="360" w:lineRule="auto"/>
        <w:jc w:val="both"/>
        <w:rPr>
          <w:rFonts w:ascii="Arial" w:hAnsi="Arial" w:cs="Arial"/>
          <w:sz w:val="24"/>
          <w:szCs w:val="24"/>
        </w:rPr>
      </w:pPr>
    </w:p>
    <w:p w14:paraId="09FBCA60" w14:textId="77777777" w:rsidR="00221CB7" w:rsidRDefault="00221CB7" w:rsidP="005E3267">
      <w:pPr>
        <w:spacing w:line="360" w:lineRule="auto"/>
        <w:jc w:val="both"/>
        <w:rPr>
          <w:rFonts w:ascii="Arial" w:hAnsi="Arial" w:cs="Arial"/>
          <w:sz w:val="24"/>
          <w:szCs w:val="24"/>
        </w:rPr>
      </w:pPr>
    </w:p>
    <w:p w14:paraId="1B8F8098" w14:textId="77777777" w:rsidR="00221CB7" w:rsidRDefault="00221CB7" w:rsidP="005E3267">
      <w:pPr>
        <w:spacing w:line="360" w:lineRule="auto"/>
        <w:jc w:val="both"/>
        <w:rPr>
          <w:rFonts w:ascii="Arial" w:hAnsi="Arial" w:cs="Arial"/>
          <w:sz w:val="24"/>
          <w:szCs w:val="24"/>
        </w:rPr>
      </w:pPr>
    </w:p>
    <w:p w14:paraId="6B451824" w14:textId="77777777" w:rsidR="00221CB7" w:rsidRDefault="00221CB7" w:rsidP="005E3267">
      <w:pPr>
        <w:spacing w:line="360" w:lineRule="auto"/>
        <w:jc w:val="both"/>
        <w:rPr>
          <w:rFonts w:ascii="Arial" w:hAnsi="Arial" w:cs="Arial"/>
          <w:sz w:val="24"/>
          <w:szCs w:val="24"/>
        </w:rPr>
      </w:pPr>
    </w:p>
    <w:p w14:paraId="54BBFD83" w14:textId="77777777" w:rsidR="00221CB7" w:rsidRDefault="00221CB7" w:rsidP="005E3267">
      <w:pPr>
        <w:spacing w:line="360" w:lineRule="auto"/>
        <w:jc w:val="both"/>
        <w:rPr>
          <w:rFonts w:ascii="Arial" w:hAnsi="Arial" w:cs="Arial"/>
          <w:sz w:val="24"/>
          <w:szCs w:val="24"/>
        </w:rPr>
      </w:pPr>
    </w:p>
    <w:p w14:paraId="4AF95BBD" w14:textId="77777777" w:rsidR="00221CB7" w:rsidRDefault="00221CB7" w:rsidP="005E3267">
      <w:pPr>
        <w:spacing w:line="360" w:lineRule="auto"/>
        <w:jc w:val="both"/>
        <w:rPr>
          <w:rFonts w:ascii="Arial" w:hAnsi="Arial" w:cs="Arial"/>
          <w:sz w:val="24"/>
          <w:szCs w:val="24"/>
        </w:rPr>
      </w:pPr>
    </w:p>
    <w:p w14:paraId="5B4130A2" w14:textId="77777777" w:rsidR="00221CB7" w:rsidRDefault="00221CB7" w:rsidP="005E3267">
      <w:pPr>
        <w:spacing w:line="360" w:lineRule="auto"/>
        <w:jc w:val="both"/>
        <w:rPr>
          <w:rFonts w:ascii="Arial" w:hAnsi="Arial" w:cs="Arial"/>
          <w:sz w:val="24"/>
          <w:szCs w:val="24"/>
        </w:rPr>
      </w:pPr>
    </w:p>
    <w:p w14:paraId="6EF3A1EC" w14:textId="77777777" w:rsidR="00221CB7" w:rsidRDefault="00221CB7" w:rsidP="005E3267">
      <w:pPr>
        <w:spacing w:line="360" w:lineRule="auto"/>
        <w:jc w:val="both"/>
        <w:rPr>
          <w:rFonts w:ascii="Arial" w:hAnsi="Arial" w:cs="Arial"/>
          <w:sz w:val="24"/>
          <w:szCs w:val="24"/>
        </w:rPr>
      </w:pPr>
    </w:p>
    <w:p w14:paraId="1397CA3B" w14:textId="77777777" w:rsidR="00221CB7" w:rsidRPr="00F876AA" w:rsidRDefault="00221CB7" w:rsidP="005E3267">
      <w:pPr>
        <w:spacing w:line="360" w:lineRule="auto"/>
        <w:jc w:val="both"/>
        <w:rPr>
          <w:rFonts w:ascii="Arial" w:hAnsi="Arial" w:cs="Arial"/>
          <w:sz w:val="24"/>
          <w:szCs w:val="24"/>
        </w:rPr>
      </w:pPr>
    </w:p>
    <w:p w14:paraId="4135F7B3" w14:textId="77777777" w:rsidR="00BE4D16" w:rsidRPr="003032C2" w:rsidRDefault="00BE4D16" w:rsidP="00221CB7">
      <w:pPr>
        <w:pStyle w:val="Heading1"/>
      </w:pPr>
      <w:bookmarkStart w:id="26" w:name="_Toc215410054"/>
      <w:r w:rsidRPr="003032C2">
        <w:lastRenderedPageBreak/>
        <w:t xml:space="preserve">Reference </w:t>
      </w:r>
      <w:r w:rsidR="00B2757B" w:rsidRPr="003032C2">
        <w:t>List</w:t>
      </w:r>
      <w:bookmarkEnd w:id="26"/>
    </w:p>
    <w:p w14:paraId="4E6C65B1"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“BMW USA Q3 2023 Report” (2023) BMW of North America.</w:t>
      </w:r>
    </w:p>
    <w:p w14:paraId="2F862512"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6WResearch (2024) “Australia Automotive Market Outlook”. Available at: </w:t>
      </w:r>
      <w:hyperlink r:id="rId27" w:tgtFrame="_new" w:history="1">
        <w:r w:rsidRPr="00221CB7">
          <w:rPr>
            <w:rStyle w:val="Hyperlink"/>
            <w:rFonts w:ascii="Arial" w:hAnsi="Arial" w:cs="Arial"/>
            <w:sz w:val="24"/>
            <w:szCs w:val="24"/>
          </w:rPr>
          <w:t>https://www.6wresearch.com/industry-report/australia-automotive-market-outlook</w:t>
        </w:r>
      </w:hyperlink>
      <w:r w:rsidRPr="00221CB7">
        <w:rPr>
          <w:rFonts w:ascii="Arial" w:hAnsi="Arial" w:cs="Arial"/>
          <w:sz w:val="24"/>
          <w:szCs w:val="24"/>
        </w:rPr>
        <w:t xml:space="preserve"> </w:t>
      </w:r>
    </w:p>
    <w:p w14:paraId="48490159"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Australian Treasury (2024) “Luxury Car Tax review and implications”. Australian Government Publication.</w:t>
      </w:r>
    </w:p>
    <w:p w14:paraId="33C59D0F"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Automotive News (2024) “BMW U.S. plant Spartanburg and its role in global exports”. Automotive News, 15 November.</w:t>
      </w:r>
    </w:p>
    <w:p w14:paraId="3F27073D"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Automotive World (2023) “EV charging infrastructure growth in Australia”. Automotive World, 12 September.</w:t>
      </w:r>
    </w:p>
    <w:p w14:paraId="574D913D"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Bloomberg (2025) “Premium auto brands under pressure from new entrants and shifting consumer patterns”. Bloomberg, 8 March.</w:t>
      </w:r>
    </w:p>
    <w:p w14:paraId="55C9C872"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BMW Group (2021) </w:t>
      </w:r>
      <w:r w:rsidRPr="00221CB7">
        <w:rPr>
          <w:rFonts w:ascii="Arial" w:hAnsi="Arial" w:cs="Arial"/>
          <w:i/>
          <w:iCs/>
          <w:sz w:val="24"/>
          <w:szCs w:val="24"/>
        </w:rPr>
        <w:t>BMW Group Annual Report 2021</w:t>
      </w:r>
      <w:r w:rsidRPr="00221CB7">
        <w:rPr>
          <w:rFonts w:ascii="Arial" w:hAnsi="Arial" w:cs="Arial"/>
          <w:sz w:val="24"/>
          <w:szCs w:val="24"/>
        </w:rPr>
        <w:t>. Munich: BMW Group.</w:t>
      </w:r>
    </w:p>
    <w:p w14:paraId="391B9DD9"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BMW Group (2022) “BMW Group Third-Party Supply-Chain Audit Summary”. Sustainability Audit Report.</w:t>
      </w:r>
    </w:p>
    <w:p w14:paraId="73835EE7"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BMW Group (2022) </w:t>
      </w:r>
      <w:r w:rsidRPr="00221CB7">
        <w:rPr>
          <w:rFonts w:ascii="Arial" w:hAnsi="Arial" w:cs="Arial"/>
          <w:i/>
          <w:iCs/>
          <w:sz w:val="24"/>
          <w:szCs w:val="24"/>
        </w:rPr>
        <w:t>BMW Group Annual Report 2022</w:t>
      </w:r>
      <w:r w:rsidRPr="00221CB7">
        <w:rPr>
          <w:rFonts w:ascii="Arial" w:hAnsi="Arial" w:cs="Arial"/>
          <w:sz w:val="24"/>
          <w:szCs w:val="24"/>
        </w:rPr>
        <w:t>. Munich: BMW Group.</w:t>
      </w:r>
    </w:p>
    <w:p w14:paraId="11DCB24A"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BMW Group (2023) “Neue Klasse: Electric mobility strategy”. BMW Group Press Release.</w:t>
      </w:r>
    </w:p>
    <w:p w14:paraId="5AB089C9"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BMW Group (2023) </w:t>
      </w:r>
      <w:r w:rsidRPr="00221CB7">
        <w:rPr>
          <w:rFonts w:ascii="Arial" w:hAnsi="Arial" w:cs="Arial"/>
          <w:i/>
          <w:iCs/>
          <w:sz w:val="24"/>
          <w:szCs w:val="24"/>
        </w:rPr>
        <w:t>BMW Group Report 2023</w:t>
      </w:r>
      <w:r w:rsidRPr="00221CB7">
        <w:rPr>
          <w:rFonts w:ascii="Arial" w:hAnsi="Arial" w:cs="Arial"/>
          <w:sz w:val="24"/>
          <w:szCs w:val="24"/>
        </w:rPr>
        <w:t>. Munich: BMW Group.</w:t>
      </w:r>
    </w:p>
    <w:p w14:paraId="41A2DA1B"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BMW Group (2024) “Our sustainability performance and targets”. Corporate Sustainability Report.</w:t>
      </w:r>
    </w:p>
    <w:p w14:paraId="1F9621D7"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BMW Group (2024) </w:t>
      </w:r>
      <w:r w:rsidRPr="00221CB7">
        <w:rPr>
          <w:rFonts w:ascii="Arial" w:hAnsi="Arial" w:cs="Arial"/>
          <w:i/>
          <w:iCs/>
          <w:sz w:val="24"/>
          <w:szCs w:val="24"/>
        </w:rPr>
        <w:t>BMW Group Annual Report 2024</w:t>
      </w:r>
      <w:r w:rsidRPr="00221CB7">
        <w:rPr>
          <w:rFonts w:ascii="Arial" w:hAnsi="Arial" w:cs="Arial"/>
          <w:sz w:val="24"/>
          <w:szCs w:val="24"/>
        </w:rPr>
        <w:t>. Munich: BMW Group.</w:t>
      </w:r>
    </w:p>
    <w:p w14:paraId="5D9CFB63"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ChargedEVs (2024) “BMW partners with Chargefox to expand EV ecosystem in Australia”. ChargedEVs, 5 May.</w:t>
      </w:r>
    </w:p>
    <w:p w14:paraId="6A64ED56"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Deloitte (2023) “Sustainability and automotive industry: what’s next for premium brands”. Deloitte Insights, 15 September.</w:t>
      </w:r>
    </w:p>
    <w:p w14:paraId="3CF1FD6B"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ESG News (2024) “BMW Group surpasses sales targets in 2023, leads in electric mobility growth”. ESG News, 2 March.</w:t>
      </w:r>
    </w:p>
    <w:p w14:paraId="2A93D168"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lastRenderedPageBreak/>
        <w:t xml:space="preserve">Expert Market Research (2024) “Australia Luxury Car Market Outlook 2024-2034”. Available at: </w:t>
      </w:r>
      <w:hyperlink r:id="rId28" w:tgtFrame="_new" w:history="1">
        <w:r w:rsidRPr="00221CB7">
          <w:rPr>
            <w:rStyle w:val="Hyperlink"/>
            <w:rFonts w:ascii="Arial" w:hAnsi="Arial" w:cs="Arial"/>
            <w:sz w:val="24"/>
            <w:szCs w:val="24"/>
          </w:rPr>
          <w:t>https://www.expertmarketresearch.com.au/reports/australia-luxury-car-market</w:t>
        </w:r>
      </w:hyperlink>
      <w:r w:rsidRPr="00221CB7">
        <w:rPr>
          <w:rFonts w:ascii="Arial" w:hAnsi="Arial" w:cs="Arial"/>
          <w:sz w:val="24"/>
          <w:szCs w:val="24"/>
        </w:rPr>
        <w:t xml:space="preserve"> </w:t>
      </w:r>
    </w:p>
    <w:p w14:paraId="03D54CF7"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FCAI (2024) “New vehicle sales data Australia – August 2024”. Federal Chamber of Automotive Industries Report.</w:t>
      </w:r>
    </w:p>
    <w:p w14:paraId="28F64C77"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Frost &amp; Sullivan (2024) “Future of mobility: premium segment outlook USA &amp; Australia”. Frost &amp; Sullivan.</w:t>
      </w:r>
    </w:p>
    <w:p w14:paraId="0BE03592"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GoAuto Premium (2025) “US vs Australia vehicle market comparison – part two”. Premium GoAuto, 7 February.</w:t>
      </w:r>
    </w:p>
    <w:p w14:paraId="3373C854"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Harvard Business Review (2023) “Reinventing the luxury car buying experience in the digital era”. HBR, March.</w:t>
      </w:r>
    </w:p>
    <w:p w14:paraId="7BD91162"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Hofstede Insights (2024) “Country comparison: USA vs Australia”. Available at: https://www.hofstede-insights.com/country-comparison/USA,AU </w:t>
      </w:r>
    </w:p>
    <w:p w14:paraId="517CD8C2"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IMARC Group (2024) “Australia Luxury Car Market Report 2024-2033”. Available at: </w:t>
      </w:r>
      <w:hyperlink r:id="rId29" w:tgtFrame="_new" w:history="1">
        <w:r w:rsidRPr="00221CB7">
          <w:rPr>
            <w:rStyle w:val="Hyperlink"/>
            <w:rFonts w:ascii="Arial" w:hAnsi="Arial" w:cs="Arial"/>
            <w:sz w:val="24"/>
            <w:szCs w:val="24"/>
          </w:rPr>
          <w:t>https://www.imarcgroup.com/australia-luxury-car-market</w:t>
        </w:r>
      </w:hyperlink>
      <w:r w:rsidRPr="00221CB7">
        <w:rPr>
          <w:rFonts w:ascii="Arial" w:hAnsi="Arial" w:cs="Arial"/>
          <w:sz w:val="24"/>
          <w:szCs w:val="24"/>
        </w:rPr>
        <w:t xml:space="preserve"> </w:t>
      </w:r>
    </w:p>
    <w:p w14:paraId="3D946391"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IMD (2023) “World Competitiveness Yearbook – USA &amp; Australia comparative”. IMD World Competitiveness Center.</w:t>
      </w:r>
    </w:p>
    <w:p w14:paraId="00BC8A65"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Interbrand (2024) “Best Global Brands 2024 – BMW”. Available at: </w:t>
      </w:r>
      <w:hyperlink r:id="rId30" w:tgtFrame="_new" w:history="1">
        <w:r w:rsidRPr="00221CB7">
          <w:rPr>
            <w:rStyle w:val="Hyperlink"/>
            <w:rFonts w:ascii="Arial" w:hAnsi="Arial" w:cs="Arial"/>
            <w:sz w:val="24"/>
            <w:szCs w:val="24"/>
          </w:rPr>
          <w:t>https://interbrand.com/best-global-brands/bmw</w:t>
        </w:r>
      </w:hyperlink>
      <w:r w:rsidRPr="00221CB7">
        <w:rPr>
          <w:rFonts w:ascii="Arial" w:hAnsi="Arial" w:cs="Arial"/>
          <w:sz w:val="24"/>
          <w:szCs w:val="24"/>
        </w:rPr>
        <w:t xml:space="preserve"> </w:t>
      </w:r>
    </w:p>
    <w:p w14:paraId="5C15FA90"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Journal of Business Ethics (2021) “Ethical marketing in the automotive sector: challenges for electrification”, Vol 169 (3), pp. 527-545.</w:t>
      </w:r>
    </w:p>
    <w:p w14:paraId="523A5728"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Journal of International Marketing (2022) “Global branding and local adaptation: the case of premium automobile manufacturers”, Vol 30 (2), pp. 45-62.</w:t>
      </w:r>
    </w:p>
    <w:p w14:paraId="232E6D9A"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Kotler, P., Keller, K.L. &amp; Manceau, D. (2022) </w:t>
      </w:r>
      <w:r w:rsidRPr="00221CB7">
        <w:rPr>
          <w:rFonts w:ascii="Arial" w:hAnsi="Arial" w:cs="Arial"/>
          <w:i/>
          <w:iCs/>
          <w:sz w:val="24"/>
          <w:szCs w:val="24"/>
        </w:rPr>
        <w:t>Marketing Management, 17th edn.</w:t>
      </w:r>
      <w:r w:rsidRPr="00221CB7">
        <w:rPr>
          <w:rFonts w:ascii="Arial" w:hAnsi="Arial" w:cs="Arial"/>
          <w:sz w:val="24"/>
          <w:szCs w:val="24"/>
        </w:rPr>
        <w:t xml:space="preserve"> Harlow: Pearson Education.</w:t>
      </w:r>
    </w:p>
    <w:p w14:paraId="472F7F24"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KPMG (2023) “Automotive industry transformation: premium brands focusing on circular economy”. KPMG Insights.</w:t>
      </w:r>
    </w:p>
    <w:p w14:paraId="042D6BE3"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MBA Skool (2023) “BMW Corporation Five Forces Analysis”. Available at: </w:t>
      </w:r>
      <w:hyperlink r:id="rId31" w:tgtFrame="_new" w:history="1">
        <w:r w:rsidRPr="00221CB7">
          <w:rPr>
            <w:rStyle w:val="Hyperlink"/>
            <w:rFonts w:ascii="Arial" w:hAnsi="Arial" w:cs="Arial"/>
            <w:sz w:val="24"/>
            <w:szCs w:val="24"/>
          </w:rPr>
          <w:t>https://www.mbaskool.com/five-forces-analysis/companies/18293-bmw.html</w:t>
        </w:r>
      </w:hyperlink>
      <w:r w:rsidRPr="00221CB7">
        <w:rPr>
          <w:rFonts w:ascii="Arial" w:hAnsi="Arial" w:cs="Arial"/>
          <w:sz w:val="24"/>
          <w:szCs w:val="24"/>
        </w:rPr>
        <w:t xml:space="preserve"> </w:t>
      </w:r>
    </w:p>
    <w:p w14:paraId="5D9094D7"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Mintel (2023) “Luxury car buyer behaviour USA”. Mintel Report, April.</w:t>
      </w:r>
    </w:p>
    <w:p w14:paraId="0EAAF0D9"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lastRenderedPageBreak/>
        <w:t>Mintel (2024) “Consumer attitudes to electric vehicles in Australia”. Mintel Report, June.</w:t>
      </w:r>
    </w:p>
    <w:p w14:paraId="4EE66828"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Panmore Institute (2023) “BMW Five Forces Analysis &amp; Recommendations”. Available at: </w:t>
      </w:r>
      <w:hyperlink r:id="rId32" w:tgtFrame="_new" w:history="1">
        <w:r w:rsidRPr="00221CB7">
          <w:rPr>
            <w:rStyle w:val="Hyperlink"/>
            <w:rFonts w:ascii="Arial" w:hAnsi="Arial" w:cs="Arial"/>
            <w:sz w:val="24"/>
            <w:szCs w:val="24"/>
          </w:rPr>
          <w:t>https://panmore.com/bmw-five-forces-analysis-recommendations-porters-case-study</w:t>
        </w:r>
      </w:hyperlink>
      <w:r w:rsidRPr="00221CB7">
        <w:rPr>
          <w:rFonts w:ascii="Arial" w:hAnsi="Arial" w:cs="Arial"/>
          <w:sz w:val="24"/>
          <w:szCs w:val="24"/>
        </w:rPr>
        <w:t xml:space="preserve"> </w:t>
      </w:r>
    </w:p>
    <w:p w14:paraId="7836B0A0"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Repository UCP (2024) “Impact of digitalisation on premium automotive marketing”. Repositorio UCP, October.</w:t>
      </w:r>
    </w:p>
    <w:p w14:paraId="6522F21E"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Reuters (2025) “BMW CEO hopeful manageable deal on US auto-import tariffs”. Reuters, 11 July.</w:t>
      </w:r>
    </w:p>
    <w:p w14:paraId="08AF5CD1"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Statista (2024) “Global plug-in electric vehicle share 2021-2024”. Available at: https://www.statista.com/statistics/ </w:t>
      </w:r>
    </w:p>
    <w:p w14:paraId="4A887154" w14:textId="77777777" w:rsidR="003032C2"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Statista (2024) “Luxury car market share BMW United States 2024”. Available at: https://www.statista.com/statistics/ </w:t>
      </w:r>
    </w:p>
    <w:p w14:paraId="6F706E37"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Statista (2025) “Number of new vehicle registrations in the United States 2015–2025”. Available at: https://www.statista.com/statistics/ </w:t>
      </w:r>
    </w:p>
    <w:p w14:paraId="474137DB"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Strategic Analysis Hub (2023) “Porter’s Five Forces Analysis of BMW”. Available at: </w:t>
      </w:r>
      <w:hyperlink r:id="rId33" w:tgtFrame="_new" w:history="1">
        <w:r w:rsidRPr="00221CB7">
          <w:rPr>
            <w:rStyle w:val="Hyperlink"/>
            <w:rFonts w:ascii="Arial" w:hAnsi="Arial" w:cs="Arial"/>
            <w:sz w:val="24"/>
            <w:szCs w:val="24"/>
          </w:rPr>
          <w:t>https://strategicanalysishub.com/porters-five-forces-analysis-of-bmw</w:t>
        </w:r>
      </w:hyperlink>
      <w:r w:rsidRPr="00221CB7">
        <w:rPr>
          <w:rFonts w:ascii="Arial" w:hAnsi="Arial" w:cs="Arial"/>
          <w:sz w:val="24"/>
          <w:szCs w:val="24"/>
        </w:rPr>
        <w:t xml:space="preserve"> .</w:t>
      </w:r>
    </w:p>
    <w:p w14:paraId="2C089A69"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 xml:space="preserve">The Guardian (2025) “Fuel-hungry utes and SUVs dominate Australian sales with Corolla the only small car in top 10 list”. The Guardian, 6 January. Available at: </w:t>
      </w:r>
      <w:hyperlink r:id="rId34" w:tgtFrame="_new" w:history="1">
        <w:r w:rsidRPr="00221CB7">
          <w:rPr>
            <w:rStyle w:val="Hyperlink"/>
            <w:rFonts w:ascii="Arial" w:hAnsi="Arial" w:cs="Arial"/>
            <w:sz w:val="24"/>
            <w:szCs w:val="24"/>
          </w:rPr>
          <w:t>https://www.theguardian.com/australia-news/2025/jan/06/fuel-hungry-utes-and-suvs-dominate-australian-sales-with-corolla-the-only-small-car-in-top-10-list</w:t>
        </w:r>
      </w:hyperlink>
      <w:r w:rsidR="003032C2" w:rsidRPr="00221CB7">
        <w:rPr>
          <w:rFonts w:ascii="Arial" w:hAnsi="Arial" w:cs="Arial"/>
          <w:sz w:val="24"/>
          <w:szCs w:val="24"/>
        </w:rPr>
        <w:t xml:space="preserve"> </w:t>
      </w:r>
    </w:p>
    <w:p w14:paraId="61187D6B"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Time (2024) “BMW's push into electrification: what this means for global markets”. Time Magazine, 18 August.</w:t>
      </w:r>
    </w:p>
    <w:p w14:paraId="03905275" w14:textId="77777777" w:rsidR="00031661" w:rsidRPr="00221CB7" w:rsidRDefault="00031661" w:rsidP="00221CB7">
      <w:pPr>
        <w:pStyle w:val="ListParagraph"/>
        <w:numPr>
          <w:ilvl w:val="0"/>
          <w:numId w:val="39"/>
        </w:numPr>
        <w:spacing w:line="360" w:lineRule="auto"/>
        <w:jc w:val="both"/>
        <w:rPr>
          <w:rFonts w:ascii="Arial" w:hAnsi="Arial" w:cs="Arial"/>
          <w:sz w:val="24"/>
          <w:szCs w:val="24"/>
        </w:rPr>
      </w:pPr>
      <w:r w:rsidRPr="00221CB7">
        <w:rPr>
          <w:rFonts w:ascii="Arial" w:hAnsi="Arial" w:cs="Arial"/>
          <w:sz w:val="24"/>
          <w:szCs w:val="24"/>
        </w:rPr>
        <w:t>Wall Street Journal (2025) “Luxury vehicle market sees slowdown as interest rates bite”. WSJ, 23 April.</w:t>
      </w:r>
    </w:p>
    <w:p w14:paraId="52B80B26" w14:textId="77777777" w:rsidR="00DF5698" w:rsidRPr="00B9261A" w:rsidRDefault="00DF5698" w:rsidP="00B9261A">
      <w:pPr>
        <w:spacing w:line="360" w:lineRule="auto"/>
        <w:jc w:val="both"/>
        <w:rPr>
          <w:rFonts w:ascii="Arial" w:hAnsi="Arial" w:cs="Arial"/>
          <w:sz w:val="24"/>
          <w:szCs w:val="24"/>
        </w:rPr>
      </w:pPr>
    </w:p>
    <w:sectPr w:rsidR="00DF5698" w:rsidRPr="00B9261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8294C"/>
    <w:multiLevelType w:val="multilevel"/>
    <w:tmpl w:val="26945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07DB8"/>
    <w:multiLevelType w:val="multilevel"/>
    <w:tmpl w:val="8D964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A40366"/>
    <w:multiLevelType w:val="multilevel"/>
    <w:tmpl w:val="2BDCE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5142CD"/>
    <w:multiLevelType w:val="multilevel"/>
    <w:tmpl w:val="F39E7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E95010"/>
    <w:multiLevelType w:val="multilevel"/>
    <w:tmpl w:val="781AE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412D75"/>
    <w:multiLevelType w:val="multilevel"/>
    <w:tmpl w:val="3B882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1D4A3C"/>
    <w:multiLevelType w:val="multilevel"/>
    <w:tmpl w:val="2B3E4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D862AF"/>
    <w:multiLevelType w:val="multilevel"/>
    <w:tmpl w:val="2D64A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EA1008"/>
    <w:multiLevelType w:val="hybridMultilevel"/>
    <w:tmpl w:val="889C6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97005E"/>
    <w:multiLevelType w:val="multilevel"/>
    <w:tmpl w:val="988CB3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AB7B57"/>
    <w:multiLevelType w:val="multilevel"/>
    <w:tmpl w:val="289EB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B45619"/>
    <w:multiLevelType w:val="multilevel"/>
    <w:tmpl w:val="90ACA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A4218C"/>
    <w:multiLevelType w:val="multilevel"/>
    <w:tmpl w:val="771E1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9B442F"/>
    <w:multiLevelType w:val="multilevel"/>
    <w:tmpl w:val="E7E60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4F3C23"/>
    <w:multiLevelType w:val="multilevel"/>
    <w:tmpl w:val="74D46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7B3DD9"/>
    <w:multiLevelType w:val="multilevel"/>
    <w:tmpl w:val="C040C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C15EDF"/>
    <w:multiLevelType w:val="multilevel"/>
    <w:tmpl w:val="D3667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2E2F31"/>
    <w:multiLevelType w:val="multilevel"/>
    <w:tmpl w:val="48149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66589A"/>
    <w:multiLevelType w:val="multilevel"/>
    <w:tmpl w:val="9CA60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0445B5"/>
    <w:multiLevelType w:val="multilevel"/>
    <w:tmpl w:val="C9265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9B3C8E"/>
    <w:multiLevelType w:val="multilevel"/>
    <w:tmpl w:val="9B62A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060000"/>
    <w:multiLevelType w:val="multilevel"/>
    <w:tmpl w:val="505EA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98689C"/>
    <w:multiLevelType w:val="hybridMultilevel"/>
    <w:tmpl w:val="F90E0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4F53C13"/>
    <w:multiLevelType w:val="hybridMultilevel"/>
    <w:tmpl w:val="A9A239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456E5B2D"/>
    <w:multiLevelType w:val="hybridMultilevel"/>
    <w:tmpl w:val="2DA80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6B43295"/>
    <w:multiLevelType w:val="hybridMultilevel"/>
    <w:tmpl w:val="51580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79F6D4B"/>
    <w:multiLevelType w:val="multilevel"/>
    <w:tmpl w:val="51128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F5600E"/>
    <w:multiLevelType w:val="multilevel"/>
    <w:tmpl w:val="78E8E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CB7EFD"/>
    <w:multiLevelType w:val="multilevel"/>
    <w:tmpl w:val="EE782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A55221"/>
    <w:multiLevelType w:val="multilevel"/>
    <w:tmpl w:val="F5EAC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7F05F67"/>
    <w:multiLevelType w:val="hybridMultilevel"/>
    <w:tmpl w:val="5888C8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972323D"/>
    <w:multiLevelType w:val="multilevel"/>
    <w:tmpl w:val="17BAC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844B23"/>
    <w:multiLevelType w:val="multilevel"/>
    <w:tmpl w:val="658E7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9E509A"/>
    <w:multiLevelType w:val="hybridMultilevel"/>
    <w:tmpl w:val="EED8523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76A0D06"/>
    <w:multiLevelType w:val="multilevel"/>
    <w:tmpl w:val="8F58A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FA482A"/>
    <w:multiLevelType w:val="multilevel"/>
    <w:tmpl w:val="8D44F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99671C"/>
    <w:multiLevelType w:val="multilevel"/>
    <w:tmpl w:val="D1C40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F4253ED"/>
    <w:multiLevelType w:val="multilevel"/>
    <w:tmpl w:val="C804F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B64C82"/>
    <w:multiLevelType w:val="multilevel"/>
    <w:tmpl w:val="C6BA4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1259401">
    <w:abstractNumId w:val="14"/>
  </w:num>
  <w:num w:numId="2" w16cid:durableId="492719136">
    <w:abstractNumId w:val="37"/>
  </w:num>
  <w:num w:numId="3" w16cid:durableId="379935748">
    <w:abstractNumId w:val="6"/>
  </w:num>
  <w:num w:numId="4" w16cid:durableId="661617650">
    <w:abstractNumId w:val="27"/>
  </w:num>
  <w:num w:numId="5" w16cid:durableId="1636325248">
    <w:abstractNumId w:val="28"/>
  </w:num>
  <w:num w:numId="6" w16cid:durableId="1473475284">
    <w:abstractNumId w:val="12"/>
  </w:num>
  <w:num w:numId="7" w16cid:durableId="445583643">
    <w:abstractNumId w:val="7"/>
  </w:num>
  <w:num w:numId="8" w16cid:durableId="2128743170">
    <w:abstractNumId w:val="15"/>
  </w:num>
  <w:num w:numId="9" w16cid:durableId="1869565655">
    <w:abstractNumId w:val="38"/>
  </w:num>
  <w:num w:numId="10" w16cid:durableId="784081259">
    <w:abstractNumId w:val="26"/>
  </w:num>
  <w:num w:numId="11" w16cid:durableId="1141728289">
    <w:abstractNumId w:val="2"/>
  </w:num>
  <w:num w:numId="12" w16cid:durableId="974985489">
    <w:abstractNumId w:val="9"/>
  </w:num>
  <w:num w:numId="13" w16cid:durableId="1880163361">
    <w:abstractNumId w:val="0"/>
  </w:num>
  <w:num w:numId="14" w16cid:durableId="1795825216">
    <w:abstractNumId w:val="31"/>
  </w:num>
  <w:num w:numId="15" w16cid:durableId="1909682810">
    <w:abstractNumId w:val="13"/>
  </w:num>
  <w:num w:numId="16" w16cid:durableId="248779706">
    <w:abstractNumId w:val="19"/>
  </w:num>
  <w:num w:numId="17" w16cid:durableId="187765013">
    <w:abstractNumId w:val="35"/>
  </w:num>
  <w:num w:numId="18" w16cid:durableId="1855260437">
    <w:abstractNumId w:val="11"/>
  </w:num>
  <w:num w:numId="19" w16cid:durableId="1486237059">
    <w:abstractNumId w:val="5"/>
  </w:num>
  <w:num w:numId="20" w16cid:durableId="1654678960">
    <w:abstractNumId w:val="36"/>
  </w:num>
  <w:num w:numId="21" w16cid:durableId="1168520979">
    <w:abstractNumId w:val="29"/>
  </w:num>
  <w:num w:numId="22" w16cid:durableId="384716283">
    <w:abstractNumId w:val="34"/>
  </w:num>
  <w:num w:numId="23" w16cid:durableId="1584410150">
    <w:abstractNumId w:val="32"/>
  </w:num>
  <w:num w:numId="24" w16cid:durableId="683169472">
    <w:abstractNumId w:val="3"/>
  </w:num>
  <w:num w:numId="25" w16cid:durableId="1561019049">
    <w:abstractNumId w:val="4"/>
  </w:num>
  <w:num w:numId="26" w16cid:durableId="2109111112">
    <w:abstractNumId w:val="18"/>
  </w:num>
  <w:num w:numId="27" w16cid:durableId="1323697891">
    <w:abstractNumId w:val="17"/>
  </w:num>
  <w:num w:numId="28" w16cid:durableId="1321694503">
    <w:abstractNumId w:val="20"/>
  </w:num>
  <w:num w:numId="29" w16cid:durableId="1429081608">
    <w:abstractNumId w:val="21"/>
  </w:num>
  <w:num w:numId="30" w16cid:durableId="817502207">
    <w:abstractNumId w:val="16"/>
  </w:num>
  <w:num w:numId="31" w16cid:durableId="1405689096">
    <w:abstractNumId w:val="1"/>
  </w:num>
  <w:num w:numId="32" w16cid:durableId="975989595">
    <w:abstractNumId w:val="10"/>
  </w:num>
  <w:num w:numId="33" w16cid:durableId="184096744">
    <w:abstractNumId w:val="8"/>
  </w:num>
  <w:num w:numId="34" w16cid:durableId="268200254">
    <w:abstractNumId w:val="22"/>
  </w:num>
  <w:num w:numId="35" w16cid:durableId="1146359914">
    <w:abstractNumId w:val="33"/>
  </w:num>
  <w:num w:numId="36" w16cid:durableId="806358008">
    <w:abstractNumId w:val="24"/>
  </w:num>
  <w:num w:numId="37" w16cid:durableId="654653320">
    <w:abstractNumId w:val="30"/>
  </w:num>
  <w:num w:numId="38" w16cid:durableId="1016035802">
    <w:abstractNumId w:val="25"/>
  </w:num>
  <w:num w:numId="39" w16cid:durableId="175598001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5698"/>
    <w:rsid w:val="00031661"/>
    <w:rsid w:val="000B3E9E"/>
    <w:rsid w:val="000B72D7"/>
    <w:rsid w:val="00116654"/>
    <w:rsid w:val="00120AF0"/>
    <w:rsid w:val="001514F4"/>
    <w:rsid w:val="00195722"/>
    <w:rsid w:val="00221CB7"/>
    <w:rsid w:val="00235E25"/>
    <w:rsid w:val="002C2083"/>
    <w:rsid w:val="002F68CF"/>
    <w:rsid w:val="003032C2"/>
    <w:rsid w:val="00331255"/>
    <w:rsid w:val="00391176"/>
    <w:rsid w:val="003A367F"/>
    <w:rsid w:val="004D4D6A"/>
    <w:rsid w:val="005E3267"/>
    <w:rsid w:val="005E7B47"/>
    <w:rsid w:val="00622207"/>
    <w:rsid w:val="00644262"/>
    <w:rsid w:val="006F0243"/>
    <w:rsid w:val="00752431"/>
    <w:rsid w:val="007821BD"/>
    <w:rsid w:val="0079047C"/>
    <w:rsid w:val="007A41E1"/>
    <w:rsid w:val="007B2EA6"/>
    <w:rsid w:val="008F3AFA"/>
    <w:rsid w:val="009916D4"/>
    <w:rsid w:val="009A02E9"/>
    <w:rsid w:val="009B6AAA"/>
    <w:rsid w:val="00A11EC6"/>
    <w:rsid w:val="00B2757B"/>
    <w:rsid w:val="00B9261A"/>
    <w:rsid w:val="00BE4D16"/>
    <w:rsid w:val="00C409AF"/>
    <w:rsid w:val="00C82411"/>
    <w:rsid w:val="00D11407"/>
    <w:rsid w:val="00DA214D"/>
    <w:rsid w:val="00DB6095"/>
    <w:rsid w:val="00DC5ED8"/>
    <w:rsid w:val="00DE1F60"/>
    <w:rsid w:val="00DF5698"/>
    <w:rsid w:val="00F41027"/>
    <w:rsid w:val="00F876AA"/>
    <w:rsid w:val="00FB1F4F"/>
    <w:rsid w:val="00FF0D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F63D40"/>
  <w15:chartTrackingRefBased/>
  <w15:docId w15:val="{05AE1130-6E3C-4DA3-823B-FEC5BD7C8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21CB7"/>
    <w:pPr>
      <w:keepNext/>
      <w:keepLines/>
      <w:spacing w:before="240" w:after="0" w:line="480" w:lineRule="auto"/>
      <w:jc w:val="center"/>
      <w:outlineLvl w:val="0"/>
    </w:pPr>
    <w:rPr>
      <w:rFonts w:ascii="Arial" w:eastAsiaTheme="majorEastAsia" w:hAnsi="Arial" w:cstheme="majorBidi"/>
      <w:b/>
      <w:sz w:val="28"/>
      <w:szCs w:val="32"/>
      <w:u w:val="single"/>
    </w:rPr>
  </w:style>
  <w:style w:type="paragraph" w:styleId="Heading2">
    <w:name w:val="heading 2"/>
    <w:basedOn w:val="Normal"/>
    <w:next w:val="Normal"/>
    <w:link w:val="Heading2Char"/>
    <w:autoRedefine/>
    <w:uiPriority w:val="9"/>
    <w:unhideWhenUsed/>
    <w:qFormat/>
    <w:rsid w:val="00221CB7"/>
    <w:pPr>
      <w:keepNext/>
      <w:keepLines/>
      <w:spacing w:before="40" w:after="0" w:line="480" w:lineRule="auto"/>
      <w:outlineLvl w:val="1"/>
    </w:pPr>
    <w:rPr>
      <w:rFonts w:ascii="Arial" w:eastAsiaTheme="majorEastAsia" w:hAnsi="Arial" w:cstheme="majorBidi"/>
      <w:b/>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CB7"/>
    <w:rPr>
      <w:rFonts w:ascii="Arial" w:eastAsiaTheme="majorEastAsia" w:hAnsi="Arial" w:cstheme="majorBidi"/>
      <w:b/>
      <w:sz w:val="28"/>
      <w:szCs w:val="32"/>
      <w:u w:val="single"/>
    </w:rPr>
  </w:style>
  <w:style w:type="character" w:customStyle="1" w:styleId="Heading2Char">
    <w:name w:val="Heading 2 Char"/>
    <w:basedOn w:val="DefaultParagraphFont"/>
    <w:link w:val="Heading2"/>
    <w:uiPriority w:val="9"/>
    <w:rsid w:val="00221CB7"/>
    <w:rPr>
      <w:rFonts w:ascii="Arial" w:eastAsiaTheme="majorEastAsia" w:hAnsi="Arial" w:cstheme="majorBidi"/>
      <w:b/>
      <w:sz w:val="24"/>
      <w:szCs w:val="26"/>
    </w:rPr>
  </w:style>
  <w:style w:type="character" w:styleId="Hyperlink">
    <w:name w:val="Hyperlink"/>
    <w:basedOn w:val="DefaultParagraphFont"/>
    <w:uiPriority w:val="99"/>
    <w:unhideWhenUsed/>
    <w:rsid w:val="00DF5698"/>
    <w:rPr>
      <w:color w:val="0563C1" w:themeColor="hyperlink"/>
      <w:u w:val="single"/>
    </w:rPr>
  </w:style>
  <w:style w:type="paragraph" w:styleId="ListParagraph">
    <w:name w:val="List Paragraph"/>
    <w:basedOn w:val="Normal"/>
    <w:uiPriority w:val="34"/>
    <w:qFormat/>
    <w:rsid w:val="00BE4D16"/>
    <w:pPr>
      <w:ind w:left="720"/>
      <w:contextualSpacing/>
    </w:pPr>
  </w:style>
  <w:style w:type="paragraph" w:styleId="NormalWeb">
    <w:name w:val="Normal (Web)"/>
    <w:basedOn w:val="Normal"/>
    <w:uiPriority w:val="99"/>
    <w:unhideWhenUsed/>
    <w:rsid w:val="000B72D7"/>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9B6A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21CB7"/>
    <w:pPr>
      <w:spacing w:line="259" w:lineRule="auto"/>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221CB7"/>
    <w:pPr>
      <w:spacing w:after="100"/>
    </w:pPr>
  </w:style>
  <w:style w:type="paragraph" w:styleId="TOC2">
    <w:name w:val="toc 2"/>
    <w:basedOn w:val="Normal"/>
    <w:next w:val="Normal"/>
    <w:autoRedefine/>
    <w:uiPriority w:val="39"/>
    <w:unhideWhenUsed/>
    <w:rsid w:val="00221CB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467572">
      <w:bodyDiv w:val="1"/>
      <w:marLeft w:val="0"/>
      <w:marRight w:val="0"/>
      <w:marTop w:val="0"/>
      <w:marBottom w:val="0"/>
      <w:divBdr>
        <w:top w:val="none" w:sz="0" w:space="0" w:color="auto"/>
        <w:left w:val="none" w:sz="0" w:space="0" w:color="auto"/>
        <w:bottom w:val="none" w:sz="0" w:space="0" w:color="auto"/>
        <w:right w:val="none" w:sz="0" w:space="0" w:color="auto"/>
      </w:divBdr>
    </w:div>
    <w:div w:id="218444433">
      <w:bodyDiv w:val="1"/>
      <w:marLeft w:val="0"/>
      <w:marRight w:val="0"/>
      <w:marTop w:val="0"/>
      <w:marBottom w:val="0"/>
      <w:divBdr>
        <w:top w:val="none" w:sz="0" w:space="0" w:color="auto"/>
        <w:left w:val="none" w:sz="0" w:space="0" w:color="auto"/>
        <w:bottom w:val="none" w:sz="0" w:space="0" w:color="auto"/>
        <w:right w:val="none" w:sz="0" w:space="0" w:color="auto"/>
      </w:divBdr>
    </w:div>
    <w:div w:id="288585023">
      <w:bodyDiv w:val="1"/>
      <w:marLeft w:val="0"/>
      <w:marRight w:val="0"/>
      <w:marTop w:val="0"/>
      <w:marBottom w:val="0"/>
      <w:divBdr>
        <w:top w:val="none" w:sz="0" w:space="0" w:color="auto"/>
        <w:left w:val="none" w:sz="0" w:space="0" w:color="auto"/>
        <w:bottom w:val="none" w:sz="0" w:space="0" w:color="auto"/>
        <w:right w:val="none" w:sz="0" w:space="0" w:color="auto"/>
      </w:divBdr>
    </w:div>
    <w:div w:id="423575733">
      <w:bodyDiv w:val="1"/>
      <w:marLeft w:val="0"/>
      <w:marRight w:val="0"/>
      <w:marTop w:val="0"/>
      <w:marBottom w:val="0"/>
      <w:divBdr>
        <w:top w:val="none" w:sz="0" w:space="0" w:color="auto"/>
        <w:left w:val="none" w:sz="0" w:space="0" w:color="auto"/>
        <w:bottom w:val="none" w:sz="0" w:space="0" w:color="auto"/>
        <w:right w:val="none" w:sz="0" w:space="0" w:color="auto"/>
      </w:divBdr>
    </w:div>
    <w:div w:id="509680620">
      <w:bodyDiv w:val="1"/>
      <w:marLeft w:val="0"/>
      <w:marRight w:val="0"/>
      <w:marTop w:val="0"/>
      <w:marBottom w:val="0"/>
      <w:divBdr>
        <w:top w:val="none" w:sz="0" w:space="0" w:color="auto"/>
        <w:left w:val="none" w:sz="0" w:space="0" w:color="auto"/>
        <w:bottom w:val="none" w:sz="0" w:space="0" w:color="auto"/>
        <w:right w:val="none" w:sz="0" w:space="0" w:color="auto"/>
      </w:divBdr>
    </w:div>
    <w:div w:id="512109016">
      <w:bodyDiv w:val="1"/>
      <w:marLeft w:val="0"/>
      <w:marRight w:val="0"/>
      <w:marTop w:val="0"/>
      <w:marBottom w:val="0"/>
      <w:divBdr>
        <w:top w:val="none" w:sz="0" w:space="0" w:color="auto"/>
        <w:left w:val="none" w:sz="0" w:space="0" w:color="auto"/>
        <w:bottom w:val="none" w:sz="0" w:space="0" w:color="auto"/>
        <w:right w:val="none" w:sz="0" w:space="0" w:color="auto"/>
      </w:divBdr>
    </w:div>
    <w:div w:id="610743019">
      <w:bodyDiv w:val="1"/>
      <w:marLeft w:val="0"/>
      <w:marRight w:val="0"/>
      <w:marTop w:val="0"/>
      <w:marBottom w:val="0"/>
      <w:divBdr>
        <w:top w:val="none" w:sz="0" w:space="0" w:color="auto"/>
        <w:left w:val="none" w:sz="0" w:space="0" w:color="auto"/>
        <w:bottom w:val="none" w:sz="0" w:space="0" w:color="auto"/>
        <w:right w:val="none" w:sz="0" w:space="0" w:color="auto"/>
      </w:divBdr>
    </w:div>
    <w:div w:id="669255782">
      <w:bodyDiv w:val="1"/>
      <w:marLeft w:val="0"/>
      <w:marRight w:val="0"/>
      <w:marTop w:val="0"/>
      <w:marBottom w:val="0"/>
      <w:divBdr>
        <w:top w:val="none" w:sz="0" w:space="0" w:color="auto"/>
        <w:left w:val="none" w:sz="0" w:space="0" w:color="auto"/>
        <w:bottom w:val="none" w:sz="0" w:space="0" w:color="auto"/>
        <w:right w:val="none" w:sz="0" w:space="0" w:color="auto"/>
      </w:divBdr>
      <w:divsChild>
        <w:div w:id="575211992">
          <w:marLeft w:val="0"/>
          <w:marRight w:val="0"/>
          <w:marTop w:val="0"/>
          <w:marBottom w:val="0"/>
          <w:divBdr>
            <w:top w:val="none" w:sz="0" w:space="0" w:color="auto"/>
            <w:left w:val="none" w:sz="0" w:space="0" w:color="auto"/>
            <w:bottom w:val="none" w:sz="0" w:space="0" w:color="auto"/>
            <w:right w:val="none" w:sz="0" w:space="0" w:color="auto"/>
          </w:divBdr>
          <w:divsChild>
            <w:div w:id="1753045870">
              <w:marLeft w:val="0"/>
              <w:marRight w:val="0"/>
              <w:marTop w:val="0"/>
              <w:marBottom w:val="0"/>
              <w:divBdr>
                <w:top w:val="none" w:sz="0" w:space="0" w:color="auto"/>
                <w:left w:val="none" w:sz="0" w:space="0" w:color="auto"/>
                <w:bottom w:val="none" w:sz="0" w:space="0" w:color="auto"/>
                <w:right w:val="none" w:sz="0" w:space="0" w:color="auto"/>
              </w:divBdr>
            </w:div>
          </w:divsChild>
        </w:div>
        <w:div w:id="1196964190">
          <w:marLeft w:val="0"/>
          <w:marRight w:val="0"/>
          <w:marTop w:val="0"/>
          <w:marBottom w:val="0"/>
          <w:divBdr>
            <w:top w:val="none" w:sz="0" w:space="0" w:color="auto"/>
            <w:left w:val="none" w:sz="0" w:space="0" w:color="auto"/>
            <w:bottom w:val="none" w:sz="0" w:space="0" w:color="auto"/>
            <w:right w:val="none" w:sz="0" w:space="0" w:color="auto"/>
          </w:divBdr>
          <w:divsChild>
            <w:div w:id="162149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406343">
      <w:bodyDiv w:val="1"/>
      <w:marLeft w:val="0"/>
      <w:marRight w:val="0"/>
      <w:marTop w:val="0"/>
      <w:marBottom w:val="0"/>
      <w:divBdr>
        <w:top w:val="none" w:sz="0" w:space="0" w:color="auto"/>
        <w:left w:val="none" w:sz="0" w:space="0" w:color="auto"/>
        <w:bottom w:val="none" w:sz="0" w:space="0" w:color="auto"/>
        <w:right w:val="none" w:sz="0" w:space="0" w:color="auto"/>
      </w:divBdr>
    </w:div>
    <w:div w:id="949748082">
      <w:bodyDiv w:val="1"/>
      <w:marLeft w:val="0"/>
      <w:marRight w:val="0"/>
      <w:marTop w:val="0"/>
      <w:marBottom w:val="0"/>
      <w:divBdr>
        <w:top w:val="none" w:sz="0" w:space="0" w:color="auto"/>
        <w:left w:val="none" w:sz="0" w:space="0" w:color="auto"/>
        <w:bottom w:val="none" w:sz="0" w:space="0" w:color="auto"/>
        <w:right w:val="none" w:sz="0" w:space="0" w:color="auto"/>
      </w:divBdr>
    </w:div>
    <w:div w:id="1114132722">
      <w:bodyDiv w:val="1"/>
      <w:marLeft w:val="0"/>
      <w:marRight w:val="0"/>
      <w:marTop w:val="0"/>
      <w:marBottom w:val="0"/>
      <w:divBdr>
        <w:top w:val="none" w:sz="0" w:space="0" w:color="auto"/>
        <w:left w:val="none" w:sz="0" w:space="0" w:color="auto"/>
        <w:bottom w:val="none" w:sz="0" w:space="0" w:color="auto"/>
        <w:right w:val="none" w:sz="0" w:space="0" w:color="auto"/>
      </w:divBdr>
    </w:div>
    <w:div w:id="1120496305">
      <w:bodyDiv w:val="1"/>
      <w:marLeft w:val="0"/>
      <w:marRight w:val="0"/>
      <w:marTop w:val="0"/>
      <w:marBottom w:val="0"/>
      <w:divBdr>
        <w:top w:val="none" w:sz="0" w:space="0" w:color="auto"/>
        <w:left w:val="none" w:sz="0" w:space="0" w:color="auto"/>
        <w:bottom w:val="none" w:sz="0" w:space="0" w:color="auto"/>
        <w:right w:val="none" w:sz="0" w:space="0" w:color="auto"/>
      </w:divBdr>
    </w:div>
    <w:div w:id="1243105356">
      <w:bodyDiv w:val="1"/>
      <w:marLeft w:val="0"/>
      <w:marRight w:val="0"/>
      <w:marTop w:val="0"/>
      <w:marBottom w:val="0"/>
      <w:divBdr>
        <w:top w:val="none" w:sz="0" w:space="0" w:color="auto"/>
        <w:left w:val="none" w:sz="0" w:space="0" w:color="auto"/>
        <w:bottom w:val="none" w:sz="0" w:space="0" w:color="auto"/>
        <w:right w:val="none" w:sz="0" w:space="0" w:color="auto"/>
      </w:divBdr>
    </w:div>
    <w:div w:id="1261529327">
      <w:bodyDiv w:val="1"/>
      <w:marLeft w:val="0"/>
      <w:marRight w:val="0"/>
      <w:marTop w:val="0"/>
      <w:marBottom w:val="0"/>
      <w:divBdr>
        <w:top w:val="none" w:sz="0" w:space="0" w:color="auto"/>
        <w:left w:val="none" w:sz="0" w:space="0" w:color="auto"/>
        <w:bottom w:val="none" w:sz="0" w:space="0" w:color="auto"/>
        <w:right w:val="none" w:sz="0" w:space="0" w:color="auto"/>
      </w:divBdr>
      <w:divsChild>
        <w:div w:id="580524309">
          <w:marLeft w:val="0"/>
          <w:marRight w:val="0"/>
          <w:marTop w:val="0"/>
          <w:marBottom w:val="0"/>
          <w:divBdr>
            <w:top w:val="none" w:sz="0" w:space="0" w:color="auto"/>
            <w:left w:val="none" w:sz="0" w:space="0" w:color="auto"/>
            <w:bottom w:val="none" w:sz="0" w:space="0" w:color="auto"/>
            <w:right w:val="none" w:sz="0" w:space="0" w:color="auto"/>
          </w:divBdr>
          <w:divsChild>
            <w:div w:id="168462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991732">
      <w:bodyDiv w:val="1"/>
      <w:marLeft w:val="0"/>
      <w:marRight w:val="0"/>
      <w:marTop w:val="0"/>
      <w:marBottom w:val="0"/>
      <w:divBdr>
        <w:top w:val="none" w:sz="0" w:space="0" w:color="auto"/>
        <w:left w:val="none" w:sz="0" w:space="0" w:color="auto"/>
        <w:bottom w:val="none" w:sz="0" w:space="0" w:color="auto"/>
        <w:right w:val="none" w:sz="0" w:space="0" w:color="auto"/>
      </w:divBdr>
      <w:divsChild>
        <w:div w:id="1180699472">
          <w:marLeft w:val="0"/>
          <w:marRight w:val="0"/>
          <w:marTop w:val="0"/>
          <w:marBottom w:val="0"/>
          <w:divBdr>
            <w:top w:val="none" w:sz="0" w:space="0" w:color="auto"/>
            <w:left w:val="none" w:sz="0" w:space="0" w:color="auto"/>
            <w:bottom w:val="none" w:sz="0" w:space="0" w:color="auto"/>
            <w:right w:val="none" w:sz="0" w:space="0" w:color="auto"/>
          </w:divBdr>
          <w:divsChild>
            <w:div w:id="207974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771319">
      <w:bodyDiv w:val="1"/>
      <w:marLeft w:val="0"/>
      <w:marRight w:val="0"/>
      <w:marTop w:val="0"/>
      <w:marBottom w:val="0"/>
      <w:divBdr>
        <w:top w:val="none" w:sz="0" w:space="0" w:color="auto"/>
        <w:left w:val="none" w:sz="0" w:space="0" w:color="auto"/>
        <w:bottom w:val="none" w:sz="0" w:space="0" w:color="auto"/>
        <w:right w:val="none" w:sz="0" w:space="0" w:color="auto"/>
      </w:divBdr>
    </w:div>
    <w:div w:id="1361932120">
      <w:bodyDiv w:val="1"/>
      <w:marLeft w:val="0"/>
      <w:marRight w:val="0"/>
      <w:marTop w:val="0"/>
      <w:marBottom w:val="0"/>
      <w:divBdr>
        <w:top w:val="none" w:sz="0" w:space="0" w:color="auto"/>
        <w:left w:val="none" w:sz="0" w:space="0" w:color="auto"/>
        <w:bottom w:val="none" w:sz="0" w:space="0" w:color="auto"/>
        <w:right w:val="none" w:sz="0" w:space="0" w:color="auto"/>
      </w:divBdr>
      <w:divsChild>
        <w:div w:id="1932346260">
          <w:marLeft w:val="0"/>
          <w:marRight w:val="0"/>
          <w:marTop w:val="0"/>
          <w:marBottom w:val="0"/>
          <w:divBdr>
            <w:top w:val="none" w:sz="0" w:space="0" w:color="auto"/>
            <w:left w:val="none" w:sz="0" w:space="0" w:color="auto"/>
            <w:bottom w:val="none" w:sz="0" w:space="0" w:color="auto"/>
            <w:right w:val="none" w:sz="0" w:space="0" w:color="auto"/>
          </w:divBdr>
          <w:divsChild>
            <w:div w:id="1427261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906475">
      <w:bodyDiv w:val="1"/>
      <w:marLeft w:val="0"/>
      <w:marRight w:val="0"/>
      <w:marTop w:val="0"/>
      <w:marBottom w:val="0"/>
      <w:divBdr>
        <w:top w:val="none" w:sz="0" w:space="0" w:color="auto"/>
        <w:left w:val="none" w:sz="0" w:space="0" w:color="auto"/>
        <w:bottom w:val="none" w:sz="0" w:space="0" w:color="auto"/>
        <w:right w:val="none" w:sz="0" w:space="0" w:color="auto"/>
      </w:divBdr>
      <w:divsChild>
        <w:div w:id="1883592060">
          <w:marLeft w:val="0"/>
          <w:marRight w:val="0"/>
          <w:marTop w:val="0"/>
          <w:marBottom w:val="0"/>
          <w:divBdr>
            <w:top w:val="none" w:sz="0" w:space="0" w:color="auto"/>
            <w:left w:val="none" w:sz="0" w:space="0" w:color="auto"/>
            <w:bottom w:val="none" w:sz="0" w:space="0" w:color="auto"/>
            <w:right w:val="none" w:sz="0" w:space="0" w:color="auto"/>
          </w:divBdr>
          <w:divsChild>
            <w:div w:id="179964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796379">
      <w:bodyDiv w:val="1"/>
      <w:marLeft w:val="0"/>
      <w:marRight w:val="0"/>
      <w:marTop w:val="0"/>
      <w:marBottom w:val="0"/>
      <w:divBdr>
        <w:top w:val="none" w:sz="0" w:space="0" w:color="auto"/>
        <w:left w:val="none" w:sz="0" w:space="0" w:color="auto"/>
        <w:bottom w:val="none" w:sz="0" w:space="0" w:color="auto"/>
        <w:right w:val="none" w:sz="0" w:space="0" w:color="auto"/>
      </w:divBdr>
    </w:div>
    <w:div w:id="1482119465">
      <w:bodyDiv w:val="1"/>
      <w:marLeft w:val="0"/>
      <w:marRight w:val="0"/>
      <w:marTop w:val="0"/>
      <w:marBottom w:val="0"/>
      <w:divBdr>
        <w:top w:val="none" w:sz="0" w:space="0" w:color="auto"/>
        <w:left w:val="none" w:sz="0" w:space="0" w:color="auto"/>
        <w:bottom w:val="none" w:sz="0" w:space="0" w:color="auto"/>
        <w:right w:val="none" w:sz="0" w:space="0" w:color="auto"/>
      </w:divBdr>
    </w:div>
    <w:div w:id="1671059741">
      <w:bodyDiv w:val="1"/>
      <w:marLeft w:val="0"/>
      <w:marRight w:val="0"/>
      <w:marTop w:val="0"/>
      <w:marBottom w:val="0"/>
      <w:divBdr>
        <w:top w:val="none" w:sz="0" w:space="0" w:color="auto"/>
        <w:left w:val="none" w:sz="0" w:space="0" w:color="auto"/>
        <w:bottom w:val="none" w:sz="0" w:space="0" w:color="auto"/>
        <w:right w:val="none" w:sz="0" w:space="0" w:color="auto"/>
      </w:divBdr>
    </w:div>
    <w:div w:id="1681353932">
      <w:bodyDiv w:val="1"/>
      <w:marLeft w:val="0"/>
      <w:marRight w:val="0"/>
      <w:marTop w:val="0"/>
      <w:marBottom w:val="0"/>
      <w:divBdr>
        <w:top w:val="none" w:sz="0" w:space="0" w:color="auto"/>
        <w:left w:val="none" w:sz="0" w:space="0" w:color="auto"/>
        <w:bottom w:val="none" w:sz="0" w:space="0" w:color="auto"/>
        <w:right w:val="none" w:sz="0" w:space="0" w:color="auto"/>
      </w:divBdr>
      <w:divsChild>
        <w:div w:id="159741127">
          <w:marLeft w:val="0"/>
          <w:marRight w:val="0"/>
          <w:marTop w:val="0"/>
          <w:marBottom w:val="0"/>
          <w:divBdr>
            <w:top w:val="none" w:sz="0" w:space="0" w:color="auto"/>
            <w:left w:val="none" w:sz="0" w:space="0" w:color="auto"/>
            <w:bottom w:val="none" w:sz="0" w:space="0" w:color="auto"/>
            <w:right w:val="none" w:sz="0" w:space="0" w:color="auto"/>
          </w:divBdr>
          <w:divsChild>
            <w:div w:id="139685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547806">
      <w:bodyDiv w:val="1"/>
      <w:marLeft w:val="0"/>
      <w:marRight w:val="0"/>
      <w:marTop w:val="0"/>
      <w:marBottom w:val="0"/>
      <w:divBdr>
        <w:top w:val="none" w:sz="0" w:space="0" w:color="auto"/>
        <w:left w:val="none" w:sz="0" w:space="0" w:color="auto"/>
        <w:bottom w:val="none" w:sz="0" w:space="0" w:color="auto"/>
        <w:right w:val="none" w:sz="0" w:space="0" w:color="auto"/>
      </w:divBdr>
    </w:div>
    <w:div w:id="1946889590">
      <w:bodyDiv w:val="1"/>
      <w:marLeft w:val="0"/>
      <w:marRight w:val="0"/>
      <w:marTop w:val="0"/>
      <w:marBottom w:val="0"/>
      <w:divBdr>
        <w:top w:val="none" w:sz="0" w:space="0" w:color="auto"/>
        <w:left w:val="none" w:sz="0" w:space="0" w:color="auto"/>
        <w:bottom w:val="none" w:sz="0" w:space="0" w:color="auto"/>
        <w:right w:val="none" w:sz="0" w:space="0" w:color="auto"/>
      </w:divBdr>
    </w:div>
    <w:div w:id="2016953790">
      <w:bodyDiv w:val="1"/>
      <w:marLeft w:val="0"/>
      <w:marRight w:val="0"/>
      <w:marTop w:val="0"/>
      <w:marBottom w:val="0"/>
      <w:divBdr>
        <w:top w:val="none" w:sz="0" w:space="0" w:color="auto"/>
        <w:left w:val="none" w:sz="0" w:space="0" w:color="auto"/>
        <w:bottom w:val="none" w:sz="0" w:space="0" w:color="auto"/>
        <w:right w:val="none" w:sz="0" w:space="0" w:color="auto"/>
      </w:divBdr>
    </w:div>
    <w:div w:id="2039773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www.theguardian.com/australia-news/2025/jan/06/fuel-hungry-utes-and-suvs-dominate-australian-sales-with-corolla-the-only-small-car-in-top-10-list?utm_source=chatgpt.com" TargetMode="External"/><Relationship Id="rId7" Type="http://schemas.openxmlformats.org/officeDocument/2006/relationships/image" Target="media/image2.jpeg"/><Relationship Id="rId12" Type="http://schemas.openxmlformats.org/officeDocument/2006/relationships/hyperlink" Target="https://www.bmwgroup.com/en/report/2024/index.html?utm_source=chatgpt.com" TargetMode="External"/><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hyperlink" Target="https://strategicanalysishub.com/porters-five-forces-analysis-of-bmw?utm_source=chatgpt.com"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hyperlink" Target="https://www.imarcgroup.com/australia-luxury-car-market?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mwgroup.com/en/report/2024/index.html?utm_source=chatgpt.com" TargetMode="External"/><Relationship Id="rId24" Type="http://schemas.openxmlformats.org/officeDocument/2006/relationships/image" Target="media/image15.jpeg"/><Relationship Id="rId32" Type="http://schemas.openxmlformats.org/officeDocument/2006/relationships/hyperlink" Target="https://panmore.com/bmw-five-forces-analysis-recommendations-porters-case-study?utm_source=chatgpt.com"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hyperlink" Target="https://www.expertmarketresearch.com.au/reports/australia-luxury-car-market?utm_source=chatgpt.com" TargetMode="External"/><Relationship Id="rId36" Type="http://schemas.openxmlformats.org/officeDocument/2006/relationships/theme" Target="theme/theme1.xml"/><Relationship Id="rId10" Type="http://schemas.openxmlformats.org/officeDocument/2006/relationships/hyperlink" Target="https://www.bmwgroup.com/content/dam/grpw/websites/bmwgroup_com/ir/downloads/en/2025/emtn/BMW-US-Capital-LLC_Annual-Report-2024.pdf?utm_source=chatgpt.com" TargetMode="External"/><Relationship Id="rId19" Type="http://schemas.openxmlformats.org/officeDocument/2006/relationships/image" Target="media/image10.png"/><Relationship Id="rId31" Type="http://schemas.openxmlformats.org/officeDocument/2006/relationships/hyperlink" Target="https://www.mbaskool.com/five-forces-analysis/companies/18293-bmw.html?utm_source=chatgpt.com" TargetMode="External"/><Relationship Id="rId4" Type="http://schemas.openxmlformats.org/officeDocument/2006/relationships/settings" Target="settings.xml"/><Relationship Id="rId9" Type="http://schemas.openxmlformats.org/officeDocument/2006/relationships/hyperlink" Target="https://www.best-selling-cars.com/brands/2024-full-year-global-bmw-and-mini-worldwide-car-sales/?utm_source=chatgpt.com" TargetMode="Externa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hyperlink" Target="https://www.6wresearch.com/industry-report/australia-automotive-market-outlook?utm_source=chatgpt.com" TargetMode="External"/><Relationship Id="rId30" Type="http://schemas.openxmlformats.org/officeDocument/2006/relationships/hyperlink" Target="https://interbrand.com/best-global-brands/bmw" TargetMode="External"/><Relationship Id="rId35" Type="http://schemas.openxmlformats.org/officeDocument/2006/relationships/fontTable" Target="fontTable.xm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CE9633-21BE-4307-B8E4-47E9ED5B0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TotalTime>
  <Pages>41</Pages>
  <Words>6789</Words>
  <Characters>38699</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Piyush Luhar</cp:lastModifiedBy>
  <cp:revision>15</cp:revision>
  <dcterms:created xsi:type="dcterms:W3CDTF">2025-11-22T18:51:00Z</dcterms:created>
  <dcterms:modified xsi:type="dcterms:W3CDTF">2025-12-02T19:23:00Z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30fb8f99-da24-491f-8fea-64e75dd0c471</vt:lpwstr>
  </property>
</Properties>
</file>