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1DF4824" wp14:paraId="5E5787A5" wp14:textId="5FFA6FC1">
      <w:pPr>
        <w:pStyle w:val="Heading3"/>
      </w:pPr>
      <w:r w:rsidR="2C9A649E">
        <w:rPr/>
        <w:t>Introduction</w:t>
      </w:r>
      <w:r w:rsidR="49485414">
        <w:rPr/>
        <w:t xml:space="preserve"> </w:t>
      </w:r>
    </w:p>
    <w:p w:rsidR="2C9A649E" w:rsidP="1A41D465" w:rsidRDefault="2C9A649E" w14:paraId="7A625007" w14:textId="37A01088">
      <w:pPr>
        <w:spacing w:line="360" w:lineRule="auto"/>
      </w:pPr>
      <w:r w:rsidR="2C9A649E">
        <w:rPr/>
        <w:t>Running is one of the most widely performed locomotor activities in sport and exercise, forming the foundation of performance in athletics, team sports, and endurance-based disciplines. Efficient running gait is crucial not only for enhancing speed and endurance but also for reducing injury risk and optimising long-term physical performance.</w:t>
      </w:r>
    </w:p>
    <w:p w:rsidR="7D364489" w:rsidP="1A41D465" w:rsidRDefault="7D364489" w14:paraId="312556E3" w14:textId="0B569893">
      <w:pPr>
        <w:spacing w:line="360" w:lineRule="auto"/>
      </w:pPr>
      <w:r w:rsidR="7D364489">
        <w:rPr/>
        <w:t xml:space="preserve">Due to its repetitive nature, even small biomechanical inefficiencies can accumulate over time, leading to decreased performance or overuse injuries such as patellofemoral pain, iliotibial band </w:t>
      </w:r>
      <w:r w:rsidR="7D364489">
        <w:rPr/>
        <w:t>syndrome</w:t>
      </w:r>
      <w:r w:rsidR="7D364489">
        <w:rPr/>
        <w:t xml:space="preserve"> and Achilles tendinopathy</w:t>
      </w:r>
      <w:r w:rsidR="4D080229">
        <w:rPr/>
        <w:t xml:space="preserve"> (Anderson et al., 2020).</w:t>
      </w:r>
    </w:p>
    <w:p w:rsidR="7D364489" w:rsidP="1A41D465" w:rsidRDefault="7D364489" w14:paraId="0E558FF5" w14:textId="47C987B5">
      <w:pPr>
        <w:spacing w:line="360" w:lineRule="auto"/>
      </w:pPr>
      <w:r w:rsidR="7D364489">
        <w:rPr/>
        <w:t xml:space="preserve">Therefore, biomechanical analysis of running gait is essential for understanding the mechanical and kinetic demands placed on the body, </w:t>
      </w:r>
      <w:r w:rsidR="7D364489">
        <w:rPr/>
        <w:t>identifying</w:t>
      </w:r>
      <w:r w:rsidR="7D364489">
        <w:rPr/>
        <w:t xml:space="preserve"> technique-related risk factors, and informing evidence-based recommendations for training, rehabilitation, and performance enhancement.</w:t>
      </w:r>
    </w:p>
    <w:p w:rsidR="6A262E4F" w:rsidP="1A41D465" w:rsidRDefault="6A262E4F" w14:paraId="425FF666" w14:textId="2203F41A">
      <w:pPr>
        <w:spacing w:line="360" w:lineRule="auto"/>
      </w:pPr>
      <w:r w:rsidR="6A262E4F">
        <w:rPr/>
        <w:t xml:space="preserve">The aim of this report is to investigate the biomechanics of a runner’s gait with respect to mechanical efficiency, performance demands, and injury risk, using qualitative and quantitative data collected via video analysis. The analysis focuses on key biomechanical principles including kinematics, </w:t>
      </w:r>
      <w:r w:rsidR="6A262E4F">
        <w:rPr/>
        <w:t>kinetics</w:t>
      </w:r>
      <w:r w:rsidR="6A262E4F">
        <w:rPr/>
        <w:t xml:space="preserve"> and relevant mechanical concepts such as the stretch–shortening cycle, Newton’s Laws of Motion, and the application of levers during locomotion.</w:t>
      </w:r>
    </w:p>
    <w:p w:rsidR="0D801B51" w:rsidP="1A41D465" w:rsidRDefault="0D801B51" w14:paraId="35B5DC0E" w14:textId="4A281DC6">
      <w:pPr>
        <w:spacing w:line="360" w:lineRule="auto"/>
      </w:pPr>
      <w:r w:rsidR="0D801B51">
        <w:rPr/>
        <w:t xml:space="preserve">Running is influenced by multiple biomechanical variables: lower-limb alignment during stance, step frequency, centre of mass displacement, and the coordination of segmental motions throughout the gait cycle. Efficient running is typically characterised by </w:t>
      </w:r>
      <w:r w:rsidR="0D801B51">
        <w:rPr/>
        <w:t>optimal</w:t>
      </w:r>
      <w:r w:rsidR="0D801B51">
        <w:rPr/>
        <w:t xml:space="preserve"> stride length and cadence, reduced vertical oscillation, </w:t>
      </w:r>
      <w:r w:rsidR="0D801B51">
        <w:rPr/>
        <w:t>appropriate foot</w:t>
      </w:r>
      <w:r w:rsidR="0D801B51">
        <w:rPr/>
        <w:t xml:space="preserve"> strike pattern, and effective utilisation of elastic energy during push-off. Conversely, deviations from efficient gait mechanics, such as excessive knee valgus, overstriding, or poor trunk control are associated with increased loading on the joints and heightened injury risk</w:t>
      </w:r>
      <w:r w:rsidR="167DD018">
        <w:rPr/>
        <w:t xml:space="preserve"> (Van </w:t>
      </w:r>
      <w:r w:rsidR="167DD018">
        <w:rPr/>
        <w:t>Hooren</w:t>
      </w:r>
      <w:r w:rsidR="167DD018">
        <w:rPr/>
        <w:t xml:space="preserve"> et al., 2025)</w:t>
      </w:r>
    </w:p>
    <w:p w:rsidR="0D801B51" w:rsidP="1A41D465" w:rsidRDefault="0D801B51" w14:paraId="13D8ED38" w14:textId="02AED8CF">
      <w:pPr>
        <w:spacing w:line="360" w:lineRule="auto"/>
      </w:pPr>
      <w:r w:rsidR="0D801B51">
        <w:rPr/>
        <w:t>This report will first outline the methods used for data collection and analysis, followed by a presentation of the results. The subsequent discussion will interpret these findings in relation to existing literature, addressing implications for efficiency, safety, and performance. The report concludes with evidence-based recommendations for improving running technique and reducing injury risk.</w:t>
      </w:r>
    </w:p>
    <w:p w:rsidR="0D801B51" w:rsidP="41DF4824" w:rsidRDefault="0D801B51" w14:paraId="17F212E0" w14:textId="57D54C1C">
      <w:pPr>
        <w:pStyle w:val="Heading3"/>
      </w:pPr>
      <w:r w:rsidR="0D801B51">
        <w:rPr/>
        <w:t>Methods</w:t>
      </w:r>
      <w:r w:rsidR="32769C4E">
        <w:rPr/>
        <w:t xml:space="preserve"> </w:t>
      </w:r>
    </w:p>
    <w:p w:rsidR="0D801B51" w:rsidP="1A41D465" w:rsidRDefault="0D801B51" w14:paraId="393ABCDE" w14:textId="641B3D60">
      <w:pPr>
        <w:spacing w:line="360" w:lineRule="auto"/>
      </w:pPr>
      <w:r w:rsidR="3A02B325">
        <w:rPr/>
        <w:t>Biomechanical data was collected using two‑dimensional video analysis during a practical laboratory session. I was the sole participant performing a running trial on a</w:t>
      </w:r>
      <w:r w:rsidR="697253A9">
        <w:rPr/>
        <w:t xml:space="preserve"> h/p/cosmos pluto</w:t>
      </w:r>
      <w:r w:rsidR="3A02B325">
        <w:rPr/>
        <w:t xml:space="preserve"> </w:t>
      </w:r>
      <w:r w:rsidR="39836837">
        <w:rPr/>
        <w:t xml:space="preserve">treadmill </w:t>
      </w:r>
      <w:r w:rsidR="3A02B325">
        <w:rPr/>
        <w:t>at 13km/</w:t>
      </w:r>
      <w:r w:rsidR="3A02B325">
        <w:rPr/>
        <w:t xml:space="preserve">h.  </w:t>
      </w:r>
      <w:r w:rsidR="3A02B325">
        <w:rPr/>
        <w:t xml:space="preserve">The participant performed </w:t>
      </w:r>
      <w:r w:rsidR="2E9C70C7">
        <w:rPr/>
        <w:t xml:space="preserve">a 2-minute familiarisation run at 13km/h. Three </w:t>
      </w:r>
      <w:r w:rsidR="3A02B325">
        <w:rPr/>
        <w:t xml:space="preserve">running trials </w:t>
      </w:r>
      <w:r w:rsidR="2614142C">
        <w:rPr/>
        <w:t xml:space="preserve">of 30 seconds </w:t>
      </w:r>
      <w:r w:rsidR="3A02B325">
        <w:rPr/>
        <w:t xml:space="preserve">at </w:t>
      </w:r>
      <w:r w:rsidR="4F4A0ADD">
        <w:rPr/>
        <w:t>13km/h was captured</w:t>
      </w:r>
      <w:r w:rsidR="3A02B325">
        <w:rPr/>
        <w:t>, and the best-quality trial (clear visibility and minimal occlusion) was analysed.</w:t>
      </w:r>
    </w:p>
    <w:p w:rsidR="0ACFD6A5" w:rsidP="41DF4824" w:rsidRDefault="0ACFD6A5" w14:paraId="6B1BE54F" w14:textId="064D399F">
      <w:pPr>
        <w:spacing w:line="360" w:lineRule="auto"/>
      </w:pPr>
      <w:r w:rsidR="0ACFD6A5">
        <w:rPr/>
        <w:t>Markers were placed on the lateral malleolus, lateral femoral epicondyle, 5</w:t>
      </w:r>
      <w:r w:rsidRPr="41DF4824" w:rsidR="0ACFD6A5">
        <w:rPr>
          <w:vertAlign w:val="superscript"/>
        </w:rPr>
        <w:t>th</w:t>
      </w:r>
      <w:r w:rsidR="0ACFD6A5">
        <w:rPr/>
        <w:t xml:space="preserve"> metata</w:t>
      </w:r>
      <w:r w:rsidR="3330D79E">
        <w:rPr/>
        <w:t>rsal</w:t>
      </w:r>
      <w:r w:rsidR="0ACFD6A5">
        <w:rPr/>
        <w:t xml:space="preserve"> and greater trochanter.</w:t>
      </w:r>
      <w:r w:rsidR="18718A62">
        <w:rPr/>
        <w:t xml:space="preserve"> These four markers were used to measure joint angles using the Dartfish Express app.</w:t>
      </w:r>
    </w:p>
    <w:p w:rsidR="0D801B51" w:rsidP="2BDEA18A" w:rsidRDefault="0D801B51" w14:paraId="2C26E826" w14:textId="69B107C7">
      <w:pPr>
        <w:pStyle w:val="Normal"/>
        <w:spacing w:line="360" w:lineRule="auto"/>
      </w:pPr>
      <w:r w:rsidR="3A02B325">
        <w:rPr/>
        <w:t>A</w:t>
      </w:r>
      <w:r w:rsidR="7F111D55">
        <w:rPr/>
        <w:t>n Apple iPad (9</w:t>
      </w:r>
      <w:r w:rsidRPr="41DF4824" w:rsidR="7F111D55">
        <w:rPr>
          <w:vertAlign w:val="superscript"/>
        </w:rPr>
        <w:t>th</w:t>
      </w:r>
      <w:r w:rsidR="7F111D55">
        <w:rPr/>
        <w:t xml:space="preserve"> generation)</w:t>
      </w:r>
      <w:r w:rsidR="3A02B325">
        <w:rPr/>
        <w:t xml:space="preserve"> </w:t>
      </w:r>
      <w:r w:rsidR="3A02B325">
        <w:rPr/>
        <w:t xml:space="preserve">was positioned </w:t>
      </w:r>
      <w:r w:rsidR="24CCD3C0">
        <w:rPr/>
        <w:t xml:space="preserve">3 metres </w:t>
      </w:r>
      <w:r w:rsidR="3A02B325">
        <w:rPr/>
        <w:t>laterally to capture sagittal plane motion</w:t>
      </w:r>
      <w:r w:rsidR="02F7E928">
        <w:rPr/>
        <w:t>.</w:t>
      </w:r>
      <w:r w:rsidR="3A02B325">
        <w:rPr/>
        <w:t xml:space="preserve"> </w:t>
      </w:r>
      <w:r w:rsidR="1426B4B5">
        <w:rPr/>
        <w:t>T</w:t>
      </w:r>
      <w:r w:rsidR="3A02B325">
        <w:rPr/>
        <w:t xml:space="preserve">he </w:t>
      </w:r>
      <w:r w:rsidR="5C666A26">
        <w:rPr/>
        <w:t xml:space="preserve">iPad </w:t>
      </w:r>
      <w:r w:rsidR="3A02B325">
        <w:rPr/>
        <w:t>w</w:t>
      </w:r>
      <w:r w:rsidR="5BCA4DE3">
        <w:rPr/>
        <w:t>as</w:t>
      </w:r>
      <w:r w:rsidR="3A02B325">
        <w:rPr/>
        <w:t xml:space="preserve"> mounted at hip height and placed perpendicular to the line of travel to minimise parallax error. Video footage was processed using </w:t>
      </w:r>
      <w:r w:rsidR="6A10A4EC">
        <w:rPr/>
        <w:t xml:space="preserve">the </w:t>
      </w:r>
      <w:r w:rsidR="07A276F2">
        <w:rPr/>
        <w:t xml:space="preserve">Dartfish </w:t>
      </w:r>
      <w:r w:rsidR="12F596E4">
        <w:rPr/>
        <w:t>Express for IOS app</w:t>
      </w:r>
      <w:r w:rsidR="07A276F2">
        <w:rPr/>
        <w:t xml:space="preserve"> </w:t>
      </w:r>
      <w:r w:rsidR="3A02B325">
        <w:rPr/>
        <w:t xml:space="preserve">(version </w:t>
      </w:r>
      <w:r w:rsidR="60E171DA">
        <w:rPr/>
        <w:t>10.16.10611</w:t>
      </w:r>
      <w:r w:rsidR="3A02B325">
        <w:rPr/>
        <w:t xml:space="preserve">), which enabled frame‑by‑frame analysis and angle measurement of key joints at critical events in the gait </w:t>
      </w:r>
      <w:r w:rsidR="3A02B325">
        <w:rPr/>
        <w:t xml:space="preserve">cycle: </w:t>
      </w:r>
      <w:r w:rsidR="3A02B325">
        <w:rPr/>
        <w:t>initial</w:t>
      </w:r>
      <w:r w:rsidR="3A02B325">
        <w:rPr/>
        <w:t xml:space="preserve"> contact, mid‑stance, and toe‑off.</w:t>
      </w:r>
      <w:r w:rsidR="12301B5E">
        <w:rPr/>
        <w:t xml:space="preserve"> The in-app camera settings used were 720p at 120 frame per second.</w:t>
      </w:r>
      <w:r w:rsidR="1B21D48A">
        <w:rPr/>
        <w:t xml:space="preserve"> </w:t>
      </w:r>
      <w:r w:rsidR="3A02B325">
        <w:rPr/>
        <w:t>Key variables measured included</w:t>
      </w:r>
      <w:r w:rsidR="37C14AB3">
        <w:rPr/>
        <w:t xml:space="preserve"> j</w:t>
      </w:r>
      <w:r w:rsidR="3A02B325">
        <w:rPr/>
        <w:t xml:space="preserve">oint angles </w:t>
      </w:r>
      <w:r w:rsidR="03AA89EA">
        <w:rPr/>
        <w:t>of the knee and ankle, foot strike type and step frequency (cadence).</w:t>
      </w:r>
    </w:p>
    <w:p w:rsidR="0D801B51" w:rsidP="2BDEA18A" w:rsidRDefault="0D801B51" w14:paraId="71460DF1" w14:textId="4F5E37F4">
      <w:pPr>
        <w:pStyle w:val="Normal"/>
        <w:spacing w:line="360" w:lineRule="auto"/>
      </w:pPr>
      <w:r w:rsidR="3A02B325">
        <w:rPr/>
        <w:t>No force plates or 3D motion capture systems were available; therefore, kinetic interpretation is based on kinematic indicators rather than direct force measurements.</w:t>
      </w:r>
    </w:p>
    <w:p w:rsidR="0D801B51" w:rsidP="2BDEA18A" w:rsidRDefault="0D801B51" w14:paraId="44F32BD4" w14:textId="3BAB26A7">
      <w:pPr>
        <w:pStyle w:val="Normal"/>
        <w:spacing w:line="360" w:lineRule="auto"/>
      </w:pPr>
      <w:r w:rsidR="3A02B325">
        <w:rPr/>
        <w:t>Limitations included the use of 2D analysis, which restricts accuracy when assessing complex multi‑planar motions. Lighting, camera alignment, and potential parallax error may also have influenced the precision of angle measurements. Despite these limitations, the methods used are appropriate for foundational gait analysis and align with typical applied biomechanical approaches in field settings.</w:t>
      </w:r>
    </w:p>
    <w:p w:rsidR="0D801B51" w:rsidP="41DF4824" w:rsidRDefault="0D801B51" w14:paraId="12F5E40B" w14:textId="5FA4405B">
      <w:pPr>
        <w:pStyle w:val="Heading3"/>
      </w:pPr>
      <w:r w:rsidR="0D801B51">
        <w:rPr/>
        <w:t>Results</w:t>
      </w:r>
      <w:r w:rsidR="34DC5404">
        <w:rPr/>
        <w:t xml:space="preserve"> </w:t>
      </w:r>
    </w:p>
    <w:p w:rsidR="0D801B51" w:rsidP="2BDEA18A" w:rsidRDefault="0D801B51" w14:paraId="764E28C6" w14:textId="73BCD57B">
      <w:pPr>
        <w:pStyle w:val="Normal"/>
        <w:spacing w:line="360" w:lineRule="auto"/>
      </w:pPr>
      <w:r w:rsidR="3B49E0FE">
        <w:rPr/>
        <w:t xml:space="preserve">The analysis </w:t>
      </w:r>
      <w:r w:rsidR="3B49E0FE">
        <w:rPr/>
        <w:t>identified</w:t>
      </w:r>
      <w:r w:rsidR="3B49E0FE">
        <w:rPr/>
        <w:t xml:space="preserve"> several key kinematic variables that characterised the participant’s running gait, providing insight into both their technical </w:t>
      </w:r>
      <w:r w:rsidR="3B49E0FE">
        <w:rPr/>
        <w:t>proficiency</w:t>
      </w:r>
      <w:r w:rsidR="3B49E0FE">
        <w:rPr/>
        <w:t xml:space="preserve"> and underlying movement strategies. At </w:t>
      </w:r>
      <w:r w:rsidR="3B49E0FE">
        <w:rPr/>
        <w:t>initial</w:t>
      </w:r>
      <w:r w:rsidR="3B49E0FE">
        <w:rPr/>
        <w:t xml:space="preserve"> contact, the participant </w:t>
      </w:r>
      <w:r w:rsidR="3B49E0FE">
        <w:rPr/>
        <w:t>demonstrated</w:t>
      </w:r>
      <w:r w:rsidR="3B49E0FE">
        <w:rPr/>
        <w:t xml:space="preserve"> a mid-‑ to rearfoot strike pattern, with the ankle positioned at approximately 110.7° of dorsiflexion. Although dorsiflexion angles presented here follow a segment‑angle convention rather than a joint‑angle convention, the values nevertheless </w:t>
      </w:r>
      <w:r w:rsidR="3B49E0FE">
        <w:rPr/>
        <w:t>indicate</w:t>
      </w:r>
      <w:r w:rsidR="3B49E0FE">
        <w:rPr/>
        <w:t xml:space="preserve"> a foot position consistent with a lightly rearfoot‑oriented landing. This type of strike pattern is </w:t>
      </w:r>
      <w:r w:rsidR="3B49E0FE">
        <w:rPr/>
        <w:t>frequently</w:t>
      </w:r>
      <w:r w:rsidR="3B49E0FE">
        <w:rPr/>
        <w:t xml:space="preserve"> </w:t>
      </w:r>
      <w:r w:rsidR="3B49E0FE">
        <w:rPr/>
        <w:t>observed</w:t>
      </w:r>
      <w:r w:rsidR="3B49E0FE">
        <w:rPr/>
        <w:t xml:space="preserve"> among well‑trained distance runners during submaximal running, as it allows for controlled impact attenuation and efficient transition into the loading response. Concurrently, the knee displayed 35.6° of flexion at touchdown, a value suggestive of an effective shock‑absorbing strategy. Moderate knee flexion at </w:t>
      </w:r>
      <w:r w:rsidR="3B49E0FE">
        <w:rPr/>
        <w:t>initial</w:t>
      </w:r>
      <w:r w:rsidR="3B49E0FE">
        <w:rPr/>
        <w:t xml:space="preserve"> contact is associated with reduced vertical loading rates and improved mechanical </w:t>
      </w:r>
      <w:r w:rsidR="16049AFE">
        <w:rPr/>
        <w:t>resilience and</w:t>
      </w:r>
      <w:r w:rsidR="3B49E0FE">
        <w:rPr/>
        <w:t xml:space="preserve"> is typical of experienced endurance athletes who have refined impact‑mitigation strategies through long‑term training exposure.</w:t>
      </w:r>
    </w:p>
    <w:p w:rsidR="0D801B51" w:rsidP="2BDEA18A" w:rsidRDefault="0D801B51" w14:paraId="5488E068" w14:textId="478C9E7A">
      <w:pPr>
        <w:pStyle w:val="Normal"/>
        <w:spacing w:line="360" w:lineRule="auto"/>
      </w:pPr>
      <w:r w:rsidR="3B49E0FE">
        <w:rPr/>
        <w:t>The participant’s cadence of 176 steps per minute aligns closely with values commonly reported in trained marathon runners at easy or aerobic running intensities. Such a cadence is indicative of relaxed, economical gait mechanics, and is consistent with an athlete whose marathon performance (2:37) implies high aerobic efficiency and refined neuromuscular coordination. Importantly, this cadence provides capacity for natural increases as running intensity rises, a characteristic associated with effective pacing and scalable stride mechanics across different training zones.</w:t>
      </w:r>
    </w:p>
    <w:p w:rsidR="0D801B51" w:rsidP="2BDEA18A" w:rsidRDefault="0D801B51" w14:paraId="28A0077D" w14:textId="5928485F">
      <w:pPr>
        <w:pStyle w:val="Normal"/>
        <w:spacing w:line="360" w:lineRule="auto"/>
      </w:pPr>
      <w:r w:rsidR="3B49E0FE">
        <w:rPr/>
        <w:t>During mid‑stance, knee flexion increased substantially to 99.4°, reflecting the participant’s ability to utilise the lower limb as a compliant spring. Simultaneously, ankle dorsiflexion increased to 123.6°, suggesting the ankle was moving toward a more neutral or slightly flexed orientation as load was absorbed. This combination supports controlled deceleration and effective storage of elastic energy within the muscle–tendon units.</w:t>
      </w:r>
    </w:p>
    <w:p w:rsidR="0D801B51" w:rsidP="2BDEA18A" w:rsidRDefault="0D801B51" w14:paraId="7DEA1BCB" w14:textId="75D5BE1A">
      <w:pPr>
        <w:pStyle w:val="Normal"/>
        <w:spacing w:line="360" w:lineRule="auto"/>
      </w:pPr>
      <w:r w:rsidR="3B49E0FE">
        <w:rPr/>
        <w:t xml:space="preserve">In the toe‑off phase, the ankle transitioned into 133.9°, </w:t>
      </w:r>
      <w:r w:rsidR="3B49E0FE">
        <w:rPr/>
        <w:t>representing</w:t>
      </w:r>
      <w:r w:rsidR="3B49E0FE">
        <w:rPr/>
        <w:t xml:space="preserve"> a clear plantarflexion action, while the knee flexed to 25.2°. These values indicate a strong, coordinated push‑off with appropriate sequencing of distal‑to‑proximal joint actions, reflecting efficient propulsion.</w:t>
      </w:r>
    </w:p>
    <w:p w:rsidR="0D801B51" w:rsidP="41DF4824" w:rsidRDefault="0D801B51" w14:paraId="06AFDC66" w14:textId="1C023725">
      <w:pPr>
        <w:pStyle w:val="Heading5"/>
      </w:pPr>
      <w:r w:rsidR="13EFB859">
        <w:rPr/>
        <w:t>Table 1 (findings)</w:t>
      </w:r>
    </w:p>
    <w:tbl>
      <w:tblPr>
        <w:tblStyle w:val="TableGrid"/>
        <w:tblW w:w="0" w:type="auto"/>
        <w:tblLook w:val="06A0" w:firstRow="1" w:lastRow="0" w:firstColumn="1" w:lastColumn="0" w:noHBand="1" w:noVBand="1"/>
      </w:tblPr>
      <w:tblGrid>
        <w:gridCol w:w="2254"/>
        <w:gridCol w:w="2254"/>
        <w:gridCol w:w="2254"/>
        <w:gridCol w:w="2254"/>
      </w:tblGrid>
      <w:tr w:rsidR="41DF4824" w:rsidTr="41DF4824" w14:paraId="4086ED89">
        <w:trPr>
          <w:trHeight w:val="300"/>
        </w:trPr>
        <w:tc>
          <w:tcPr>
            <w:tcW w:w="2254" w:type="dxa"/>
            <w:tcMar/>
          </w:tcPr>
          <w:p w:rsidR="13EFB859" w:rsidP="41DF4824" w:rsidRDefault="13EFB859" w14:paraId="7B9BDDE4" w14:textId="0A61EF51">
            <w:pPr>
              <w:pStyle w:val="Normal"/>
            </w:pPr>
            <w:r w:rsidR="13EFB859">
              <w:rPr/>
              <w:t>Phase</w:t>
            </w:r>
          </w:p>
        </w:tc>
        <w:tc>
          <w:tcPr>
            <w:tcW w:w="2254" w:type="dxa"/>
            <w:tcMar/>
          </w:tcPr>
          <w:p w:rsidR="13EFB859" w:rsidP="41DF4824" w:rsidRDefault="13EFB859" w14:paraId="25092084" w14:textId="6107BD96">
            <w:pPr>
              <w:pStyle w:val="Normal"/>
            </w:pPr>
            <w:r w:rsidR="13EFB859">
              <w:rPr/>
              <w:t>Time (s)</w:t>
            </w:r>
          </w:p>
        </w:tc>
        <w:tc>
          <w:tcPr>
            <w:tcW w:w="2254" w:type="dxa"/>
            <w:tcMar/>
          </w:tcPr>
          <w:p w:rsidR="13EFB859" w:rsidP="41DF4824" w:rsidRDefault="13EFB859" w14:paraId="54553BAE" w14:textId="05D8ED5F">
            <w:pPr>
              <w:pStyle w:val="Normal"/>
            </w:pPr>
            <w:r w:rsidR="13EFB859">
              <w:rPr/>
              <w:t>Knee (degrees)</w:t>
            </w:r>
          </w:p>
        </w:tc>
        <w:tc>
          <w:tcPr>
            <w:tcW w:w="2254" w:type="dxa"/>
            <w:tcMar/>
          </w:tcPr>
          <w:p w:rsidR="13EFB859" w:rsidP="41DF4824" w:rsidRDefault="13EFB859" w14:paraId="0A2E5080" w14:textId="50AA7D67">
            <w:pPr>
              <w:pStyle w:val="Normal"/>
            </w:pPr>
            <w:r w:rsidR="13EFB859">
              <w:rPr/>
              <w:t>Ankle (degrees)</w:t>
            </w:r>
          </w:p>
        </w:tc>
      </w:tr>
      <w:tr w:rsidR="41DF4824" w:rsidTr="41DF4824" w14:paraId="1FEBC59C">
        <w:trPr>
          <w:trHeight w:val="300"/>
        </w:trPr>
        <w:tc>
          <w:tcPr>
            <w:tcW w:w="2254" w:type="dxa"/>
            <w:tcMar/>
          </w:tcPr>
          <w:p w:rsidR="13EFB859" w:rsidP="41DF4824" w:rsidRDefault="13EFB859" w14:paraId="21F5D7D4" w14:textId="56E0A244">
            <w:pPr>
              <w:pStyle w:val="Normal"/>
            </w:pPr>
            <w:r w:rsidR="13EFB859">
              <w:rPr/>
              <w:t>Initial contact</w:t>
            </w:r>
          </w:p>
        </w:tc>
        <w:tc>
          <w:tcPr>
            <w:tcW w:w="2254" w:type="dxa"/>
            <w:tcMar/>
          </w:tcPr>
          <w:p w:rsidR="13EFB859" w:rsidP="41DF4824" w:rsidRDefault="13EFB859" w14:paraId="06707C29" w14:textId="0EFCBEC4">
            <w:pPr>
              <w:pStyle w:val="Normal"/>
            </w:pPr>
            <w:r w:rsidR="13EFB859">
              <w:rPr/>
              <w:t>3.47</w:t>
            </w:r>
          </w:p>
        </w:tc>
        <w:tc>
          <w:tcPr>
            <w:tcW w:w="2254" w:type="dxa"/>
            <w:tcMar/>
          </w:tcPr>
          <w:p w:rsidR="13EFB859" w:rsidP="41DF4824" w:rsidRDefault="13EFB859" w14:paraId="5C127377" w14:textId="24B0888C">
            <w:pPr>
              <w:pStyle w:val="Normal"/>
            </w:pPr>
            <w:r w:rsidR="13EFB859">
              <w:rPr/>
              <w:t>35.6</w:t>
            </w:r>
          </w:p>
        </w:tc>
        <w:tc>
          <w:tcPr>
            <w:tcW w:w="2254" w:type="dxa"/>
            <w:tcMar/>
          </w:tcPr>
          <w:p w:rsidR="13EFB859" w:rsidP="41DF4824" w:rsidRDefault="13EFB859" w14:paraId="3E851407" w14:textId="36EBC3CE">
            <w:pPr>
              <w:pStyle w:val="Normal"/>
            </w:pPr>
            <w:r w:rsidR="13EFB859">
              <w:rPr/>
              <w:t>110.7</w:t>
            </w:r>
          </w:p>
        </w:tc>
      </w:tr>
      <w:tr w:rsidR="41DF4824" w:rsidTr="41DF4824" w14:paraId="252EF575">
        <w:trPr>
          <w:trHeight w:val="300"/>
        </w:trPr>
        <w:tc>
          <w:tcPr>
            <w:tcW w:w="2254" w:type="dxa"/>
            <w:tcMar/>
          </w:tcPr>
          <w:p w:rsidR="13EFB859" w:rsidP="41DF4824" w:rsidRDefault="13EFB859" w14:paraId="6A7B76EF" w14:textId="37663103">
            <w:pPr>
              <w:pStyle w:val="Normal"/>
            </w:pPr>
            <w:r w:rsidR="13EFB859">
              <w:rPr/>
              <w:t>Mid-stance</w:t>
            </w:r>
          </w:p>
        </w:tc>
        <w:tc>
          <w:tcPr>
            <w:tcW w:w="2254" w:type="dxa"/>
            <w:tcMar/>
          </w:tcPr>
          <w:p w:rsidR="13EFB859" w:rsidP="41DF4824" w:rsidRDefault="13EFB859" w14:paraId="00D2761D" w14:textId="1CA7DE52">
            <w:pPr>
              <w:pStyle w:val="Normal"/>
            </w:pPr>
            <w:r w:rsidR="13EFB859">
              <w:rPr/>
              <w:t>4.52</w:t>
            </w:r>
          </w:p>
        </w:tc>
        <w:tc>
          <w:tcPr>
            <w:tcW w:w="2254" w:type="dxa"/>
            <w:tcMar/>
          </w:tcPr>
          <w:p w:rsidR="13EFB859" w:rsidP="41DF4824" w:rsidRDefault="13EFB859" w14:paraId="2501ABF2" w14:textId="11614858">
            <w:pPr>
              <w:pStyle w:val="Normal"/>
            </w:pPr>
            <w:r w:rsidR="13EFB859">
              <w:rPr/>
              <w:t>99.4</w:t>
            </w:r>
          </w:p>
        </w:tc>
        <w:tc>
          <w:tcPr>
            <w:tcW w:w="2254" w:type="dxa"/>
            <w:tcMar/>
          </w:tcPr>
          <w:p w:rsidR="13EFB859" w:rsidP="41DF4824" w:rsidRDefault="13EFB859" w14:paraId="21AF93B6" w14:textId="64334070">
            <w:pPr>
              <w:pStyle w:val="Normal"/>
            </w:pPr>
            <w:r w:rsidR="13EFB859">
              <w:rPr/>
              <w:t>123.6</w:t>
            </w:r>
          </w:p>
        </w:tc>
      </w:tr>
      <w:tr w:rsidR="41DF4824" w:rsidTr="41DF4824" w14:paraId="2ECA8B5D">
        <w:trPr>
          <w:trHeight w:val="300"/>
        </w:trPr>
        <w:tc>
          <w:tcPr>
            <w:tcW w:w="2254" w:type="dxa"/>
            <w:tcMar/>
          </w:tcPr>
          <w:p w:rsidR="13EFB859" w:rsidP="41DF4824" w:rsidRDefault="13EFB859" w14:paraId="502C7E57" w14:textId="164E8840">
            <w:pPr>
              <w:pStyle w:val="Normal"/>
            </w:pPr>
            <w:r w:rsidR="13EFB859">
              <w:rPr/>
              <w:t>Toe-off</w:t>
            </w:r>
          </w:p>
        </w:tc>
        <w:tc>
          <w:tcPr>
            <w:tcW w:w="2254" w:type="dxa"/>
            <w:tcMar/>
          </w:tcPr>
          <w:p w:rsidR="13EFB859" w:rsidP="41DF4824" w:rsidRDefault="13EFB859" w14:paraId="2F66EB96" w14:textId="60A309CE">
            <w:pPr>
              <w:pStyle w:val="Normal"/>
            </w:pPr>
            <w:r w:rsidR="13EFB859">
              <w:rPr/>
              <w:t>5.06</w:t>
            </w:r>
          </w:p>
        </w:tc>
        <w:tc>
          <w:tcPr>
            <w:tcW w:w="2254" w:type="dxa"/>
            <w:tcMar/>
          </w:tcPr>
          <w:p w:rsidR="13EFB859" w:rsidP="41DF4824" w:rsidRDefault="13EFB859" w14:paraId="1FF88FDD" w14:textId="13FED852">
            <w:pPr>
              <w:pStyle w:val="Normal"/>
            </w:pPr>
            <w:r w:rsidR="13EFB859">
              <w:rPr/>
              <w:t>25.2</w:t>
            </w:r>
          </w:p>
        </w:tc>
        <w:tc>
          <w:tcPr>
            <w:tcW w:w="2254" w:type="dxa"/>
            <w:tcMar/>
          </w:tcPr>
          <w:p w:rsidR="13EFB859" w:rsidP="41DF4824" w:rsidRDefault="13EFB859" w14:paraId="36BFFEB2" w14:textId="384288A5">
            <w:pPr>
              <w:pStyle w:val="Normal"/>
            </w:pPr>
            <w:r w:rsidR="13EFB859">
              <w:rPr/>
              <w:t>133.9</w:t>
            </w:r>
          </w:p>
        </w:tc>
      </w:tr>
    </w:tbl>
    <w:p w:rsidR="0D801B51" w:rsidP="41DF4824" w:rsidRDefault="0D801B51" w14:paraId="2EF8F5A4" w14:textId="222E437E">
      <w:pPr>
        <w:pStyle w:val="Normal"/>
        <w:suppressLineNumbers w:val="0"/>
        <w:bidi w:val="0"/>
        <w:spacing w:before="0" w:beforeAutospacing="off" w:after="160" w:afterAutospacing="off" w:line="360" w:lineRule="auto"/>
        <w:ind w:left="0" w:right="0"/>
        <w:jc w:val="left"/>
      </w:pPr>
    </w:p>
    <w:p w:rsidR="0D801B51" w:rsidP="41DF4824" w:rsidRDefault="0D801B51" w14:paraId="54C32B6C" w14:textId="030023AC">
      <w:pPr>
        <w:pStyle w:val="Heading5"/>
        <w:bidi w:val="0"/>
      </w:pPr>
      <w:r w:rsidR="13EFB859">
        <w:rPr/>
        <w:t>Table 2 (angular displacement)</w:t>
      </w:r>
    </w:p>
    <w:tbl>
      <w:tblPr>
        <w:tblStyle w:val="TableGrid"/>
        <w:bidiVisual w:val="0"/>
        <w:tblW w:w="0" w:type="auto"/>
        <w:tblLook w:val="06A0" w:firstRow="1" w:lastRow="0" w:firstColumn="1" w:lastColumn="0" w:noHBand="1" w:noVBand="1"/>
      </w:tblPr>
      <w:tblGrid>
        <w:gridCol w:w="2254"/>
        <w:gridCol w:w="2254"/>
        <w:gridCol w:w="2254"/>
        <w:gridCol w:w="2254"/>
      </w:tblGrid>
      <w:tr w:rsidR="41DF4824" w:rsidTr="41DF4824" w14:paraId="06648AE0">
        <w:trPr>
          <w:trHeight w:val="300"/>
        </w:trPr>
        <w:tc>
          <w:tcPr>
            <w:tcW w:w="2254" w:type="dxa"/>
            <w:tcMar/>
          </w:tcPr>
          <w:p w:rsidR="285034E3" w:rsidP="41DF4824" w:rsidRDefault="285034E3" w14:paraId="1473436C" w14:textId="131C1867">
            <w:pPr>
              <w:pStyle w:val="Normal"/>
            </w:pPr>
            <w:r w:rsidR="285034E3">
              <w:rPr/>
              <w:t>Joint</w:t>
            </w:r>
          </w:p>
        </w:tc>
        <w:tc>
          <w:tcPr>
            <w:tcW w:w="2254" w:type="dxa"/>
            <w:tcMar/>
          </w:tcPr>
          <w:p w:rsidR="285034E3" w:rsidP="41DF4824" w:rsidRDefault="285034E3" w14:paraId="1722EA24" w14:textId="5A223CEB">
            <w:pPr>
              <w:pStyle w:val="Normal"/>
            </w:pPr>
            <w:r w:rsidR="285034E3">
              <w:rPr/>
              <w:t>Initial contact to toe-off (degrees)</w:t>
            </w:r>
          </w:p>
        </w:tc>
        <w:tc>
          <w:tcPr>
            <w:tcW w:w="2254" w:type="dxa"/>
            <w:tcMar/>
          </w:tcPr>
          <w:p w:rsidR="285034E3" w:rsidP="41DF4824" w:rsidRDefault="285034E3" w14:paraId="3BBB30CA" w14:textId="66D44F75">
            <w:pPr>
              <w:pStyle w:val="Normal"/>
            </w:pPr>
            <w:r w:rsidR="285034E3">
              <w:rPr/>
              <w:t>Toe-off to mid-stance (degrees)</w:t>
            </w:r>
          </w:p>
        </w:tc>
        <w:tc>
          <w:tcPr>
            <w:tcW w:w="2254" w:type="dxa"/>
            <w:tcMar/>
          </w:tcPr>
          <w:p w:rsidR="285034E3" w:rsidP="41DF4824" w:rsidRDefault="285034E3" w14:paraId="081623DE" w14:textId="7D79694A">
            <w:pPr>
              <w:pStyle w:val="Normal"/>
            </w:pPr>
            <w:r w:rsidR="285034E3">
              <w:rPr/>
              <w:t xml:space="preserve">Mid-stance to </w:t>
            </w:r>
            <w:r w:rsidR="285034E3">
              <w:rPr/>
              <w:t>initial</w:t>
            </w:r>
            <w:r w:rsidR="285034E3">
              <w:rPr/>
              <w:t xml:space="preserve"> contact (degrees)</w:t>
            </w:r>
          </w:p>
        </w:tc>
      </w:tr>
      <w:tr w:rsidR="41DF4824" w:rsidTr="41DF4824" w14:paraId="03475992">
        <w:trPr>
          <w:trHeight w:val="300"/>
        </w:trPr>
        <w:tc>
          <w:tcPr>
            <w:tcW w:w="2254" w:type="dxa"/>
            <w:tcMar/>
          </w:tcPr>
          <w:p w:rsidR="285034E3" w:rsidP="41DF4824" w:rsidRDefault="285034E3" w14:paraId="061FBE6D" w14:textId="0884DE8E">
            <w:pPr>
              <w:pStyle w:val="Normal"/>
            </w:pPr>
            <w:r w:rsidR="285034E3">
              <w:rPr/>
              <w:t>Knee</w:t>
            </w:r>
          </w:p>
        </w:tc>
        <w:tc>
          <w:tcPr>
            <w:tcW w:w="2254" w:type="dxa"/>
            <w:tcMar/>
          </w:tcPr>
          <w:p w:rsidR="365EB664" w:rsidP="41DF4824" w:rsidRDefault="365EB664" w14:paraId="111AF11A" w14:textId="7D1715DE">
            <w:pPr>
              <w:pStyle w:val="Normal"/>
            </w:pPr>
            <w:r w:rsidR="365EB664">
              <w:rPr/>
              <w:t>-10.4</w:t>
            </w:r>
          </w:p>
        </w:tc>
        <w:tc>
          <w:tcPr>
            <w:tcW w:w="2254" w:type="dxa"/>
            <w:tcMar/>
          </w:tcPr>
          <w:p w:rsidR="744B49DA" w:rsidP="41DF4824" w:rsidRDefault="744B49DA" w14:paraId="6A1555BE" w14:textId="3CCA0A64">
            <w:pPr>
              <w:pStyle w:val="Normal"/>
            </w:pPr>
            <w:r w:rsidR="744B49DA">
              <w:rPr/>
              <w:t>74.2</w:t>
            </w:r>
          </w:p>
        </w:tc>
        <w:tc>
          <w:tcPr>
            <w:tcW w:w="2254" w:type="dxa"/>
            <w:tcMar/>
          </w:tcPr>
          <w:p w:rsidR="6BC6A419" w:rsidP="41DF4824" w:rsidRDefault="6BC6A419" w14:paraId="109C5D71" w14:textId="5E0E48D0">
            <w:pPr>
              <w:pStyle w:val="Normal"/>
            </w:pPr>
            <w:r w:rsidR="6BC6A419">
              <w:rPr/>
              <w:t>-63.8</w:t>
            </w:r>
          </w:p>
        </w:tc>
      </w:tr>
      <w:tr w:rsidR="41DF4824" w:rsidTr="41DF4824" w14:paraId="4E7FDC4C">
        <w:trPr>
          <w:trHeight w:val="300"/>
        </w:trPr>
        <w:tc>
          <w:tcPr>
            <w:tcW w:w="2254" w:type="dxa"/>
            <w:tcMar/>
          </w:tcPr>
          <w:p w:rsidR="285034E3" w:rsidP="41DF4824" w:rsidRDefault="285034E3" w14:paraId="43C1C8C1" w14:textId="78B84E67">
            <w:pPr>
              <w:pStyle w:val="Normal"/>
            </w:pPr>
            <w:r w:rsidR="285034E3">
              <w:rPr/>
              <w:t>Ankle</w:t>
            </w:r>
          </w:p>
        </w:tc>
        <w:tc>
          <w:tcPr>
            <w:tcW w:w="2254" w:type="dxa"/>
            <w:tcMar/>
          </w:tcPr>
          <w:p w:rsidR="52ADADAC" w:rsidP="41DF4824" w:rsidRDefault="52ADADAC" w14:paraId="21211563" w14:textId="2C8D4FCB">
            <w:pPr>
              <w:pStyle w:val="Normal"/>
            </w:pPr>
            <w:r w:rsidR="52ADADAC">
              <w:rPr/>
              <w:t>23.2</w:t>
            </w:r>
          </w:p>
        </w:tc>
        <w:tc>
          <w:tcPr>
            <w:tcW w:w="2254" w:type="dxa"/>
            <w:tcMar/>
          </w:tcPr>
          <w:p w:rsidR="7FBF06DB" w:rsidP="41DF4824" w:rsidRDefault="7FBF06DB" w14:paraId="12E2FD6D" w14:textId="02D70FA8">
            <w:pPr>
              <w:pStyle w:val="Normal"/>
            </w:pPr>
            <w:r w:rsidR="7FBF06DB">
              <w:rPr/>
              <w:t>-10.3</w:t>
            </w:r>
          </w:p>
        </w:tc>
        <w:tc>
          <w:tcPr>
            <w:tcW w:w="2254" w:type="dxa"/>
            <w:tcMar/>
          </w:tcPr>
          <w:p w:rsidR="28A7BC53" w:rsidP="41DF4824" w:rsidRDefault="28A7BC53" w14:paraId="422D21AB" w14:textId="02DD6299">
            <w:pPr>
              <w:pStyle w:val="Normal"/>
            </w:pPr>
            <w:r w:rsidR="28A7BC53">
              <w:rPr/>
              <w:t>-12.9</w:t>
            </w:r>
          </w:p>
        </w:tc>
      </w:tr>
    </w:tbl>
    <w:p w:rsidR="0D801B51" w:rsidP="41DF4824" w:rsidRDefault="0D801B51" w14:paraId="33422D08" w14:textId="7B21B556">
      <w:pPr>
        <w:pStyle w:val="Normal"/>
        <w:suppressLineNumbers w:val="0"/>
        <w:bidi w:val="0"/>
        <w:spacing w:before="0" w:beforeAutospacing="off" w:after="160" w:afterAutospacing="off" w:line="360" w:lineRule="auto"/>
        <w:ind w:left="0" w:right="0"/>
        <w:jc w:val="left"/>
      </w:pPr>
      <w:r w:rsidR="66827FCB">
        <w:rPr/>
        <w:t>P</w:t>
      </w:r>
      <w:r w:rsidR="66827FCB">
        <w:rPr/>
        <w:t>ositive (+) = knee moved into flexion, ankle moved into plantarflexion</w:t>
      </w:r>
    </w:p>
    <w:p w:rsidR="0D801B51" w:rsidP="41DF4824" w:rsidRDefault="0D801B51" w14:paraId="05FFFCA8" w14:textId="2E920DDB">
      <w:pPr>
        <w:pStyle w:val="Normal"/>
        <w:suppressLineNumbers w:val="0"/>
        <w:bidi w:val="0"/>
        <w:spacing w:before="0" w:beforeAutospacing="off" w:after="160" w:afterAutospacing="off" w:line="360" w:lineRule="auto"/>
        <w:ind w:left="0" w:right="0"/>
        <w:jc w:val="left"/>
      </w:pPr>
      <w:r w:rsidR="66827FCB">
        <w:rPr/>
        <w:t>Negative (-) = knee moved into extension, ankle moved into dorsiflexion</w:t>
      </w:r>
    </w:p>
    <w:p w:rsidR="0D801B51" w:rsidP="41DF4824" w:rsidRDefault="0D801B51" w14:paraId="393381B4" w14:textId="2F510BB4">
      <w:pPr>
        <w:pStyle w:val="Heading5"/>
      </w:pPr>
      <w:r w:rsidR="534BFD9B">
        <w:rPr/>
        <w:t>Table 3 (angular velocity)</w:t>
      </w:r>
    </w:p>
    <w:tbl>
      <w:tblPr>
        <w:tblStyle w:val="TableGrid"/>
        <w:tblW w:w="0" w:type="auto"/>
        <w:tblLook w:val="06A0" w:firstRow="1" w:lastRow="0" w:firstColumn="1" w:lastColumn="0" w:noHBand="1" w:noVBand="1"/>
      </w:tblPr>
      <w:tblGrid>
        <w:gridCol w:w="3005"/>
        <w:gridCol w:w="3005"/>
        <w:gridCol w:w="3005"/>
      </w:tblGrid>
      <w:tr w:rsidR="41DF4824" w:rsidTr="41DF4824" w14:paraId="58634C7D">
        <w:trPr>
          <w:trHeight w:val="300"/>
        </w:trPr>
        <w:tc>
          <w:tcPr>
            <w:tcW w:w="3005" w:type="dxa"/>
            <w:tcMar/>
          </w:tcPr>
          <w:p w:rsidR="534BFD9B" w:rsidP="41DF4824" w:rsidRDefault="534BFD9B" w14:paraId="597D3B52" w14:textId="1686E347">
            <w:pPr>
              <w:pStyle w:val="Normal"/>
            </w:pPr>
            <w:r w:rsidR="534BFD9B">
              <w:rPr/>
              <w:t>Phase</w:t>
            </w:r>
          </w:p>
        </w:tc>
        <w:tc>
          <w:tcPr>
            <w:tcW w:w="3005" w:type="dxa"/>
            <w:tcMar/>
          </w:tcPr>
          <w:p w:rsidR="534BFD9B" w:rsidP="41DF4824" w:rsidRDefault="534BFD9B" w14:paraId="3AC22DD3" w14:textId="51551D3B">
            <w:pPr>
              <w:pStyle w:val="Normal"/>
            </w:pPr>
            <w:r w:rsidR="534BFD9B">
              <w:rPr/>
              <w:t>Knee (degrees/second)</w:t>
            </w:r>
          </w:p>
        </w:tc>
        <w:tc>
          <w:tcPr>
            <w:tcW w:w="3005" w:type="dxa"/>
            <w:tcMar/>
          </w:tcPr>
          <w:p w:rsidR="534BFD9B" w:rsidP="41DF4824" w:rsidRDefault="534BFD9B" w14:paraId="280667AD" w14:textId="393E9F25">
            <w:pPr>
              <w:pStyle w:val="Normal"/>
            </w:pPr>
            <w:r w:rsidR="534BFD9B">
              <w:rPr/>
              <w:t>Ankle (degrees/second)</w:t>
            </w:r>
          </w:p>
        </w:tc>
      </w:tr>
      <w:tr w:rsidR="41DF4824" w:rsidTr="41DF4824" w14:paraId="29475668">
        <w:trPr>
          <w:trHeight w:val="300"/>
        </w:trPr>
        <w:tc>
          <w:tcPr>
            <w:tcW w:w="3005" w:type="dxa"/>
            <w:tcMar/>
          </w:tcPr>
          <w:p w:rsidR="534BFD9B" w:rsidP="41DF4824" w:rsidRDefault="534BFD9B" w14:paraId="5C42DB4B" w14:textId="66476CAA">
            <w:pPr>
              <w:pStyle w:val="Normal"/>
            </w:pPr>
            <w:r w:rsidR="534BFD9B">
              <w:rPr/>
              <w:t>Initial contact to toe-off</w:t>
            </w:r>
          </w:p>
        </w:tc>
        <w:tc>
          <w:tcPr>
            <w:tcW w:w="3005" w:type="dxa"/>
            <w:tcMar/>
          </w:tcPr>
          <w:p w:rsidR="534BFD9B" w:rsidP="41DF4824" w:rsidRDefault="534BFD9B" w14:paraId="4717B029" w14:textId="759F5A64">
            <w:pPr>
              <w:pStyle w:val="Normal"/>
            </w:pPr>
            <w:r w:rsidR="534BFD9B">
              <w:rPr/>
              <w:t>-6.54</w:t>
            </w:r>
          </w:p>
        </w:tc>
        <w:tc>
          <w:tcPr>
            <w:tcW w:w="3005" w:type="dxa"/>
            <w:tcMar/>
          </w:tcPr>
          <w:p w:rsidR="534BFD9B" w:rsidP="41DF4824" w:rsidRDefault="534BFD9B" w14:paraId="3406C691" w14:textId="5CBC551D">
            <w:pPr>
              <w:pStyle w:val="Normal"/>
            </w:pPr>
            <w:r w:rsidR="534BFD9B">
              <w:rPr/>
              <w:t>14.59</w:t>
            </w:r>
          </w:p>
        </w:tc>
      </w:tr>
      <w:tr w:rsidR="41DF4824" w:rsidTr="41DF4824" w14:paraId="3173B23D">
        <w:trPr>
          <w:trHeight w:val="300"/>
        </w:trPr>
        <w:tc>
          <w:tcPr>
            <w:tcW w:w="3005" w:type="dxa"/>
            <w:tcMar/>
          </w:tcPr>
          <w:p w:rsidR="534BFD9B" w:rsidP="41DF4824" w:rsidRDefault="534BFD9B" w14:paraId="05E973BF" w14:textId="2F23505E">
            <w:pPr>
              <w:pStyle w:val="Normal"/>
            </w:pPr>
            <w:r w:rsidR="534BFD9B">
              <w:rPr/>
              <w:t>Toe-off to mid-stance</w:t>
            </w:r>
          </w:p>
        </w:tc>
        <w:tc>
          <w:tcPr>
            <w:tcW w:w="3005" w:type="dxa"/>
            <w:tcMar/>
          </w:tcPr>
          <w:p w:rsidR="534BFD9B" w:rsidP="41DF4824" w:rsidRDefault="534BFD9B" w14:paraId="3846ACD4" w14:textId="62B3A77C">
            <w:pPr>
              <w:pStyle w:val="Normal"/>
            </w:pPr>
            <w:r w:rsidR="534BFD9B">
              <w:rPr/>
              <w:t>-137.41</w:t>
            </w:r>
          </w:p>
        </w:tc>
        <w:tc>
          <w:tcPr>
            <w:tcW w:w="3005" w:type="dxa"/>
            <w:tcMar/>
          </w:tcPr>
          <w:p w:rsidR="534BFD9B" w:rsidP="41DF4824" w:rsidRDefault="534BFD9B" w14:paraId="0916E02E" w14:textId="33ED4F8B">
            <w:pPr>
              <w:pStyle w:val="Normal"/>
            </w:pPr>
            <w:r w:rsidR="534BFD9B">
              <w:rPr/>
              <w:t>19.07</w:t>
            </w:r>
          </w:p>
        </w:tc>
      </w:tr>
      <w:tr w:rsidR="41DF4824" w:rsidTr="41DF4824" w14:paraId="440F5389">
        <w:trPr>
          <w:trHeight w:val="300"/>
        </w:trPr>
        <w:tc>
          <w:tcPr>
            <w:tcW w:w="3005" w:type="dxa"/>
            <w:tcMar/>
          </w:tcPr>
          <w:p w:rsidR="534BFD9B" w:rsidP="41DF4824" w:rsidRDefault="534BFD9B" w14:paraId="13E40E8A" w14:textId="3E7B29D7">
            <w:pPr>
              <w:pStyle w:val="Normal"/>
            </w:pPr>
            <w:r w:rsidR="534BFD9B">
              <w:rPr/>
              <w:t>Mid-stance to initial contact</w:t>
            </w:r>
          </w:p>
        </w:tc>
        <w:tc>
          <w:tcPr>
            <w:tcW w:w="3005" w:type="dxa"/>
            <w:tcMar/>
          </w:tcPr>
          <w:p w:rsidR="534BFD9B" w:rsidP="41DF4824" w:rsidRDefault="534BFD9B" w14:paraId="4CC1168C" w14:textId="1AEDCE3C">
            <w:pPr>
              <w:pStyle w:val="Normal"/>
            </w:pPr>
            <w:r w:rsidR="534BFD9B">
              <w:rPr/>
              <w:t>60.76</w:t>
            </w:r>
          </w:p>
        </w:tc>
        <w:tc>
          <w:tcPr>
            <w:tcW w:w="3005" w:type="dxa"/>
            <w:tcMar/>
          </w:tcPr>
          <w:p w:rsidR="534BFD9B" w:rsidP="41DF4824" w:rsidRDefault="534BFD9B" w14:paraId="6A2234AA" w14:textId="257BC590">
            <w:pPr>
              <w:pStyle w:val="Normal"/>
            </w:pPr>
            <w:r w:rsidR="534BFD9B">
              <w:rPr/>
              <w:t>12.29</w:t>
            </w:r>
          </w:p>
        </w:tc>
      </w:tr>
    </w:tbl>
    <w:p w:rsidR="0D801B51" w:rsidP="41DF4824" w:rsidRDefault="0D801B51" w14:paraId="411AD858" w14:textId="2F7EAA2F">
      <w:pPr>
        <w:pStyle w:val="Normal"/>
        <w:suppressLineNumbers w:val="0"/>
        <w:bidi w:val="0"/>
        <w:spacing w:before="0" w:beforeAutospacing="off" w:after="160" w:afterAutospacing="off" w:line="360" w:lineRule="auto"/>
        <w:ind w:left="0" w:right="0"/>
        <w:jc w:val="left"/>
      </w:pPr>
      <w:r w:rsidR="40F73900">
        <w:rPr/>
        <w:t xml:space="preserve">Positive (+) = </w:t>
      </w:r>
      <w:r w:rsidR="373A610F">
        <w:rPr/>
        <w:t>knee flexed</w:t>
      </w:r>
      <w:r w:rsidR="205B9557">
        <w:rPr/>
        <w:t>, ankle</w:t>
      </w:r>
      <w:r w:rsidR="57C87B1D">
        <w:rPr/>
        <w:t xml:space="preserve"> plantarflexed, </w:t>
      </w:r>
      <w:r w:rsidR="40F73900">
        <w:rPr/>
        <w:t xml:space="preserve">Negative (-) = </w:t>
      </w:r>
      <w:r w:rsidR="4E1ECE08">
        <w:rPr/>
        <w:t>knee extended</w:t>
      </w:r>
    </w:p>
    <w:p w:rsidR="0D801B51" w:rsidP="41DF4824" w:rsidRDefault="0D801B51" w14:paraId="709AEEBA" w14:textId="049C2C9A">
      <w:pPr>
        <w:pStyle w:val="Normal"/>
        <w:spacing w:line="360" w:lineRule="auto"/>
        <w:ind w:left="0"/>
      </w:pPr>
      <w:r w:rsidR="3B49E0FE">
        <w:rPr/>
        <w:t>The implications of these findings for performance, safety, and broader biomechanical principles will be explored in detail in the discussion section</w:t>
      </w:r>
      <w:r w:rsidR="19E7BFB5">
        <w:rPr/>
        <w:t>.</w:t>
      </w:r>
    </w:p>
    <w:p w:rsidR="0D801B51" w:rsidP="41DF4824" w:rsidRDefault="0D801B51" w14:paraId="2962342E" w14:textId="06C3B78D">
      <w:pPr>
        <w:pStyle w:val="Heading3"/>
      </w:pPr>
      <w:r w:rsidR="0D801B51">
        <w:rPr/>
        <w:t>Discussion</w:t>
      </w:r>
      <w:r w:rsidR="72A3354C">
        <w:rPr/>
        <w:t xml:space="preserve"> </w:t>
      </w:r>
    </w:p>
    <w:p w:rsidR="0D801B51" w:rsidP="41DF4824" w:rsidRDefault="0D801B51" w14:paraId="6E8DEC20" w14:textId="68833088">
      <w:pPr>
        <w:pStyle w:val="Normal"/>
        <w:spacing w:line="360" w:lineRule="auto"/>
      </w:pPr>
      <w:r w:rsidR="7342663F">
        <w:rPr/>
        <w:t>The biomechanical data obtained from the participant’s running gait reveal several important kinematic characteristics that reflect both their technical proficiency and the underlying mechanical strategies employed during submaximal distance running. Interpreting these results through a biomechanical lens allows for a clearer understanding of how specific joint actions contribute to efficiency, performance, and potential injury risk.</w:t>
      </w:r>
    </w:p>
    <w:p w:rsidR="0D801B51" w:rsidP="41DF4824" w:rsidRDefault="0D801B51" w14:paraId="198DE6A8" w14:textId="03F55C4F">
      <w:pPr>
        <w:pStyle w:val="Normal"/>
        <w:spacing w:line="360" w:lineRule="auto"/>
      </w:pPr>
      <w:r w:rsidR="7342663F">
        <w:rPr/>
        <w:t>The participant’s mid‑ to rearfoot strike pattern, accompanied by approximately 110.7° of dorsiflexion at initial contact, reflects a landing strategy commonly seen in well‑trained endurance runners performing at easy or aerobic intensity (Lieberman et al., 2010). Rearfoot striking at lower speeds has been shown to facilitate passive shock absorption via the heel pad and to allow a longer ground contact time that reduces metabolic cost (Gruber et al., 2013). The associated 35.6° knee flexion at touchdown is biomechanically meaningful, as greater knee flexion is linked to enhanced impact attenuation through eccentric quadriceps action (Heiderscheit et al., 2011). This aligns with established findings that experienced runners display more controlled, less abrupt loading mechanics compared to novice runners (Moore, 2016).</w:t>
      </w:r>
    </w:p>
    <w:p w:rsidR="0D801B51" w:rsidP="41DF4824" w:rsidRDefault="0D801B51" w14:paraId="1DA5F8AA" w14:textId="35DC75A2">
      <w:pPr>
        <w:pStyle w:val="Normal"/>
        <w:spacing w:line="360" w:lineRule="auto"/>
      </w:pPr>
      <w:r w:rsidR="7342663F">
        <w:rPr/>
        <w:t xml:space="preserve">When compared to published literature, these kinematic patterns are </w:t>
      </w:r>
      <w:r w:rsidR="7342663F">
        <w:rPr/>
        <w:t>largely consistent</w:t>
      </w:r>
      <w:r w:rsidR="7342663F">
        <w:rPr/>
        <w:t xml:space="preserve"> with typical characteristics of trained marathon runners at submaximal pace. For example, Cavanagh and Williams (1982) reported that experienced distance runners tend to adopt a moderate knee flexion and controlled dorsiflexed posture at ground contact to minimise peak impact forces. Similarities between the participant’s technique and these findings suggest a well-practised, economical landing strategy. Any differences </w:t>
      </w:r>
      <w:r w:rsidR="7342663F">
        <w:rPr/>
        <w:t>observed</w:t>
      </w:r>
      <w:r w:rsidR="7342663F">
        <w:rPr/>
        <w:t>, such as slightly deeper knee flexion during stance compared to average values, may be attributable to individual anatomical differences, unique training history, or fatigue‑resistant adaptations commonly found in high‑mileage athletes</w:t>
      </w:r>
      <w:r w:rsidR="0E000101">
        <w:rPr/>
        <w:t xml:space="preserve"> (Zandbergen et al., 2023).</w:t>
      </w:r>
    </w:p>
    <w:p w:rsidR="0D801B51" w:rsidP="41DF4824" w:rsidRDefault="0D801B51" w14:paraId="50EA59B0" w14:textId="08C41ADD">
      <w:pPr>
        <w:pStyle w:val="Normal"/>
        <w:spacing w:line="360" w:lineRule="auto"/>
      </w:pPr>
      <w:r w:rsidR="7342663F">
        <w:rPr/>
        <w:t>Mechanical efficiency is further evident in the participant’s cadence of 176 steps per minute, which falls within the range widely associated with economical, low‑impact running (Heiderscheit et al., 2011). Research indicates that increasing cadence, even by 5–10%, reduces vertical loading rates and braking forces while improving running economy (Moore, 2016). The participant’s cadence appears to strike a balance between stride length and frequency, supporting efficient forward progression at the given speed of 13 km/h. This cadence is especially typical of a 2:37 marathon runner executing an easy run, where economical movement patterns should dominate and energy expenditure should remain low relative to higher-intensity efforts.</w:t>
      </w:r>
    </w:p>
    <w:p w:rsidR="0D801B51" w:rsidP="41DF4824" w:rsidRDefault="0D801B51" w14:paraId="5B9F7F33" w14:textId="46F44CAC">
      <w:pPr>
        <w:pStyle w:val="Normal"/>
        <w:spacing w:line="360" w:lineRule="auto"/>
      </w:pPr>
      <w:r w:rsidR="7342663F">
        <w:rPr/>
        <w:t xml:space="preserve">The kinematic changes </w:t>
      </w:r>
      <w:r w:rsidR="7342663F">
        <w:rPr/>
        <w:t>observed</w:t>
      </w:r>
      <w:r w:rsidR="7342663F">
        <w:rPr/>
        <w:t xml:space="preserve"> during mid‑stance, including increased knee flexion to 99.4° and dorsiflexion to 123.6°, illustrate a well‑controlled load absorption phase. This deepening of joint angles allows </w:t>
      </w:r>
      <w:r w:rsidR="7342663F">
        <w:rPr/>
        <w:t>optimal</w:t>
      </w:r>
      <w:r w:rsidR="7342663F">
        <w:rPr/>
        <w:t xml:space="preserve"> exploitation of the stretch–shortening cycle within the quadriceps and Achilles tendon structures. The literature consistently highlights this mechanism as key to efficient running, enabling runners to store and release elastic energy with minimal metabolic cost (</w:t>
      </w:r>
      <w:r w:rsidR="7342663F">
        <w:rPr/>
        <w:t>Schache</w:t>
      </w:r>
      <w:r w:rsidR="7342663F">
        <w:rPr/>
        <w:t xml:space="preserve"> et al., 201</w:t>
      </w:r>
      <w:r w:rsidR="1474B9C3">
        <w:rPr/>
        <w:t>3</w:t>
      </w:r>
      <w:r w:rsidR="7342663F">
        <w:rPr/>
        <w:t>). The participant’s joint excursions therefore reflect a mechanically efficient strategy aligned with the demands of distance running.</w:t>
      </w:r>
    </w:p>
    <w:p w:rsidR="0D801B51" w:rsidP="41DF4824" w:rsidRDefault="0D801B51" w14:paraId="702C4CE8" w14:textId="15BFCFA4">
      <w:pPr>
        <w:pStyle w:val="Normal"/>
        <w:spacing w:line="360" w:lineRule="auto"/>
      </w:pPr>
      <w:r w:rsidR="7342663F">
        <w:rPr/>
        <w:t>In the toe‑off phase, the transition into 133.9° of ankle plantarflexion and 25.2° of knee flexion indicates coordinated propulsion. This is consistent with effective force transmission through the lower limb, facilitating forward momentum with reduced vertical displacement. Efficient toe‑off mechanics, characterised by sequenced joint extension followed by flexion, are well‑documented contributors to running economy (Moore, 2016). Thus, the participant’s propulsion phase appears biomechanically sound and reflective of trained movement patterns.</w:t>
      </w:r>
    </w:p>
    <w:p w:rsidR="0D801B51" w:rsidP="41DF4824" w:rsidRDefault="0D801B51" w14:paraId="32D527D1" w14:textId="5165C180">
      <w:pPr>
        <w:pStyle w:val="Normal"/>
        <w:spacing w:line="360" w:lineRule="auto"/>
      </w:pPr>
      <w:r w:rsidR="7342663F">
        <w:rPr/>
        <w:t>From a safety and injury-risk perspective, the sagittal‑plane data alone suggest relatively low risk. The strike pattern and moderate knee flexion at touchdown are associated with reduced vertical loading rates, lowering risk for tibial stress injuries and patellofemoral pain (Powers, 2010). Controlled dorsiflexion at mid‑stance further minimises excessive ankle loading and reduces tensile stress on the Achilles tendon. However, without comprehensive frontal‑plane or kinetic data, potential risks such as pelvic drop, knee valgus, or asymmetrical loading cannot be fully evaluated. This limitation is important, as many clinically significant gait deviations—particularly those related to hip stability—manifest outside the sagittal plane (Leetun et al., 2004).</w:t>
      </w:r>
    </w:p>
    <w:p w:rsidR="0D801B51" w:rsidP="41DF4824" w:rsidRDefault="0D801B51" w14:paraId="15716B36" w14:textId="07282A69">
      <w:pPr>
        <w:pStyle w:val="Normal"/>
        <w:spacing w:line="360" w:lineRule="auto"/>
      </w:pPr>
      <w:r w:rsidR="7342663F">
        <w:rPr/>
        <w:t xml:space="preserve">Performance implications of these findings are strongly positive. The participant </w:t>
      </w:r>
      <w:r w:rsidR="7342663F">
        <w:rPr/>
        <w:t>demonstrates</w:t>
      </w:r>
      <w:r w:rsidR="7342663F">
        <w:rPr/>
        <w:t xml:space="preserve"> hallmark features of experienced endurance </w:t>
      </w:r>
      <w:r w:rsidR="57636ECE">
        <w:rPr/>
        <w:t>running</w:t>
      </w:r>
      <w:r w:rsidR="7342663F">
        <w:rPr/>
        <w:t xml:space="preserve"> controlled loading, efficient cadence, and coordinated propulsion. These characteristics are associated with reduced metabolic cost, improved running economy, and effective utilisation of elastic structures (Moore, 2016). Such efficiency is especially relevant for marathon performance, where long-term energy conservation is critical.</w:t>
      </w:r>
    </w:p>
    <w:p w:rsidR="0D801B51" w:rsidP="41DF4824" w:rsidRDefault="0D801B51" w14:paraId="6E4F6018" w14:textId="0FBED29F">
      <w:pPr>
        <w:pStyle w:val="Normal"/>
        <w:spacing w:line="360" w:lineRule="auto"/>
      </w:pPr>
      <w:r w:rsidR="7342663F">
        <w:rPr/>
        <w:t xml:space="preserve">However, several methodological considerations must be acknowledged. The use of 2D video analysis </w:t>
      </w:r>
      <w:r w:rsidR="7342663F">
        <w:rPr/>
        <w:t>provides</w:t>
      </w:r>
      <w:r w:rsidR="7342663F">
        <w:rPr/>
        <w:t xml:space="preserve"> valuable insight into sagittal‑plane kinematics but is inherently limited for capturing three‑dimensional movements. Joint angles obtained from 2D analysis are sensitive to camera positioning and may not accurately </w:t>
      </w:r>
      <w:r w:rsidR="7342663F">
        <w:rPr/>
        <w:t>represent</w:t>
      </w:r>
      <w:r w:rsidR="7342663F">
        <w:rPr/>
        <w:t xml:space="preserve"> true anatomical joint angles due to parallax or out‑of‑plane motion (</w:t>
      </w:r>
      <w:r w:rsidR="5B5CCE10">
        <w:rPr/>
        <w:t>Moore</w:t>
      </w:r>
      <w:r w:rsidR="7342663F">
        <w:rPr/>
        <w:t>, 20</w:t>
      </w:r>
      <w:r w:rsidR="69835507">
        <w:rPr/>
        <w:t>16</w:t>
      </w:r>
      <w:r w:rsidR="7342663F">
        <w:rPr/>
        <w:t xml:space="preserve">). </w:t>
      </w:r>
    </w:p>
    <w:p w:rsidR="0D801B51" w:rsidP="41DF4824" w:rsidRDefault="0D801B51" w14:paraId="24D45A8C" w14:textId="2DC889A6">
      <w:pPr>
        <w:pStyle w:val="Normal"/>
        <w:spacing w:line="360" w:lineRule="auto"/>
      </w:pPr>
      <w:r w:rsidR="7342663F">
        <w:rPr/>
        <w:t>Additionally, the absence of force‑plate data restricts the ability to interpret kinetic variables such as ground reaction force or loading rate, which play a crucial role in injury risk and performance. The sample size (a single participant) also limits generalisability.</w:t>
      </w:r>
    </w:p>
    <w:p w:rsidR="0D801B51" w:rsidP="41DF4824" w:rsidRDefault="0D801B51" w14:paraId="38DCAE07" w14:textId="788F6CFA">
      <w:pPr>
        <w:pStyle w:val="Normal"/>
        <w:spacing w:line="360" w:lineRule="auto"/>
      </w:pPr>
      <w:r w:rsidR="7342663F">
        <w:rPr/>
        <w:t>Despite these limitations, the findings have meaningful implications for training and injury prevention. The participant’s efficient mechanics indicate major technique modifications are unnecessary. However, targeted strength training</w:t>
      </w:r>
      <w:r w:rsidR="517ECF7A">
        <w:rPr/>
        <w:t xml:space="preserve">, </w:t>
      </w:r>
      <w:r w:rsidR="7342663F">
        <w:rPr/>
        <w:t>particularly focusing on the hip extensors and calf complex</w:t>
      </w:r>
      <w:r w:rsidR="1EDD94AB">
        <w:rPr/>
        <w:t xml:space="preserve"> </w:t>
      </w:r>
      <w:r w:rsidR="7342663F">
        <w:rPr/>
        <w:t>may enhance propulsion and support performance at higher speeds</w:t>
      </w:r>
      <w:r w:rsidR="35C8BED0">
        <w:rPr/>
        <w:t xml:space="preserve"> (Llanos-Lagos et al., 2024). </w:t>
      </w:r>
      <w:r w:rsidR="7342663F">
        <w:rPr/>
        <w:t xml:space="preserve">Additionally, ensuring continued development of hip </w:t>
      </w:r>
      <w:r w:rsidR="7342663F">
        <w:rPr/>
        <w:t>abductor and core strength may help prevent potential compensatory frontal‑plane deviations not visible in the present analysis.</w:t>
      </w:r>
    </w:p>
    <w:p w:rsidR="0D801B51" w:rsidP="41DF4824" w:rsidRDefault="0D801B51" w14:paraId="15F2D9ED" w14:textId="313181E5">
      <w:pPr>
        <w:pStyle w:val="Normal"/>
        <w:spacing w:line="360" w:lineRule="auto"/>
      </w:pPr>
      <w:r w:rsidR="7342663F">
        <w:rPr/>
        <w:t>Overall, the participant demonstrates an efficient, mechanically sound running gait consistent with the literature on trained endurance athletes. Further analysis incorporating frontal‑plane assessment and kinetic measurement would provide more comprehensive insight into injury risk and performance optimisation.</w:t>
      </w:r>
    </w:p>
    <w:p w:rsidR="0D801B51" w:rsidP="41DF4824" w:rsidRDefault="0D801B51" w14:paraId="2CD24F78" w14:textId="345D5462">
      <w:pPr>
        <w:pStyle w:val="Normal"/>
        <w:spacing w:line="360" w:lineRule="auto"/>
      </w:pPr>
      <w:r w:rsidRPr="41DF4824" w:rsidR="0D801B51">
        <w:rPr>
          <w:rStyle w:val="Heading5Char"/>
        </w:rPr>
        <w:t>Conclusion and Recommendations</w:t>
      </w:r>
      <w:r w:rsidR="0D801B51">
        <w:rPr/>
        <w:t xml:space="preserve"> </w:t>
      </w:r>
    </w:p>
    <w:p w:rsidR="1A41D465" w:rsidP="41DF4824" w:rsidRDefault="1A41D465" w14:paraId="24AD1B65" w14:textId="526B32EF">
      <w:pPr>
        <w:pStyle w:val="Normal"/>
        <w:spacing w:line="360" w:lineRule="auto"/>
      </w:pPr>
      <w:r w:rsidR="47B8A675">
        <w:rPr/>
        <w:t xml:space="preserve">The biomechanical analysis </w:t>
      </w:r>
      <w:r w:rsidR="47B8A675">
        <w:rPr/>
        <w:t>indicated</w:t>
      </w:r>
      <w:r w:rsidR="47B8A675">
        <w:rPr/>
        <w:t xml:space="preserve"> the participant </w:t>
      </w:r>
      <w:r w:rsidR="47B8A675">
        <w:rPr/>
        <w:t>demonstrated</w:t>
      </w:r>
      <w:r w:rsidR="47B8A675">
        <w:rPr/>
        <w:t xml:space="preserve"> a technically efficient running gait characterised by a controlled mid‑to-rearfoot strike, moderate knee flexion at </w:t>
      </w:r>
      <w:r w:rsidR="47B8A675">
        <w:rPr/>
        <w:t>initial</w:t>
      </w:r>
      <w:r w:rsidR="47B8A675">
        <w:rPr/>
        <w:t xml:space="preserve"> contact, and smooth joint excursions through mid‑stance and toe‑off. These features are consistent with economical distance‑running mechanics and reflect effective utilisation of shock‑attenuation and elastic‑energy mechanisms (Schache et al., 2011). The participant’s cadence of 176SPM aligns with values associated with reduced braking forces and improved running economy at submaximal speeds (Moore, 2016). While sagittal‑plane kinematics did not suggest elevated injury risk, the literature emphasises that clinically significant deviations often </w:t>
      </w:r>
      <w:r w:rsidR="47B8A675">
        <w:rPr/>
        <w:t>emerge</w:t>
      </w:r>
      <w:r w:rsidR="47B8A675">
        <w:rPr/>
        <w:t xml:space="preserve"> in the frontal plane, </w:t>
      </w:r>
      <w:r w:rsidR="47B8A675">
        <w:rPr/>
        <w:t>warranting</w:t>
      </w:r>
      <w:r w:rsidR="47B8A675">
        <w:rPr/>
        <w:t xml:space="preserve"> further assessment (Powers, 2010).</w:t>
      </w:r>
    </w:p>
    <w:p w:rsidR="1A41D465" w:rsidP="41DF4824" w:rsidRDefault="1A41D465" w14:paraId="57A550F7" w14:textId="7F7D9E2E">
      <w:pPr>
        <w:pStyle w:val="Normal"/>
        <w:spacing w:line="360" w:lineRule="auto"/>
      </w:pPr>
      <w:r w:rsidR="47B8A675">
        <w:rPr/>
        <w:t>To enhance performance efficiency, targeted strengthening of the hip extensors and calf–</w:t>
      </w:r>
      <w:r w:rsidR="307FBB80">
        <w:rPr/>
        <w:t>A</w:t>
      </w:r>
      <w:r w:rsidR="47B8A675">
        <w:rPr/>
        <w:t>chilles complex is recommended, as both contribute significantly to propulsion and elastic‑energy return during running (Gruber et al., 2013). These adaptations are likely to support improved running economy at higher intensities.</w:t>
      </w:r>
    </w:p>
    <w:p w:rsidR="1A41D465" w:rsidP="41DF4824" w:rsidRDefault="1A41D465" w14:paraId="179B7D49" w14:textId="57D1687F">
      <w:pPr>
        <w:pStyle w:val="Normal"/>
        <w:spacing w:line="360" w:lineRule="auto"/>
      </w:pPr>
      <w:r w:rsidR="47B8A675">
        <w:rPr/>
        <w:t>For injury‑risk reduction, ongoing development of hip abductor and core stability is advisable to help prevent frontal‑plane compensations such as pelvic drop and knee valgus, which have been linked to patellofemoral and iliotibial band issues (</w:t>
      </w:r>
      <w:r w:rsidR="47B8A675">
        <w:rPr/>
        <w:t xml:space="preserve">Powers, 2010). Managing training load progressively and </w:t>
      </w:r>
      <w:r w:rsidR="47B8A675">
        <w:rPr/>
        <w:t>maintaining</w:t>
      </w:r>
      <w:r w:rsidR="47B8A675">
        <w:rPr/>
        <w:t xml:space="preserve"> an awareness of cadence can further minimise excessive loading rates (Heiderscheit et al., 2011).</w:t>
      </w:r>
    </w:p>
    <w:p w:rsidR="1A41D465" w:rsidP="41DF4824" w:rsidRDefault="1A41D465" w14:paraId="5BCF70F7" w14:textId="433F626B">
      <w:pPr>
        <w:pStyle w:val="Normal"/>
        <w:spacing w:line="360" w:lineRule="auto"/>
      </w:pPr>
      <w:r w:rsidR="47B8A675">
        <w:rPr/>
        <w:t>Regarding</w:t>
      </w:r>
      <w:r w:rsidR="47B8A675">
        <w:rPr/>
        <w:t xml:space="preserve"> rehabilitation, should symptoms of overload arise, incorporating running‑retraining strategies</w:t>
      </w:r>
      <w:r w:rsidR="21509DAD">
        <w:rPr/>
        <w:t xml:space="preserve">, </w:t>
      </w:r>
      <w:r w:rsidR="47B8A675">
        <w:rPr/>
        <w:t>such as modest cadence increases or soft‑landing cue</w:t>
      </w:r>
      <w:r w:rsidR="0ECDF399">
        <w:rPr/>
        <w:t xml:space="preserve">s </w:t>
      </w:r>
      <w:r w:rsidR="47B8A675">
        <w:rPr/>
        <w:t>can help reduce impact forces and support a safe return to running (Barton et al., 2019).</w:t>
      </w:r>
    </w:p>
    <w:p w:rsidR="1A41D465" w:rsidP="41DF4824" w:rsidRDefault="1A41D465" w14:paraId="778094C0" w14:textId="2631C0CA">
      <w:pPr>
        <w:pStyle w:val="Normal"/>
        <w:spacing w:line="360" w:lineRule="auto"/>
      </w:pPr>
      <w:r w:rsidR="47B8A675">
        <w:rPr/>
        <w:t>Overall, the participant’s gait presents as efficient and low‑risk, with opportunities for targeted refinement to further optimise performance and resilience.</w:t>
      </w:r>
    </w:p>
    <w:p w:rsidR="1A41D465" w:rsidP="41DF4824" w:rsidRDefault="1A41D465" w14:paraId="5F7DFADC" w14:textId="2DD41C3A">
      <w:pPr>
        <w:pStyle w:val="Heading4"/>
        <w:rPr>
          <w:b w:val="1"/>
          <w:bCs w:val="1"/>
          <w:color w:val="FF0000"/>
        </w:rPr>
      </w:pPr>
      <w:r w:rsidRPr="41DF4824" w:rsidR="26F91E2B">
        <w:rPr>
          <w:b w:val="1"/>
          <w:bCs w:val="1"/>
          <w:color w:val="FF0000"/>
        </w:rPr>
        <w:t>Word count = 2188</w:t>
      </w:r>
    </w:p>
    <w:p w:rsidR="1A41D465" w:rsidP="41DF4824" w:rsidRDefault="1A41D465" w14:paraId="71A0B4A6" w14:textId="7DFC5391">
      <w:pPr>
        <w:pStyle w:val="Heading5"/>
      </w:pPr>
      <w:r w:rsidR="603475B3">
        <w:rPr/>
        <w:t>Reference List:</w:t>
      </w:r>
    </w:p>
    <w:p w:rsidR="1A41D465" w:rsidP="41DF4824" w:rsidRDefault="1A41D465" w14:paraId="5010DD7F" w14:textId="469DED48">
      <w:pPr>
        <w:pStyle w:val="Normal"/>
        <w:spacing w:before="0" w:beforeAutospacing="off" w:after="0" w:afterAutospacing="off" w:line="360" w:lineRule="auto"/>
        <w:rPr>
          <w:rFonts w:ascii="Aptos" w:hAnsi="Aptos" w:eastAsia="Aptos" w:cs="Aptos"/>
          <w:b w:val="0"/>
          <w:bCs w:val="0"/>
          <w:noProof w:val="0"/>
          <w:sz w:val="24"/>
          <w:szCs w:val="24"/>
          <w:lang w:val="en-GB"/>
        </w:rPr>
      </w:pPr>
    </w:p>
    <w:p w:rsidR="1A41D465" w:rsidP="41DF4824" w:rsidRDefault="1A41D465" w14:paraId="062F53BE" w14:textId="401AC7DB">
      <w:pPr>
        <w:spacing w:before="0" w:beforeAutospacing="off" w:after="0" w:afterAutospacing="off" w:line="360" w:lineRule="auto"/>
      </w:pPr>
      <w:r w:rsidRPr="41DF4824" w:rsidR="1222CC58">
        <w:rPr>
          <w:rFonts w:ascii="Aptos" w:hAnsi="Aptos" w:eastAsia="Aptos" w:cs="Aptos"/>
          <w:noProof w:val="0"/>
          <w:sz w:val="24"/>
          <w:szCs w:val="24"/>
          <w:lang w:val="en-GB"/>
        </w:rPr>
        <w:t xml:space="preserve">Anderson, L.M. </w:t>
      </w:r>
      <w:r w:rsidRPr="41DF4824" w:rsidR="1222CC58">
        <w:rPr>
          <w:rFonts w:ascii="Aptos" w:hAnsi="Aptos" w:eastAsia="Aptos" w:cs="Aptos"/>
          <w:i w:val="1"/>
          <w:iCs w:val="1"/>
          <w:noProof w:val="0"/>
          <w:sz w:val="24"/>
          <w:szCs w:val="24"/>
          <w:lang w:val="en-GB"/>
        </w:rPr>
        <w:t>et al.</w:t>
      </w:r>
      <w:r w:rsidRPr="41DF4824" w:rsidR="1222CC58">
        <w:rPr>
          <w:rFonts w:ascii="Aptos" w:hAnsi="Aptos" w:eastAsia="Aptos" w:cs="Aptos"/>
          <w:noProof w:val="0"/>
          <w:sz w:val="24"/>
          <w:szCs w:val="24"/>
          <w:lang w:val="en-GB"/>
        </w:rPr>
        <w:t xml:space="preserve"> (2020) “What are the Benefits and Risks Associated with Changing Foot Strike Pattern During Running? A Systematic Review and Meta-analysis of Injury, Running Economy, and Biomechanics,” </w:t>
      </w:r>
      <w:r w:rsidRPr="41DF4824" w:rsidR="1222CC58">
        <w:rPr>
          <w:rFonts w:ascii="Aptos" w:hAnsi="Aptos" w:eastAsia="Aptos" w:cs="Aptos"/>
          <w:i w:val="1"/>
          <w:iCs w:val="1"/>
          <w:noProof w:val="0"/>
          <w:sz w:val="24"/>
          <w:szCs w:val="24"/>
          <w:lang w:val="en-GB"/>
        </w:rPr>
        <w:t>Sports medicine (Auckland)</w:t>
      </w:r>
      <w:r w:rsidRPr="41DF4824" w:rsidR="1222CC58">
        <w:rPr>
          <w:rFonts w:ascii="Aptos" w:hAnsi="Aptos" w:eastAsia="Aptos" w:cs="Aptos"/>
          <w:noProof w:val="0"/>
          <w:sz w:val="24"/>
          <w:szCs w:val="24"/>
          <w:lang w:val="en-GB"/>
        </w:rPr>
        <w:t xml:space="preserve">, 50(5), pp. 885–917. Available at: </w:t>
      </w:r>
      <w:hyperlink r:id="Rf6a6e779c47642e0">
        <w:r w:rsidRPr="41DF4824" w:rsidR="1222CC58">
          <w:rPr>
            <w:rStyle w:val="Hyperlink"/>
            <w:rFonts w:ascii="Aptos" w:hAnsi="Aptos" w:eastAsia="Aptos" w:cs="Aptos"/>
            <w:noProof w:val="0"/>
            <w:sz w:val="24"/>
            <w:szCs w:val="24"/>
            <w:lang w:val="en-GB"/>
          </w:rPr>
          <w:t>https://doi.org/10.1007/s40279-019-01238-y</w:t>
        </w:r>
      </w:hyperlink>
      <w:r w:rsidRPr="41DF4824" w:rsidR="1222CC58">
        <w:rPr>
          <w:rFonts w:ascii="Aptos" w:hAnsi="Aptos" w:eastAsia="Aptos" w:cs="Aptos"/>
          <w:noProof w:val="0"/>
          <w:sz w:val="24"/>
          <w:szCs w:val="24"/>
          <w:lang w:val="en-GB"/>
        </w:rPr>
        <w:t>.</w:t>
      </w:r>
    </w:p>
    <w:p w:rsidR="1A41D465" w:rsidP="41DF4824" w:rsidRDefault="1A41D465" w14:paraId="1BC76FAD" w14:textId="5A40A4F7">
      <w:pPr>
        <w:spacing w:before="0" w:beforeAutospacing="off" w:after="0" w:afterAutospacing="off" w:line="360" w:lineRule="auto"/>
        <w:rPr>
          <w:rFonts w:ascii="Aptos" w:hAnsi="Aptos" w:eastAsia="Aptos" w:cs="Aptos"/>
          <w:noProof w:val="0"/>
          <w:sz w:val="24"/>
          <w:szCs w:val="24"/>
          <w:lang w:val="en-GB"/>
        </w:rPr>
      </w:pPr>
    </w:p>
    <w:p w:rsidR="1A41D465" w:rsidP="41DF4824" w:rsidRDefault="1A41D465" w14:paraId="66937F0F" w14:textId="6D317405">
      <w:pPr>
        <w:spacing w:before="0" w:beforeAutospacing="off" w:after="0" w:afterAutospacing="off" w:line="360" w:lineRule="auto"/>
      </w:pPr>
      <w:r w:rsidRPr="41DF4824" w:rsidR="6E751276">
        <w:rPr>
          <w:rFonts w:ascii="Aptos" w:hAnsi="Aptos" w:eastAsia="Aptos" w:cs="Aptos"/>
          <w:noProof w:val="0"/>
          <w:sz w:val="24"/>
          <w:szCs w:val="24"/>
          <w:lang w:val="en-GB"/>
        </w:rPr>
        <w:t xml:space="preserve">Barton, C.J. </w:t>
      </w:r>
      <w:r w:rsidRPr="41DF4824" w:rsidR="6E751276">
        <w:rPr>
          <w:rFonts w:ascii="Aptos" w:hAnsi="Aptos" w:eastAsia="Aptos" w:cs="Aptos"/>
          <w:i w:val="1"/>
          <w:iCs w:val="1"/>
          <w:noProof w:val="0"/>
          <w:sz w:val="24"/>
          <w:szCs w:val="24"/>
          <w:lang w:val="en-GB"/>
        </w:rPr>
        <w:t>et al.</w:t>
      </w:r>
      <w:r w:rsidRPr="41DF4824" w:rsidR="6E751276">
        <w:rPr>
          <w:rFonts w:ascii="Aptos" w:hAnsi="Aptos" w:eastAsia="Aptos" w:cs="Aptos"/>
          <w:noProof w:val="0"/>
          <w:sz w:val="24"/>
          <w:szCs w:val="24"/>
          <w:lang w:val="en-GB"/>
        </w:rPr>
        <w:t xml:space="preserve"> (2016) “Running retraining to treat lower limb injuries: a mixed-methods study of current evidence synthesised with expert opinion,” </w:t>
      </w:r>
      <w:r w:rsidRPr="41DF4824" w:rsidR="6E751276">
        <w:rPr>
          <w:rFonts w:ascii="Aptos" w:hAnsi="Aptos" w:eastAsia="Aptos" w:cs="Aptos"/>
          <w:i w:val="1"/>
          <w:iCs w:val="1"/>
          <w:noProof w:val="0"/>
          <w:sz w:val="24"/>
          <w:szCs w:val="24"/>
          <w:lang w:val="en-GB"/>
        </w:rPr>
        <w:t>British journal of sports medicine</w:t>
      </w:r>
      <w:r w:rsidRPr="41DF4824" w:rsidR="6E751276">
        <w:rPr>
          <w:rFonts w:ascii="Aptos" w:hAnsi="Aptos" w:eastAsia="Aptos" w:cs="Aptos"/>
          <w:noProof w:val="0"/>
          <w:sz w:val="24"/>
          <w:szCs w:val="24"/>
          <w:lang w:val="en-GB"/>
        </w:rPr>
        <w:t xml:space="preserve">. England: BMJ Publishing Group LTD, pp. 513–526. Available at: </w:t>
      </w:r>
      <w:hyperlink r:id="R857fe9581b0044fa">
        <w:r w:rsidRPr="41DF4824" w:rsidR="6E751276">
          <w:rPr>
            <w:rStyle w:val="Hyperlink"/>
            <w:rFonts w:ascii="Aptos" w:hAnsi="Aptos" w:eastAsia="Aptos" w:cs="Aptos"/>
            <w:noProof w:val="0"/>
            <w:sz w:val="24"/>
            <w:szCs w:val="24"/>
            <w:lang w:val="en-GB"/>
          </w:rPr>
          <w:t>https://doi.org/10.1136/bjsports-2015-095278</w:t>
        </w:r>
      </w:hyperlink>
      <w:r w:rsidRPr="41DF4824" w:rsidR="6E751276">
        <w:rPr>
          <w:rFonts w:ascii="Aptos" w:hAnsi="Aptos" w:eastAsia="Aptos" w:cs="Aptos"/>
          <w:noProof w:val="0"/>
          <w:sz w:val="24"/>
          <w:szCs w:val="24"/>
          <w:lang w:val="en-GB"/>
        </w:rPr>
        <w:t>.</w:t>
      </w:r>
    </w:p>
    <w:p w:rsidR="1A41D465" w:rsidP="41DF4824" w:rsidRDefault="1A41D465" w14:paraId="50F0F0CC" w14:textId="64A6C8FC">
      <w:pPr>
        <w:pStyle w:val="Normal"/>
        <w:spacing w:before="0" w:beforeAutospacing="off" w:after="0" w:afterAutospacing="off" w:line="360" w:lineRule="auto"/>
        <w:rPr>
          <w:rFonts w:ascii="Aptos" w:hAnsi="Aptos" w:eastAsia="Aptos" w:cs="Aptos"/>
          <w:b w:val="0"/>
          <w:bCs w:val="0"/>
          <w:noProof w:val="0"/>
          <w:sz w:val="24"/>
          <w:szCs w:val="24"/>
          <w:lang w:val="en-GB"/>
        </w:rPr>
      </w:pPr>
    </w:p>
    <w:p w:rsidR="1A41D465" w:rsidP="41DF4824" w:rsidRDefault="1A41D465" w14:paraId="12F3D392" w14:textId="5924C1B0">
      <w:pPr>
        <w:pStyle w:val="Normal"/>
        <w:spacing w:before="0" w:beforeAutospacing="off" w:after="0" w:afterAutospacing="off" w:line="360" w:lineRule="auto"/>
        <w:rPr>
          <w:rFonts w:ascii="Aptos" w:hAnsi="Aptos" w:eastAsia="Aptos" w:cs="Aptos"/>
          <w:b w:val="0"/>
          <w:bCs w:val="0"/>
          <w:noProof w:val="0"/>
          <w:sz w:val="24"/>
          <w:szCs w:val="24"/>
          <w:lang w:val="en-GB"/>
        </w:rPr>
      </w:pPr>
      <w:r w:rsidRPr="41DF4824" w:rsidR="441116FA">
        <w:rPr>
          <w:rFonts w:ascii="Aptos" w:hAnsi="Aptos" w:eastAsia="Aptos" w:cs="Aptos"/>
          <w:b w:val="0"/>
          <w:bCs w:val="0"/>
          <w:noProof w:val="0"/>
          <w:sz w:val="24"/>
          <w:szCs w:val="24"/>
          <w:lang w:val="en-GB"/>
        </w:rPr>
        <w:t xml:space="preserve">Cavanagh, P.R. and Williams, K.R., </w:t>
      </w:r>
      <w:r w:rsidRPr="41DF4824" w:rsidR="18EAC6D9">
        <w:rPr>
          <w:rFonts w:ascii="Aptos" w:hAnsi="Aptos" w:eastAsia="Aptos" w:cs="Aptos"/>
          <w:b w:val="0"/>
          <w:bCs w:val="0"/>
          <w:noProof w:val="0"/>
          <w:sz w:val="24"/>
          <w:szCs w:val="24"/>
          <w:lang w:val="en-GB"/>
        </w:rPr>
        <w:t>(</w:t>
      </w:r>
      <w:r w:rsidRPr="41DF4824" w:rsidR="441116FA">
        <w:rPr>
          <w:rFonts w:ascii="Aptos" w:hAnsi="Aptos" w:eastAsia="Aptos" w:cs="Aptos"/>
          <w:b w:val="0"/>
          <w:bCs w:val="0"/>
          <w:noProof w:val="0"/>
          <w:sz w:val="24"/>
          <w:szCs w:val="24"/>
          <w:lang w:val="en-GB"/>
        </w:rPr>
        <w:t>1982</w:t>
      </w:r>
      <w:r w:rsidRPr="41DF4824" w:rsidR="00EE5E22">
        <w:rPr>
          <w:rFonts w:ascii="Aptos" w:hAnsi="Aptos" w:eastAsia="Aptos" w:cs="Aptos"/>
          <w:b w:val="0"/>
          <w:bCs w:val="0"/>
          <w:noProof w:val="0"/>
          <w:sz w:val="24"/>
          <w:szCs w:val="24"/>
          <w:lang w:val="en-GB"/>
        </w:rPr>
        <w:t>)</w:t>
      </w:r>
      <w:r w:rsidRPr="41DF4824" w:rsidR="441116FA">
        <w:rPr>
          <w:rFonts w:ascii="Aptos" w:hAnsi="Aptos" w:eastAsia="Aptos" w:cs="Aptos"/>
          <w:b w:val="0"/>
          <w:bCs w:val="0"/>
          <w:noProof w:val="0"/>
          <w:sz w:val="24"/>
          <w:szCs w:val="24"/>
          <w:lang w:val="en-GB"/>
        </w:rPr>
        <w:t xml:space="preserve">. </w:t>
      </w:r>
      <w:r w:rsidRPr="41DF4824" w:rsidR="441116FA">
        <w:rPr>
          <w:rFonts w:ascii="Aptos" w:hAnsi="Aptos" w:eastAsia="Aptos" w:cs="Aptos"/>
          <w:b w:val="0"/>
          <w:bCs w:val="0"/>
          <w:i w:val="1"/>
          <w:iCs w:val="1"/>
          <w:noProof w:val="0"/>
          <w:sz w:val="24"/>
          <w:szCs w:val="24"/>
          <w:lang w:val="en-GB"/>
        </w:rPr>
        <w:t>The effect of stride length variation on oxygen uptake during distance running.</w:t>
      </w:r>
      <w:r w:rsidRPr="41DF4824" w:rsidR="441116FA">
        <w:rPr>
          <w:rFonts w:ascii="Aptos" w:hAnsi="Aptos" w:eastAsia="Aptos" w:cs="Aptos"/>
          <w:b w:val="0"/>
          <w:bCs w:val="0"/>
          <w:noProof w:val="0"/>
          <w:sz w:val="24"/>
          <w:szCs w:val="24"/>
          <w:lang w:val="en-GB"/>
        </w:rPr>
        <w:t xml:space="preserve"> Medicine &amp; Science in Sports &amp; Exercise, 14(1), pp.30-35.</w:t>
      </w:r>
    </w:p>
    <w:p w:rsidR="1A41D465" w:rsidP="41DF4824" w:rsidRDefault="1A41D465" w14:paraId="555D31D9" w14:textId="30116DA4">
      <w:pPr>
        <w:pStyle w:val="Normal"/>
        <w:spacing w:before="0" w:beforeAutospacing="off" w:after="0" w:afterAutospacing="off" w:line="360" w:lineRule="auto"/>
        <w:rPr>
          <w:rFonts w:ascii="Aptos" w:hAnsi="Aptos" w:eastAsia="Aptos" w:cs="Aptos"/>
          <w:b w:val="0"/>
          <w:bCs w:val="0"/>
          <w:noProof w:val="0"/>
          <w:sz w:val="24"/>
          <w:szCs w:val="24"/>
          <w:lang w:val="en-GB"/>
        </w:rPr>
      </w:pPr>
    </w:p>
    <w:p w:rsidR="1A41D465" w:rsidP="41DF4824" w:rsidRDefault="1A41D465" w14:paraId="647AE2C0" w14:textId="3E8A3741">
      <w:pPr>
        <w:pStyle w:val="Normal"/>
        <w:spacing w:before="0" w:beforeAutospacing="off" w:after="0" w:afterAutospacing="off" w:line="360" w:lineRule="auto"/>
      </w:pPr>
      <w:r w:rsidRPr="41DF4824" w:rsidR="7DF39B2F">
        <w:rPr>
          <w:rFonts w:ascii="Aptos" w:hAnsi="Aptos" w:eastAsia="Aptos" w:cs="Aptos"/>
          <w:b w:val="0"/>
          <w:bCs w:val="0"/>
          <w:noProof w:val="0"/>
          <w:sz w:val="24"/>
          <w:szCs w:val="24"/>
          <w:lang w:val="en-GB"/>
        </w:rPr>
        <w:t>Gruber, A.H., Umberger, B.R., Braun, B. &amp; Hamill, J. (2013)</w:t>
      </w:r>
      <w:r w:rsidRPr="41DF4824" w:rsidR="7DF39B2F">
        <w:rPr>
          <w:rFonts w:ascii="Aptos" w:hAnsi="Aptos" w:eastAsia="Aptos" w:cs="Aptos"/>
          <w:noProof w:val="0"/>
          <w:sz w:val="24"/>
          <w:szCs w:val="24"/>
          <w:lang w:val="en-GB"/>
        </w:rPr>
        <w:t xml:space="preserve"> </w:t>
      </w:r>
      <w:r w:rsidRPr="41DF4824" w:rsidR="7DF39B2F">
        <w:rPr>
          <w:rFonts w:ascii="Aptos" w:hAnsi="Aptos" w:eastAsia="Aptos" w:cs="Aptos"/>
          <w:i w:val="1"/>
          <w:iCs w:val="1"/>
          <w:noProof w:val="0"/>
          <w:sz w:val="24"/>
          <w:szCs w:val="24"/>
          <w:lang w:val="en-GB"/>
        </w:rPr>
        <w:t>Economy</w:t>
      </w:r>
      <w:r w:rsidRPr="41DF4824" w:rsidR="7DF39B2F">
        <w:rPr>
          <w:rFonts w:ascii="Aptos" w:hAnsi="Aptos" w:eastAsia="Aptos" w:cs="Aptos"/>
          <w:i w:val="1"/>
          <w:iCs w:val="1"/>
          <w:noProof w:val="0"/>
          <w:sz w:val="24"/>
          <w:szCs w:val="24"/>
          <w:lang w:val="en-GB"/>
        </w:rPr>
        <w:t xml:space="preserve"> and rate of carbohydrate oxidation during running with rearfoot and forefoot strike patterns</w:t>
      </w:r>
      <w:r w:rsidRPr="41DF4824" w:rsidR="7DF39B2F">
        <w:rPr>
          <w:rFonts w:ascii="Aptos" w:hAnsi="Aptos" w:eastAsia="Aptos" w:cs="Aptos"/>
          <w:noProof w:val="0"/>
          <w:sz w:val="24"/>
          <w:szCs w:val="24"/>
          <w:lang w:val="en-GB"/>
        </w:rPr>
        <w:t xml:space="preserve">. </w:t>
      </w:r>
      <w:r w:rsidRPr="41DF4824" w:rsidR="7DF39B2F">
        <w:rPr>
          <w:rFonts w:ascii="Aptos" w:hAnsi="Aptos" w:eastAsia="Aptos" w:cs="Aptos"/>
          <w:i w:val="1"/>
          <w:iCs w:val="1"/>
          <w:noProof w:val="0"/>
          <w:sz w:val="24"/>
          <w:szCs w:val="24"/>
          <w:lang w:val="en-GB"/>
        </w:rPr>
        <w:t>Journal of Applied Physiology</w:t>
      </w:r>
      <w:r w:rsidRPr="41DF4824" w:rsidR="7DF39B2F">
        <w:rPr>
          <w:rFonts w:ascii="Aptos" w:hAnsi="Aptos" w:eastAsia="Aptos" w:cs="Aptos"/>
          <w:noProof w:val="0"/>
          <w:sz w:val="24"/>
          <w:szCs w:val="24"/>
          <w:lang w:val="en-GB"/>
        </w:rPr>
        <w:t xml:space="preserve">, </w:t>
      </w:r>
      <w:r w:rsidRPr="41DF4824" w:rsidR="7DF39B2F">
        <w:rPr>
          <w:rFonts w:ascii="Aptos" w:hAnsi="Aptos" w:eastAsia="Aptos" w:cs="Aptos"/>
          <w:b w:val="0"/>
          <w:bCs w:val="0"/>
          <w:noProof w:val="0"/>
          <w:sz w:val="24"/>
          <w:szCs w:val="24"/>
          <w:lang w:val="en-GB"/>
        </w:rPr>
        <w:t>115(2)</w:t>
      </w:r>
      <w:r w:rsidRPr="41DF4824" w:rsidR="7DF39B2F">
        <w:rPr>
          <w:rFonts w:ascii="Aptos" w:hAnsi="Aptos" w:eastAsia="Aptos" w:cs="Aptos"/>
          <w:b w:val="0"/>
          <w:bCs w:val="0"/>
          <w:noProof w:val="0"/>
          <w:sz w:val="24"/>
          <w:szCs w:val="24"/>
          <w:lang w:val="en-GB"/>
        </w:rPr>
        <w:t>,</w:t>
      </w:r>
      <w:r w:rsidRPr="41DF4824" w:rsidR="7DF39B2F">
        <w:rPr>
          <w:rFonts w:ascii="Aptos" w:hAnsi="Aptos" w:eastAsia="Aptos" w:cs="Aptos"/>
          <w:noProof w:val="0"/>
          <w:sz w:val="24"/>
          <w:szCs w:val="24"/>
          <w:lang w:val="en-GB"/>
        </w:rPr>
        <w:t xml:space="preserve"> pp.194–201. doi:10.1152/japplphysiol.01437.2012 </w:t>
      </w:r>
    </w:p>
    <w:p w:rsidR="1A41D465" w:rsidP="41DF4824" w:rsidRDefault="1A41D465" w14:paraId="5458ADB5" w14:textId="7B7550D0">
      <w:pPr>
        <w:spacing w:before="0" w:beforeAutospacing="off" w:after="0" w:afterAutospacing="off" w:line="360" w:lineRule="auto"/>
        <w:rPr>
          <w:rFonts w:ascii="Aptos" w:hAnsi="Aptos" w:eastAsia="Aptos" w:cs="Aptos"/>
          <w:noProof w:val="0"/>
          <w:sz w:val="24"/>
          <w:szCs w:val="24"/>
          <w:lang w:val="en-GB"/>
        </w:rPr>
      </w:pPr>
    </w:p>
    <w:p w:rsidR="1A41D465" w:rsidP="41DF4824" w:rsidRDefault="1A41D465" w14:paraId="5D53CB26" w14:textId="140F659E">
      <w:pPr>
        <w:pStyle w:val="Normal"/>
        <w:spacing w:before="0" w:beforeAutospacing="off" w:after="0" w:afterAutospacing="off" w:line="360" w:lineRule="auto"/>
        <w:rPr>
          <w:rFonts w:ascii="Aptos" w:hAnsi="Aptos" w:eastAsia="Aptos" w:cs="Aptos"/>
          <w:noProof w:val="0"/>
          <w:sz w:val="24"/>
          <w:szCs w:val="24"/>
          <w:lang w:val="en-GB"/>
        </w:rPr>
      </w:pPr>
      <w:r w:rsidRPr="41DF4824" w:rsidR="3B477C79">
        <w:rPr>
          <w:rFonts w:ascii="Aptos" w:hAnsi="Aptos" w:eastAsia="Aptos" w:cs="Aptos"/>
          <w:noProof w:val="0"/>
          <w:sz w:val="24"/>
          <w:szCs w:val="24"/>
          <w:lang w:val="en-GB"/>
        </w:rPr>
        <w:t xml:space="preserve">Heiderscheit, B. C. et al. (2011). Effects of step rate manipulation on joint mechanics during running. Medicine and science in sports and exercise, 43(2), 296–302. </w:t>
      </w:r>
      <w:hyperlink r:id="R66e5fa59c06f4bab">
        <w:r w:rsidRPr="41DF4824" w:rsidR="3B477C79">
          <w:rPr>
            <w:rStyle w:val="Hyperlink"/>
            <w:rFonts w:ascii="Aptos" w:hAnsi="Aptos" w:eastAsia="Aptos" w:cs="Aptos"/>
            <w:noProof w:val="0"/>
            <w:sz w:val="24"/>
            <w:szCs w:val="24"/>
            <w:lang w:val="en-GB"/>
          </w:rPr>
          <w:t>https://doi.org/10.1249/MSS.0b013e3181ebedf4</w:t>
        </w:r>
      </w:hyperlink>
    </w:p>
    <w:p w:rsidR="1A41D465" w:rsidP="41DF4824" w:rsidRDefault="1A41D465" w14:paraId="46BBA0EA" w14:textId="0A18B32B">
      <w:pPr>
        <w:pStyle w:val="Normal"/>
        <w:spacing w:before="0" w:beforeAutospacing="off" w:after="0" w:afterAutospacing="off" w:line="360" w:lineRule="auto"/>
        <w:rPr>
          <w:rFonts w:ascii="Aptos" w:hAnsi="Aptos" w:eastAsia="Aptos" w:cs="Aptos"/>
          <w:noProof w:val="0"/>
          <w:sz w:val="24"/>
          <w:szCs w:val="24"/>
          <w:lang w:val="en-GB"/>
        </w:rPr>
      </w:pPr>
    </w:p>
    <w:p w:rsidR="1A41D465" w:rsidP="41DF4824" w:rsidRDefault="1A41D465" w14:paraId="244A10B6" w14:textId="359A3E93">
      <w:pPr>
        <w:spacing w:before="0" w:beforeAutospacing="off" w:after="0" w:afterAutospacing="off" w:line="360" w:lineRule="auto"/>
      </w:pPr>
      <w:r w:rsidRPr="41DF4824" w:rsidR="44DB5B21">
        <w:rPr>
          <w:rFonts w:ascii="Aptos" w:hAnsi="Aptos" w:eastAsia="Aptos" w:cs="Aptos"/>
          <w:noProof w:val="0"/>
          <w:sz w:val="24"/>
          <w:szCs w:val="24"/>
          <w:lang w:val="en-GB"/>
        </w:rPr>
        <w:t xml:space="preserve">Lieberman, D.E. </w:t>
      </w:r>
      <w:r w:rsidRPr="41DF4824" w:rsidR="44DB5B21">
        <w:rPr>
          <w:rFonts w:ascii="Aptos" w:hAnsi="Aptos" w:eastAsia="Aptos" w:cs="Aptos"/>
          <w:i w:val="1"/>
          <w:iCs w:val="1"/>
          <w:noProof w:val="0"/>
          <w:sz w:val="24"/>
          <w:szCs w:val="24"/>
          <w:lang w:val="en-GB"/>
        </w:rPr>
        <w:t>et al.</w:t>
      </w:r>
      <w:r w:rsidRPr="41DF4824" w:rsidR="44DB5B21">
        <w:rPr>
          <w:rFonts w:ascii="Aptos" w:hAnsi="Aptos" w:eastAsia="Aptos" w:cs="Aptos"/>
          <w:noProof w:val="0"/>
          <w:sz w:val="24"/>
          <w:szCs w:val="24"/>
          <w:lang w:val="en-GB"/>
        </w:rPr>
        <w:t xml:space="preserve"> (2010) “Foot strike patterns and collision forces in habitually barefoot versus shod runners,” </w:t>
      </w:r>
      <w:r w:rsidRPr="41DF4824" w:rsidR="44DB5B21">
        <w:rPr>
          <w:rFonts w:ascii="Aptos" w:hAnsi="Aptos" w:eastAsia="Aptos" w:cs="Aptos"/>
          <w:i w:val="1"/>
          <w:iCs w:val="1"/>
          <w:noProof w:val="0"/>
          <w:sz w:val="24"/>
          <w:szCs w:val="24"/>
          <w:lang w:val="en-GB"/>
        </w:rPr>
        <w:t>Nature (London)</w:t>
      </w:r>
      <w:r w:rsidRPr="41DF4824" w:rsidR="44DB5B21">
        <w:rPr>
          <w:rFonts w:ascii="Aptos" w:hAnsi="Aptos" w:eastAsia="Aptos" w:cs="Aptos"/>
          <w:noProof w:val="0"/>
          <w:sz w:val="24"/>
          <w:szCs w:val="24"/>
          <w:lang w:val="en-GB"/>
        </w:rPr>
        <w:t xml:space="preserve">, 463(7280), pp. 531–535. Available at: </w:t>
      </w:r>
      <w:hyperlink r:id="Rbcdb27267fac4352">
        <w:r w:rsidRPr="41DF4824" w:rsidR="44DB5B21">
          <w:rPr>
            <w:rStyle w:val="Hyperlink"/>
            <w:rFonts w:ascii="Aptos" w:hAnsi="Aptos" w:eastAsia="Aptos" w:cs="Aptos"/>
            <w:noProof w:val="0"/>
            <w:sz w:val="24"/>
            <w:szCs w:val="24"/>
            <w:lang w:val="en-GB"/>
          </w:rPr>
          <w:t>https://doi.org/10.1038/nature08723</w:t>
        </w:r>
      </w:hyperlink>
      <w:r w:rsidRPr="41DF4824" w:rsidR="44DB5B21">
        <w:rPr>
          <w:rFonts w:ascii="Aptos" w:hAnsi="Aptos" w:eastAsia="Aptos" w:cs="Aptos"/>
          <w:noProof w:val="0"/>
          <w:sz w:val="24"/>
          <w:szCs w:val="24"/>
          <w:lang w:val="en-GB"/>
        </w:rPr>
        <w:t>.</w:t>
      </w:r>
    </w:p>
    <w:p w:rsidR="1A41D465" w:rsidP="41DF4824" w:rsidRDefault="1A41D465" w14:paraId="3099530A" w14:textId="0E768BAF">
      <w:pPr>
        <w:spacing w:before="0" w:beforeAutospacing="off" w:after="0" w:afterAutospacing="off" w:line="360" w:lineRule="auto"/>
        <w:rPr>
          <w:rFonts w:ascii="Aptos" w:hAnsi="Aptos" w:eastAsia="Aptos" w:cs="Aptos"/>
          <w:noProof w:val="0"/>
          <w:sz w:val="24"/>
          <w:szCs w:val="24"/>
          <w:lang w:val="en-GB"/>
        </w:rPr>
      </w:pPr>
    </w:p>
    <w:p w:rsidR="1A41D465" w:rsidP="41DF4824" w:rsidRDefault="1A41D465" w14:paraId="767B693E" w14:textId="4C389FEC">
      <w:pPr>
        <w:spacing w:before="0" w:beforeAutospacing="off" w:after="0" w:afterAutospacing="off" w:line="360" w:lineRule="auto"/>
        <w:rPr>
          <w:rFonts w:ascii="Aptos" w:hAnsi="Aptos" w:eastAsia="Aptos" w:cs="Aptos"/>
          <w:noProof w:val="0"/>
          <w:sz w:val="24"/>
          <w:szCs w:val="24"/>
          <w:lang w:val="en-GB"/>
        </w:rPr>
      </w:pPr>
      <w:r w:rsidRPr="41DF4824" w:rsidR="407A1C03">
        <w:rPr>
          <w:rFonts w:ascii="Aptos" w:hAnsi="Aptos" w:eastAsia="Aptos" w:cs="Aptos"/>
          <w:noProof w:val="0"/>
          <w:sz w:val="24"/>
          <w:szCs w:val="24"/>
          <w:lang w:val="en-GB"/>
        </w:rPr>
        <w:t>Leetun</w:t>
      </w:r>
      <w:r w:rsidRPr="41DF4824" w:rsidR="407A1C03">
        <w:rPr>
          <w:rFonts w:ascii="Aptos" w:hAnsi="Aptos" w:eastAsia="Aptos" w:cs="Aptos"/>
          <w:noProof w:val="0"/>
          <w:sz w:val="24"/>
          <w:szCs w:val="24"/>
          <w:lang w:val="en-GB"/>
        </w:rPr>
        <w:t>, D.T., Ireland, M.L., Willson, J.D., Ballantyne, B.T. and Davis, I. (2004). Core stability measures as risk factors for lower extremity injury in athletes. Medicine &amp; science in sports &amp; exercise, 36(6), pp.926-934.</w:t>
      </w:r>
    </w:p>
    <w:p w:rsidR="1A41D465" w:rsidP="41DF4824" w:rsidRDefault="1A41D465" w14:paraId="41035921" w14:textId="38BB6933">
      <w:pPr>
        <w:spacing w:before="0" w:beforeAutospacing="off" w:after="0" w:afterAutospacing="off" w:line="360" w:lineRule="auto"/>
        <w:rPr>
          <w:rFonts w:ascii="Aptos" w:hAnsi="Aptos" w:eastAsia="Aptos" w:cs="Aptos"/>
          <w:noProof w:val="0"/>
          <w:sz w:val="24"/>
          <w:szCs w:val="24"/>
          <w:lang w:val="en-GB"/>
        </w:rPr>
      </w:pPr>
    </w:p>
    <w:p w:rsidR="1A41D465" w:rsidP="41DF4824" w:rsidRDefault="1A41D465" w14:paraId="7E118CD6" w14:textId="5480DC02">
      <w:pPr>
        <w:spacing w:before="0" w:beforeAutospacing="off" w:after="0" w:afterAutospacing="off" w:line="360" w:lineRule="auto"/>
      </w:pPr>
      <w:r w:rsidRPr="41DF4824" w:rsidR="07F0272D">
        <w:rPr>
          <w:rFonts w:ascii="Aptos" w:hAnsi="Aptos" w:eastAsia="Aptos" w:cs="Aptos"/>
          <w:noProof w:val="0"/>
          <w:sz w:val="24"/>
          <w:szCs w:val="24"/>
          <w:lang w:val="en-GB"/>
        </w:rPr>
        <w:t xml:space="preserve">Llanos-Lagos, C. </w:t>
      </w:r>
      <w:r w:rsidRPr="41DF4824" w:rsidR="07F0272D">
        <w:rPr>
          <w:rFonts w:ascii="Aptos" w:hAnsi="Aptos" w:eastAsia="Aptos" w:cs="Aptos"/>
          <w:i w:val="1"/>
          <w:iCs w:val="1"/>
          <w:noProof w:val="0"/>
          <w:sz w:val="24"/>
          <w:szCs w:val="24"/>
          <w:lang w:val="en-GB"/>
        </w:rPr>
        <w:t>et al.</w:t>
      </w:r>
      <w:r w:rsidRPr="41DF4824" w:rsidR="07F0272D">
        <w:rPr>
          <w:rFonts w:ascii="Aptos" w:hAnsi="Aptos" w:eastAsia="Aptos" w:cs="Aptos"/>
          <w:noProof w:val="0"/>
          <w:sz w:val="24"/>
          <w:szCs w:val="24"/>
          <w:lang w:val="en-GB"/>
        </w:rPr>
        <w:t xml:space="preserve"> (2024) “Effect of Strength Training Programs in Middle- and Long-Distance Runners’ Economy at Different Running Speeds: A Systematic Review with Meta-analysis,” </w:t>
      </w:r>
      <w:r w:rsidRPr="41DF4824" w:rsidR="07F0272D">
        <w:rPr>
          <w:rFonts w:ascii="Aptos" w:hAnsi="Aptos" w:eastAsia="Aptos" w:cs="Aptos"/>
          <w:i w:val="1"/>
          <w:iCs w:val="1"/>
          <w:noProof w:val="0"/>
          <w:sz w:val="24"/>
          <w:szCs w:val="24"/>
          <w:lang w:val="en-GB"/>
        </w:rPr>
        <w:t>Sports medicine (Auckland)</w:t>
      </w:r>
      <w:r w:rsidRPr="41DF4824" w:rsidR="07F0272D">
        <w:rPr>
          <w:rFonts w:ascii="Aptos" w:hAnsi="Aptos" w:eastAsia="Aptos" w:cs="Aptos"/>
          <w:noProof w:val="0"/>
          <w:sz w:val="24"/>
          <w:szCs w:val="24"/>
          <w:lang w:val="en-GB"/>
        </w:rPr>
        <w:t xml:space="preserve">, 54(4), pp. 895–932. Available at: </w:t>
      </w:r>
      <w:hyperlink r:id="Rf34212a5b4e34cc6">
        <w:r w:rsidRPr="41DF4824" w:rsidR="07F0272D">
          <w:rPr>
            <w:rStyle w:val="Hyperlink"/>
            <w:rFonts w:ascii="Aptos" w:hAnsi="Aptos" w:eastAsia="Aptos" w:cs="Aptos"/>
            <w:noProof w:val="0"/>
            <w:sz w:val="24"/>
            <w:szCs w:val="24"/>
            <w:lang w:val="en-GB"/>
          </w:rPr>
          <w:t>https://doi.org/10.1007/s40279-023-01978-y</w:t>
        </w:r>
      </w:hyperlink>
      <w:r w:rsidRPr="41DF4824" w:rsidR="07F0272D">
        <w:rPr>
          <w:rFonts w:ascii="Aptos" w:hAnsi="Aptos" w:eastAsia="Aptos" w:cs="Aptos"/>
          <w:noProof w:val="0"/>
          <w:sz w:val="24"/>
          <w:szCs w:val="24"/>
          <w:lang w:val="en-GB"/>
        </w:rPr>
        <w:t>.</w:t>
      </w:r>
    </w:p>
    <w:p w:rsidR="1A41D465" w:rsidP="41DF4824" w:rsidRDefault="1A41D465" w14:paraId="02EB8C14" w14:textId="628ED3CC">
      <w:pPr>
        <w:spacing w:before="0" w:beforeAutospacing="off" w:after="0" w:afterAutospacing="off" w:line="360" w:lineRule="auto"/>
        <w:rPr>
          <w:rFonts w:ascii="Aptos" w:hAnsi="Aptos" w:eastAsia="Aptos" w:cs="Aptos"/>
          <w:noProof w:val="0"/>
          <w:sz w:val="24"/>
          <w:szCs w:val="24"/>
          <w:lang w:val="en-GB"/>
        </w:rPr>
      </w:pPr>
    </w:p>
    <w:p w:rsidR="1A41D465" w:rsidP="41DF4824" w:rsidRDefault="1A41D465" w14:paraId="3FD2F249" w14:textId="601ECCCB">
      <w:pPr>
        <w:spacing w:before="0" w:beforeAutospacing="off" w:after="0" w:afterAutospacing="off" w:line="360" w:lineRule="auto"/>
      </w:pPr>
      <w:r w:rsidRPr="41DF4824" w:rsidR="514E83D1">
        <w:rPr>
          <w:rFonts w:ascii="Aptos" w:hAnsi="Aptos" w:eastAsia="Aptos" w:cs="Aptos"/>
          <w:noProof w:val="0"/>
          <w:sz w:val="24"/>
          <w:szCs w:val="24"/>
          <w:lang w:val="en-GB"/>
        </w:rPr>
        <w:t xml:space="preserve">Moore, I.S. (2016) “Is There an Economical Running Technique? A Review of Modifiable Biomechanical Factors Affecting Running Economy,” </w:t>
      </w:r>
      <w:r w:rsidRPr="41DF4824" w:rsidR="514E83D1">
        <w:rPr>
          <w:rFonts w:ascii="Aptos" w:hAnsi="Aptos" w:eastAsia="Aptos" w:cs="Aptos"/>
          <w:i w:val="1"/>
          <w:iCs w:val="1"/>
          <w:noProof w:val="0"/>
          <w:sz w:val="24"/>
          <w:szCs w:val="24"/>
          <w:lang w:val="en-GB"/>
        </w:rPr>
        <w:t>Sports medicine (Auckland)</w:t>
      </w:r>
      <w:r w:rsidRPr="41DF4824" w:rsidR="514E83D1">
        <w:rPr>
          <w:rFonts w:ascii="Aptos" w:hAnsi="Aptos" w:eastAsia="Aptos" w:cs="Aptos"/>
          <w:noProof w:val="0"/>
          <w:sz w:val="24"/>
          <w:szCs w:val="24"/>
          <w:lang w:val="en-GB"/>
        </w:rPr>
        <w:t xml:space="preserve">, 46(6), pp. 793–807. Available at: </w:t>
      </w:r>
      <w:hyperlink r:id="Rd0376413d2a54663">
        <w:r w:rsidRPr="41DF4824" w:rsidR="514E83D1">
          <w:rPr>
            <w:rStyle w:val="Hyperlink"/>
            <w:rFonts w:ascii="Aptos" w:hAnsi="Aptos" w:eastAsia="Aptos" w:cs="Aptos"/>
            <w:noProof w:val="0"/>
            <w:sz w:val="24"/>
            <w:szCs w:val="24"/>
            <w:lang w:val="en-GB"/>
          </w:rPr>
          <w:t>https://doi.org/10.1007/s40279-016-0474-4</w:t>
        </w:r>
      </w:hyperlink>
      <w:r w:rsidRPr="41DF4824" w:rsidR="514E83D1">
        <w:rPr>
          <w:rFonts w:ascii="Aptos" w:hAnsi="Aptos" w:eastAsia="Aptos" w:cs="Aptos"/>
          <w:noProof w:val="0"/>
          <w:sz w:val="24"/>
          <w:szCs w:val="24"/>
          <w:lang w:val="en-GB"/>
        </w:rPr>
        <w:t>.</w:t>
      </w:r>
    </w:p>
    <w:p w:rsidR="1A41D465" w:rsidP="41DF4824" w:rsidRDefault="1A41D465" w14:paraId="07A7D994" w14:textId="7018647E">
      <w:pPr>
        <w:spacing w:before="0" w:beforeAutospacing="off" w:after="0" w:afterAutospacing="off" w:line="360" w:lineRule="auto"/>
        <w:rPr>
          <w:rFonts w:ascii="Aptos" w:hAnsi="Aptos" w:eastAsia="Aptos" w:cs="Aptos"/>
          <w:noProof w:val="0"/>
          <w:sz w:val="24"/>
          <w:szCs w:val="24"/>
          <w:lang w:val="en-GB"/>
        </w:rPr>
      </w:pPr>
    </w:p>
    <w:p w:rsidR="1A41D465" w:rsidP="41DF4824" w:rsidRDefault="1A41D465" w14:paraId="20100565" w14:textId="56002D5F">
      <w:pPr>
        <w:spacing w:before="0" w:beforeAutospacing="off" w:after="0" w:afterAutospacing="off" w:line="360" w:lineRule="auto"/>
        <w:rPr>
          <w:rFonts w:ascii="Aptos" w:hAnsi="Aptos" w:eastAsia="Aptos" w:cs="Aptos"/>
          <w:noProof w:val="0"/>
          <w:sz w:val="24"/>
          <w:szCs w:val="24"/>
          <w:lang w:val="en-GB"/>
        </w:rPr>
      </w:pPr>
      <w:r w:rsidRPr="41DF4824" w:rsidR="738CDD2C">
        <w:rPr>
          <w:rFonts w:ascii="Aptos" w:hAnsi="Aptos" w:eastAsia="Aptos" w:cs="Aptos"/>
          <w:noProof w:val="0"/>
          <w:sz w:val="24"/>
          <w:szCs w:val="24"/>
          <w:lang w:val="en-GB"/>
        </w:rPr>
        <w:t xml:space="preserve">Powers, C.M., </w:t>
      </w:r>
      <w:r w:rsidRPr="41DF4824" w:rsidR="0BEFF653">
        <w:rPr>
          <w:rFonts w:ascii="Aptos" w:hAnsi="Aptos" w:eastAsia="Aptos" w:cs="Aptos"/>
          <w:noProof w:val="0"/>
          <w:sz w:val="24"/>
          <w:szCs w:val="24"/>
          <w:lang w:val="en-GB"/>
        </w:rPr>
        <w:t>(</w:t>
      </w:r>
      <w:r w:rsidRPr="41DF4824" w:rsidR="738CDD2C">
        <w:rPr>
          <w:rFonts w:ascii="Aptos" w:hAnsi="Aptos" w:eastAsia="Aptos" w:cs="Aptos"/>
          <w:noProof w:val="0"/>
          <w:sz w:val="24"/>
          <w:szCs w:val="24"/>
          <w:lang w:val="en-GB"/>
        </w:rPr>
        <w:t>2010</w:t>
      </w:r>
      <w:r w:rsidRPr="41DF4824" w:rsidR="38984CE8">
        <w:rPr>
          <w:rFonts w:ascii="Aptos" w:hAnsi="Aptos" w:eastAsia="Aptos" w:cs="Aptos"/>
          <w:noProof w:val="0"/>
          <w:sz w:val="24"/>
          <w:szCs w:val="24"/>
          <w:lang w:val="en-GB"/>
        </w:rPr>
        <w:t>)</w:t>
      </w:r>
      <w:r w:rsidRPr="41DF4824" w:rsidR="738CDD2C">
        <w:rPr>
          <w:rFonts w:ascii="Aptos" w:hAnsi="Aptos" w:eastAsia="Aptos" w:cs="Aptos"/>
          <w:noProof w:val="0"/>
          <w:sz w:val="24"/>
          <w:szCs w:val="24"/>
          <w:lang w:val="en-GB"/>
        </w:rPr>
        <w:t>. The influence of abnormal hip mechanics on knee injury: a biomechanical perspective. journal of orthopaedic &amp; sports physical therapy, 40(2), pp.42-51.</w:t>
      </w:r>
    </w:p>
    <w:p w:rsidR="1A41D465" w:rsidP="41DF4824" w:rsidRDefault="1A41D465" w14:paraId="725B9CBD" w14:textId="72D5BD38">
      <w:pPr>
        <w:spacing w:before="0" w:beforeAutospacing="off" w:after="0" w:afterAutospacing="off" w:line="360" w:lineRule="auto"/>
        <w:rPr>
          <w:rFonts w:ascii="Aptos" w:hAnsi="Aptos" w:eastAsia="Aptos" w:cs="Aptos"/>
          <w:noProof w:val="0"/>
          <w:sz w:val="24"/>
          <w:szCs w:val="24"/>
          <w:lang w:val="en-GB"/>
        </w:rPr>
      </w:pPr>
    </w:p>
    <w:p w:rsidR="1A41D465" w:rsidP="41DF4824" w:rsidRDefault="1A41D465" w14:paraId="463EFE28" w14:textId="23D72B3B">
      <w:pPr>
        <w:spacing w:before="0" w:beforeAutospacing="off" w:after="0" w:afterAutospacing="off" w:line="360" w:lineRule="auto"/>
      </w:pPr>
      <w:r w:rsidRPr="41DF4824" w:rsidR="27865D15">
        <w:rPr>
          <w:rFonts w:ascii="Aptos" w:hAnsi="Aptos" w:eastAsia="Aptos" w:cs="Aptos"/>
          <w:noProof w:val="0"/>
          <w:sz w:val="24"/>
          <w:szCs w:val="24"/>
          <w:lang w:val="en-GB"/>
        </w:rPr>
        <w:t>Schache</w:t>
      </w:r>
      <w:r w:rsidRPr="41DF4824" w:rsidR="27865D15">
        <w:rPr>
          <w:rFonts w:ascii="Aptos" w:hAnsi="Aptos" w:eastAsia="Aptos" w:cs="Aptos"/>
          <w:noProof w:val="0"/>
          <w:sz w:val="24"/>
          <w:szCs w:val="24"/>
          <w:lang w:val="en-GB"/>
        </w:rPr>
        <w:t xml:space="preserve">, A.G. </w:t>
      </w:r>
      <w:r w:rsidRPr="41DF4824" w:rsidR="27865D15">
        <w:rPr>
          <w:rFonts w:ascii="Aptos" w:hAnsi="Aptos" w:eastAsia="Aptos" w:cs="Aptos"/>
          <w:i w:val="1"/>
          <w:iCs w:val="1"/>
          <w:noProof w:val="0"/>
          <w:sz w:val="24"/>
          <w:szCs w:val="24"/>
          <w:lang w:val="en-GB"/>
        </w:rPr>
        <w:t>et al.</w:t>
      </w:r>
      <w:r w:rsidRPr="41DF4824" w:rsidR="27865D15">
        <w:rPr>
          <w:rFonts w:ascii="Aptos" w:hAnsi="Aptos" w:eastAsia="Aptos" w:cs="Aptos"/>
          <w:noProof w:val="0"/>
          <w:sz w:val="24"/>
          <w:szCs w:val="24"/>
          <w:lang w:val="en-GB"/>
        </w:rPr>
        <w:t xml:space="preserve"> (2013) “Stretch and activation of the human biarticular hamstrings across a range of running speeds,” </w:t>
      </w:r>
      <w:r w:rsidRPr="41DF4824" w:rsidR="27865D15">
        <w:rPr>
          <w:rFonts w:ascii="Aptos" w:hAnsi="Aptos" w:eastAsia="Aptos" w:cs="Aptos"/>
          <w:i w:val="1"/>
          <w:iCs w:val="1"/>
          <w:noProof w:val="0"/>
          <w:sz w:val="24"/>
          <w:szCs w:val="24"/>
          <w:lang w:val="en-GB"/>
        </w:rPr>
        <w:t>European journal of applied physiology</w:t>
      </w:r>
      <w:r w:rsidRPr="41DF4824" w:rsidR="27865D15">
        <w:rPr>
          <w:rFonts w:ascii="Aptos" w:hAnsi="Aptos" w:eastAsia="Aptos" w:cs="Aptos"/>
          <w:noProof w:val="0"/>
          <w:sz w:val="24"/>
          <w:szCs w:val="24"/>
          <w:lang w:val="en-GB"/>
        </w:rPr>
        <w:t xml:space="preserve">, 113(11), pp. 2813–2828. Available at: </w:t>
      </w:r>
      <w:hyperlink r:id="R7127936a0f2e4957">
        <w:r w:rsidRPr="41DF4824" w:rsidR="27865D15">
          <w:rPr>
            <w:rStyle w:val="Hyperlink"/>
            <w:rFonts w:ascii="Aptos" w:hAnsi="Aptos" w:eastAsia="Aptos" w:cs="Aptos"/>
            <w:noProof w:val="0"/>
            <w:sz w:val="24"/>
            <w:szCs w:val="24"/>
            <w:lang w:val="en-GB"/>
          </w:rPr>
          <w:t>https://doi.org/10.1007/s00421-013-2713-9</w:t>
        </w:r>
      </w:hyperlink>
      <w:r w:rsidRPr="41DF4824" w:rsidR="27865D15">
        <w:rPr>
          <w:rFonts w:ascii="Aptos" w:hAnsi="Aptos" w:eastAsia="Aptos" w:cs="Aptos"/>
          <w:noProof w:val="0"/>
          <w:sz w:val="24"/>
          <w:szCs w:val="24"/>
          <w:lang w:val="en-GB"/>
        </w:rPr>
        <w:t>.</w:t>
      </w:r>
    </w:p>
    <w:p w:rsidR="1A41D465" w:rsidP="41DF4824" w:rsidRDefault="1A41D465" w14:paraId="4101164C" w14:textId="62C1EA6C">
      <w:pPr>
        <w:spacing w:before="0" w:beforeAutospacing="off" w:after="0" w:afterAutospacing="off" w:line="360" w:lineRule="auto"/>
        <w:rPr>
          <w:rFonts w:ascii="Aptos" w:hAnsi="Aptos" w:eastAsia="Aptos" w:cs="Aptos"/>
          <w:noProof w:val="0"/>
          <w:sz w:val="24"/>
          <w:szCs w:val="24"/>
          <w:lang w:val="en-GB"/>
        </w:rPr>
      </w:pPr>
    </w:p>
    <w:p w:rsidR="1A41D465" w:rsidP="41DF4824" w:rsidRDefault="1A41D465" w14:paraId="05C3B1C6" w14:textId="602D618A">
      <w:pPr>
        <w:spacing w:before="0" w:beforeAutospacing="off" w:after="0" w:afterAutospacing="off" w:line="360" w:lineRule="auto"/>
      </w:pPr>
      <w:r w:rsidRPr="41DF4824" w:rsidR="1AAF27D3">
        <w:rPr>
          <w:rFonts w:ascii="Aptos" w:hAnsi="Aptos" w:eastAsia="Aptos" w:cs="Aptos"/>
          <w:noProof w:val="0"/>
          <w:sz w:val="24"/>
          <w:szCs w:val="24"/>
          <w:lang w:val="en-GB"/>
        </w:rPr>
        <w:t xml:space="preserve">Van </w:t>
      </w:r>
      <w:r w:rsidRPr="41DF4824" w:rsidR="1AAF27D3">
        <w:rPr>
          <w:rFonts w:ascii="Aptos" w:hAnsi="Aptos" w:eastAsia="Aptos" w:cs="Aptos"/>
          <w:noProof w:val="0"/>
          <w:sz w:val="24"/>
          <w:szCs w:val="24"/>
          <w:lang w:val="en-GB"/>
        </w:rPr>
        <w:t>Hooren</w:t>
      </w:r>
      <w:r w:rsidRPr="41DF4824" w:rsidR="1AAF27D3">
        <w:rPr>
          <w:rFonts w:ascii="Aptos" w:hAnsi="Aptos" w:eastAsia="Aptos" w:cs="Aptos"/>
          <w:noProof w:val="0"/>
          <w:sz w:val="24"/>
          <w:szCs w:val="24"/>
          <w:lang w:val="en-GB"/>
        </w:rPr>
        <w:t xml:space="preserve">, B. </w:t>
      </w:r>
      <w:r w:rsidRPr="41DF4824" w:rsidR="1AAF27D3">
        <w:rPr>
          <w:rFonts w:ascii="Aptos" w:hAnsi="Aptos" w:eastAsia="Aptos" w:cs="Aptos"/>
          <w:i w:val="1"/>
          <w:iCs w:val="1"/>
          <w:noProof w:val="0"/>
          <w:sz w:val="24"/>
          <w:szCs w:val="24"/>
          <w:lang w:val="en-GB"/>
        </w:rPr>
        <w:t>et al.</w:t>
      </w:r>
      <w:r w:rsidRPr="41DF4824" w:rsidR="1AAF27D3">
        <w:rPr>
          <w:rFonts w:ascii="Aptos" w:hAnsi="Aptos" w:eastAsia="Aptos" w:cs="Aptos"/>
          <w:noProof w:val="0"/>
          <w:sz w:val="24"/>
          <w:szCs w:val="24"/>
          <w:lang w:val="en-GB"/>
        </w:rPr>
        <w:t xml:space="preserve"> (2025) “Correction to: The Relationship Between Running Biomechanics and Running Economy: A Systematic Review and Meta-Analysis of Observational Studies: Relationship Between Running Biomechanics and Running Economy,” </w:t>
      </w:r>
      <w:r w:rsidRPr="41DF4824" w:rsidR="1AAF27D3">
        <w:rPr>
          <w:rFonts w:ascii="Aptos" w:hAnsi="Aptos" w:eastAsia="Aptos" w:cs="Aptos"/>
          <w:i w:val="1"/>
          <w:iCs w:val="1"/>
          <w:noProof w:val="0"/>
          <w:sz w:val="24"/>
          <w:szCs w:val="24"/>
          <w:lang w:val="en-GB"/>
        </w:rPr>
        <w:t>Sports medicine (Auckland)</w:t>
      </w:r>
      <w:r w:rsidRPr="41DF4824" w:rsidR="1AAF27D3">
        <w:rPr>
          <w:rFonts w:ascii="Aptos" w:hAnsi="Aptos" w:eastAsia="Aptos" w:cs="Aptos"/>
          <w:noProof w:val="0"/>
          <w:sz w:val="24"/>
          <w:szCs w:val="24"/>
          <w:lang w:val="en-GB"/>
        </w:rPr>
        <w:t xml:space="preserve">, 55(3), pp. 779–780. Available at: </w:t>
      </w:r>
      <w:hyperlink r:id="R710b7588bb1c444c">
        <w:r w:rsidRPr="41DF4824" w:rsidR="1AAF27D3">
          <w:rPr>
            <w:rStyle w:val="Hyperlink"/>
            <w:rFonts w:ascii="Aptos" w:hAnsi="Aptos" w:eastAsia="Aptos" w:cs="Aptos"/>
            <w:noProof w:val="0"/>
            <w:sz w:val="24"/>
            <w:szCs w:val="24"/>
            <w:lang w:val="en-GB"/>
          </w:rPr>
          <w:t>https://doi.org/10.1007/s40279-024-02157-3</w:t>
        </w:r>
      </w:hyperlink>
      <w:r w:rsidRPr="41DF4824" w:rsidR="1AAF27D3">
        <w:rPr>
          <w:rFonts w:ascii="Aptos" w:hAnsi="Aptos" w:eastAsia="Aptos" w:cs="Aptos"/>
          <w:noProof w:val="0"/>
          <w:sz w:val="24"/>
          <w:szCs w:val="24"/>
          <w:lang w:val="en-GB"/>
        </w:rPr>
        <w:t>.</w:t>
      </w:r>
    </w:p>
    <w:p w:rsidR="1A41D465" w:rsidP="41DF4824" w:rsidRDefault="1A41D465" w14:paraId="2425571B" w14:textId="006ADCD8">
      <w:pPr>
        <w:spacing w:before="0" w:beforeAutospacing="off" w:after="0" w:afterAutospacing="off" w:line="360" w:lineRule="auto"/>
        <w:rPr>
          <w:rFonts w:ascii="Aptos" w:hAnsi="Aptos" w:eastAsia="Aptos" w:cs="Aptos"/>
          <w:noProof w:val="0"/>
          <w:sz w:val="24"/>
          <w:szCs w:val="24"/>
          <w:lang w:val="en-GB"/>
        </w:rPr>
      </w:pPr>
    </w:p>
    <w:p w:rsidR="1A41D465" w:rsidP="41DF4824" w:rsidRDefault="1A41D465" w14:paraId="2571B549" w14:textId="527B49DE">
      <w:pPr>
        <w:spacing w:before="0" w:beforeAutospacing="off" w:after="0" w:afterAutospacing="off" w:line="360" w:lineRule="auto"/>
      </w:pPr>
      <w:r w:rsidRPr="41DF4824" w:rsidR="06022CFA">
        <w:rPr>
          <w:rFonts w:ascii="Aptos" w:hAnsi="Aptos" w:eastAsia="Aptos" w:cs="Aptos"/>
          <w:noProof w:val="0"/>
          <w:sz w:val="24"/>
          <w:szCs w:val="24"/>
          <w:lang w:val="en-GB"/>
        </w:rPr>
        <w:t xml:space="preserve">Zandbergen, M.A. </w:t>
      </w:r>
      <w:r w:rsidRPr="41DF4824" w:rsidR="06022CFA">
        <w:rPr>
          <w:rFonts w:ascii="Aptos" w:hAnsi="Aptos" w:eastAsia="Aptos" w:cs="Aptos"/>
          <w:i w:val="1"/>
          <w:iCs w:val="1"/>
          <w:noProof w:val="0"/>
          <w:sz w:val="24"/>
          <w:szCs w:val="24"/>
          <w:lang w:val="en-GB"/>
        </w:rPr>
        <w:t>et al.</w:t>
      </w:r>
      <w:r w:rsidRPr="41DF4824" w:rsidR="06022CFA">
        <w:rPr>
          <w:rFonts w:ascii="Aptos" w:hAnsi="Aptos" w:eastAsia="Aptos" w:cs="Aptos"/>
          <w:noProof w:val="0"/>
          <w:sz w:val="24"/>
          <w:szCs w:val="24"/>
          <w:lang w:val="en-GB"/>
        </w:rPr>
        <w:t xml:space="preserve"> (2023) “Effects of level running-induced fatigue on running kinematics: A systematic review and meta-analysis,” </w:t>
      </w:r>
      <w:r w:rsidRPr="41DF4824" w:rsidR="06022CFA">
        <w:rPr>
          <w:rFonts w:ascii="Aptos" w:hAnsi="Aptos" w:eastAsia="Aptos" w:cs="Aptos"/>
          <w:i w:val="1"/>
          <w:iCs w:val="1"/>
          <w:noProof w:val="0"/>
          <w:sz w:val="24"/>
          <w:szCs w:val="24"/>
          <w:lang w:val="en-GB"/>
        </w:rPr>
        <w:t>Gait &amp; posture</w:t>
      </w:r>
      <w:r w:rsidRPr="41DF4824" w:rsidR="06022CFA">
        <w:rPr>
          <w:rFonts w:ascii="Aptos" w:hAnsi="Aptos" w:eastAsia="Aptos" w:cs="Aptos"/>
          <w:noProof w:val="0"/>
          <w:sz w:val="24"/>
          <w:szCs w:val="24"/>
          <w:lang w:val="en-GB"/>
        </w:rPr>
        <w:t xml:space="preserve">, 99(NA), pp. 60–75. Available at: </w:t>
      </w:r>
      <w:hyperlink r:id="Ra5ebaa5767394db3">
        <w:r w:rsidRPr="41DF4824" w:rsidR="06022CFA">
          <w:rPr>
            <w:rStyle w:val="Hyperlink"/>
            <w:rFonts w:ascii="Aptos" w:hAnsi="Aptos" w:eastAsia="Aptos" w:cs="Aptos"/>
            <w:noProof w:val="0"/>
            <w:sz w:val="24"/>
            <w:szCs w:val="24"/>
            <w:lang w:val="en-GB"/>
          </w:rPr>
          <w:t>https://doi.org/10.1016/j.gaitpost.2022.09.089</w:t>
        </w:r>
      </w:hyperlink>
      <w:r w:rsidRPr="41DF4824" w:rsidR="06022CFA">
        <w:rPr>
          <w:rFonts w:ascii="Aptos" w:hAnsi="Aptos" w:eastAsia="Aptos" w:cs="Aptos"/>
          <w:noProof w:val="0"/>
          <w:sz w:val="24"/>
          <w:szCs w:val="24"/>
          <w:lang w:val="en-GB"/>
        </w:rPr>
        <w:t>.</w:t>
      </w:r>
    </w:p>
    <w:p w:rsidR="1A41D465" w:rsidP="41DF4824" w:rsidRDefault="1A41D465" w14:paraId="34A2D9E1" w14:textId="40C5AA65">
      <w:pPr>
        <w:spacing w:before="0" w:beforeAutospacing="off" w:after="0" w:afterAutospacing="off" w:line="360" w:lineRule="auto"/>
        <w:rPr>
          <w:rFonts w:ascii="Aptos" w:hAnsi="Aptos" w:eastAsia="Aptos" w:cs="Aptos"/>
          <w:noProof w:val="0"/>
          <w:sz w:val="24"/>
          <w:szCs w:val="24"/>
          <w:lang w:val="en-GB"/>
        </w:rPr>
      </w:pPr>
    </w:p>
    <w:p w:rsidR="1A41D465" w:rsidP="41DF4824" w:rsidRDefault="1A41D465" w14:paraId="3C65791E" w14:textId="0F2EA0AC">
      <w:pPr>
        <w:spacing w:before="0" w:beforeAutospacing="off" w:after="0" w:afterAutospacing="off" w:line="360" w:lineRule="auto"/>
        <w:rPr>
          <w:rFonts w:ascii="Aptos" w:hAnsi="Aptos" w:eastAsia="Aptos" w:cs="Aptos"/>
          <w:noProof w:val="0"/>
          <w:sz w:val="24"/>
          <w:szCs w:val="24"/>
          <w:lang w:val="en-GB"/>
        </w:rPr>
      </w:pPr>
    </w:p>
    <w:p w:rsidR="1A41D465" w:rsidP="41DF4824" w:rsidRDefault="1A41D465" w14:paraId="1063E3ED" w14:textId="662C781D">
      <w:pPr>
        <w:spacing w:before="0" w:beforeAutospacing="off" w:after="0" w:afterAutospacing="off" w:line="360" w:lineRule="auto"/>
        <w:rPr>
          <w:rFonts w:ascii="Aptos" w:hAnsi="Aptos" w:eastAsia="Aptos" w:cs="Aptos"/>
          <w:noProof w:val="0"/>
          <w:sz w:val="24"/>
          <w:szCs w:val="24"/>
          <w:lang w:val="en-GB"/>
        </w:rPr>
      </w:pPr>
    </w:p>
    <w:p w:rsidR="1A41D465" w:rsidP="1A41D465" w:rsidRDefault="1A41D465" w14:paraId="274C39DC" w14:textId="5232B10A">
      <w:pPr>
        <w:spacing w:line="360" w:lineRule="auto"/>
      </w:pPr>
    </w:p>
    <w:p w:rsidR="1A41D465" w:rsidP="1A41D465" w:rsidRDefault="1A41D465" w14:paraId="4EC7BB2F" w14:textId="18626E4B">
      <w:pPr>
        <w:spacing w:line="360" w:lineRule="auto"/>
      </w:pPr>
    </w:p>
    <w:p w:rsidR="1A41D465" w:rsidP="1A41D465" w:rsidRDefault="1A41D465" w14:paraId="3D2CCB0F" w14:textId="2AF0A53E">
      <w:pPr>
        <w:spacing w:line="360" w:lineRule="auto"/>
      </w:pPr>
    </w:p>
    <w:p w:rsidR="1A41D465" w:rsidRDefault="1A41D465" w14:paraId="6D61192E" w14:textId="7C68C1D0"/>
    <w:sectPr>
      <w:pgSz w:w="11906" w:h="16838" w:orient="portrait"/>
      <w:pgMar w:top="1440" w:right="1440" w:bottom="1440" w:left="1440" w:header="720" w:footer="720" w:gutter="0"/>
      <w:cols w:space="720"/>
      <w:docGrid w:linePitch="360"/>
      <w:headerReference w:type="default" r:id="R1f32d0ea6bdc4f90"/>
      <w:footerReference w:type="default" r:id="R234f9244f0ba4f2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A41D465" w:rsidTr="1A41D465" w14:paraId="145FB21D">
      <w:trPr>
        <w:trHeight w:val="300"/>
      </w:trPr>
      <w:tc>
        <w:tcPr>
          <w:tcW w:w="3005" w:type="dxa"/>
          <w:tcMar/>
        </w:tcPr>
        <w:p w:rsidR="1A41D465" w:rsidP="1A41D465" w:rsidRDefault="1A41D465" w14:paraId="6D07215D" w14:textId="3CA58F8C">
          <w:pPr>
            <w:pStyle w:val="Header"/>
            <w:bidi w:val="0"/>
            <w:ind w:left="-115"/>
            <w:jc w:val="left"/>
          </w:pPr>
        </w:p>
      </w:tc>
      <w:tc>
        <w:tcPr>
          <w:tcW w:w="3005" w:type="dxa"/>
          <w:tcMar/>
        </w:tcPr>
        <w:p w:rsidR="1A41D465" w:rsidP="1A41D465" w:rsidRDefault="1A41D465" w14:paraId="74682AED" w14:textId="3626A1C2">
          <w:pPr>
            <w:pStyle w:val="Header"/>
            <w:bidi w:val="0"/>
            <w:jc w:val="center"/>
          </w:pPr>
          <w:r>
            <w:fldChar w:fldCharType="begin"/>
          </w:r>
          <w:r>
            <w:instrText xml:space="preserve">PAGE</w:instrText>
          </w:r>
          <w:r>
            <w:fldChar w:fldCharType="separate"/>
          </w:r>
          <w:r>
            <w:fldChar w:fldCharType="end"/>
          </w:r>
        </w:p>
      </w:tc>
      <w:tc>
        <w:tcPr>
          <w:tcW w:w="3005" w:type="dxa"/>
          <w:tcMar/>
        </w:tcPr>
        <w:p w:rsidR="1A41D465" w:rsidP="1A41D465" w:rsidRDefault="1A41D465" w14:paraId="7162BB61" w14:textId="0D89CF27">
          <w:pPr>
            <w:pStyle w:val="Header"/>
            <w:bidi w:val="0"/>
            <w:ind w:right="-115"/>
            <w:jc w:val="right"/>
          </w:pPr>
        </w:p>
      </w:tc>
    </w:tr>
  </w:tbl>
  <w:p w:rsidR="1A41D465" w:rsidP="1A41D465" w:rsidRDefault="1A41D465" w14:paraId="169EC037" w14:textId="57DC158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A41D465" w:rsidTr="1A41D465" w14:paraId="4F8371B1">
      <w:trPr>
        <w:trHeight w:val="300"/>
      </w:trPr>
      <w:tc>
        <w:tcPr>
          <w:tcW w:w="3005" w:type="dxa"/>
          <w:tcMar/>
        </w:tcPr>
        <w:p w:rsidR="1A41D465" w:rsidP="1A41D465" w:rsidRDefault="1A41D465" w14:paraId="03A13156" w14:textId="141140DF">
          <w:pPr>
            <w:pStyle w:val="Header"/>
            <w:bidi w:val="0"/>
            <w:ind w:left="-115"/>
            <w:jc w:val="left"/>
          </w:pPr>
          <w:r w:rsidR="1A41D465">
            <w:rPr/>
            <w:t>BMST5001</w:t>
          </w:r>
        </w:p>
      </w:tc>
      <w:tc>
        <w:tcPr>
          <w:tcW w:w="3005" w:type="dxa"/>
          <w:tcMar/>
        </w:tcPr>
        <w:p w:rsidR="1A41D465" w:rsidP="1A41D465" w:rsidRDefault="1A41D465" w14:paraId="62E3D17A" w14:textId="1DE68989">
          <w:pPr>
            <w:pStyle w:val="Header"/>
            <w:bidi w:val="0"/>
            <w:jc w:val="center"/>
          </w:pPr>
          <w:r w:rsidR="1A41D465">
            <w:rPr/>
            <w:t>Biomechanical Analysis Report</w:t>
          </w:r>
        </w:p>
      </w:tc>
      <w:tc>
        <w:tcPr>
          <w:tcW w:w="3005" w:type="dxa"/>
          <w:tcMar/>
        </w:tcPr>
        <w:p w:rsidR="1A41D465" w:rsidP="1A41D465" w:rsidRDefault="1A41D465" w14:paraId="2754EEFF" w14:textId="45FDDAD3">
          <w:pPr>
            <w:pStyle w:val="Header"/>
            <w:bidi w:val="0"/>
            <w:ind w:right="-115"/>
            <w:jc w:val="right"/>
          </w:pPr>
          <w:r w:rsidR="1A41D465">
            <w:rPr/>
            <w:t>27000712</w:t>
          </w:r>
        </w:p>
      </w:tc>
    </w:tr>
  </w:tbl>
  <w:p w:rsidR="1A41D465" w:rsidP="1A41D465" w:rsidRDefault="1A41D465" w14:paraId="664CA2A7" w14:textId="4D9A3473">
    <w:pPr>
      <w:pStyle w:val="Header"/>
      <w:bidi w:val="0"/>
    </w:pPr>
  </w:p>
</w:hdr>
</file>

<file path=word/intelligence2.xml><?xml version="1.0" encoding="utf-8"?>
<int2:intelligence xmlns:int2="http://schemas.microsoft.com/office/intelligence/2020/intelligence">
  <int2:observations>
    <int2:textHash int2:hashCode="w+U/F6oY9/t0EP" int2:id="NsnxyhYA">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DEFAA1"/>
    <w:rsid w:val="00A22236"/>
    <w:rsid w:val="00EE5E22"/>
    <w:rsid w:val="02617D6C"/>
    <w:rsid w:val="02F7E928"/>
    <w:rsid w:val="033A3966"/>
    <w:rsid w:val="03AA89EA"/>
    <w:rsid w:val="0475FF95"/>
    <w:rsid w:val="06022CFA"/>
    <w:rsid w:val="061D80A8"/>
    <w:rsid w:val="0787A710"/>
    <w:rsid w:val="07A276F2"/>
    <w:rsid w:val="07DB4E7E"/>
    <w:rsid w:val="07F0272D"/>
    <w:rsid w:val="0937C002"/>
    <w:rsid w:val="09AC66FD"/>
    <w:rsid w:val="0A587DD2"/>
    <w:rsid w:val="0A8E15F7"/>
    <w:rsid w:val="0ACFD6A5"/>
    <w:rsid w:val="0BB770B3"/>
    <w:rsid w:val="0BEFF653"/>
    <w:rsid w:val="0D801B51"/>
    <w:rsid w:val="0E000101"/>
    <w:rsid w:val="0E37CDBF"/>
    <w:rsid w:val="0ECDF399"/>
    <w:rsid w:val="0F9F6045"/>
    <w:rsid w:val="0FF1B8B4"/>
    <w:rsid w:val="120271F8"/>
    <w:rsid w:val="1222CC58"/>
    <w:rsid w:val="122BFEFE"/>
    <w:rsid w:val="12301B5E"/>
    <w:rsid w:val="12C0CDE8"/>
    <w:rsid w:val="12F596E4"/>
    <w:rsid w:val="138B7A58"/>
    <w:rsid w:val="13B1EDFA"/>
    <w:rsid w:val="13B58298"/>
    <w:rsid w:val="13EFB859"/>
    <w:rsid w:val="1426B4B5"/>
    <w:rsid w:val="1474B9C3"/>
    <w:rsid w:val="16049AFE"/>
    <w:rsid w:val="167DD018"/>
    <w:rsid w:val="17AE648B"/>
    <w:rsid w:val="17B62C54"/>
    <w:rsid w:val="18718A62"/>
    <w:rsid w:val="18777BA3"/>
    <w:rsid w:val="18EAC6D9"/>
    <w:rsid w:val="1907BA9A"/>
    <w:rsid w:val="1962F664"/>
    <w:rsid w:val="19E7BFB5"/>
    <w:rsid w:val="1A388744"/>
    <w:rsid w:val="1A41D465"/>
    <w:rsid w:val="1AAF27D3"/>
    <w:rsid w:val="1B21D48A"/>
    <w:rsid w:val="1C83A58A"/>
    <w:rsid w:val="1C89DC92"/>
    <w:rsid w:val="1E878763"/>
    <w:rsid w:val="1EDD94AB"/>
    <w:rsid w:val="1F052524"/>
    <w:rsid w:val="200E4E66"/>
    <w:rsid w:val="205B9557"/>
    <w:rsid w:val="21509DAD"/>
    <w:rsid w:val="24552475"/>
    <w:rsid w:val="247F3E0B"/>
    <w:rsid w:val="24CCD3C0"/>
    <w:rsid w:val="258240A6"/>
    <w:rsid w:val="2614142C"/>
    <w:rsid w:val="26D0A46C"/>
    <w:rsid w:val="26F91E2B"/>
    <w:rsid w:val="27865D15"/>
    <w:rsid w:val="27B6A3FF"/>
    <w:rsid w:val="285034E3"/>
    <w:rsid w:val="28A7BC53"/>
    <w:rsid w:val="291254E3"/>
    <w:rsid w:val="29CB4F54"/>
    <w:rsid w:val="2B8DCC76"/>
    <w:rsid w:val="2BDEA18A"/>
    <w:rsid w:val="2C53D18F"/>
    <w:rsid w:val="2C9A649E"/>
    <w:rsid w:val="2D7B982D"/>
    <w:rsid w:val="2DAB791A"/>
    <w:rsid w:val="2DFC02FF"/>
    <w:rsid w:val="2E9C70C7"/>
    <w:rsid w:val="2EDBE293"/>
    <w:rsid w:val="2F3EB24E"/>
    <w:rsid w:val="2F5458DB"/>
    <w:rsid w:val="30166F1D"/>
    <w:rsid w:val="307FBB80"/>
    <w:rsid w:val="32769C4E"/>
    <w:rsid w:val="3330D79E"/>
    <w:rsid w:val="33F40769"/>
    <w:rsid w:val="34C64CCE"/>
    <w:rsid w:val="34DC5404"/>
    <w:rsid w:val="35C8BED0"/>
    <w:rsid w:val="365EB664"/>
    <w:rsid w:val="36988326"/>
    <w:rsid w:val="373A610F"/>
    <w:rsid w:val="37C14AB3"/>
    <w:rsid w:val="37DED867"/>
    <w:rsid w:val="38280F87"/>
    <w:rsid w:val="38984CE8"/>
    <w:rsid w:val="38AF13E5"/>
    <w:rsid w:val="39836837"/>
    <w:rsid w:val="3A02B325"/>
    <w:rsid w:val="3A4382F3"/>
    <w:rsid w:val="3AF22F20"/>
    <w:rsid w:val="3B477C79"/>
    <w:rsid w:val="3B49E0FE"/>
    <w:rsid w:val="3BABE2B9"/>
    <w:rsid w:val="3E78CBAB"/>
    <w:rsid w:val="407A1C03"/>
    <w:rsid w:val="40F73900"/>
    <w:rsid w:val="4140711E"/>
    <w:rsid w:val="41DF4824"/>
    <w:rsid w:val="421715B8"/>
    <w:rsid w:val="43B7DAAF"/>
    <w:rsid w:val="441116FA"/>
    <w:rsid w:val="447DD75F"/>
    <w:rsid w:val="44DB5B21"/>
    <w:rsid w:val="454D96DA"/>
    <w:rsid w:val="45A35DAF"/>
    <w:rsid w:val="46E9D425"/>
    <w:rsid w:val="4769CD7F"/>
    <w:rsid w:val="47B8A675"/>
    <w:rsid w:val="48CF41E7"/>
    <w:rsid w:val="49485414"/>
    <w:rsid w:val="49F73E0E"/>
    <w:rsid w:val="49FC5B0D"/>
    <w:rsid w:val="4A68F79E"/>
    <w:rsid w:val="4C27D54C"/>
    <w:rsid w:val="4CF80FC6"/>
    <w:rsid w:val="4D080229"/>
    <w:rsid w:val="4D8B6A44"/>
    <w:rsid w:val="4DC08B7A"/>
    <w:rsid w:val="4E06CC64"/>
    <w:rsid w:val="4E1ECE08"/>
    <w:rsid w:val="4E87AFBD"/>
    <w:rsid w:val="4EDC8641"/>
    <w:rsid w:val="4F2E13FD"/>
    <w:rsid w:val="4F4A0ADD"/>
    <w:rsid w:val="4F70AB0B"/>
    <w:rsid w:val="514E83D1"/>
    <w:rsid w:val="517ECF7A"/>
    <w:rsid w:val="51DE4B52"/>
    <w:rsid w:val="521BF878"/>
    <w:rsid w:val="52ADADAC"/>
    <w:rsid w:val="534BFD9B"/>
    <w:rsid w:val="54030E9C"/>
    <w:rsid w:val="57636ECE"/>
    <w:rsid w:val="57C87B1D"/>
    <w:rsid w:val="58197E34"/>
    <w:rsid w:val="59081F00"/>
    <w:rsid w:val="593AAF78"/>
    <w:rsid w:val="598EBC6D"/>
    <w:rsid w:val="59AAC414"/>
    <w:rsid w:val="5B5CCE10"/>
    <w:rsid w:val="5BCA4DE3"/>
    <w:rsid w:val="5C666A26"/>
    <w:rsid w:val="5DA7E370"/>
    <w:rsid w:val="5DE6684E"/>
    <w:rsid w:val="5E6FB3FC"/>
    <w:rsid w:val="5ED1F1FC"/>
    <w:rsid w:val="5F1A8B5A"/>
    <w:rsid w:val="5FDEFAA1"/>
    <w:rsid w:val="603475B3"/>
    <w:rsid w:val="60645E8A"/>
    <w:rsid w:val="60E171DA"/>
    <w:rsid w:val="61459E67"/>
    <w:rsid w:val="62AAB154"/>
    <w:rsid w:val="62E0FD19"/>
    <w:rsid w:val="62F687BD"/>
    <w:rsid w:val="63628E65"/>
    <w:rsid w:val="637174FF"/>
    <w:rsid w:val="63BF43ED"/>
    <w:rsid w:val="63C46387"/>
    <w:rsid w:val="657188CC"/>
    <w:rsid w:val="65C9A5AE"/>
    <w:rsid w:val="66827FCB"/>
    <w:rsid w:val="67A55041"/>
    <w:rsid w:val="68614991"/>
    <w:rsid w:val="68F7E914"/>
    <w:rsid w:val="697253A9"/>
    <w:rsid w:val="69835507"/>
    <w:rsid w:val="6A10A4EC"/>
    <w:rsid w:val="6A262E4F"/>
    <w:rsid w:val="6BC6A419"/>
    <w:rsid w:val="6C0AAA04"/>
    <w:rsid w:val="6CEEE9A9"/>
    <w:rsid w:val="6D1427A6"/>
    <w:rsid w:val="6E751276"/>
    <w:rsid w:val="70A3CAAF"/>
    <w:rsid w:val="7196B1FF"/>
    <w:rsid w:val="7258CF3B"/>
    <w:rsid w:val="7281D261"/>
    <w:rsid w:val="72A3354C"/>
    <w:rsid w:val="7342663F"/>
    <w:rsid w:val="734A942B"/>
    <w:rsid w:val="738CDD2C"/>
    <w:rsid w:val="742BE4A3"/>
    <w:rsid w:val="744B49DA"/>
    <w:rsid w:val="76E70B1B"/>
    <w:rsid w:val="779A17DA"/>
    <w:rsid w:val="77F0F74A"/>
    <w:rsid w:val="7893A190"/>
    <w:rsid w:val="7935773B"/>
    <w:rsid w:val="79ADEABB"/>
    <w:rsid w:val="7D364489"/>
    <w:rsid w:val="7DF39B2F"/>
    <w:rsid w:val="7E873FDA"/>
    <w:rsid w:val="7ED8E5F8"/>
    <w:rsid w:val="7F111D55"/>
    <w:rsid w:val="7FBF06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DEFAA1"/>
  <w15:chartTrackingRefBased/>
  <w15:docId w15:val="{F14ADB16-67F2-45B8-8765-93F89FF7B36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1A41D465"/>
    <w:pPr>
      <w:tabs>
        <w:tab w:val="center" w:leader="none" w:pos="4680"/>
        <w:tab w:val="right" w:leader="none" w:pos="9360"/>
      </w:tabs>
      <w:spacing w:after="0" w:line="240" w:lineRule="auto"/>
    </w:pPr>
  </w:style>
  <w:style w:type="paragraph" w:styleId="Footer">
    <w:uiPriority w:val="99"/>
    <w:name w:val="footer"/>
    <w:basedOn w:val="Normal"/>
    <w:unhideWhenUsed/>
    <w:rsid w:val="1A41D46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41DF4824"/>
    <w:pPr>
      <w:spacing/>
      <w:ind w:left="720"/>
      <w:contextualSpacing/>
    </w:pPr>
  </w:style>
  <w:style w:type="character" w:styleId="Hyperlink">
    <w:uiPriority w:val="99"/>
    <w:name w:val="Hyperlink"/>
    <w:basedOn w:val="DefaultParagraphFont"/>
    <w:unhideWhenUsed/>
    <w:rsid w:val="41DF4824"/>
    <w:rPr>
      <w:color w:val="467886"/>
      <w:u w:val="single"/>
    </w:rPr>
  </w:style>
  <w:style w:type="paragraph" w:styleId="Heading1">
    <w:uiPriority w:val="9"/>
    <w:name w:val="heading 1"/>
    <w:basedOn w:val="Normal"/>
    <w:next w:val="Normal"/>
    <w:qFormat/>
    <w:rsid w:val="41DF482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1DF482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1DF4824"/>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41DF4824"/>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Heading5">
    <w:uiPriority w:val="9"/>
    <w:name w:val="heading 5"/>
    <w:basedOn w:val="Normal"/>
    <w:next w:val="Normal"/>
    <w:unhideWhenUsed/>
    <w:link w:val="Heading5Char"/>
    <w:qFormat/>
    <w:rsid w:val="41DF4824"/>
    <w:rPr>
      <w:rFonts w:eastAsia="" w:cs="" w:eastAsiaTheme="majorEastAsia" w:cstheme="majorBidi"/>
      <w:color w:val="0F4761" w:themeColor="accent1" w:themeTint="FF" w:themeShade="BF"/>
    </w:rPr>
    <w:pPr>
      <w:keepNext w:val="1"/>
      <w:keepLines w:val="1"/>
      <w:spacing w:before="80" w:after="40"/>
      <w:outlineLvl w:val="4"/>
    </w:pPr>
  </w:style>
  <w:style w:type="character" w:styleId="Heading5Char" w:customStyle="true">
    <w:uiPriority w:val="9"/>
    <w:name w:val="Heading 5 Char"/>
    <w:basedOn w:val="DefaultParagraphFont"/>
    <w:link w:val="Heading5"/>
    <w:rsid w:val="41DF4824"/>
    <w:rPr>
      <w:rFonts w:eastAsia="" w:cs="" w:eastAsiaTheme="majorEastAsia" w:cstheme="majorBidi"/>
      <w:color w:val="0F4761" w:themeColor="accent1" w:themeTint="FF"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1f32d0ea6bdc4f90" /><Relationship Type="http://schemas.openxmlformats.org/officeDocument/2006/relationships/footer" Target="/word/footer.xml" Id="R234f9244f0ba4f2b" /><Relationship Type="http://schemas.openxmlformats.org/officeDocument/2006/relationships/hyperlink" Target="https://doi.org/10.1007/s40279-019-01238-y" TargetMode="External" Id="Rf6a6e779c47642e0" /><Relationship Type="http://schemas.openxmlformats.org/officeDocument/2006/relationships/hyperlink" Target="https://doi.org/10.1136/bjsports-2015-095278" TargetMode="External" Id="R857fe9581b0044fa" /><Relationship Type="http://schemas.openxmlformats.org/officeDocument/2006/relationships/hyperlink" Target="https://doi.org/10.1249/MSS.0b013e3181ebedf4" TargetMode="External" Id="R66e5fa59c06f4bab" /><Relationship Type="http://schemas.openxmlformats.org/officeDocument/2006/relationships/hyperlink" Target="https://doi.org/10.1038/nature08723" TargetMode="External" Id="Rbcdb27267fac4352" /><Relationship Type="http://schemas.openxmlformats.org/officeDocument/2006/relationships/hyperlink" Target="https://doi.org/10.1007/s40279-023-01978-y" TargetMode="External" Id="Rf34212a5b4e34cc6" /><Relationship Type="http://schemas.openxmlformats.org/officeDocument/2006/relationships/hyperlink" Target="https://doi.org/10.1007/s40279-016-0474-4" TargetMode="External" Id="Rd0376413d2a54663" /><Relationship Type="http://schemas.openxmlformats.org/officeDocument/2006/relationships/hyperlink" Target="https://doi.org/10.1007/s00421-013-2713-9" TargetMode="External" Id="R7127936a0f2e4957" /><Relationship Type="http://schemas.openxmlformats.org/officeDocument/2006/relationships/hyperlink" Target="https://doi.org/10.1007/s40279-024-02157-3" TargetMode="External" Id="R710b7588bb1c444c" /><Relationship Type="http://schemas.openxmlformats.org/officeDocument/2006/relationships/hyperlink" Target="https://doi.org/10.1016/j.gaitpost.2022.09.089" TargetMode="External" Id="Ra5ebaa5767394db3" /><Relationship Type="http://schemas.microsoft.com/office/2020/10/relationships/intelligence" Target="/word/intelligence2.xml" Id="R8bf390128c104d0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 Lucitt-Rees (27000712)</dc:creator>
  <keywords/>
  <dc:description/>
  <lastModifiedBy>Sam Lucitt-Rees (27000712)</lastModifiedBy>
  <revision>4</revision>
  <dcterms:created xsi:type="dcterms:W3CDTF">2026-01-19T13:32:43.9093138Z</dcterms:created>
  <dcterms:modified xsi:type="dcterms:W3CDTF">2026-02-12T08:36:42.5721657Z</dcterms:modified>
</coreProperties>
</file>