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8DBDE" w14:textId="77777777" w:rsidR="00D4044F" w:rsidRPr="00D4044F" w:rsidRDefault="00D4044F" w:rsidP="00D4044F">
      <w:pPr>
        <w:spacing w:after="0" w:line="240" w:lineRule="auto"/>
        <w:outlineLvl w:val="2"/>
        <w:rPr>
          <w:rFonts w:asciiTheme="minorBidi" w:eastAsia="Times New Roman" w:hAnsiTheme="minorBidi"/>
          <w:b/>
          <w:bCs/>
          <w:kern w:val="0"/>
          <w14:ligatures w14:val="none"/>
        </w:rPr>
      </w:pPr>
      <w:r w:rsidRPr="00D4044F">
        <w:rPr>
          <w:rFonts w:asciiTheme="minorBidi" w:eastAsia="Times New Roman" w:hAnsiTheme="minorBidi"/>
          <w:b/>
          <w:bCs/>
          <w:kern w:val="0"/>
          <w14:ligatures w14:val="none"/>
        </w:rPr>
        <w:t>Theories, Theorists/Authors, and Reasons for Use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5"/>
        <w:gridCol w:w="2960"/>
        <w:gridCol w:w="1047"/>
        <w:gridCol w:w="4538"/>
      </w:tblGrid>
      <w:tr w:rsidR="00D4044F" w:rsidRPr="00D4044F" w14:paraId="46E88910" w14:textId="77777777" w:rsidTr="00D4044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147D654" w14:textId="77777777" w:rsidR="00D4044F" w:rsidRPr="00D4044F" w:rsidRDefault="00D4044F" w:rsidP="00D4044F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Theory</w:t>
            </w:r>
          </w:p>
        </w:tc>
        <w:tc>
          <w:tcPr>
            <w:tcW w:w="0" w:type="auto"/>
            <w:vAlign w:val="center"/>
            <w:hideMark/>
          </w:tcPr>
          <w:p w14:paraId="3BF5FF9A" w14:textId="77777777" w:rsidR="00D4044F" w:rsidRPr="00D4044F" w:rsidRDefault="00D4044F" w:rsidP="00D4044F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Theorists/Authors</w:t>
            </w:r>
          </w:p>
        </w:tc>
        <w:tc>
          <w:tcPr>
            <w:tcW w:w="0" w:type="auto"/>
            <w:vAlign w:val="center"/>
            <w:hideMark/>
          </w:tcPr>
          <w:p w14:paraId="675B7B6E" w14:textId="77777777" w:rsidR="00D4044F" w:rsidRPr="00D4044F" w:rsidRDefault="00D4044F" w:rsidP="00D4044F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Date</w:t>
            </w:r>
          </w:p>
        </w:tc>
        <w:tc>
          <w:tcPr>
            <w:tcW w:w="0" w:type="auto"/>
            <w:vAlign w:val="center"/>
            <w:hideMark/>
          </w:tcPr>
          <w:p w14:paraId="3B9B1104" w14:textId="77777777" w:rsidR="00D4044F" w:rsidRPr="00D4044F" w:rsidRDefault="00D4044F" w:rsidP="00D4044F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Reason for Use</w:t>
            </w:r>
          </w:p>
        </w:tc>
      </w:tr>
      <w:tr w:rsidR="00D4044F" w:rsidRPr="00D4044F" w14:paraId="2A946971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F1702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Ethical Theories</w:t>
            </w:r>
          </w:p>
        </w:tc>
        <w:tc>
          <w:tcPr>
            <w:tcW w:w="0" w:type="auto"/>
            <w:vAlign w:val="center"/>
            <w:hideMark/>
          </w:tcPr>
          <w:p w14:paraId="46828CA8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Aristotle, Kant, Mill, Rawls</w:t>
            </w:r>
          </w:p>
        </w:tc>
        <w:tc>
          <w:tcPr>
            <w:tcW w:w="0" w:type="auto"/>
            <w:vAlign w:val="center"/>
            <w:hideMark/>
          </w:tcPr>
          <w:p w14:paraId="195AD636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350 BCE, 1785, 1861, 1971</w:t>
            </w:r>
          </w:p>
        </w:tc>
        <w:tc>
          <w:tcPr>
            <w:tcW w:w="0" w:type="auto"/>
            <w:vAlign w:val="center"/>
            <w:hideMark/>
          </w:tcPr>
          <w:p w14:paraId="4CD88C8A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explore the moral and ethical implications of gambling, particularly in relation to responsible gambling (RG) and the responsibilities of operators, government, and gamblers.</w:t>
            </w:r>
          </w:p>
        </w:tc>
      </w:tr>
      <w:tr w:rsidR="00D4044F" w:rsidRPr="00D4044F" w14:paraId="138E72B3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DEFB1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Virtue Ethics</w:t>
            </w:r>
          </w:p>
        </w:tc>
        <w:tc>
          <w:tcPr>
            <w:tcW w:w="0" w:type="auto"/>
            <w:vAlign w:val="center"/>
            <w:hideMark/>
          </w:tcPr>
          <w:p w14:paraId="38011266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Aristotle</w:t>
            </w:r>
          </w:p>
        </w:tc>
        <w:tc>
          <w:tcPr>
            <w:tcW w:w="0" w:type="auto"/>
            <w:vAlign w:val="center"/>
            <w:hideMark/>
          </w:tcPr>
          <w:p w14:paraId="1C2B9645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350 BCE</w:t>
            </w:r>
          </w:p>
        </w:tc>
        <w:tc>
          <w:tcPr>
            <w:tcW w:w="0" w:type="auto"/>
            <w:vAlign w:val="center"/>
            <w:hideMark/>
          </w:tcPr>
          <w:p w14:paraId="4F3085EB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examine the moral character of operators and gamblers, focusing on the importance of responsibility and self-control in gambling behaviour.</w:t>
            </w:r>
          </w:p>
        </w:tc>
      </w:tr>
      <w:tr w:rsidR="00D4044F" w:rsidRPr="00D4044F" w14:paraId="36E2086A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2E6D6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Utilitarianism</w:t>
            </w:r>
          </w:p>
        </w:tc>
        <w:tc>
          <w:tcPr>
            <w:tcW w:w="0" w:type="auto"/>
            <w:vAlign w:val="center"/>
            <w:hideMark/>
          </w:tcPr>
          <w:p w14:paraId="67EE8737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Bentham, Mill</w:t>
            </w:r>
          </w:p>
        </w:tc>
        <w:tc>
          <w:tcPr>
            <w:tcW w:w="0" w:type="auto"/>
            <w:vAlign w:val="center"/>
            <w:hideMark/>
          </w:tcPr>
          <w:p w14:paraId="44C64343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1789, 1861</w:t>
            </w:r>
          </w:p>
        </w:tc>
        <w:tc>
          <w:tcPr>
            <w:tcW w:w="0" w:type="auto"/>
            <w:vAlign w:val="center"/>
            <w:hideMark/>
          </w:tcPr>
          <w:p w14:paraId="050F4BF7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assess whether gambling liberalisation causes more harm than good, balancing the happiness of the majority against the harms experienced by a minority.</w:t>
            </w:r>
          </w:p>
        </w:tc>
      </w:tr>
      <w:tr w:rsidR="00D4044F" w:rsidRPr="00D4044F" w14:paraId="2373527D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69A181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Deontology</w:t>
            </w:r>
          </w:p>
        </w:tc>
        <w:tc>
          <w:tcPr>
            <w:tcW w:w="0" w:type="auto"/>
            <w:vAlign w:val="center"/>
            <w:hideMark/>
          </w:tcPr>
          <w:p w14:paraId="276580EC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Kant</w:t>
            </w:r>
          </w:p>
        </w:tc>
        <w:tc>
          <w:tcPr>
            <w:tcW w:w="0" w:type="auto"/>
            <w:vAlign w:val="center"/>
            <w:hideMark/>
          </w:tcPr>
          <w:p w14:paraId="7C0F93E7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1785</w:t>
            </w:r>
          </w:p>
        </w:tc>
        <w:tc>
          <w:tcPr>
            <w:tcW w:w="0" w:type="auto"/>
            <w:vAlign w:val="center"/>
            <w:hideMark/>
          </w:tcPr>
          <w:p w14:paraId="7CAA11A1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evaluate the moral duties of operators towards gamblers, particularly in ensuring fair treatment and avoiding exploitation.</w:t>
            </w:r>
          </w:p>
        </w:tc>
      </w:tr>
      <w:tr w:rsidR="00D4044F" w:rsidRPr="00D4044F" w14:paraId="3BA86F40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048C6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Rights Theories</w:t>
            </w:r>
          </w:p>
        </w:tc>
        <w:tc>
          <w:tcPr>
            <w:tcW w:w="0" w:type="auto"/>
            <w:vAlign w:val="center"/>
            <w:hideMark/>
          </w:tcPr>
          <w:p w14:paraId="496492B8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Locke, Rawls</w:t>
            </w:r>
          </w:p>
        </w:tc>
        <w:tc>
          <w:tcPr>
            <w:tcW w:w="0" w:type="auto"/>
            <w:vAlign w:val="center"/>
            <w:hideMark/>
          </w:tcPr>
          <w:p w14:paraId="325D7EED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1689, 1971</w:t>
            </w:r>
          </w:p>
        </w:tc>
        <w:tc>
          <w:tcPr>
            <w:tcW w:w="0" w:type="auto"/>
            <w:vAlign w:val="center"/>
            <w:hideMark/>
          </w:tcPr>
          <w:p w14:paraId="47DB1B05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consider the rights of gamblers and whether operators are treating gamblers as ends in themselves rather than as means to profit.</w:t>
            </w:r>
          </w:p>
        </w:tc>
      </w:tr>
      <w:tr w:rsidR="00D4044F" w:rsidRPr="00D4044F" w14:paraId="7277384D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0BB52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Corporate Social Responsibility (CSR)</w:t>
            </w:r>
          </w:p>
        </w:tc>
        <w:tc>
          <w:tcPr>
            <w:tcW w:w="0" w:type="auto"/>
            <w:vAlign w:val="center"/>
            <w:hideMark/>
          </w:tcPr>
          <w:p w14:paraId="47DF2729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Carroll, Freeman, Bowen, Vogel, </w:t>
            </w:r>
            <w:proofErr w:type="spellStart"/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Orlitzky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6EE18B9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1953, 1984, 2005, 2003</w:t>
            </w:r>
          </w:p>
        </w:tc>
        <w:tc>
          <w:tcPr>
            <w:tcW w:w="0" w:type="auto"/>
            <w:vAlign w:val="center"/>
            <w:hideMark/>
          </w:tcPr>
          <w:p w14:paraId="07376054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understand the role of operators in minimising gambling harms and promoting responsible gambling, particularly in the context of their social and ethical obligations.</w:t>
            </w:r>
          </w:p>
        </w:tc>
      </w:tr>
      <w:tr w:rsidR="00D4044F" w:rsidRPr="00D4044F" w14:paraId="68C0987C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7CE3E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Instrumental Theories</w:t>
            </w:r>
          </w:p>
        </w:tc>
        <w:tc>
          <w:tcPr>
            <w:tcW w:w="0" w:type="auto"/>
            <w:vAlign w:val="center"/>
            <w:hideMark/>
          </w:tcPr>
          <w:p w14:paraId="40700C7F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Friedman</w:t>
            </w:r>
          </w:p>
        </w:tc>
        <w:tc>
          <w:tcPr>
            <w:tcW w:w="0" w:type="auto"/>
            <w:vAlign w:val="center"/>
            <w:hideMark/>
          </w:tcPr>
          <w:p w14:paraId="259C3429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1970</w:t>
            </w:r>
          </w:p>
        </w:tc>
        <w:tc>
          <w:tcPr>
            <w:tcW w:w="0" w:type="auto"/>
            <w:vAlign w:val="center"/>
            <w:hideMark/>
          </w:tcPr>
          <w:p w14:paraId="7489E26E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To explore whether CSR is used by operators </w:t>
            </w:r>
            <w:proofErr w:type="gramStart"/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as a means to</w:t>
            </w:r>
            <w:proofErr w:type="gramEnd"/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 generate profit rather than as a genuine commitment to social responsibility.</w:t>
            </w:r>
          </w:p>
        </w:tc>
      </w:tr>
      <w:tr w:rsidR="00D4044F" w:rsidRPr="00D4044F" w14:paraId="52207A98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6B712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Political Theories</w:t>
            </w:r>
          </w:p>
        </w:tc>
        <w:tc>
          <w:tcPr>
            <w:tcW w:w="0" w:type="auto"/>
            <w:vAlign w:val="center"/>
            <w:hideMark/>
          </w:tcPr>
          <w:p w14:paraId="79CA0833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Crane and Matten</w:t>
            </w:r>
          </w:p>
        </w:tc>
        <w:tc>
          <w:tcPr>
            <w:tcW w:w="0" w:type="auto"/>
            <w:vAlign w:val="center"/>
            <w:hideMark/>
          </w:tcPr>
          <w:p w14:paraId="56A9847D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04C81E8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examine the power dynamics between operators, government, and society, and how operators participate in social cooperation and governance.</w:t>
            </w:r>
          </w:p>
        </w:tc>
      </w:tr>
      <w:tr w:rsidR="00D4044F" w:rsidRPr="00D4044F" w14:paraId="531EE05C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C06D7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Integrative Theories</w:t>
            </w:r>
          </w:p>
        </w:tc>
        <w:tc>
          <w:tcPr>
            <w:tcW w:w="0" w:type="auto"/>
            <w:vAlign w:val="center"/>
            <w:hideMark/>
          </w:tcPr>
          <w:p w14:paraId="3F6F35FB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Freeman</w:t>
            </w:r>
          </w:p>
        </w:tc>
        <w:tc>
          <w:tcPr>
            <w:tcW w:w="0" w:type="auto"/>
            <w:vAlign w:val="center"/>
            <w:hideMark/>
          </w:tcPr>
          <w:p w14:paraId="2876A9CA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1984</w:t>
            </w:r>
          </w:p>
        </w:tc>
        <w:tc>
          <w:tcPr>
            <w:tcW w:w="0" w:type="auto"/>
            <w:vAlign w:val="center"/>
            <w:hideMark/>
          </w:tcPr>
          <w:p w14:paraId="6B5C686C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investigate how operators integrate social demands into their business models, particularly in relation to stakeholder management and harm minimisation.</w:t>
            </w:r>
          </w:p>
        </w:tc>
      </w:tr>
      <w:tr w:rsidR="00D4044F" w:rsidRPr="00D4044F" w14:paraId="18759FE1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1FD44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Ethical Theories (CSR)</w:t>
            </w:r>
          </w:p>
        </w:tc>
        <w:tc>
          <w:tcPr>
            <w:tcW w:w="0" w:type="auto"/>
            <w:vAlign w:val="center"/>
            <w:hideMark/>
          </w:tcPr>
          <w:p w14:paraId="15ADFD5C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Carroll</w:t>
            </w:r>
          </w:p>
        </w:tc>
        <w:tc>
          <w:tcPr>
            <w:tcW w:w="0" w:type="auto"/>
            <w:vAlign w:val="center"/>
            <w:hideMark/>
          </w:tcPr>
          <w:p w14:paraId="4EDD7C3A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1991</w:t>
            </w:r>
          </w:p>
        </w:tc>
        <w:tc>
          <w:tcPr>
            <w:tcW w:w="0" w:type="auto"/>
            <w:vAlign w:val="center"/>
            <w:hideMark/>
          </w:tcPr>
          <w:p w14:paraId="21F393B1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assess the ethical dimensions of CSR in the gambling industry, focusing on the moral responsibilities of operators to gamblers and society.</w:t>
            </w:r>
          </w:p>
        </w:tc>
      </w:tr>
      <w:tr w:rsidR="00D4044F" w:rsidRPr="00D4044F" w14:paraId="3C113840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34584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Psychological Model of Problem Gambling</w:t>
            </w:r>
          </w:p>
        </w:tc>
        <w:tc>
          <w:tcPr>
            <w:tcW w:w="0" w:type="auto"/>
            <w:vAlign w:val="center"/>
            <w:hideMark/>
          </w:tcPr>
          <w:p w14:paraId="0E0EBD6F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Reith, Dostoevsky</w:t>
            </w:r>
          </w:p>
        </w:tc>
        <w:tc>
          <w:tcPr>
            <w:tcW w:w="0" w:type="auto"/>
            <w:vAlign w:val="center"/>
            <w:hideMark/>
          </w:tcPr>
          <w:p w14:paraId="66861520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2007, 1866</w:t>
            </w:r>
          </w:p>
        </w:tc>
        <w:tc>
          <w:tcPr>
            <w:tcW w:w="0" w:type="auto"/>
            <w:vAlign w:val="center"/>
            <w:hideMark/>
          </w:tcPr>
          <w:p w14:paraId="40E5699B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To understand the impulsive and irrational behaviour of problem gamblers, </w:t>
            </w: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lastRenderedPageBreak/>
              <w:t>focusing on the psychological factors that contribute to gambling addiction.</w:t>
            </w:r>
          </w:p>
        </w:tc>
      </w:tr>
      <w:tr w:rsidR="00D4044F" w:rsidRPr="00D4044F" w14:paraId="2697EC12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7BA06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lastRenderedPageBreak/>
              <w:t>Cognitive Model of Problem Gambling</w:t>
            </w:r>
          </w:p>
        </w:tc>
        <w:tc>
          <w:tcPr>
            <w:tcW w:w="0" w:type="auto"/>
            <w:vAlign w:val="center"/>
            <w:hideMark/>
          </w:tcPr>
          <w:p w14:paraId="6C988305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Reith, Ladouceur</w:t>
            </w:r>
          </w:p>
        </w:tc>
        <w:tc>
          <w:tcPr>
            <w:tcW w:w="0" w:type="auto"/>
            <w:vAlign w:val="center"/>
            <w:hideMark/>
          </w:tcPr>
          <w:p w14:paraId="31E746FC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2007, 2004</w:t>
            </w:r>
          </w:p>
        </w:tc>
        <w:tc>
          <w:tcPr>
            <w:tcW w:w="0" w:type="auto"/>
            <w:vAlign w:val="center"/>
            <w:hideMark/>
          </w:tcPr>
          <w:p w14:paraId="109B083E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explore the distorted cognitions and irrational beliefs of problem gamblers, particularly in relation to their decision-making processes and perceptions of gambling.</w:t>
            </w:r>
          </w:p>
        </w:tc>
      </w:tr>
      <w:tr w:rsidR="00D4044F" w:rsidRPr="00D4044F" w14:paraId="613F0E6D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83533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Pathological Model of Problem Gambling</w:t>
            </w:r>
          </w:p>
        </w:tc>
        <w:tc>
          <w:tcPr>
            <w:tcW w:w="0" w:type="auto"/>
            <w:vAlign w:val="center"/>
            <w:hideMark/>
          </w:tcPr>
          <w:p w14:paraId="462DA404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American Psychiatric Association (APA), Gamblers Anonymous (GA)</w:t>
            </w:r>
          </w:p>
        </w:tc>
        <w:tc>
          <w:tcPr>
            <w:tcW w:w="0" w:type="auto"/>
            <w:vAlign w:val="center"/>
            <w:hideMark/>
          </w:tcPr>
          <w:p w14:paraId="5FFA1A06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1980, 1957</w:t>
            </w:r>
          </w:p>
        </w:tc>
        <w:tc>
          <w:tcPr>
            <w:tcW w:w="0" w:type="auto"/>
            <w:vAlign w:val="center"/>
            <w:hideMark/>
          </w:tcPr>
          <w:p w14:paraId="18C53997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examine problem gambling as a mental and physiological disorder, focusing on the neurological and genetic factors that contribute to gambling addiction.</w:t>
            </w:r>
          </w:p>
        </w:tc>
      </w:tr>
      <w:tr w:rsidR="00D4044F" w:rsidRPr="00D4044F" w14:paraId="5781CA55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94AC2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Pathways Model of Problem Gambling</w:t>
            </w:r>
          </w:p>
        </w:tc>
        <w:tc>
          <w:tcPr>
            <w:tcW w:w="0" w:type="auto"/>
            <w:vAlign w:val="center"/>
            <w:hideMark/>
          </w:tcPr>
          <w:p w14:paraId="2455C22E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proofErr w:type="spellStart"/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Blaszczynski</w:t>
            </w:r>
            <w:proofErr w:type="spellEnd"/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 and Nower</w:t>
            </w:r>
          </w:p>
        </w:tc>
        <w:tc>
          <w:tcPr>
            <w:tcW w:w="0" w:type="auto"/>
            <w:vAlign w:val="center"/>
            <w:hideMark/>
          </w:tcPr>
          <w:p w14:paraId="0907200D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165552E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understand the different developmental pathways that lead to problem gambling, focusing on the environmental, psychological, and biological factors that contribute to gambling addiction.</w:t>
            </w:r>
          </w:p>
        </w:tc>
      </w:tr>
      <w:tr w:rsidR="00D4044F" w:rsidRPr="00D4044F" w14:paraId="59BA00BA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C0C33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Public Health Model of Problem Gambling</w:t>
            </w:r>
          </w:p>
        </w:tc>
        <w:tc>
          <w:tcPr>
            <w:tcW w:w="0" w:type="auto"/>
            <w:vAlign w:val="center"/>
            <w:hideMark/>
          </w:tcPr>
          <w:p w14:paraId="7FACDAE3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Korn and Shaffer</w:t>
            </w:r>
          </w:p>
        </w:tc>
        <w:tc>
          <w:tcPr>
            <w:tcW w:w="0" w:type="auto"/>
            <w:vAlign w:val="center"/>
            <w:hideMark/>
          </w:tcPr>
          <w:p w14:paraId="255638EB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1999</w:t>
            </w:r>
          </w:p>
        </w:tc>
        <w:tc>
          <w:tcPr>
            <w:tcW w:w="0" w:type="auto"/>
            <w:vAlign w:val="center"/>
            <w:hideMark/>
          </w:tcPr>
          <w:p w14:paraId="77D24BFC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shift the focus from individual pathology to societal-level factors, identifying vulnerable groups and the broader social and environmental influences on gambling behaviour.</w:t>
            </w:r>
          </w:p>
        </w:tc>
      </w:tr>
      <w:tr w:rsidR="00D4044F" w:rsidRPr="00D4044F" w14:paraId="044C7249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AB4EA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Sociological Perspectives</w:t>
            </w:r>
          </w:p>
        </w:tc>
        <w:tc>
          <w:tcPr>
            <w:tcW w:w="0" w:type="auto"/>
            <w:vAlign w:val="center"/>
            <w:hideMark/>
          </w:tcPr>
          <w:p w14:paraId="48BB4A93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Goffman, Reith</w:t>
            </w:r>
          </w:p>
        </w:tc>
        <w:tc>
          <w:tcPr>
            <w:tcW w:w="0" w:type="auto"/>
            <w:vAlign w:val="center"/>
            <w:hideMark/>
          </w:tcPr>
          <w:p w14:paraId="5428D3E0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1967, 2007</w:t>
            </w:r>
          </w:p>
        </w:tc>
        <w:tc>
          <w:tcPr>
            <w:tcW w:w="0" w:type="auto"/>
            <w:vAlign w:val="center"/>
            <w:hideMark/>
          </w:tcPr>
          <w:p w14:paraId="3D55167C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place gambling in a social context, examining how gambling behaviour is influenced by family, community, and wider societal factors.</w:t>
            </w:r>
          </w:p>
        </w:tc>
      </w:tr>
      <w:tr w:rsidR="00D4044F" w:rsidRPr="00D4044F" w14:paraId="7A20487E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908D4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Liminality and Edgework</w:t>
            </w:r>
          </w:p>
        </w:tc>
        <w:tc>
          <w:tcPr>
            <w:tcW w:w="0" w:type="auto"/>
            <w:vAlign w:val="center"/>
            <w:hideMark/>
          </w:tcPr>
          <w:p w14:paraId="52646A3B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Goffman</w:t>
            </w:r>
          </w:p>
        </w:tc>
        <w:tc>
          <w:tcPr>
            <w:tcW w:w="0" w:type="auto"/>
            <w:vAlign w:val="center"/>
            <w:hideMark/>
          </w:tcPr>
          <w:p w14:paraId="714C42A1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1967</w:t>
            </w:r>
          </w:p>
        </w:tc>
        <w:tc>
          <w:tcPr>
            <w:tcW w:w="0" w:type="auto"/>
            <w:vAlign w:val="center"/>
            <w:hideMark/>
          </w:tcPr>
          <w:p w14:paraId="15A51B98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explore the social and psychological aspects of gambling, particularly the thrill-seeking and risk-taking behaviours associated with gambling.</w:t>
            </w:r>
          </w:p>
        </w:tc>
      </w:tr>
      <w:tr w:rsidR="00D4044F" w:rsidRPr="00D4044F" w14:paraId="6C8F58B2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A0568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Risk Society</w:t>
            </w:r>
          </w:p>
        </w:tc>
        <w:tc>
          <w:tcPr>
            <w:tcW w:w="0" w:type="auto"/>
            <w:vAlign w:val="center"/>
            <w:hideMark/>
          </w:tcPr>
          <w:p w14:paraId="20FE3588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Beck</w:t>
            </w:r>
          </w:p>
        </w:tc>
        <w:tc>
          <w:tcPr>
            <w:tcW w:w="0" w:type="auto"/>
            <w:vAlign w:val="center"/>
            <w:hideMark/>
          </w:tcPr>
          <w:p w14:paraId="53587893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1992</w:t>
            </w:r>
          </w:p>
        </w:tc>
        <w:tc>
          <w:tcPr>
            <w:tcW w:w="0" w:type="auto"/>
            <w:vAlign w:val="center"/>
            <w:hideMark/>
          </w:tcPr>
          <w:p w14:paraId="041674E6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understand how modern society’s emphasis on risk and individual responsibility influences gambling behaviour and the perception of problem gambling.</w:t>
            </w:r>
          </w:p>
        </w:tc>
      </w:tr>
      <w:tr w:rsidR="00D4044F" w:rsidRPr="00D4044F" w14:paraId="5A56068B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4A86E5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Responsible Gambling (RG)</w:t>
            </w:r>
          </w:p>
        </w:tc>
        <w:tc>
          <w:tcPr>
            <w:tcW w:w="0" w:type="auto"/>
            <w:vAlign w:val="center"/>
            <w:hideMark/>
          </w:tcPr>
          <w:p w14:paraId="1025DE21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proofErr w:type="spellStart"/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Blaszczynski</w:t>
            </w:r>
            <w:proofErr w:type="spellEnd"/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, </w:t>
            </w:r>
            <w:proofErr w:type="spellStart"/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Sadinsky</w:t>
            </w:r>
            <w:proofErr w:type="spellEnd"/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, Campbell and Smith</w:t>
            </w:r>
          </w:p>
        </w:tc>
        <w:tc>
          <w:tcPr>
            <w:tcW w:w="0" w:type="auto"/>
            <w:vAlign w:val="center"/>
            <w:hideMark/>
          </w:tcPr>
          <w:p w14:paraId="17C750C9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2004, 2005, 2003</w:t>
            </w:r>
          </w:p>
        </w:tc>
        <w:tc>
          <w:tcPr>
            <w:tcW w:w="0" w:type="auto"/>
            <w:vAlign w:val="center"/>
            <w:hideMark/>
          </w:tcPr>
          <w:p w14:paraId="5472FCB8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evaluate the effectiveness of RG strategies in minimising gambling harms, focusing on the role of operators, government, and gamblers in promoting safe gambling practices.</w:t>
            </w:r>
          </w:p>
        </w:tc>
      </w:tr>
      <w:tr w:rsidR="00D4044F" w:rsidRPr="00D4044F" w14:paraId="696C0CB5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5EB52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Informed Choice</w:t>
            </w:r>
          </w:p>
        </w:tc>
        <w:tc>
          <w:tcPr>
            <w:tcW w:w="0" w:type="auto"/>
            <w:vAlign w:val="center"/>
            <w:hideMark/>
          </w:tcPr>
          <w:p w14:paraId="6261870C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proofErr w:type="spellStart"/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Blaszczynski</w:t>
            </w:r>
            <w:proofErr w:type="spellEnd"/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 et al.</w:t>
            </w:r>
          </w:p>
        </w:tc>
        <w:tc>
          <w:tcPr>
            <w:tcW w:w="0" w:type="auto"/>
            <w:vAlign w:val="center"/>
            <w:hideMark/>
          </w:tcPr>
          <w:p w14:paraId="5286C487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72E61D6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assess the importance of providing gamblers with accurate and accessible information to make informed decisions about their gambling behaviour.</w:t>
            </w:r>
          </w:p>
        </w:tc>
      </w:tr>
      <w:tr w:rsidR="00D4044F" w:rsidRPr="00D4044F" w14:paraId="083E23A5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05DE8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- </w:t>
            </w: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Duty of Care</w:t>
            </w:r>
          </w:p>
        </w:tc>
        <w:tc>
          <w:tcPr>
            <w:tcW w:w="0" w:type="auto"/>
            <w:vAlign w:val="center"/>
            <w:hideMark/>
          </w:tcPr>
          <w:p w14:paraId="678F8B89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Cameron, Tadman</w:t>
            </w:r>
          </w:p>
        </w:tc>
        <w:tc>
          <w:tcPr>
            <w:tcW w:w="0" w:type="auto"/>
            <w:vAlign w:val="center"/>
            <w:hideMark/>
          </w:tcPr>
          <w:p w14:paraId="08E8E329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2007, 2011</w:t>
            </w:r>
          </w:p>
        </w:tc>
        <w:tc>
          <w:tcPr>
            <w:tcW w:w="0" w:type="auto"/>
            <w:vAlign w:val="center"/>
            <w:hideMark/>
          </w:tcPr>
          <w:p w14:paraId="695F4DF2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 xml:space="preserve">To explore the legal and ethical responsibilities of operators in protecting </w:t>
            </w: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lastRenderedPageBreak/>
              <w:t>gamblers from harm, particularly in relation to problem gambling.</w:t>
            </w:r>
          </w:p>
        </w:tc>
      </w:tr>
      <w:tr w:rsidR="00D4044F" w:rsidRPr="00D4044F" w14:paraId="346FB597" w14:textId="77777777" w:rsidTr="00D4044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A258A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lastRenderedPageBreak/>
              <w:t>Gambling Restraint Erosion Theory (GRET)</w:t>
            </w:r>
          </w:p>
        </w:tc>
        <w:tc>
          <w:tcPr>
            <w:tcW w:w="0" w:type="auto"/>
            <w:vAlign w:val="center"/>
            <w:hideMark/>
          </w:tcPr>
          <w:p w14:paraId="7BAF0C9A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Orford</w:t>
            </w:r>
          </w:p>
        </w:tc>
        <w:tc>
          <w:tcPr>
            <w:tcW w:w="0" w:type="auto"/>
            <w:vAlign w:val="center"/>
            <w:hideMark/>
          </w:tcPr>
          <w:p w14:paraId="05835840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ADD3CBC" w14:textId="77777777" w:rsidR="00D4044F" w:rsidRPr="00D4044F" w:rsidRDefault="00D4044F" w:rsidP="00D4044F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D4044F">
              <w:rPr>
                <w:rFonts w:asciiTheme="minorBidi" w:eastAsia="Times New Roman" w:hAnsiTheme="minorBidi"/>
                <w:kern w:val="0"/>
                <w14:ligatures w14:val="none"/>
              </w:rPr>
              <w:t>To understand the historical and cultural shifts in gambling regulation, particularly the move from prohibition to liberalisation and its impact on gambling prevalence and attitudes.</w:t>
            </w:r>
          </w:p>
        </w:tc>
      </w:tr>
    </w:tbl>
    <w:p w14:paraId="6079F475" w14:textId="77777777" w:rsidR="007D094D" w:rsidRPr="00D4044F" w:rsidRDefault="007D094D" w:rsidP="00D4044F">
      <w:pPr>
        <w:spacing w:after="0" w:line="240" w:lineRule="auto"/>
        <w:rPr>
          <w:rFonts w:asciiTheme="minorBidi" w:hAnsiTheme="minorBidi"/>
        </w:rPr>
      </w:pPr>
    </w:p>
    <w:p w14:paraId="1F025224" w14:textId="77228CA2" w:rsidR="00D4044F" w:rsidRPr="00AD4BEB" w:rsidRDefault="00D4044F" w:rsidP="00D4044F">
      <w:pPr>
        <w:spacing w:after="0" w:line="240" w:lineRule="auto"/>
        <w:rPr>
          <w:rFonts w:asciiTheme="minorBidi" w:hAnsiTheme="minorBidi"/>
          <w:b/>
          <w:bCs/>
        </w:rPr>
      </w:pPr>
      <w:r w:rsidRPr="00AD4BEB">
        <w:rPr>
          <w:rFonts w:asciiTheme="minorBidi" w:hAnsiTheme="minorBidi"/>
          <w:b/>
          <w:bCs/>
        </w:rPr>
        <w:t>Reference list</w:t>
      </w:r>
    </w:p>
    <w:p w14:paraId="3D47E1C6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09AD4F23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Aristotle (350 BCE). Nicomachean Ethics.</w:t>
      </w:r>
    </w:p>
    <w:p w14:paraId="58C19BE6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1686AA83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Beck, U. (1992). Risk Society: Towards a New Modernity. London: Sage.</w:t>
      </w:r>
    </w:p>
    <w:p w14:paraId="474822E7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356FE46A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proofErr w:type="spellStart"/>
      <w:r w:rsidRPr="00AD4BEB">
        <w:rPr>
          <w:rFonts w:asciiTheme="minorBidi" w:hAnsiTheme="minorBidi"/>
        </w:rPr>
        <w:t>Blaszczynski</w:t>
      </w:r>
      <w:proofErr w:type="spellEnd"/>
      <w:r w:rsidRPr="00AD4BEB">
        <w:rPr>
          <w:rFonts w:asciiTheme="minorBidi" w:hAnsiTheme="minorBidi"/>
        </w:rPr>
        <w:t>, A., &amp; Nower, L. (2002). "A Pathways Model of Problem and Pathological Gambling." Addiction, 97(5), pp. 487-499.</w:t>
      </w:r>
    </w:p>
    <w:p w14:paraId="209A90F3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64B776F8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proofErr w:type="spellStart"/>
      <w:r w:rsidRPr="00AD4BEB">
        <w:rPr>
          <w:rFonts w:asciiTheme="minorBidi" w:hAnsiTheme="minorBidi"/>
        </w:rPr>
        <w:t>Blaszczynski</w:t>
      </w:r>
      <w:proofErr w:type="spellEnd"/>
      <w:r w:rsidRPr="00AD4BEB">
        <w:rPr>
          <w:rFonts w:asciiTheme="minorBidi" w:hAnsiTheme="minorBidi"/>
        </w:rPr>
        <w:t>, A., Ladouceur, R., &amp; Shaffer, H.J. (2004). "A Science-Based Framework for Responsible Gambling: The Reno Model." Journal of Gambling Studies, 20(3), pp. 301-317.</w:t>
      </w:r>
    </w:p>
    <w:p w14:paraId="6D5BE6E0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79B516F5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Bowen, H.R. (1953). Social Responsibilities of the Businessman. New York: Harper &amp; Row.</w:t>
      </w:r>
    </w:p>
    <w:p w14:paraId="333EB150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07250ABB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Cameron, D. (2007). "Duty of Care in Gambling: A Legal Perspective." Gaming Law Review, 11(6), pp. 556-562.</w:t>
      </w:r>
    </w:p>
    <w:p w14:paraId="3319520B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6D6D4CFB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Campbell, C.S., &amp; Smith, G.J. (2003). "Gambling in Canada: From Vice to Disease to Responsibility: A Negotiated History." Canadian Bulletin of Medical History, 20(1), pp. 121-149.</w:t>
      </w:r>
    </w:p>
    <w:p w14:paraId="152F22FC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4C5DE34E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Carroll, A.B. (1991). "The Pyramid of Corporate Social Responsibility: Toward the Moral Management of Organizational Stakeholders." Business Horizons, 34(4), pp. 39-48.</w:t>
      </w:r>
    </w:p>
    <w:p w14:paraId="48E6054C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3B6605E8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Crane, A., &amp; Matten, D. (2010). Business Ethics: Managing Corporate Citizenship and Sustainability in the Age of Globalization. Oxford: Oxford University Press.</w:t>
      </w:r>
    </w:p>
    <w:p w14:paraId="53FD7231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3D12A4A2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Dostoevsky, F. (1866). The Gambler. London: Penguin Classics.</w:t>
      </w:r>
    </w:p>
    <w:p w14:paraId="0F42A4BC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0AB67786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Freeman, R.E. (1984). Strategic Management: A Stakeholder Approach. Boston: Pitman.</w:t>
      </w:r>
    </w:p>
    <w:p w14:paraId="1513FE23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3B094FDE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Friedman, M. (1970). "The Social Responsibility of Business is to Increase its Profits." The New York Times Magazine, 13 September, pp. 32-33.</w:t>
      </w:r>
    </w:p>
    <w:p w14:paraId="6F49D89A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7F078DCB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 xml:space="preserve">Goffman, E. (1967). Interaction Ritual: Essays on Face-to-Face </w:t>
      </w:r>
      <w:proofErr w:type="spellStart"/>
      <w:r w:rsidRPr="00AD4BEB">
        <w:rPr>
          <w:rFonts w:asciiTheme="minorBidi" w:hAnsiTheme="minorBidi"/>
        </w:rPr>
        <w:t>Behavior</w:t>
      </w:r>
      <w:proofErr w:type="spellEnd"/>
      <w:r w:rsidRPr="00AD4BEB">
        <w:rPr>
          <w:rFonts w:asciiTheme="minorBidi" w:hAnsiTheme="minorBidi"/>
        </w:rPr>
        <w:t>. New York: Pantheon.</w:t>
      </w:r>
    </w:p>
    <w:p w14:paraId="5FD79CB4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6DA39E3F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Kant, I. (1785). Groundwork of the Metaphysics of Morals. Cambridge: Cambridge University Press.</w:t>
      </w:r>
    </w:p>
    <w:p w14:paraId="38FAD691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0A063FF0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Korn, D.A., &amp; Shaffer, H.J. (1999). "Gambling and the Health of the Public: Adopting a Public Health Perspective." Journal of Gambling Studies, 15(4), pp. 289-365.</w:t>
      </w:r>
    </w:p>
    <w:p w14:paraId="2CCF83B3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2FFC35A2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Ladouceur, R. (2004). "Decision Making and Pathological Gambling." Journal of Gambling Studies, 20(2), pp. 105-120.</w:t>
      </w:r>
    </w:p>
    <w:p w14:paraId="79A245E4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616024F3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Mill, J.S. (1861). Utilitarianism. London: Parker, Son, and Bourn.</w:t>
      </w:r>
    </w:p>
    <w:p w14:paraId="4076787C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1BF910B4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Orford, J. (2012). An Unsafe Bet? The Dangerous Rise of Gambling and the Debate We Should Be Having. Chichester: Wiley-Blackwell.</w:t>
      </w:r>
    </w:p>
    <w:p w14:paraId="3D029332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26D5BBC8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Rawls, J. (1971). A Theory of Justice. Cambridge, MA: Harvard University Press.</w:t>
      </w:r>
    </w:p>
    <w:p w14:paraId="7091C098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2296785D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 xml:space="preserve">Reith, G. (2007). Gambling and the Contradictions of Consumption: A Genealogy of the 'Pathological' Subject. American </w:t>
      </w:r>
      <w:proofErr w:type="spellStart"/>
      <w:r w:rsidRPr="00AD4BEB">
        <w:rPr>
          <w:rFonts w:asciiTheme="minorBidi" w:hAnsiTheme="minorBidi"/>
        </w:rPr>
        <w:t>Behavioral</w:t>
      </w:r>
      <w:proofErr w:type="spellEnd"/>
      <w:r w:rsidRPr="00AD4BEB">
        <w:rPr>
          <w:rFonts w:asciiTheme="minorBidi" w:hAnsiTheme="minorBidi"/>
        </w:rPr>
        <w:t xml:space="preserve"> Scientist, 51(1), pp. 33-55.</w:t>
      </w:r>
    </w:p>
    <w:p w14:paraId="0194460E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30503864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proofErr w:type="spellStart"/>
      <w:r w:rsidRPr="00AD4BEB">
        <w:rPr>
          <w:rFonts w:asciiTheme="minorBidi" w:hAnsiTheme="minorBidi"/>
        </w:rPr>
        <w:t>Sadinsky</w:t>
      </w:r>
      <w:proofErr w:type="spellEnd"/>
      <w:r w:rsidRPr="00AD4BEB">
        <w:rPr>
          <w:rFonts w:asciiTheme="minorBidi" w:hAnsiTheme="minorBidi"/>
        </w:rPr>
        <w:t>, S. (2005). Responsible Gambling: A Framework for Policy and Practice. Ontario: Ontario Ministry of Health.</w:t>
      </w:r>
    </w:p>
    <w:p w14:paraId="10901BBD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</w:p>
    <w:p w14:paraId="0384E49D" w14:textId="77777777" w:rsidR="00AD4BEB" w:rsidRPr="00AD4BEB" w:rsidRDefault="00AD4BEB" w:rsidP="00AD4BEB">
      <w:pPr>
        <w:spacing w:after="0" w:line="240" w:lineRule="auto"/>
        <w:rPr>
          <w:rFonts w:asciiTheme="minorBidi" w:hAnsiTheme="minorBidi"/>
        </w:rPr>
      </w:pPr>
      <w:r w:rsidRPr="00AD4BEB">
        <w:rPr>
          <w:rFonts w:asciiTheme="minorBidi" w:hAnsiTheme="minorBidi"/>
        </w:rPr>
        <w:t>Tadman, M. (2011). "Duty of Care in Gambling: The Calvert v William Hill Case." Gaming Law Review and Economics, 15(4), pp. 221-226.</w:t>
      </w:r>
    </w:p>
    <w:p w14:paraId="76C2AFD3" w14:textId="34C245BB" w:rsidR="00D4044F" w:rsidRDefault="00D4044F" w:rsidP="00D4044F">
      <w:pPr>
        <w:spacing w:after="0" w:line="240" w:lineRule="auto"/>
        <w:rPr>
          <w:rFonts w:asciiTheme="minorBidi" w:hAnsiTheme="minorBidi"/>
        </w:rPr>
      </w:pPr>
    </w:p>
    <w:p w14:paraId="3ACE6714" w14:textId="30353C2D" w:rsidR="00875BE5" w:rsidRPr="00D4044F" w:rsidRDefault="00ED3AAA" w:rsidP="00D4044F">
      <w:pPr>
        <w:spacing w:after="0" w:line="240" w:lineRule="auto"/>
        <w:rPr>
          <w:rFonts w:asciiTheme="minorBidi" w:hAnsiTheme="minorBidi"/>
        </w:rPr>
      </w:pPr>
      <w:r w:rsidRPr="00ED3AAA">
        <w:rPr>
          <w:rFonts w:asciiTheme="minorBidi" w:hAnsiTheme="minorBidi"/>
        </w:rPr>
        <w:drawing>
          <wp:inline distT="0" distB="0" distL="0" distR="0" wp14:anchorId="7CDFEEDC" wp14:editId="643AE762">
            <wp:extent cx="6738938" cy="5205413"/>
            <wp:effectExtent l="0" t="0" r="5080" b="0"/>
            <wp:docPr id="479469846" name="Picture 1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469846" name="Picture 1" descr="A diagram of a diagram&#10;&#10;AI-generated content may be incorrect."/>
                    <pic:cNvPicPr/>
                  </pic:nvPicPr>
                  <pic:blipFill rotWithShape="1">
                    <a:blip r:embed="rId5"/>
                    <a:srcRect l="1041" t="2555" r="689" b="1169"/>
                    <a:stretch/>
                  </pic:blipFill>
                  <pic:spPr bwMode="auto">
                    <a:xfrm>
                      <a:off x="0" y="0"/>
                      <a:ext cx="6739343" cy="5205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75BE5" w:rsidRPr="00D4044F" w:rsidSect="00D4044F">
      <w:pgSz w:w="12240" w:h="15840"/>
      <w:pgMar w:top="720" w:right="720" w:bottom="720" w:left="72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877893A8"/>
    <w:lvl w:ilvl="0">
      <w:numFmt w:val="bullet"/>
      <w:lvlText w:val="*"/>
      <w:lvlJc w:val="left"/>
    </w:lvl>
  </w:abstractNum>
  <w:abstractNum w:abstractNumId="1" w15:restartNumberingAfterBreak="0">
    <w:nsid w:val="54EB1316"/>
    <w:multiLevelType w:val="multilevel"/>
    <w:tmpl w:val="AC40B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236141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2" w16cid:durableId="79583151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80"/>
        </w:rPr>
      </w:lvl>
    </w:lvlOverride>
  </w:num>
  <w:num w:numId="3" w16cid:durableId="789319960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4" w16cid:durableId="180211241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04"/>
        </w:rPr>
      </w:lvl>
    </w:lvlOverride>
  </w:num>
  <w:num w:numId="5" w16cid:durableId="111405414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74"/>
        </w:rPr>
      </w:lvl>
    </w:lvlOverride>
  </w:num>
  <w:num w:numId="6" w16cid:durableId="57366503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Inter" w:hAnsi="Inter" w:hint="default"/>
          <w:sz w:val="56"/>
        </w:rPr>
      </w:lvl>
    </w:lvlOverride>
  </w:num>
  <w:num w:numId="7" w16cid:durableId="806246287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Inter" w:hAnsi="Inter" w:hint="default"/>
          <w:sz w:val="48"/>
        </w:rPr>
      </w:lvl>
    </w:lvlOverride>
  </w:num>
  <w:num w:numId="8" w16cid:durableId="167425735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9" w16cid:durableId="969475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7AF"/>
    <w:rsid w:val="0042473C"/>
    <w:rsid w:val="0044651F"/>
    <w:rsid w:val="00674900"/>
    <w:rsid w:val="007D094D"/>
    <w:rsid w:val="00875BE5"/>
    <w:rsid w:val="009217AF"/>
    <w:rsid w:val="009E1605"/>
    <w:rsid w:val="00AD4BEB"/>
    <w:rsid w:val="00D4044F"/>
    <w:rsid w:val="00ED3AAA"/>
    <w:rsid w:val="00F2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765AF"/>
  <w15:chartTrackingRefBased/>
  <w15:docId w15:val="{9EE7B5A6-2B16-455B-9C20-7C6D99EDE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17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17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17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17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17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17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17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17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17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17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17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17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17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17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17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17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17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17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17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1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17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1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17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17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17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17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17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17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17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dcterms:created xsi:type="dcterms:W3CDTF">2025-03-15T16:25:00Z</dcterms:created>
  <dcterms:modified xsi:type="dcterms:W3CDTF">2025-03-15T16:25:00Z</dcterms:modified>
</cp:coreProperties>
</file>