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887304870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3C2C59DE" w14:textId="554D8846" w:rsidR="000359CF" w:rsidRDefault="000359C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C8069E6" wp14:editId="356B64A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44EFB224" w14:textId="23F00AE3" w:rsidR="000359CF" w:rsidRDefault="005A1520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</w:t>
                                      </w:r>
                                      <w:r w:rsidR="000359CF">
                                        <w:rPr>
                                          <w:color w:val="FFFFFF" w:themeColor="background1"/>
                                        </w:rPr>
                                        <w:t xml:space="preserve">ade </w:t>
                                      </w: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B</w:t>
                                      </w:r>
                                      <w:r w:rsidR="000359CF">
                                        <w:rPr>
                                          <w:color w:val="FFFFFF" w:themeColor="background1"/>
                                        </w:rPr>
                                        <w:t>rown</w:t>
                                      </w:r>
                                    </w:p>
                                  </w:sdtContent>
                                </w:sdt>
                                <w:p w14:paraId="3A91FA3A" w14:textId="50F64FA9" w:rsidR="000359CF" w:rsidRDefault="000359C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5A1520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2319007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5A1520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B387920" w14:textId="292190D4" w:rsidR="000359CF" w:rsidRDefault="005A1520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Timestomp festival report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C8069E6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44EFB224" w14:textId="23F00AE3" w:rsidR="000359CF" w:rsidRDefault="005A1520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</w:t>
                                </w:r>
                                <w:r w:rsidR="000359CF">
                                  <w:rPr>
                                    <w:color w:val="FFFFFF" w:themeColor="background1"/>
                                  </w:rPr>
                                  <w:t xml:space="preserve">ade 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t>B</w:t>
                                </w:r>
                                <w:r w:rsidR="000359CF">
                                  <w:rPr>
                                    <w:color w:val="FFFFFF" w:themeColor="background1"/>
                                  </w:rPr>
                                  <w:t>rown</w:t>
                                </w:r>
                              </w:p>
                            </w:sdtContent>
                          </w:sdt>
                          <w:p w14:paraId="3A91FA3A" w14:textId="50F64FA9" w:rsidR="000359CF" w:rsidRDefault="000359C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5A1520">
                                  <w:rPr>
                                    <w:caps/>
                                    <w:color w:val="FFFFFF" w:themeColor="background1"/>
                                  </w:rPr>
                                  <w:t>2319007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5A1520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B387920" w14:textId="292190D4" w:rsidR="000359CF" w:rsidRDefault="005A1520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Timestomp festival report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532996A" w14:textId="5F925622" w:rsidR="000359CF" w:rsidRDefault="000359CF">
          <w:pPr>
            <w:rPr>
              <w:rFonts w:ascii="Times New Roman" w:hAnsi="Times New Roman" w:cs="Times New Roman"/>
            </w:rPr>
          </w:pPr>
          <w:r>
            <w:rPr>
              <w:rFonts w:ascii="Times New Roman" w:hAnsi="Times New Roman" w:cs="Times New Roman"/>
            </w:rPr>
            <w:br w:type="page"/>
          </w:r>
        </w:p>
      </w:sdtContent>
    </w:sdt>
    <w:p w14:paraId="57533A38" w14:textId="6244670F" w:rsidR="009B7089" w:rsidRPr="009B7089" w:rsidRDefault="009B7089" w:rsidP="009B7089">
      <w:pPr>
        <w:rPr>
          <w:rFonts w:ascii="Times New Roman" w:hAnsi="Times New Roman" w:cs="Times New Roman"/>
          <w:u w:val="single"/>
        </w:rPr>
      </w:pPr>
      <w:r w:rsidRPr="009B7089">
        <w:rPr>
          <w:rFonts w:ascii="Times New Roman" w:hAnsi="Times New Roman" w:cs="Times New Roman"/>
          <w:b/>
          <w:bCs/>
          <w:u w:val="single"/>
        </w:rPr>
        <w:lastRenderedPageBreak/>
        <w:t>Table of Contents</w:t>
      </w:r>
    </w:p>
    <w:p w14:paraId="2EED53B5" w14:textId="77777777" w:rsidR="009B7089" w:rsidRPr="009B7089" w:rsidRDefault="009B7089" w:rsidP="009B7089">
      <w:pPr>
        <w:numPr>
          <w:ilvl w:val="0"/>
          <w:numId w:val="10"/>
        </w:numPr>
        <w:rPr>
          <w:rFonts w:ascii="Times New Roman" w:hAnsi="Times New Roman" w:cs="Times New Roman"/>
        </w:rPr>
      </w:pPr>
      <w:r w:rsidRPr="009B7089">
        <w:rPr>
          <w:rFonts w:ascii="Times New Roman" w:hAnsi="Times New Roman" w:cs="Times New Roman"/>
        </w:rPr>
        <w:t>Cover Page</w:t>
      </w:r>
    </w:p>
    <w:p w14:paraId="61B106AA" w14:textId="77777777" w:rsidR="009B7089" w:rsidRPr="009B7089" w:rsidRDefault="009B7089" w:rsidP="009B7089">
      <w:pPr>
        <w:numPr>
          <w:ilvl w:val="0"/>
          <w:numId w:val="10"/>
        </w:numPr>
        <w:rPr>
          <w:rFonts w:ascii="Times New Roman" w:hAnsi="Times New Roman" w:cs="Times New Roman"/>
        </w:rPr>
      </w:pPr>
      <w:r w:rsidRPr="009B7089">
        <w:rPr>
          <w:rFonts w:ascii="Times New Roman" w:hAnsi="Times New Roman" w:cs="Times New Roman"/>
        </w:rPr>
        <w:t>Table of Contents</w:t>
      </w:r>
    </w:p>
    <w:p w14:paraId="5F59A5A3" w14:textId="77777777" w:rsidR="009B7089" w:rsidRPr="009B7089" w:rsidRDefault="009B7089" w:rsidP="009B7089">
      <w:pPr>
        <w:numPr>
          <w:ilvl w:val="0"/>
          <w:numId w:val="10"/>
        </w:numPr>
        <w:rPr>
          <w:rFonts w:ascii="Times New Roman" w:hAnsi="Times New Roman" w:cs="Times New Roman"/>
        </w:rPr>
      </w:pPr>
      <w:r w:rsidRPr="009B7089">
        <w:rPr>
          <w:rFonts w:ascii="Times New Roman" w:hAnsi="Times New Roman" w:cs="Times New Roman"/>
        </w:rPr>
        <w:t>Plan for Research</w:t>
      </w:r>
    </w:p>
    <w:p w14:paraId="0D343E0D" w14:textId="77777777" w:rsidR="009B7089" w:rsidRPr="009B7089" w:rsidRDefault="009B7089" w:rsidP="009B7089">
      <w:pPr>
        <w:numPr>
          <w:ilvl w:val="0"/>
          <w:numId w:val="10"/>
        </w:numPr>
        <w:rPr>
          <w:rFonts w:ascii="Times New Roman" w:hAnsi="Times New Roman" w:cs="Times New Roman"/>
        </w:rPr>
      </w:pPr>
      <w:r w:rsidRPr="009B7089">
        <w:rPr>
          <w:rFonts w:ascii="Times New Roman" w:hAnsi="Times New Roman" w:cs="Times New Roman"/>
        </w:rPr>
        <w:t>Research and Findings</w:t>
      </w:r>
    </w:p>
    <w:p w14:paraId="283D386A" w14:textId="77777777" w:rsidR="009B7089" w:rsidRPr="009B7089" w:rsidRDefault="009B7089" w:rsidP="009B7089">
      <w:pPr>
        <w:numPr>
          <w:ilvl w:val="0"/>
          <w:numId w:val="10"/>
        </w:numPr>
        <w:rPr>
          <w:rFonts w:ascii="Times New Roman" w:hAnsi="Times New Roman" w:cs="Times New Roman"/>
        </w:rPr>
      </w:pPr>
      <w:r w:rsidRPr="009B7089">
        <w:rPr>
          <w:rFonts w:ascii="Times New Roman" w:hAnsi="Times New Roman" w:cs="Times New Roman"/>
        </w:rPr>
        <w:t>Reform Suggestions</w:t>
      </w:r>
    </w:p>
    <w:p w14:paraId="4FA9FD1E" w14:textId="77777777" w:rsidR="009B7089" w:rsidRPr="009B7089" w:rsidRDefault="009B7089" w:rsidP="009B7089">
      <w:pPr>
        <w:numPr>
          <w:ilvl w:val="0"/>
          <w:numId w:val="10"/>
        </w:numPr>
        <w:rPr>
          <w:rFonts w:ascii="Times New Roman" w:hAnsi="Times New Roman" w:cs="Times New Roman"/>
        </w:rPr>
      </w:pPr>
      <w:r w:rsidRPr="009B7089">
        <w:rPr>
          <w:rFonts w:ascii="Times New Roman" w:hAnsi="Times New Roman" w:cs="Times New Roman"/>
        </w:rPr>
        <w:t>Conclusion</w:t>
      </w:r>
    </w:p>
    <w:p w14:paraId="47605418" w14:textId="77777777" w:rsidR="009B7089" w:rsidRPr="009B7089" w:rsidRDefault="009B7089" w:rsidP="009B7089">
      <w:pPr>
        <w:numPr>
          <w:ilvl w:val="0"/>
          <w:numId w:val="10"/>
        </w:numPr>
        <w:rPr>
          <w:rFonts w:ascii="Times New Roman" w:hAnsi="Times New Roman" w:cs="Times New Roman"/>
        </w:rPr>
      </w:pPr>
      <w:r w:rsidRPr="009B7089">
        <w:rPr>
          <w:rFonts w:ascii="Times New Roman" w:hAnsi="Times New Roman" w:cs="Times New Roman"/>
        </w:rPr>
        <w:t>Reference List</w:t>
      </w:r>
    </w:p>
    <w:p w14:paraId="558701A5" w14:textId="77777777" w:rsidR="009B7089" w:rsidRPr="009B7089" w:rsidRDefault="009B7089" w:rsidP="009B7089">
      <w:pPr>
        <w:numPr>
          <w:ilvl w:val="0"/>
          <w:numId w:val="10"/>
        </w:numPr>
        <w:rPr>
          <w:rFonts w:ascii="Times New Roman" w:hAnsi="Times New Roman" w:cs="Times New Roman"/>
        </w:rPr>
      </w:pPr>
      <w:r w:rsidRPr="009B7089">
        <w:rPr>
          <w:rFonts w:ascii="Times New Roman" w:hAnsi="Times New Roman" w:cs="Times New Roman"/>
        </w:rPr>
        <w:t>End Page</w:t>
      </w:r>
    </w:p>
    <w:p w14:paraId="37570A7B" w14:textId="1E03B2AC" w:rsidR="009B7089" w:rsidRPr="009B7089" w:rsidRDefault="009B7089" w:rsidP="009B7089">
      <w:pPr>
        <w:rPr>
          <w:rFonts w:ascii="Times New Roman" w:hAnsi="Times New Roman" w:cs="Times New Roman"/>
        </w:rPr>
      </w:pPr>
    </w:p>
    <w:p w14:paraId="1E1E028D" w14:textId="0941ED8B" w:rsidR="00BB4C0F" w:rsidRPr="00BB4C0F" w:rsidRDefault="00BB4C0F" w:rsidP="00BB4C0F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 xml:space="preserve"> Plan for Research (750 Words)</w:t>
      </w:r>
    </w:p>
    <w:p w14:paraId="0054930C" w14:textId="17E93BDD" w:rsidR="00BB4C0F" w:rsidRPr="00FD523C" w:rsidRDefault="00FF3FBE" w:rsidP="00FF3FBE">
      <w:pPr>
        <w:pStyle w:val="ListParagraph"/>
        <w:numPr>
          <w:ilvl w:val="0"/>
          <w:numId w:val="24"/>
        </w:numPr>
        <w:rPr>
          <w:rFonts w:ascii="Times New Roman" w:hAnsi="Times New Roman" w:cs="Times New Roman"/>
        </w:rPr>
      </w:pPr>
      <w:r w:rsidRPr="00FD523C">
        <w:rPr>
          <w:rFonts w:ascii="Times New Roman" w:hAnsi="Times New Roman" w:cs="Times New Roman"/>
          <w:b/>
          <w:bCs/>
        </w:rPr>
        <w:t>Identifying the</w:t>
      </w:r>
      <w:r w:rsidR="00BB4C0F" w:rsidRPr="00FD523C">
        <w:rPr>
          <w:rFonts w:ascii="Times New Roman" w:hAnsi="Times New Roman" w:cs="Times New Roman"/>
          <w:b/>
          <w:bCs/>
        </w:rPr>
        <w:t xml:space="preserve"> Legal Issues:</w:t>
      </w:r>
      <w:r w:rsidR="00BB4C0F" w:rsidRPr="00FD523C">
        <w:rPr>
          <w:rFonts w:ascii="Times New Roman" w:hAnsi="Times New Roman" w:cs="Times New Roman"/>
        </w:rPr>
        <w:t xml:space="preserve"> </w:t>
      </w:r>
    </w:p>
    <w:p w14:paraId="4799F333" w14:textId="54A337EF" w:rsidR="00BB4C0F" w:rsidRPr="00BB4C0F" w:rsidRDefault="00BB4C0F" w:rsidP="00FF3FBE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Negligence:</w:t>
      </w:r>
      <w:r w:rsidRPr="00BB4C0F">
        <w:rPr>
          <w:rFonts w:ascii="Times New Roman" w:hAnsi="Times New Roman" w:cs="Times New Roman"/>
        </w:rPr>
        <w:t xml:space="preserve"> The core issue is whether Barry Bottleman owed a duty of care, breached that duty, and if that breach caused the injuries suffered by Sarah, Jack, Mary, and Janice.</w:t>
      </w:r>
      <w:r w:rsidR="005D7886" w:rsidRPr="00FD523C">
        <w:rPr>
          <w:rFonts w:ascii="Times New Roman" w:hAnsi="Times New Roman" w:cs="Times New Roman"/>
        </w:rPr>
        <w:t xml:space="preserve"> </w:t>
      </w:r>
    </w:p>
    <w:p w14:paraId="7813BC13" w14:textId="77777777" w:rsidR="00BB4C0F" w:rsidRPr="00BB4C0F" w:rsidRDefault="00BB4C0F" w:rsidP="00EB6C8E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Duty of Care:</w:t>
      </w:r>
      <w:r w:rsidRPr="00BB4C0F">
        <w:rPr>
          <w:rFonts w:ascii="Times New Roman" w:hAnsi="Times New Roman" w:cs="Times New Roman"/>
        </w:rPr>
        <w:t xml:space="preserve"> </w:t>
      </w:r>
    </w:p>
    <w:p w14:paraId="2823173F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Did Barry owe a duty of care to attendees? (Likely yes, as an event organizer).</w:t>
      </w:r>
    </w:p>
    <w:p w14:paraId="653F868E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Was the duty breached by the fireworks malfunction and lack of crowd control?</w:t>
      </w:r>
    </w:p>
    <w:p w14:paraId="5119D80A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Consider Occupiers' Liability Act 1957 and 1984.</w:t>
      </w:r>
    </w:p>
    <w:p w14:paraId="6781EB65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Breach of Duty:</w:t>
      </w:r>
      <w:r w:rsidRPr="00BB4C0F">
        <w:rPr>
          <w:rFonts w:ascii="Times New Roman" w:hAnsi="Times New Roman" w:cs="Times New Roman"/>
        </w:rPr>
        <w:t xml:space="preserve"> </w:t>
      </w:r>
    </w:p>
    <w:p w14:paraId="7E3073E1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Was the risk of injury foreseeable?</w:t>
      </w:r>
    </w:p>
    <w:p w14:paraId="23DA780D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Did Barry take reasonable steps to prevent harm? (Consider standard of care).</w:t>
      </w:r>
    </w:p>
    <w:p w14:paraId="0F3C4133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Did the firework company also breach their duty of care?</w:t>
      </w:r>
    </w:p>
    <w:p w14:paraId="159DF707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Causation:</w:t>
      </w:r>
      <w:r w:rsidRPr="00BB4C0F">
        <w:rPr>
          <w:rFonts w:ascii="Times New Roman" w:hAnsi="Times New Roman" w:cs="Times New Roman"/>
        </w:rPr>
        <w:t xml:space="preserve"> </w:t>
      </w:r>
    </w:p>
    <w:p w14:paraId="681A958B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"But for" test: Would the injuries have occurred but for Barry's negligence?</w:t>
      </w:r>
    </w:p>
    <w:p w14:paraId="5EE7D2B5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Was the damage a foreseeable consequence of the breach?</w:t>
      </w:r>
    </w:p>
    <w:p w14:paraId="7E8B4217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Remoteness of Damage:</w:t>
      </w:r>
      <w:r w:rsidRPr="00BB4C0F">
        <w:rPr>
          <w:rFonts w:ascii="Times New Roman" w:hAnsi="Times New Roman" w:cs="Times New Roman"/>
        </w:rPr>
        <w:t xml:space="preserve"> </w:t>
      </w:r>
    </w:p>
    <w:p w14:paraId="3F73727A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Were the types of injuries suffered too remote from the breach?</w:t>
      </w:r>
    </w:p>
    <w:p w14:paraId="4AFB918E" w14:textId="77777777" w:rsidR="00BB4C0F" w:rsidRPr="00BB4C0F" w:rsidRDefault="00BB4C0F" w:rsidP="00FD523C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Nervous Shock (Psychiatric Injury):</w:t>
      </w:r>
      <w:r w:rsidRPr="00BB4C0F">
        <w:rPr>
          <w:rFonts w:ascii="Times New Roman" w:hAnsi="Times New Roman" w:cs="Times New Roman"/>
        </w:rPr>
        <w:t xml:space="preserve"> </w:t>
      </w:r>
    </w:p>
    <w:p w14:paraId="300BC942" w14:textId="77777777" w:rsidR="00BB4C0F" w:rsidRPr="00BB4C0F" w:rsidRDefault="00BB4C0F" w:rsidP="00E2611E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Mary and Janice's claims for psychiatric injury require analysis of primary vs. secondary victims.</w:t>
      </w:r>
    </w:p>
    <w:p w14:paraId="4F34A631" w14:textId="77777777" w:rsidR="00BB4C0F" w:rsidRPr="00BB4C0F" w:rsidRDefault="00BB4C0F" w:rsidP="00E2611E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lastRenderedPageBreak/>
        <w:t>Consider the Alcock criteria.</w:t>
      </w:r>
    </w:p>
    <w:p w14:paraId="31D88F00" w14:textId="77777777" w:rsidR="00BB4C0F" w:rsidRPr="00BB4C0F" w:rsidRDefault="00BB4C0F" w:rsidP="00E2611E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Jacks PTSD.</w:t>
      </w:r>
    </w:p>
    <w:p w14:paraId="5BF2CDBD" w14:textId="77777777" w:rsidR="00BB4C0F" w:rsidRPr="00BB4C0F" w:rsidRDefault="00BB4C0F" w:rsidP="00E2611E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Bobs Psychosis.</w:t>
      </w:r>
    </w:p>
    <w:p w14:paraId="0CCBA43B" w14:textId="77777777" w:rsidR="00BB4C0F" w:rsidRPr="00BB4C0F" w:rsidRDefault="00BB4C0F" w:rsidP="00CC7F55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Intervening Acts:</w:t>
      </w:r>
      <w:r w:rsidRPr="00BB4C0F">
        <w:rPr>
          <w:rFonts w:ascii="Times New Roman" w:hAnsi="Times New Roman" w:cs="Times New Roman"/>
        </w:rPr>
        <w:t xml:space="preserve"> </w:t>
      </w:r>
    </w:p>
    <w:p w14:paraId="7B68135E" w14:textId="77777777" w:rsidR="00BB4C0F" w:rsidRPr="00BB4C0F" w:rsidRDefault="00BB4C0F" w:rsidP="00CC7F55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Bobs actions, and how this affects the chain of causation.</w:t>
      </w:r>
    </w:p>
    <w:p w14:paraId="62BBF63B" w14:textId="77777777" w:rsidR="00BB4C0F" w:rsidRPr="00BB4C0F" w:rsidRDefault="00BB4C0F" w:rsidP="00CC7F55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Vicarious Liability:</w:t>
      </w:r>
      <w:r w:rsidRPr="00BB4C0F">
        <w:rPr>
          <w:rFonts w:ascii="Times New Roman" w:hAnsi="Times New Roman" w:cs="Times New Roman"/>
        </w:rPr>
        <w:t xml:space="preserve"> </w:t>
      </w:r>
    </w:p>
    <w:p w14:paraId="5FE223A7" w14:textId="77777777" w:rsidR="00BB4C0F" w:rsidRPr="00BB4C0F" w:rsidRDefault="00BB4C0F" w:rsidP="00CC7F55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Was the firework company a contractor?</w:t>
      </w:r>
    </w:p>
    <w:p w14:paraId="6DCE38C2" w14:textId="77777777" w:rsidR="00CC7F55" w:rsidRPr="00CC7F55" w:rsidRDefault="00CC7F55" w:rsidP="00CC7F55">
      <w:pPr>
        <w:rPr>
          <w:rFonts w:ascii="Times New Roman" w:hAnsi="Times New Roman" w:cs="Times New Roman"/>
          <w:b/>
          <w:bCs/>
        </w:rPr>
      </w:pPr>
    </w:p>
    <w:p w14:paraId="7404A20F" w14:textId="77777777" w:rsidR="00CC7F55" w:rsidRDefault="00CC7F55" w:rsidP="00CC7F55">
      <w:pPr>
        <w:rPr>
          <w:b/>
          <w:bCs/>
        </w:rPr>
      </w:pPr>
    </w:p>
    <w:p w14:paraId="017E9EEE" w14:textId="1B645B05" w:rsidR="00BB4C0F" w:rsidRPr="00BB4C0F" w:rsidRDefault="00BB4C0F" w:rsidP="00CC7F55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Research Strategy:</w:t>
      </w:r>
      <w:r w:rsidRPr="00BB4C0F">
        <w:rPr>
          <w:rFonts w:ascii="Times New Roman" w:hAnsi="Times New Roman" w:cs="Times New Roman"/>
        </w:rPr>
        <w:t xml:space="preserve"> </w:t>
      </w:r>
    </w:p>
    <w:p w14:paraId="71A3BB18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Primary Sources:</w:t>
      </w:r>
      <w:r w:rsidRPr="00BB4C0F">
        <w:rPr>
          <w:rFonts w:ascii="Times New Roman" w:hAnsi="Times New Roman" w:cs="Times New Roman"/>
        </w:rPr>
        <w:t xml:space="preserve"> </w:t>
      </w:r>
    </w:p>
    <w:p w14:paraId="314D6F1F" w14:textId="77777777" w:rsidR="00BB4C0F" w:rsidRPr="00F66B8D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 xml:space="preserve">Case law on negligence, duty of care, breach, causation, and psychiatric injury (e.g., </w:t>
      </w:r>
      <w:r w:rsidRPr="00BB4C0F">
        <w:rPr>
          <w:rFonts w:ascii="Times New Roman" w:hAnsi="Times New Roman" w:cs="Times New Roman"/>
          <w:i/>
          <w:iCs/>
        </w:rPr>
        <w:t>Donoghue v Stevenson</w:t>
      </w:r>
      <w:r w:rsidRPr="00BB4C0F">
        <w:rPr>
          <w:rFonts w:ascii="Times New Roman" w:hAnsi="Times New Roman" w:cs="Times New Roman"/>
        </w:rPr>
        <w:t xml:space="preserve">, </w:t>
      </w:r>
      <w:r w:rsidRPr="00BB4C0F">
        <w:rPr>
          <w:rFonts w:ascii="Times New Roman" w:hAnsi="Times New Roman" w:cs="Times New Roman"/>
          <w:i/>
          <w:iCs/>
        </w:rPr>
        <w:t>Caparo v Dickman</w:t>
      </w:r>
      <w:r w:rsidRPr="00BB4C0F">
        <w:rPr>
          <w:rFonts w:ascii="Times New Roman" w:hAnsi="Times New Roman" w:cs="Times New Roman"/>
        </w:rPr>
        <w:t xml:space="preserve">, </w:t>
      </w:r>
      <w:r w:rsidRPr="00BB4C0F">
        <w:rPr>
          <w:rFonts w:ascii="Times New Roman" w:hAnsi="Times New Roman" w:cs="Times New Roman"/>
          <w:i/>
          <w:iCs/>
        </w:rPr>
        <w:t>Alcock v Chief Constable of South Yorkshire Police</w:t>
      </w:r>
      <w:r w:rsidRPr="00BB4C0F">
        <w:rPr>
          <w:rFonts w:ascii="Times New Roman" w:hAnsi="Times New Roman" w:cs="Times New Roman"/>
        </w:rPr>
        <w:t xml:space="preserve">, </w:t>
      </w:r>
      <w:r w:rsidRPr="00BB4C0F">
        <w:rPr>
          <w:rFonts w:ascii="Times New Roman" w:hAnsi="Times New Roman" w:cs="Times New Roman"/>
          <w:i/>
          <w:iCs/>
        </w:rPr>
        <w:t>Page v Smith</w:t>
      </w:r>
      <w:r w:rsidRPr="00BB4C0F">
        <w:rPr>
          <w:rFonts w:ascii="Times New Roman" w:hAnsi="Times New Roman" w:cs="Times New Roman"/>
        </w:rPr>
        <w:t>).</w:t>
      </w:r>
    </w:p>
    <w:p w14:paraId="12F6C551" w14:textId="4386143D" w:rsidR="00FD523C" w:rsidRPr="00BB4C0F" w:rsidRDefault="00FD523C" w:rsidP="00F66B8D">
      <w:pPr>
        <w:rPr>
          <w:rFonts w:ascii="Times New Roman" w:hAnsi="Times New Roman" w:cs="Times New Roman"/>
        </w:rPr>
      </w:pPr>
      <w:r w:rsidRPr="003E0BE9">
        <w:rPr>
          <w:rFonts w:ascii="Times New Roman" w:hAnsi="Times New Roman" w:cs="Times New Roman"/>
          <w:highlight w:val="yellow"/>
        </w:rPr>
        <w:t>Donoghue v Stevenson (1932) ‘one must take reasonable care to avoid acts or omissions that could reasonably injure one’s neighbour. Attendees are Barry’s ‘neighbours’ – Caparo v Dickman (1990) – Foreseeability Proximity and reasonableness</w:t>
      </w:r>
    </w:p>
    <w:p w14:paraId="02ACD0C2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Relevant legislation: Occupiers' Liability Act 1957 and 1984, Health and Safety at Work etc. Act 1974.</w:t>
      </w:r>
    </w:p>
    <w:p w14:paraId="3AD14372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Secondary Sources:</w:t>
      </w:r>
      <w:r w:rsidRPr="00BB4C0F">
        <w:rPr>
          <w:rFonts w:ascii="Times New Roman" w:hAnsi="Times New Roman" w:cs="Times New Roman"/>
        </w:rPr>
        <w:t xml:space="preserve"> </w:t>
      </w:r>
    </w:p>
    <w:p w14:paraId="09154343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Legal textbooks on tort law.</w:t>
      </w:r>
    </w:p>
    <w:p w14:paraId="0FC21977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Academic journals and articles on negligence, psychiatric injury, and event safety.</w:t>
      </w:r>
    </w:p>
    <w:p w14:paraId="24579F95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Government reports and publications on event safety regulations.</w:t>
      </w:r>
    </w:p>
    <w:p w14:paraId="5091D731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Search Terms:</w:t>
      </w:r>
      <w:r w:rsidRPr="00BB4C0F">
        <w:rPr>
          <w:rFonts w:ascii="Times New Roman" w:hAnsi="Times New Roman" w:cs="Times New Roman"/>
        </w:rPr>
        <w:t xml:space="preserve"> </w:t>
      </w:r>
    </w:p>
    <w:p w14:paraId="05F95842" w14:textId="101BFBE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"Negligence event organi</w:t>
      </w:r>
      <w:r w:rsidR="00F66B8D" w:rsidRPr="00F66B8D">
        <w:rPr>
          <w:rFonts w:ascii="Times New Roman" w:hAnsi="Times New Roman" w:cs="Times New Roman"/>
        </w:rPr>
        <w:t>s</w:t>
      </w:r>
      <w:r w:rsidRPr="00BB4C0F">
        <w:rPr>
          <w:rFonts w:ascii="Times New Roman" w:hAnsi="Times New Roman" w:cs="Times New Roman"/>
        </w:rPr>
        <w:t>er"</w:t>
      </w:r>
    </w:p>
    <w:p w14:paraId="49BB8D34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"Psychiatric injury secondary victim"</w:t>
      </w:r>
    </w:p>
    <w:p w14:paraId="3B24EAB1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"Occupiers liability festival"</w:t>
      </w:r>
    </w:p>
    <w:p w14:paraId="124C6A3C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"Crowd stampede liability"</w:t>
      </w:r>
    </w:p>
    <w:p w14:paraId="189442C9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"Fireworks malfunction negligence"</w:t>
      </w:r>
    </w:p>
    <w:p w14:paraId="0AD2DB56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"Intervening act causation tort"</w:t>
      </w:r>
    </w:p>
    <w:p w14:paraId="56351C33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  <w:b/>
          <w:bCs/>
        </w:rPr>
        <w:t>Structure the Plan:</w:t>
      </w:r>
      <w:r w:rsidRPr="00BB4C0F">
        <w:rPr>
          <w:rFonts w:ascii="Times New Roman" w:hAnsi="Times New Roman" w:cs="Times New Roman"/>
        </w:rPr>
        <w:t xml:space="preserve"> </w:t>
      </w:r>
    </w:p>
    <w:p w14:paraId="4E87C5F0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lastRenderedPageBreak/>
        <w:t>Outline the key legal issues.</w:t>
      </w:r>
    </w:p>
    <w:p w14:paraId="49C17A3A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Describe the research methods you will use.</w:t>
      </w:r>
    </w:p>
    <w:p w14:paraId="1E7AEE72" w14:textId="77777777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>List the primary and secondary sources you intend to consult.</w:t>
      </w:r>
    </w:p>
    <w:p w14:paraId="6D1A4A0D" w14:textId="58DD1E89" w:rsidR="00BB4C0F" w:rsidRPr="00BB4C0F" w:rsidRDefault="00BB4C0F" w:rsidP="00F66B8D">
      <w:pPr>
        <w:rPr>
          <w:rFonts w:ascii="Times New Roman" w:hAnsi="Times New Roman" w:cs="Times New Roman"/>
        </w:rPr>
      </w:pPr>
      <w:r w:rsidRPr="00BB4C0F">
        <w:rPr>
          <w:rFonts w:ascii="Times New Roman" w:hAnsi="Times New Roman" w:cs="Times New Roman"/>
        </w:rPr>
        <w:t xml:space="preserve">Explain how </w:t>
      </w:r>
      <w:r w:rsidR="00F66B8D" w:rsidRPr="00F66B8D">
        <w:rPr>
          <w:rFonts w:ascii="Times New Roman" w:hAnsi="Times New Roman" w:cs="Times New Roman"/>
        </w:rPr>
        <w:t>I</w:t>
      </w:r>
      <w:r w:rsidRPr="00BB4C0F">
        <w:rPr>
          <w:rFonts w:ascii="Times New Roman" w:hAnsi="Times New Roman" w:cs="Times New Roman"/>
        </w:rPr>
        <w:t xml:space="preserve"> will </w:t>
      </w:r>
      <w:r w:rsidR="00F66B8D" w:rsidRPr="00F66B8D">
        <w:rPr>
          <w:rFonts w:ascii="Times New Roman" w:hAnsi="Times New Roman" w:cs="Times New Roman"/>
        </w:rPr>
        <w:t>analyse</w:t>
      </w:r>
      <w:r w:rsidRPr="00BB4C0F">
        <w:rPr>
          <w:rFonts w:ascii="Times New Roman" w:hAnsi="Times New Roman" w:cs="Times New Roman"/>
        </w:rPr>
        <w:t xml:space="preserve"> the research findings.</w:t>
      </w:r>
    </w:p>
    <w:p w14:paraId="5EB0B3B6" w14:textId="77777777" w:rsidR="00EB13FF" w:rsidRDefault="00EB13FF" w:rsidP="00EB13FF">
      <w:pPr>
        <w:rPr>
          <w:rFonts w:ascii="Times New Roman" w:hAnsi="Times New Roman" w:cs="Times New Roman"/>
          <w:b/>
          <w:bCs/>
        </w:rPr>
      </w:pPr>
    </w:p>
    <w:p w14:paraId="6EAD1B5D" w14:textId="55454D3B" w:rsidR="00EB13FF" w:rsidRPr="00EB13FF" w:rsidRDefault="00EB13FF" w:rsidP="00EB13FF">
      <w:p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b/>
          <w:bCs/>
        </w:rPr>
        <w:t>1. Identification and Refinement of Legal Issues</w:t>
      </w:r>
    </w:p>
    <w:p w14:paraId="01FFB567" w14:textId="77777777" w:rsidR="00EB13FF" w:rsidRPr="00EB13FF" w:rsidRDefault="00EB13FF" w:rsidP="00EB13FF">
      <w:pPr>
        <w:numPr>
          <w:ilvl w:val="0"/>
          <w:numId w:val="25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This research will commence with the identification of the central legal issue: the potential liability of Barry Bottleman in negligence for the physical and psychiatric injuries incurred at the "Time Stomp" festival.</w:t>
      </w:r>
    </w:p>
    <w:p w14:paraId="49DED236" w14:textId="77777777" w:rsidR="00EB13FF" w:rsidRPr="00EB13FF" w:rsidRDefault="00EB13FF" w:rsidP="00EB13FF">
      <w:pPr>
        <w:numPr>
          <w:ilvl w:val="0"/>
          <w:numId w:val="25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 primary issue will be dissected into its constituent elements, including duty of care, breach of duty, causation, and remoteness.</w:t>
      </w:r>
    </w:p>
    <w:p w14:paraId="04333864" w14:textId="77777777" w:rsidR="00EB13FF" w:rsidRPr="00EB13FF" w:rsidRDefault="00EB13FF" w:rsidP="00EB13FF">
      <w:pPr>
        <w:numPr>
          <w:ilvl w:val="0"/>
          <w:numId w:val="25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Particular attention will be paid to the complexities arising from claims of psychiatric injury and the intervening act of Bob.</w:t>
      </w:r>
    </w:p>
    <w:p w14:paraId="3C07057B" w14:textId="77777777" w:rsidR="00EB13FF" w:rsidRPr="00EB13FF" w:rsidRDefault="00EB13FF" w:rsidP="00EB13FF">
      <w:pPr>
        <w:numPr>
          <w:ilvl w:val="0"/>
          <w:numId w:val="25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 potential applicability of Occupiers' Liability legislation will also be examined.</w:t>
      </w:r>
    </w:p>
    <w:p w14:paraId="746A1F84" w14:textId="77777777" w:rsidR="00EB13FF" w:rsidRPr="00EB13FF" w:rsidRDefault="00EB13FF" w:rsidP="00EB13FF">
      <w:pPr>
        <w:numPr>
          <w:ilvl w:val="0"/>
          <w:numId w:val="25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Preliminary research will be conducted to refine the identified issues, focusing on specific sub-issues and potential points of contention.</w:t>
      </w:r>
    </w:p>
    <w:p w14:paraId="2647F102" w14:textId="41FB7C57" w:rsidR="00EB13FF" w:rsidRPr="00EB13FF" w:rsidRDefault="00EB13FF" w:rsidP="00EB13FF">
      <w:pPr>
        <w:numPr>
          <w:ilvl w:val="0"/>
          <w:numId w:val="25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For example, under "breach of duty," the research will investigate the specific standards expected of event organi</w:t>
      </w:r>
      <w:r>
        <w:rPr>
          <w:rFonts w:ascii="Times New Roman" w:hAnsi="Times New Roman" w:cs="Times New Roman"/>
        </w:rPr>
        <w:t>s</w:t>
      </w:r>
      <w:r w:rsidRPr="00EB13FF">
        <w:rPr>
          <w:rFonts w:ascii="Times New Roman" w:hAnsi="Times New Roman" w:cs="Times New Roman"/>
        </w:rPr>
        <w:t xml:space="preserve">ers </w:t>
      </w:r>
      <w:r w:rsidRPr="00EB13FF">
        <w:rPr>
          <w:rFonts w:ascii="Times New Roman" w:hAnsi="Times New Roman" w:cs="Times New Roman"/>
        </w:rPr>
        <w:t>about</w:t>
      </w:r>
      <w:r w:rsidRPr="00EB13FF">
        <w:rPr>
          <w:rFonts w:ascii="Times New Roman" w:hAnsi="Times New Roman" w:cs="Times New Roman"/>
        </w:rPr>
        <w:t xml:space="preserve"> fireworks safety and crowd control.</w:t>
      </w:r>
    </w:p>
    <w:p w14:paraId="30F59C7D" w14:textId="4803FC6A" w:rsidR="00EB13FF" w:rsidRPr="00EB13FF" w:rsidRDefault="00EB13FF" w:rsidP="00EB13FF">
      <w:pPr>
        <w:numPr>
          <w:ilvl w:val="0"/>
          <w:numId w:val="25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 xml:space="preserve">The research will </w:t>
      </w:r>
      <w:r w:rsidRPr="00EB13FF">
        <w:rPr>
          <w:rFonts w:ascii="Times New Roman" w:hAnsi="Times New Roman" w:cs="Times New Roman"/>
        </w:rPr>
        <w:t>consider</w:t>
      </w:r>
      <w:r w:rsidRPr="00EB13FF">
        <w:rPr>
          <w:rFonts w:ascii="Times New Roman" w:hAnsi="Times New Roman" w:cs="Times New Roman"/>
        </w:rPr>
        <w:t xml:space="preserve"> the HSE guidelines concerning event planning and firework displays.</w:t>
      </w:r>
    </w:p>
    <w:p w14:paraId="59813B2E" w14:textId="77777777" w:rsidR="00EB13FF" w:rsidRPr="00EB13FF" w:rsidRDefault="00EB13FF" w:rsidP="00EB13FF">
      <w:pPr>
        <w:numPr>
          <w:ilvl w:val="0"/>
          <w:numId w:val="25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Furthermore, the legal definition of an occupier, and how this relates to large-scale events, will be explored.</w:t>
      </w:r>
    </w:p>
    <w:p w14:paraId="4DC83066" w14:textId="77A84CC0" w:rsidR="00EB13FF" w:rsidRPr="00EB13FF" w:rsidRDefault="00EB13FF" w:rsidP="00EB13FF">
      <w:pPr>
        <w:numPr>
          <w:ilvl w:val="0"/>
          <w:numId w:val="25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Potential defences that Barry Bottleman could raise, such as contributory negligence will be considered.</w:t>
      </w:r>
    </w:p>
    <w:p w14:paraId="13F586FC" w14:textId="77777777" w:rsidR="00EB13FF" w:rsidRPr="00EB13FF" w:rsidRDefault="00EB13FF" w:rsidP="00EB13FF">
      <w:pPr>
        <w:numPr>
          <w:ilvl w:val="0"/>
          <w:numId w:val="25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 research will also examine the specific legislation that may apply to the firework display and the company that conducted it.</w:t>
      </w:r>
    </w:p>
    <w:p w14:paraId="4D48216D" w14:textId="117FFA8D" w:rsidR="00EB13FF" w:rsidRPr="00EB13FF" w:rsidRDefault="00EB13FF" w:rsidP="00EB13FF">
      <w:pPr>
        <w:numPr>
          <w:ilvl w:val="0"/>
          <w:numId w:val="25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A focused research question will be formulated to guide the inquiry. For instance: "To what extent is an event organi</w:t>
      </w:r>
      <w:r>
        <w:rPr>
          <w:rFonts w:ascii="Times New Roman" w:hAnsi="Times New Roman" w:cs="Times New Roman"/>
        </w:rPr>
        <w:t>s</w:t>
      </w:r>
      <w:r w:rsidRPr="00EB13FF">
        <w:rPr>
          <w:rFonts w:ascii="Times New Roman" w:hAnsi="Times New Roman" w:cs="Times New Roman"/>
        </w:rPr>
        <w:t>er liable for physical and psychiatric injuries sustained by attendees due to a combination of fireworks malfunction, inadequate crowd control, and intervening acts?"</w:t>
      </w:r>
    </w:p>
    <w:p w14:paraId="63372F0F" w14:textId="77777777" w:rsidR="00EB13FF" w:rsidRPr="00EB13FF" w:rsidRDefault="00EB13FF" w:rsidP="00EB13FF">
      <w:p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b/>
          <w:bCs/>
        </w:rPr>
        <w:t>2. Detailed Description of Research Methods</w:t>
      </w:r>
    </w:p>
    <w:p w14:paraId="571531D5" w14:textId="77777777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 primary research method will be doctrinal legal research, which involves the analysis of legal rules and principles through case law and legislation.</w:t>
      </w:r>
    </w:p>
    <w:p w14:paraId="63259AFC" w14:textId="2299CDBE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lastRenderedPageBreak/>
        <w:t xml:space="preserve">Key cases will be systematically </w:t>
      </w:r>
      <w:r w:rsidR="007431CE" w:rsidRPr="00EB13FF">
        <w:rPr>
          <w:rFonts w:ascii="Times New Roman" w:hAnsi="Times New Roman" w:cs="Times New Roman"/>
        </w:rPr>
        <w:t>analysed</w:t>
      </w:r>
      <w:r w:rsidRPr="00EB13FF">
        <w:rPr>
          <w:rFonts w:ascii="Times New Roman" w:hAnsi="Times New Roman" w:cs="Times New Roman"/>
        </w:rPr>
        <w:t>, with a focus on identifying the facts, issues, and decisions.</w:t>
      </w:r>
    </w:p>
    <w:p w14:paraId="34B790E3" w14:textId="77777777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Relevant legal principles will be extracted and applied to the festival scenario.</w:t>
      </w:r>
    </w:p>
    <w:p w14:paraId="013E180E" w14:textId="43C8825B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 xml:space="preserve">Different judicial approaches will be </w:t>
      </w:r>
      <w:r w:rsidR="007431CE" w:rsidRPr="00EB13FF">
        <w:rPr>
          <w:rFonts w:ascii="Times New Roman" w:hAnsi="Times New Roman" w:cs="Times New Roman"/>
        </w:rPr>
        <w:t>compared</w:t>
      </w:r>
      <w:r w:rsidRPr="00EB13FF">
        <w:rPr>
          <w:rFonts w:ascii="Times New Roman" w:hAnsi="Times New Roman" w:cs="Times New Roman"/>
        </w:rPr>
        <w:t>.</w:t>
      </w:r>
    </w:p>
    <w:p w14:paraId="462D7E6B" w14:textId="77777777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 Occupiers' Liability Acts and the Health and Safety at Work etc. Act 1974 will be subjected to close textual analysis.</w:t>
      </w:r>
    </w:p>
    <w:p w14:paraId="5A57A497" w14:textId="77777777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Where feasible, a comparative analysis of English law with other jurisdictions regarding event safety and psychiatric injury will be conducted.</w:t>
      </w:r>
    </w:p>
    <w:p w14:paraId="6F52125D" w14:textId="77777777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 research will adopt a critical approach, evaluating the strengths and weaknesses of the law.</w:t>
      </w:r>
    </w:p>
    <w:p w14:paraId="3A976E00" w14:textId="77777777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 social, economic, and ethical implications of the legal principles will be considered.</w:t>
      </w:r>
    </w:p>
    <w:p w14:paraId="5E63C559" w14:textId="77777777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An interdisciplinary approach will be employed, incorporating insights from disciplines such as sociology and psychology to understand crowd behaviour and trauma.</w:t>
      </w:r>
    </w:p>
    <w:p w14:paraId="3496CEE2" w14:textId="77777777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Publications from safety and risk management professionals will be sought.</w:t>
      </w:r>
    </w:p>
    <w:p w14:paraId="188B8EFE" w14:textId="77777777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 credibility and reliability of sources will be rigorously evaluated.</w:t>
      </w:r>
    </w:p>
    <w:p w14:paraId="3CF9666A" w14:textId="77777777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Priority will be given to peer-reviewed academic journals and reputable legal publishers.</w:t>
      </w:r>
    </w:p>
    <w:p w14:paraId="46DAB691" w14:textId="77777777" w:rsidR="00EB13FF" w:rsidRPr="00EB13FF" w:rsidRDefault="00EB13FF" w:rsidP="00EB13FF">
      <w:pPr>
        <w:numPr>
          <w:ilvl w:val="0"/>
          <w:numId w:val="26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Government reports and publications will be evaluated in relation to their relevance to the scenario.</w:t>
      </w:r>
    </w:p>
    <w:p w14:paraId="4F9AAC25" w14:textId="165600DF" w:rsidR="00EB13FF" w:rsidRPr="00EB13FF" w:rsidRDefault="00EB13FF" w:rsidP="00EB13FF">
      <w:p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b/>
          <w:bCs/>
        </w:rPr>
        <w:t>3. List of Primary and Secondary Sources</w:t>
      </w:r>
    </w:p>
    <w:p w14:paraId="7BCAEE9D" w14:textId="3B94203B" w:rsidR="00EB13FF" w:rsidRPr="00EB13FF" w:rsidRDefault="00EB13FF" w:rsidP="00EB13FF">
      <w:pPr>
        <w:numPr>
          <w:ilvl w:val="0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b/>
          <w:bCs/>
        </w:rPr>
        <w:t>Primary Sources:</w:t>
      </w:r>
      <w:r w:rsidRPr="00EB13FF">
        <w:rPr>
          <w:rFonts w:ascii="Times New Roman" w:hAnsi="Times New Roman" w:cs="Times New Roman"/>
        </w:rPr>
        <w:t xml:space="preserve"> </w:t>
      </w:r>
    </w:p>
    <w:p w14:paraId="333101CF" w14:textId="73C3128A" w:rsidR="00EB13FF" w:rsidRPr="00EB13FF" w:rsidRDefault="00EB13FF" w:rsidP="007431CE">
      <w:p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b/>
          <w:bCs/>
        </w:rPr>
        <w:t xml:space="preserve">Case Law </w:t>
      </w:r>
      <w:r w:rsidR="007431CE">
        <w:rPr>
          <w:rFonts w:ascii="Times New Roman" w:hAnsi="Times New Roman" w:cs="Times New Roman"/>
          <w:b/>
          <w:bCs/>
        </w:rPr>
        <w:t>-</w:t>
      </w:r>
    </w:p>
    <w:p w14:paraId="7A1F36F1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i/>
          <w:iCs/>
        </w:rPr>
        <w:t>Donoghue v Stevenson</w:t>
      </w:r>
      <w:r w:rsidRPr="00EB13FF">
        <w:rPr>
          <w:rFonts w:ascii="Times New Roman" w:hAnsi="Times New Roman" w:cs="Times New Roman"/>
        </w:rPr>
        <w:t xml:space="preserve"> (1932): Its significance in establishing the modern law of negligence will be examined.</w:t>
      </w:r>
    </w:p>
    <w:p w14:paraId="1A8BA61A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i/>
          <w:iCs/>
        </w:rPr>
        <w:t>Caparo v Dickman</w:t>
      </w:r>
      <w:r w:rsidRPr="00EB13FF">
        <w:rPr>
          <w:rFonts w:ascii="Times New Roman" w:hAnsi="Times New Roman" w:cs="Times New Roman"/>
        </w:rPr>
        <w:t xml:space="preserve"> (1990): The three-stage test and its application will be detailed.</w:t>
      </w:r>
    </w:p>
    <w:p w14:paraId="7A6FF24F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i/>
          <w:iCs/>
        </w:rPr>
        <w:t>Alcock v Chief Constable of South Yorkshire Police</w:t>
      </w:r>
      <w:r w:rsidRPr="00EB13FF">
        <w:rPr>
          <w:rFonts w:ascii="Times New Roman" w:hAnsi="Times New Roman" w:cs="Times New Roman"/>
        </w:rPr>
        <w:t xml:space="preserve"> (1992): The specific criteria for secondary victims and their implications will be discussed.</w:t>
      </w:r>
    </w:p>
    <w:p w14:paraId="33AFA9C0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i/>
          <w:iCs/>
        </w:rPr>
        <w:t>Page v Smith</w:t>
      </w:r>
      <w:r w:rsidRPr="00EB13FF">
        <w:rPr>
          <w:rFonts w:ascii="Times New Roman" w:hAnsi="Times New Roman" w:cs="Times New Roman"/>
        </w:rPr>
        <w:t xml:space="preserve"> (1996): The distinction between primary and secondary victims in psychiatric injury claims will be explained.</w:t>
      </w:r>
    </w:p>
    <w:p w14:paraId="750FF7B3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i/>
          <w:iCs/>
        </w:rPr>
        <w:lastRenderedPageBreak/>
        <w:t>Wagon Mound (No. 1)</w:t>
      </w:r>
      <w:r w:rsidRPr="00EB13FF">
        <w:rPr>
          <w:rFonts w:ascii="Times New Roman" w:hAnsi="Times New Roman" w:cs="Times New Roman"/>
        </w:rPr>
        <w:t xml:space="preserve"> (1961): The test for remoteness of damage will be explained.</w:t>
      </w:r>
    </w:p>
    <w:p w14:paraId="009E7CC7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i/>
          <w:iCs/>
        </w:rPr>
        <w:t>Bolton v Stone</w:t>
      </w:r>
      <w:r w:rsidRPr="00EB13FF">
        <w:rPr>
          <w:rFonts w:ascii="Times New Roman" w:hAnsi="Times New Roman" w:cs="Times New Roman"/>
        </w:rPr>
        <w:t xml:space="preserve"> (1951): The magnitude of risk test will be detailed.</w:t>
      </w:r>
    </w:p>
    <w:p w14:paraId="5B257D63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Other relevant cases on occupiers' liability, intervening acts, and vicarious liability will be included.</w:t>
      </w:r>
    </w:p>
    <w:p w14:paraId="4848276A" w14:textId="22B32399" w:rsidR="00EB13FF" w:rsidRPr="00EB13FF" w:rsidRDefault="00EB13FF" w:rsidP="007431CE">
      <w:p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b/>
          <w:bCs/>
        </w:rPr>
        <w:t>Legislation:</w:t>
      </w:r>
      <w:r w:rsidRPr="00EB13FF">
        <w:rPr>
          <w:rFonts w:ascii="Times New Roman" w:hAnsi="Times New Roman" w:cs="Times New Roman"/>
        </w:rPr>
        <w:t xml:space="preserve"> </w:t>
      </w:r>
    </w:p>
    <w:p w14:paraId="131CFAC2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Occupiers' Liability Act 1957: Its provisions regarding the duty owed to lawful visitors will be explained.</w:t>
      </w:r>
    </w:p>
    <w:p w14:paraId="59CC9182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Occupiers' Liability Act 1984: Its provisions regarding the duty owed to trespassers will be explained.</w:t>
      </w:r>
    </w:p>
    <w:p w14:paraId="17F70870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Health and Safety at Work etc. Act 1974: The general duties of employers and occupiers will be explained.</w:t>
      </w:r>
    </w:p>
    <w:p w14:paraId="7B0B6CDA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Any specific legislation regarding firework displays and event planning will be included.</w:t>
      </w:r>
    </w:p>
    <w:p w14:paraId="005BE1EF" w14:textId="77777777" w:rsidR="00EB13FF" w:rsidRPr="00EB13FF" w:rsidRDefault="00EB13FF" w:rsidP="00EB13FF">
      <w:pPr>
        <w:numPr>
          <w:ilvl w:val="1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b/>
          <w:bCs/>
        </w:rPr>
        <w:t>Government Publications:</w:t>
      </w:r>
      <w:r w:rsidRPr="00EB13FF">
        <w:rPr>
          <w:rFonts w:ascii="Times New Roman" w:hAnsi="Times New Roman" w:cs="Times New Roman"/>
        </w:rPr>
        <w:t xml:space="preserve"> </w:t>
      </w:r>
    </w:p>
    <w:p w14:paraId="5FF72F51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HSE publications regarding event safety and firework safety will be consulted.</w:t>
      </w:r>
    </w:p>
    <w:p w14:paraId="28DF17B0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Relevant reports from the Home Office or other government agencies will be sought.</w:t>
      </w:r>
    </w:p>
    <w:p w14:paraId="119C73F6" w14:textId="1ABDFD12" w:rsidR="00EB13FF" w:rsidRPr="00EB13FF" w:rsidRDefault="00EB13FF" w:rsidP="007431CE">
      <w:p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b/>
          <w:bCs/>
        </w:rPr>
        <w:t>Secondary Sources:</w:t>
      </w:r>
      <w:r w:rsidRPr="00EB13FF">
        <w:rPr>
          <w:rFonts w:ascii="Times New Roman" w:hAnsi="Times New Roman" w:cs="Times New Roman"/>
        </w:rPr>
        <w:t xml:space="preserve"> </w:t>
      </w:r>
    </w:p>
    <w:p w14:paraId="3A19609C" w14:textId="1368F76E" w:rsidR="00EB13FF" w:rsidRPr="00EB13FF" w:rsidRDefault="00EB13FF" w:rsidP="00EB13FF">
      <w:pPr>
        <w:numPr>
          <w:ilvl w:val="1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b/>
          <w:bCs/>
        </w:rPr>
        <w:t>Legal Textbooks:</w:t>
      </w:r>
      <w:r w:rsidRPr="00EB13FF">
        <w:rPr>
          <w:rFonts w:ascii="Times New Roman" w:hAnsi="Times New Roman" w:cs="Times New Roman"/>
        </w:rPr>
        <w:t xml:space="preserve"> </w:t>
      </w:r>
    </w:p>
    <w:p w14:paraId="7A9C1C02" w14:textId="5FF8E894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Specific textbooks on tort law</w:t>
      </w:r>
    </w:p>
    <w:p w14:paraId="51EB62AD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These textbooks will be used to gain a comprehensive understanding of the law.</w:t>
      </w:r>
    </w:p>
    <w:p w14:paraId="4E355AB1" w14:textId="6AF500D8" w:rsidR="00EB13FF" w:rsidRPr="00EB13FF" w:rsidRDefault="00EB13FF" w:rsidP="00EB13FF">
      <w:pPr>
        <w:numPr>
          <w:ilvl w:val="1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b/>
          <w:bCs/>
        </w:rPr>
        <w:t>Academic Journals:</w:t>
      </w:r>
      <w:r w:rsidRPr="00EB13FF">
        <w:rPr>
          <w:rFonts w:ascii="Times New Roman" w:hAnsi="Times New Roman" w:cs="Times New Roman"/>
        </w:rPr>
        <w:t xml:space="preserve"> </w:t>
      </w:r>
    </w:p>
    <w:p w14:paraId="6FE51BF4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Relevant journals, such as the "Cambridge Law Journal," "Oxford Journal of Legal Studies," or "The Modern Law Review," will be consulted.</w:t>
      </w:r>
    </w:p>
    <w:p w14:paraId="436E4FCF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Articles on negligence, psychiatric injury, and event safety will be sought.</w:t>
      </w:r>
    </w:p>
    <w:p w14:paraId="79F88EE3" w14:textId="77777777" w:rsidR="00EB13FF" w:rsidRPr="00EB13FF" w:rsidRDefault="00EB13FF" w:rsidP="00EB13FF">
      <w:pPr>
        <w:numPr>
          <w:ilvl w:val="1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b/>
          <w:bCs/>
        </w:rPr>
        <w:t>Articles:</w:t>
      </w:r>
      <w:r w:rsidRPr="00EB13FF">
        <w:rPr>
          <w:rFonts w:ascii="Times New Roman" w:hAnsi="Times New Roman" w:cs="Times New Roman"/>
        </w:rPr>
        <w:t xml:space="preserve"> </w:t>
      </w:r>
    </w:p>
    <w:p w14:paraId="4F8EA0BC" w14:textId="77777777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Articles relating to crowd control and event risk assessments will be sought.</w:t>
      </w:r>
    </w:p>
    <w:p w14:paraId="2DB93952" w14:textId="174B6F9A" w:rsidR="00EB13FF" w:rsidRPr="00EB13FF" w:rsidRDefault="00EB13FF" w:rsidP="00EB13FF">
      <w:pPr>
        <w:numPr>
          <w:ilvl w:val="2"/>
          <w:numId w:val="27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lastRenderedPageBreak/>
        <w:t xml:space="preserve">Articles relating to the psychological impact of </w:t>
      </w:r>
      <w:r w:rsidR="00380054" w:rsidRPr="00EB13FF">
        <w:rPr>
          <w:rFonts w:ascii="Times New Roman" w:hAnsi="Times New Roman" w:cs="Times New Roman"/>
        </w:rPr>
        <w:t>large</w:t>
      </w:r>
      <w:r w:rsidR="00380054">
        <w:rPr>
          <w:rFonts w:ascii="Times New Roman" w:hAnsi="Times New Roman" w:cs="Times New Roman"/>
        </w:rPr>
        <w:t>-scale</w:t>
      </w:r>
      <w:r w:rsidRPr="00EB13FF">
        <w:rPr>
          <w:rFonts w:ascii="Times New Roman" w:hAnsi="Times New Roman" w:cs="Times New Roman"/>
        </w:rPr>
        <w:t xml:space="preserve"> traumatic events will be sought.</w:t>
      </w:r>
    </w:p>
    <w:p w14:paraId="35D8BD48" w14:textId="77777777" w:rsidR="00EB13FF" w:rsidRPr="00EB13FF" w:rsidRDefault="00EB13FF" w:rsidP="00EB13FF">
      <w:p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  <w:b/>
          <w:bCs/>
        </w:rPr>
        <w:t>4. Explanation of Research Analysis</w:t>
      </w:r>
    </w:p>
    <w:p w14:paraId="56E2395D" w14:textId="0D1EB5D8" w:rsidR="00EB13FF" w:rsidRPr="00EB13FF" w:rsidRDefault="00EB13FF" w:rsidP="00EB13FF">
      <w:pPr>
        <w:numPr>
          <w:ilvl w:val="0"/>
          <w:numId w:val="28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Information from different sources will be synthesi</w:t>
      </w:r>
      <w:r w:rsidR="007431CE">
        <w:rPr>
          <w:rFonts w:ascii="Times New Roman" w:hAnsi="Times New Roman" w:cs="Times New Roman"/>
        </w:rPr>
        <w:t>s</w:t>
      </w:r>
      <w:r w:rsidRPr="00EB13FF">
        <w:rPr>
          <w:rFonts w:ascii="Times New Roman" w:hAnsi="Times New Roman" w:cs="Times New Roman"/>
        </w:rPr>
        <w:t>ed to develop a coherent argument.</w:t>
      </w:r>
    </w:p>
    <w:p w14:paraId="3FBF8631" w14:textId="77777777" w:rsidR="00EB13FF" w:rsidRPr="00EB13FF" w:rsidRDefault="00EB13FF" w:rsidP="00EB13FF">
      <w:pPr>
        <w:numPr>
          <w:ilvl w:val="0"/>
          <w:numId w:val="28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Relevant legal principles will be applied to the specific facts of the festival scenario.</w:t>
      </w:r>
    </w:p>
    <w:p w14:paraId="318BE4BC" w14:textId="77777777" w:rsidR="00EB13FF" w:rsidRPr="00EB13FF" w:rsidRDefault="00EB13FF" w:rsidP="00EB13FF">
      <w:pPr>
        <w:numPr>
          <w:ilvl w:val="0"/>
          <w:numId w:val="28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 law will be critically evaluated, and areas of uncertainty or inconsistency will be identified.</w:t>
      </w:r>
    </w:p>
    <w:p w14:paraId="5ED2DF74" w14:textId="77777777" w:rsidR="00EB13FF" w:rsidRPr="00EB13FF" w:rsidRDefault="00EB13FF" w:rsidP="00EB13FF">
      <w:pPr>
        <w:numPr>
          <w:ilvl w:val="0"/>
          <w:numId w:val="28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 policy implications of different legal interpretations will be considered.</w:t>
      </w:r>
    </w:p>
    <w:p w14:paraId="5AD35934" w14:textId="77777777" w:rsidR="00EB13FF" w:rsidRPr="00EB13FF" w:rsidRDefault="00EB13FF" w:rsidP="00EB13FF">
      <w:pPr>
        <w:numPr>
          <w:ilvl w:val="0"/>
          <w:numId w:val="28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Arguments will be developed and supported with evidence from the research.</w:t>
      </w:r>
    </w:p>
    <w:p w14:paraId="79120797" w14:textId="77777777" w:rsidR="00EB13FF" w:rsidRPr="00EB13FF" w:rsidRDefault="00EB13FF" w:rsidP="00EB13FF">
      <w:pPr>
        <w:numPr>
          <w:ilvl w:val="0"/>
          <w:numId w:val="28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Potential counterarguments will be addressed, and reasoned responses will be provided.</w:t>
      </w:r>
    </w:p>
    <w:p w14:paraId="43BA14AE" w14:textId="14AADDB3" w:rsidR="00EB13FF" w:rsidRPr="00EB13FF" w:rsidRDefault="00EB13FF" w:rsidP="00EB13FF">
      <w:pPr>
        <w:numPr>
          <w:ilvl w:val="0"/>
          <w:numId w:val="28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 findings will be organi</w:t>
      </w:r>
      <w:r w:rsidR="00380054">
        <w:rPr>
          <w:rFonts w:ascii="Times New Roman" w:hAnsi="Times New Roman" w:cs="Times New Roman"/>
        </w:rPr>
        <w:t>s</w:t>
      </w:r>
      <w:r w:rsidRPr="00EB13FF">
        <w:rPr>
          <w:rFonts w:ascii="Times New Roman" w:hAnsi="Times New Roman" w:cs="Times New Roman"/>
        </w:rPr>
        <w:t>ed in a logical and coherent manner.</w:t>
      </w:r>
    </w:p>
    <w:p w14:paraId="54B8358B" w14:textId="77777777" w:rsidR="00EB13FF" w:rsidRPr="00EB13FF" w:rsidRDefault="00EB13FF" w:rsidP="00EB13FF">
      <w:pPr>
        <w:numPr>
          <w:ilvl w:val="0"/>
          <w:numId w:val="28"/>
        </w:numPr>
        <w:rPr>
          <w:rFonts w:ascii="Times New Roman" w:hAnsi="Times New Roman" w:cs="Times New Roman"/>
        </w:rPr>
      </w:pPr>
      <w:r w:rsidRPr="00EB13FF">
        <w:rPr>
          <w:rFonts w:ascii="Times New Roman" w:hAnsi="Times New Roman" w:cs="Times New Roman"/>
        </w:rPr>
        <w:t>The key themes and sub-themes that will be explored will be outlined.</w:t>
      </w:r>
    </w:p>
    <w:p w14:paraId="45F46C3F" w14:textId="77777777" w:rsidR="00696ADE" w:rsidRPr="00F66B8D" w:rsidRDefault="00696ADE">
      <w:pPr>
        <w:rPr>
          <w:rFonts w:ascii="Times New Roman" w:hAnsi="Times New Roman" w:cs="Times New Roman"/>
        </w:rPr>
      </w:pPr>
    </w:p>
    <w:sectPr w:rsidR="00696ADE" w:rsidRPr="00F66B8D" w:rsidSect="000359C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394961"/>
    <w:multiLevelType w:val="multilevel"/>
    <w:tmpl w:val="B0C63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181BC6"/>
    <w:multiLevelType w:val="multilevel"/>
    <w:tmpl w:val="4EC403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A3A0579"/>
    <w:multiLevelType w:val="multilevel"/>
    <w:tmpl w:val="62663C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FAE3057"/>
    <w:multiLevelType w:val="multilevel"/>
    <w:tmpl w:val="542A2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01F3064"/>
    <w:multiLevelType w:val="hybridMultilevel"/>
    <w:tmpl w:val="821258C0"/>
    <w:lvl w:ilvl="0" w:tplc="784A44EC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611767"/>
    <w:multiLevelType w:val="multilevel"/>
    <w:tmpl w:val="F398C1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3A96688"/>
    <w:multiLevelType w:val="multilevel"/>
    <w:tmpl w:val="608417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06F09F0"/>
    <w:multiLevelType w:val="multilevel"/>
    <w:tmpl w:val="DE9200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508625C"/>
    <w:multiLevelType w:val="multilevel"/>
    <w:tmpl w:val="3CDE88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66B013C"/>
    <w:multiLevelType w:val="multilevel"/>
    <w:tmpl w:val="1026C2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70B08A7"/>
    <w:multiLevelType w:val="multilevel"/>
    <w:tmpl w:val="2E361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A7E5EC0"/>
    <w:multiLevelType w:val="multilevel"/>
    <w:tmpl w:val="65724F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ABC227A"/>
    <w:multiLevelType w:val="multilevel"/>
    <w:tmpl w:val="95682B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2367432"/>
    <w:multiLevelType w:val="multilevel"/>
    <w:tmpl w:val="E6749A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2E110FC"/>
    <w:multiLevelType w:val="multilevel"/>
    <w:tmpl w:val="9B9E67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CF71A58"/>
    <w:multiLevelType w:val="multilevel"/>
    <w:tmpl w:val="8D2AE7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E1270D9"/>
    <w:multiLevelType w:val="multilevel"/>
    <w:tmpl w:val="2EBADA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0E95E66"/>
    <w:multiLevelType w:val="multilevel"/>
    <w:tmpl w:val="62388D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5FC2693"/>
    <w:multiLevelType w:val="multilevel"/>
    <w:tmpl w:val="0F4E95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B2E6C4E"/>
    <w:multiLevelType w:val="multilevel"/>
    <w:tmpl w:val="6114A2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C397C30"/>
    <w:multiLevelType w:val="multilevel"/>
    <w:tmpl w:val="0A0821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E065294"/>
    <w:multiLevelType w:val="multilevel"/>
    <w:tmpl w:val="8A3E14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6787000F"/>
    <w:multiLevelType w:val="multilevel"/>
    <w:tmpl w:val="FCB086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95060C0"/>
    <w:multiLevelType w:val="multilevel"/>
    <w:tmpl w:val="CEC014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B9B6BDC"/>
    <w:multiLevelType w:val="multilevel"/>
    <w:tmpl w:val="344A69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F474840"/>
    <w:multiLevelType w:val="multilevel"/>
    <w:tmpl w:val="26A861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30C528E"/>
    <w:multiLevelType w:val="multilevel"/>
    <w:tmpl w:val="BBC05E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60735B6"/>
    <w:multiLevelType w:val="multilevel"/>
    <w:tmpl w:val="A40265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10589691">
    <w:abstractNumId w:val="21"/>
  </w:num>
  <w:num w:numId="2" w16cid:durableId="1471629457">
    <w:abstractNumId w:val="10"/>
  </w:num>
  <w:num w:numId="3" w16cid:durableId="841044841">
    <w:abstractNumId w:val="11"/>
  </w:num>
  <w:num w:numId="4" w16cid:durableId="184095395">
    <w:abstractNumId w:val="9"/>
  </w:num>
  <w:num w:numId="5" w16cid:durableId="480779708">
    <w:abstractNumId w:val="12"/>
  </w:num>
  <w:num w:numId="6" w16cid:durableId="1559317514">
    <w:abstractNumId w:val="27"/>
  </w:num>
  <w:num w:numId="7" w16cid:durableId="1702972668">
    <w:abstractNumId w:val="22"/>
  </w:num>
  <w:num w:numId="8" w16cid:durableId="77947051">
    <w:abstractNumId w:val="14"/>
  </w:num>
  <w:num w:numId="9" w16cid:durableId="1053890936">
    <w:abstractNumId w:val="20"/>
  </w:num>
  <w:num w:numId="10" w16cid:durableId="645476648">
    <w:abstractNumId w:val="1"/>
  </w:num>
  <w:num w:numId="11" w16cid:durableId="2061786377">
    <w:abstractNumId w:val="2"/>
  </w:num>
  <w:num w:numId="12" w16cid:durableId="1055278916">
    <w:abstractNumId w:val="24"/>
  </w:num>
  <w:num w:numId="13" w16cid:durableId="498498904">
    <w:abstractNumId w:val="13"/>
  </w:num>
  <w:num w:numId="14" w16cid:durableId="1037043069">
    <w:abstractNumId w:val="23"/>
  </w:num>
  <w:num w:numId="15" w16cid:durableId="1949044786">
    <w:abstractNumId w:val="17"/>
  </w:num>
  <w:num w:numId="16" w16cid:durableId="445736148">
    <w:abstractNumId w:val="3"/>
  </w:num>
  <w:num w:numId="17" w16cid:durableId="2058384642">
    <w:abstractNumId w:val="6"/>
  </w:num>
  <w:num w:numId="18" w16cid:durableId="1282106466">
    <w:abstractNumId w:val="7"/>
  </w:num>
  <w:num w:numId="19" w16cid:durableId="200434923">
    <w:abstractNumId w:val="15"/>
  </w:num>
  <w:num w:numId="20" w16cid:durableId="1594626470">
    <w:abstractNumId w:val="19"/>
  </w:num>
  <w:num w:numId="21" w16cid:durableId="1755589608">
    <w:abstractNumId w:val="16"/>
  </w:num>
  <w:num w:numId="22" w16cid:durableId="788351656">
    <w:abstractNumId w:val="5"/>
  </w:num>
  <w:num w:numId="23" w16cid:durableId="1469201994">
    <w:abstractNumId w:val="18"/>
  </w:num>
  <w:num w:numId="24" w16cid:durableId="943732937">
    <w:abstractNumId w:val="4"/>
  </w:num>
  <w:num w:numId="25" w16cid:durableId="750467860">
    <w:abstractNumId w:val="26"/>
  </w:num>
  <w:num w:numId="26" w16cid:durableId="1868790425">
    <w:abstractNumId w:val="8"/>
  </w:num>
  <w:num w:numId="27" w16cid:durableId="1298756675">
    <w:abstractNumId w:val="0"/>
  </w:num>
  <w:num w:numId="28" w16cid:durableId="124397255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ADE"/>
    <w:rsid w:val="000359CF"/>
    <w:rsid w:val="00112AAF"/>
    <w:rsid w:val="00380054"/>
    <w:rsid w:val="003E0BE9"/>
    <w:rsid w:val="00476DBB"/>
    <w:rsid w:val="005A1520"/>
    <w:rsid w:val="005D7886"/>
    <w:rsid w:val="006522AD"/>
    <w:rsid w:val="00696ADE"/>
    <w:rsid w:val="006F4B68"/>
    <w:rsid w:val="007431CE"/>
    <w:rsid w:val="008561A9"/>
    <w:rsid w:val="009B7089"/>
    <w:rsid w:val="00AE476B"/>
    <w:rsid w:val="00BB4C0F"/>
    <w:rsid w:val="00CC7F55"/>
    <w:rsid w:val="00D6763E"/>
    <w:rsid w:val="00E2611E"/>
    <w:rsid w:val="00E76399"/>
    <w:rsid w:val="00EB13FF"/>
    <w:rsid w:val="00EB6C8E"/>
    <w:rsid w:val="00F666A6"/>
    <w:rsid w:val="00F66B8D"/>
    <w:rsid w:val="00FC0734"/>
    <w:rsid w:val="00FD523C"/>
    <w:rsid w:val="00FF3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86ACC"/>
  <w15:chartTrackingRefBased/>
  <w15:docId w15:val="{C1FAC235-04E8-40D5-A16D-60379E8524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6A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6A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6A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6A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6A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6A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6A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6A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6A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6A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6A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6A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6A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6A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6A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6A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6A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6A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6A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6A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6A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6A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6A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6A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6A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6A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6A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6A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6AD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359CF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359CF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EB13F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13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027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38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45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85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5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5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84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571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1722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695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4938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36070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6768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00458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35615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12526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747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56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0026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8815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82283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25624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573131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0476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93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11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0888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0429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1719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58587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08586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44266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64928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16646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307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627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6030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79506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9950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6008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86995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84940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7</Pages>
  <Words>1229</Words>
  <Characters>7011</Characters>
  <Application>Microsoft Office Word</Application>
  <DocSecurity>0</DocSecurity>
  <Lines>58</Lines>
  <Paragraphs>16</Paragraphs>
  <ScaleCrop>false</ScaleCrop>
  <Company>2319007</Company>
  <LinksUpToDate>false</LinksUpToDate>
  <CharactersWithSpaces>8224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Timestomp festival report</dc:title>
  <dc:subject/>
  <dc:creator>Jade Brown</dc:creator>
  <cp:keywords/>
  <dc:description/>
  <cp:lastModifiedBy>jade brown</cp:lastModifiedBy>
  <cp:revision>24</cp:revision>
  <dcterms:created xsi:type="dcterms:W3CDTF">2025-03-06T13:11:00Z</dcterms:created>
  <dcterms:modified xsi:type="dcterms:W3CDTF">2025-03-07T12:34:00Z</dcterms:modified>
</cp:coreProperties>
</file>