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1AA96C" w14:textId="77777777" w:rsidR="00041E80" w:rsidRPr="00FA1B88" w:rsidRDefault="00041E80" w:rsidP="00FA1B88">
      <w:pPr>
        <w:spacing w:line="360" w:lineRule="auto"/>
        <w:jc w:val="both"/>
        <w:rPr>
          <w:rFonts w:ascii="Arial" w:hAnsi="Arial" w:cs="Arial"/>
          <w:sz w:val="24"/>
          <w:szCs w:val="24"/>
        </w:rPr>
      </w:pPr>
    </w:p>
    <w:p w14:paraId="22ECFAE3" w14:textId="5F52070E" w:rsidR="00041E80" w:rsidRPr="00CE120F" w:rsidRDefault="00907D9C" w:rsidP="00FA1B88">
      <w:pPr>
        <w:spacing w:line="360" w:lineRule="auto"/>
        <w:jc w:val="center"/>
        <w:rPr>
          <w:rFonts w:ascii="Bookman Old Style" w:hAnsi="Bookman Old Style" w:cs="Arial"/>
          <w:b/>
          <w:i/>
          <w:color w:val="4472C4" w:themeColor="accent1"/>
          <w:sz w:val="40"/>
          <w:szCs w:val="40"/>
        </w:rPr>
      </w:pPr>
      <w:r w:rsidRPr="00CE120F">
        <w:rPr>
          <w:rFonts w:ascii="Bookman Old Style" w:hAnsi="Bookman Old Style" w:cs="Arial"/>
          <w:b/>
          <w:i/>
          <w:color w:val="4472C4" w:themeColor="accent1"/>
          <w:sz w:val="40"/>
          <w:szCs w:val="40"/>
        </w:rPr>
        <w:t>MODULE TITLE AND CODE: BMIH 5007 – FINANCIAL MANAGEMENT FOR THE HOTEL INDUSTRY</w:t>
      </w:r>
    </w:p>
    <w:p w14:paraId="760284B7" w14:textId="77777777" w:rsidR="00D9043B" w:rsidRPr="00CE120F" w:rsidRDefault="00D9043B" w:rsidP="00FA1B88">
      <w:pPr>
        <w:spacing w:line="360" w:lineRule="auto"/>
        <w:jc w:val="center"/>
        <w:rPr>
          <w:rFonts w:ascii="Bookman Old Style" w:hAnsi="Bookman Old Style" w:cs="Arial"/>
          <w:b/>
          <w:i/>
          <w:color w:val="4472C4" w:themeColor="accent1"/>
          <w:sz w:val="40"/>
          <w:szCs w:val="40"/>
        </w:rPr>
      </w:pPr>
    </w:p>
    <w:p w14:paraId="7671A0BB" w14:textId="77777777" w:rsidR="00D9043B" w:rsidRPr="00CE120F" w:rsidRDefault="00D9043B" w:rsidP="00FA1B88">
      <w:pPr>
        <w:spacing w:line="360" w:lineRule="auto"/>
        <w:jc w:val="center"/>
        <w:rPr>
          <w:rFonts w:ascii="Bookman Old Style" w:hAnsi="Bookman Old Style" w:cs="Arial"/>
          <w:b/>
          <w:i/>
          <w:color w:val="4472C4" w:themeColor="accent1"/>
          <w:sz w:val="40"/>
          <w:szCs w:val="40"/>
        </w:rPr>
      </w:pPr>
    </w:p>
    <w:p w14:paraId="7F1315EA" w14:textId="23EDD663" w:rsidR="004A4A0F" w:rsidRPr="00CE120F" w:rsidRDefault="004A4A0F" w:rsidP="00FA1B88">
      <w:pPr>
        <w:spacing w:line="360" w:lineRule="auto"/>
        <w:jc w:val="center"/>
        <w:rPr>
          <w:rFonts w:ascii="Bookman Old Style" w:hAnsi="Bookman Old Style" w:cs="Arial"/>
          <w:b/>
          <w:i/>
          <w:color w:val="4472C4" w:themeColor="accent1"/>
          <w:sz w:val="40"/>
          <w:szCs w:val="40"/>
        </w:rPr>
      </w:pPr>
    </w:p>
    <w:p w14:paraId="4C34AF64" w14:textId="1C395EAE" w:rsidR="009F061B" w:rsidRPr="00CE120F" w:rsidRDefault="009F061B" w:rsidP="00FA1B88">
      <w:pPr>
        <w:spacing w:line="360" w:lineRule="auto"/>
        <w:jc w:val="both"/>
        <w:rPr>
          <w:rFonts w:ascii="Bookman Old Style" w:hAnsi="Bookman Old Style" w:cs="Arial"/>
          <w:b/>
          <w:i/>
          <w:color w:val="4472C4" w:themeColor="accent1"/>
          <w:sz w:val="40"/>
          <w:szCs w:val="40"/>
        </w:rPr>
      </w:pPr>
    </w:p>
    <w:p w14:paraId="20348F95" w14:textId="77777777" w:rsidR="00600C89" w:rsidRPr="00CE120F" w:rsidRDefault="00600C89" w:rsidP="00FA1B88">
      <w:pPr>
        <w:spacing w:line="360" w:lineRule="auto"/>
        <w:jc w:val="both"/>
        <w:rPr>
          <w:rFonts w:ascii="Bookman Old Style" w:hAnsi="Bookman Old Style" w:cs="Arial"/>
          <w:b/>
          <w:i/>
          <w:color w:val="4472C4" w:themeColor="accent1"/>
          <w:sz w:val="40"/>
          <w:szCs w:val="40"/>
        </w:rPr>
      </w:pPr>
    </w:p>
    <w:p w14:paraId="52A3F97E" w14:textId="77777777" w:rsidR="00D9043B" w:rsidRPr="00CE120F" w:rsidRDefault="00D9043B" w:rsidP="00FA1B88">
      <w:pPr>
        <w:spacing w:line="360" w:lineRule="auto"/>
        <w:jc w:val="both"/>
        <w:rPr>
          <w:rFonts w:ascii="Bookman Old Style" w:hAnsi="Bookman Old Style" w:cs="Arial"/>
          <w:b/>
          <w:i/>
          <w:color w:val="4472C4" w:themeColor="accent1"/>
          <w:sz w:val="40"/>
          <w:szCs w:val="40"/>
        </w:rPr>
      </w:pPr>
    </w:p>
    <w:p w14:paraId="64EF6C5B" w14:textId="77777777" w:rsidR="00D9043B" w:rsidRPr="00CE120F" w:rsidRDefault="00D9043B" w:rsidP="00FA1B88">
      <w:pPr>
        <w:spacing w:line="360" w:lineRule="auto"/>
        <w:jc w:val="both"/>
        <w:rPr>
          <w:rFonts w:ascii="Bookman Old Style" w:hAnsi="Bookman Old Style" w:cs="Arial"/>
          <w:b/>
          <w:i/>
          <w:color w:val="4472C4" w:themeColor="accent1"/>
          <w:sz w:val="40"/>
          <w:szCs w:val="40"/>
        </w:rPr>
      </w:pPr>
    </w:p>
    <w:p w14:paraId="7E63225F" w14:textId="77777777" w:rsidR="00D9043B" w:rsidRPr="00CE120F" w:rsidRDefault="00D9043B" w:rsidP="00FA1B88">
      <w:pPr>
        <w:spacing w:line="360" w:lineRule="auto"/>
        <w:jc w:val="both"/>
        <w:rPr>
          <w:rFonts w:ascii="Bookman Old Style" w:hAnsi="Bookman Old Style" w:cs="Arial"/>
          <w:b/>
          <w:i/>
          <w:color w:val="4472C4" w:themeColor="accent1"/>
          <w:sz w:val="40"/>
          <w:szCs w:val="40"/>
        </w:rPr>
      </w:pPr>
    </w:p>
    <w:p w14:paraId="47A2CAB6" w14:textId="77777777" w:rsidR="00D9043B" w:rsidRPr="00CE120F" w:rsidRDefault="00D9043B" w:rsidP="00FA1B88">
      <w:pPr>
        <w:spacing w:line="360" w:lineRule="auto"/>
        <w:jc w:val="both"/>
        <w:rPr>
          <w:rFonts w:ascii="Bookman Old Style" w:hAnsi="Bookman Old Style" w:cs="Arial"/>
          <w:b/>
          <w:i/>
          <w:color w:val="4472C4" w:themeColor="accent1"/>
          <w:sz w:val="40"/>
          <w:szCs w:val="40"/>
        </w:rPr>
      </w:pPr>
    </w:p>
    <w:p w14:paraId="2FF1D34B" w14:textId="77777777" w:rsidR="001E28AC" w:rsidRPr="00CE120F" w:rsidRDefault="001E28AC" w:rsidP="001E28AC">
      <w:pPr>
        <w:spacing w:line="360" w:lineRule="auto"/>
        <w:jc w:val="both"/>
        <w:rPr>
          <w:rFonts w:ascii="Bookman Old Style" w:hAnsi="Bookman Old Style" w:cs="Arial"/>
          <w:b/>
          <w:i/>
          <w:color w:val="4472C4" w:themeColor="accent1"/>
          <w:sz w:val="40"/>
          <w:szCs w:val="40"/>
        </w:rPr>
      </w:pPr>
      <w:r w:rsidRPr="00CE120F">
        <w:rPr>
          <w:rFonts w:ascii="Bookman Old Style" w:hAnsi="Bookman Old Style" w:cs="Arial"/>
          <w:b/>
          <w:i/>
          <w:color w:val="4472C4" w:themeColor="accent1"/>
          <w:sz w:val="40"/>
          <w:szCs w:val="40"/>
        </w:rPr>
        <w:t>Student Name: Mojnu Miah</w:t>
      </w:r>
    </w:p>
    <w:p w14:paraId="12995F26" w14:textId="77777777" w:rsidR="001E28AC" w:rsidRPr="00CE120F" w:rsidRDefault="001E28AC" w:rsidP="001E28AC">
      <w:pPr>
        <w:spacing w:line="360" w:lineRule="auto"/>
        <w:jc w:val="both"/>
        <w:rPr>
          <w:rFonts w:ascii="Bookman Old Style" w:hAnsi="Bookman Old Style" w:cs="Arial"/>
          <w:b/>
          <w:i/>
          <w:color w:val="4472C4" w:themeColor="accent1"/>
          <w:sz w:val="40"/>
          <w:szCs w:val="40"/>
        </w:rPr>
      </w:pPr>
      <w:r w:rsidRPr="00CE120F">
        <w:rPr>
          <w:rFonts w:ascii="Bookman Old Style" w:hAnsi="Bookman Old Style" w:cs="Arial"/>
          <w:b/>
          <w:i/>
          <w:color w:val="4472C4" w:themeColor="accent1"/>
          <w:sz w:val="40"/>
          <w:szCs w:val="40"/>
        </w:rPr>
        <w:t>Student ID: 2233687</w:t>
      </w:r>
    </w:p>
    <w:p w14:paraId="18BD7246" w14:textId="08626950" w:rsidR="00D9043B" w:rsidRPr="00AE1E24" w:rsidRDefault="00600C89" w:rsidP="00FA1B88">
      <w:pPr>
        <w:spacing w:line="360" w:lineRule="auto"/>
        <w:jc w:val="both"/>
        <w:rPr>
          <w:rFonts w:ascii="Bookman Old Style" w:hAnsi="Bookman Old Style" w:cs="Arial"/>
          <w:b/>
          <w:i/>
          <w:color w:val="4472C4" w:themeColor="accent1"/>
          <w:sz w:val="40"/>
          <w:szCs w:val="40"/>
        </w:rPr>
      </w:pPr>
      <w:r w:rsidRPr="00CE120F">
        <w:rPr>
          <w:rFonts w:ascii="Bookman Old Style" w:hAnsi="Bookman Old Style" w:cs="Arial"/>
          <w:b/>
          <w:i/>
          <w:color w:val="4472C4" w:themeColor="accent1"/>
          <w:sz w:val="40"/>
          <w:szCs w:val="40"/>
        </w:rPr>
        <w:t xml:space="preserve">Word Count: </w:t>
      </w:r>
      <w:r w:rsidR="001579AC" w:rsidRPr="00CE120F">
        <w:rPr>
          <w:rFonts w:ascii="Bookman Old Style" w:hAnsi="Bookman Old Style" w:cs="Arial"/>
          <w:b/>
          <w:i/>
          <w:color w:val="4472C4" w:themeColor="accent1"/>
          <w:sz w:val="40"/>
          <w:szCs w:val="40"/>
        </w:rPr>
        <w:t>2</w:t>
      </w:r>
      <w:r w:rsidR="00755DAC" w:rsidRPr="00CE120F">
        <w:rPr>
          <w:rFonts w:ascii="Bookman Old Style" w:hAnsi="Bookman Old Style" w:cs="Arial"/>
          <w:b/>
          <w:i/>
          <w:color w:val="4472C4" w:themeColor="accent1"/>
          <w:sz w:val="40"/>
          <w:szCs w:val="40"/>
        </w:rPr>
        <w:t>113</w:t>
      </w:r>
    </w:p>
    <w:sdt>
      <w:sdtPr>
        <w:rPr>
          <w:rFonts w:ascii="Arial" w:eastAsiaTheme="minorHAnsi" w:hAnsi="Arial" w:cs="Arial"/>
          <w:b w:val="0"/>
          <w:color w:val="auto"/>
          <w:sz w:val="24"/>
          <w:szCs w:val="24"/>
          <w:lang w:val="en-GB"/>
        </w:rPr>
        <w:id w:val="1443344214"/>
        <w:docPartObj>
          <w:docPartGallery w:val="Table of Contents"/>
          <w:docPartUnique/>
        </w:docPartObj>
      </w:sdtPr>
      <w:sdtEndPr>
        <w:rPr>
          <w:bCs/>
          <w:noProof/>
        </w:rPr>
      </w:sdtEndPr>
      <w:sdtContent>
        <w:p w14:paraId="6A116E6A" w14:textId="543FB4B3" w:rsidR="00D9043B" w:rsidRPr="00FA1B88" w:rsidRDefault="00D9043B" w:rsidP="00FA1B88">
          <w:pPr>
            <w:pStyle w:val="TOCHeading"/>
            <w:spacing w:line="360" w:lineRule="auto"/>
            <w:rPr>
              <w:rFonts w:ascii="Arial" w:hAnsi="Arial" w:cs="Arial"/>
              <w:sz w:val="24"/>
              <w:szCs w:val="24"/>
            </w:rPr>
          </w:pPr>
          <w:r w:rsidRPr="00FA1B88">
            <w:rPr>
              <w:rFonts w:ascii="Arial" w:hAnsi="Arial" w:cs="Arial"/>
              <w:sz w:val="24"/>
              <w:szCs w:val="24"/>
            </w:rPr>
            <w:t>Contents</w:t>
          </w:r>
        </w:p>
        <w:p w14:paraId="01613EF8" w14:textId="31C7580C" w:rsidR="006A1B40" w:rsidRPr="00FA1B88" w:rsidRDefault="00D9043B" w:rsidP="00FA1B88">
          <w:pPr>
            <w:pStyle w:val="TOC1"/>
            <w:tabs>
              <w:tab w:val="right" w:leader="dot" w:pos="9016"/>
            </w:tabs>
            <w:spacing w:line="360" w:lineRule="auto"/>
            <w:rPr>
              <w:rFonts w:ascii="Arial" w:eastAsiaTheme="minorEastAsia" w:hAnsi="Arial" w:cs="Arial"/>
              <w:noProof/>
              <w:sz w:val="24"/>
              <w:szCs w:val="24"/>
              <w:lang w:eastAsia="en-GB"/>
            </w:rPr>
          </w:pPr>
          <w:r w:rsidRPr="00FA1B88">
            <w:rPr>
              <w:rFonts w:ascii="Arial" w:hAnsi="Arial" w:cs="Arial"/>
              <w:sz w:val="24"/>
              <w:szCs w:val="24"/>
            </w:rPr>
            <w:fldChar w:fldCharType="begin"/>
          </w:r>
          <w:r w:rsidRPr="00FA1B88">
            <w:rPr>
              <w:rFonts w:ascii="Arial" w:hAnsi="Arial" w:cs="Arial"/>
              <w:sz w:val="24"/>
              <w:szCs w:val="24"/>
            </w:rPr>
            <w:instrText xml:space="preserve"> TOC \o "1-3" \h \z \u </w:instrText>
          </w:r>
          <w:r w:rsidRPr="00FA1B88">
            <w:rPr>
              <w:rFonts w:ascii="Arial" w:hAnsi="Arial" w:cs="Arial"/>
              <w:sz w:val="24"/>
              <w:szCs w:val="24"/>
            </w:rPr>
            <w:fldChar w:fldCharType="separate"/>
          </w:r>
          <w:hyperlink w:anchor="_Toc167863784" w:history="1">
            <w:r w:rsidR="006A1B40" w:rsidRPr="00FA1B88">
              <w:rPr>
                <w:rStyle w:val="Hyperlink"/>
                <w:rFonts w:ascii="Arial" w:hAnsi="Arial" w:cs="Arial"/>
                <w:noProof/>
                <w:sz w:val="24"/>
                <w:szCs w:val="24"/>
              </w:rPr>
              <w:t>Executive Summary</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_Toc167863784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3</w:t>
            </w:r>
            <w:r w:rsidR="006A1B40" w:rsidRPr="00FA1B88">
              <w:rPr>
                <w:rFonts w:ascii="Arial" w:hAnsi="Arial" w:cs="Arial"/>
                <w:noProof/>
                <w:webHidden/>
                <w:sz w:val="24"/>
                <w:szCs w:val="24"/>
              </w:rPr>
              <w:fldChar w:fldCharType="end"/>
            </w:r>
          </w:hyperlink>
        </w:p>
        <w:p w14:paraId="0AB97003" w14:textId="17C76D80"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85" w:history="1">
            <w:r w:rsidR="006A1B40" w:rsidRPr="00FA1B88">
              <w:rPr>
                <w:rStyle w:val="Hyperlink"/>
                <w:rFonts w:ascii="Arial" w:hAnsi="Arial" w:cs="Arial"/>
                <w:noProof/>
                <w:sz w:val="24"/>
                <w:szCs w:val="24"/>
              </w:rPr>
              <w:t>Introduction</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_Toc167863785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4</w:t>
            </w:r>
            <w:r w:rsidR="006A1B40" w:rsidRPr="00FA1B88">
              <w:rPr>
                <w:rFonts w:ascii="Arial" w:hAnsi="Arial" w:cs="Arial"/>
                <w:noProof/>
                <w:webHidden/>
                <w:sz w:val="24"/>
                <w:szCs w:val="24"/>
              </w:rPr>
              <w:fldChar w:fldCharType="end"/>
            </w:r>
          </w:hyperlink>
        </w:p>
        <w:p w14:paraId="070AD43F" w14:textId="59D9E1E9"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86" w:history="1">
            <w:r w:rsidR="006A1B40" w:rsidRPr="00FA1B88">
              <w:rPr>
                <w:rStyle w:val="Hyperlink"/>
                <w:rFonts w:ascii="Arial" w:hAnsi="Arial" w:cs="Arial"/>
                <w:noProof/>
                <w:sz w:val="24"/>
                <w:szCs w:val="24"/>
              </w:rPr>
              <w:t>Evaluation of Trend and Pattern</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_Toc167863786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5</w:t>
            </w:r>
            <w:r w:rsidR="006A1B40" w:rsidRPr="00FA1B88">
              <w:rPr>
                <w:rFonts w:ascii="Arial" w:hAnsi="Arial" w:cs="Arial"/>
                <w:noProof/>
                <w:webHidden/>
                <w:sz w:val="24"/>
                <w:szCs w:val="24"/>
              </w:rPr>
              <w:fldChar w:fldCharType="end"/>
            </w:r>
          </w:hyperlink>
        </w:p>
        <w:p w14:paraId="457D39DC" w14:textId="15621D89"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7" w:history="1">
            <w:r w:rsidR="006A1B40" w:rsidRPr="00FA1B88">
              <w:rPr>
                <w:rStyle w:val="Hyperlink"/>
                <w:rFonts w:ascii="Arial" w:hAnsi="Arial" w:cs="Arial"/>
                <w:noProof/>
                <w:sz w:val="24"/>
                <w:szCs w:val="24"/>
              </w:rPr>
              <w:t>Revenue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_Toc167863787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5</w:t>
            </w:r>
            <w:r w:rsidR="006A1B40" w:rsidRPr="00FA1B88">
              <w:rPr>
                <w:rFonts w:ascii="Arial" w:hAnsi="Arial" w:cs="Arial"/>
                <w:noProof/>
                <w:webHidden/>
                <w:sz w:val="24"/>
                <w:szCs w:val="24"/>
              </w:rPr>
              <w:fldChar w:fldCharType="end"/>
            </w:r>
          </w:hyperlink>
        </w:p>
        <w:p w14:paraId="70217B42" w14:textId="4CD944B0"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8" w:history="1">
            <w:r w:rsidR="006A1B40" w:rsidRPr="00FA1B88">
              <w:rPr>
                <w:rStyle w:val="Hyperlink"/>
                <w:rFonts w:ascii="Arial" w:hAnsi="Arial" w:cs="Arial"/>
                <w:noProof/>
                <w:sz w:val="24"/>
                <w:szCs w:val="24"/>
              </w:rPr>
              <w:t>Operating Expense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_Toc167863788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6</w:t>
            </w:r>
            <w:r w:rsidR="006A1B40" w:rsidRPr="00FA1B88">
              <w:rPr>
                <w:rFonts w:ascii="Arial" w:hAnsi="Arial" w:cs="Arial"/>
                <w:noProof/>
                <w:webHidden/>
                <w:sz w:val="24"/>
                <w:szCs w:val="24"/>
              </w:rPr>
              <w:fldChar w:fldCharType="end"/>
            </w:r>
          </w:hyperlink>
        </w:p>
        <w:p w14:paraId="4F827C53" w14:textId="283D4B4E"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89" w:history="1">
            <w:r w:rsidR="006A1B40" w:rsidRPr="00FA1B88">
              <w:rPr>
                <w:rStyle w:val="Hyperlink"/>
                <w:rFonts w:ascii="Arial" w:hAnsi="Arial" w:cs="Arial"/>
                <w:noProof/>
                <w:sz w:val="24"/>
                <w:szCs w:val="24"/>
              </w:rPr>
              <w:t>Profitability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_Toc167863789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7</w:t>
            </w:r>
            <w:r w:rsidR="006A1B40" w:rsidRPr="00FA1B88">
              <w:rPr>
                <w:rFonts w:ascii="Arial" w:hAnsi="Arial" w:cs="Arial"/>
                <w:noProof/>
                <w:webHidden/>
                <w:sz w:val="24"/>
                <w:szCs w:val="24"/>
              </w:rPr>
              <w:fldChar w:fldCharType="end"/>
            </w:r>
          </w:hyperlink>
        </w:p>
        <w:p w14:paraId="5BE864FA" w14:textId="141BE046"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0" w:history="1">
            <w:r w:rsidR="006A1B40" w:rsidRPr="00FA1B88">
              <w:rPr>
                <w:rStyle w:val="Hyperlink"/>
                <w:rFonts w:ascii="Arial" w:hAnsi="Arial" w:cs="Arial"/>
                <w:noProof/>
                <w:sz w:val="24"/>
                <w:szCs w:val="24"/>
              </w:rPr>
              <w:t>Balance Sheet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_Toc167863790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8</w:t>
            </w:r>
            <w:r w:rsidR="006A1B40" w:rsidRPr="00FA1B88">
              <w:rPr>
                <w:rFonts w:ascii="Arial" w:hAnsi="Arial" w:cs="Arial"/>
                <w:noProof/>
                <w:webHidden/>
                <w:sz w:val="24"/>
                <w:szCs w:val="24"/>
              </w:rPr>
              <w:fldChar w:fldCharType="end"/>
            </w:r>
          </w:hyperlink>
        </w:p>
        <w:p w14:paraId="7D76A914" w14:textId="53231911"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1" w:history="1">
            <w:r w:rsidR="006A1B40" w:rsidRPr="00FA1B88">
              <w:rPr>
                <w:rStyle w:val="Hyperlink"/>
                <w:rFonts w:ascii="Arial" w:hAnsi="Arial" w:cs="Arial"/>
                <w:noProof/>
                <w:sz w:val="24"/>
                <w:szCs w:val="24"/>
              </w:rPr>
              <w:t>Current Ratio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_Toc167863791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8</w:t>
            </w:r>
            <w:r w:rsidR="006A1B40" w:rsidRPr="00FA1B88">
              <w:rPr>
                <w:rFonts w:ascii="Arial" w:hAnsi="Arial" w:cs="Arial"/>
                <w:noProof/>
                <w:webHidden/>
                <w:sz w:val="24"/>
                <w:szCs w:val="24"/>
              </w:rPr>
              <w:fldChar w:fldCharType="end"/>
            </w:r>
          </w:hyperlink>
        </w:p>
        <w:p w14:paraId="4C415170" w14:textId="7373CB5E"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2" w:history="1">
            <w:r w:rsidR="006A1B40" w:rsidRPr="00FA1B88">
              <w:rPr>
                <w:rStyle w:val="Hyperlink"/>
                <w:rFonts w:ascii="Arial" w:hAnsi="Arial" w:cs="Arial"/>
                <w:noProof/>
                <w:sz w:val="24"/>
                <w:szCs w:val="24"/>
              </w:rPr>
              <w:t>Debt-to-Equity Ratio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_Toc167863792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8</w:t>
            </w:r>
            <w:r w:rsidR="006A1B40" w:rsidRPr="00FA1B88">
              <w:rPr>
                <w:rFonts w:ascii="Arial" w:hAnsi="Arial" w:cs="Arial"/>
                <w:noProof/>
                <w:webHidden/>
                <w:sz w:val="24"/>
                <w:szCs w:val="24"/>
              </w:rPr>
              <w:fldChar w:fldCharType="end"/>
            </w:r>
          </w:hyperlink>
        </w:p>
        <w:p w14:paraId="00DE0232" w14:textId="2509AE60" w:rsidR="006A1B40" w:rsidRPr="00FA1B88" w:rsidRDefault="00000000" w:rsidP="00FA1B88">
          <w:pPr>
            <w:pStyle w:val="TOC2"/>
            <w:tabs>
              <w:tab w:val="right" w:leader="dot" w:pos="9016"/>
            </w:tabs>
            <w:spacing w:line="360" w:lineRule="auto"/>
            <w:rPr>
              <w:rFonts w:ascii="Arial" w:eastAsiaTheme="minorEastAsia" w:hAnsi="Arial" w:cs="Arial"/>
              <w:noProof/>
              <w:sz w:val="24"/>
              <w:szCs w:val="24"/>
              <w:lang w:eastAsia="en-GB"/>
            </w:rPr>
          </w:pPr>
          <w:hyperlink w:anchor="_Toc167863793" w:history="1">
            <w:r w:rsidR="006A1B40" w:rsidRPr="00FA1B88">
              <w:rPr>
                <w:rStyle w:val="Hyperlink"/>
                <w:rFonts w:ascii="Arial" w:hAnsi="Arial" w:cs="Arial"/>
                <w:noProof/>
                <w:sz w:val="24"/>
                <w:szCs w:val="24"/>
              </w:rPr>
              <w:t>Asset Turnover Ratio Analysis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_Toc167863793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9</w:t>
            </w:r>
            <w:r w:rsidR="006A1B40" w:rsidRPr="00FA1B88">
              <w:rPr>
                <w:rFonts w:ascii="Arial" w:hAnsi="Arial" w:cs="Arial"/>
                <w:noProof/>
                <w:webHidden/>
                <w:sz w:val="24"/>
                <w:szCs w:val="24"/>
              </w:rPr>
              <w:fldChar w:fldCharType="end"/>
            </w:r>
          </w:hyperlink>
        </w:p>
        <w:p w14:paraId="6006D6BC" w14:textId="4833C322"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4" w:history="1">
            <w:r w:rsidR="006A1B40" w:rsidRPr="00FA1B88">
              <w:rPr>
                <w:rStyle w:val="Hyperlink"/>
                <w:rFonts w:ascii="Arial" w:hAnsi="Arial" w:cs="Arial"/>
                <w:noProof/>
                <w:sz w:val="24"/>
                <w:szCs w:val="24"/>
              </w:rPr>
              <w:t>Key Reasons behind the Situation of the Urban Heights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_Toc167863794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9</w:t>
            </w:r>
            <w:r w:rsidR="006A1B40" w:rsidRPr="00FA1B88">
              <w:rPr>
                <w:rFonts w:ascii="Arial" w:hAnsi="Arial" w:cs="Arial"/>
                <w:noProof/>
                <w:webHidden/>
                <w:sz w:val="24"/>
                <w:szCs w:val="24"/>
              </w:rPr>
              <w:fldChar w:fldCharType="end"/>
            </w:r>
          </w:hyperlink>
        </w:p>
        <w:p w14:paraId="0168C856" w14:textId="5B21360D"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5" w:history="1">
            <w:r w:rsidR="006A1B40" w:rsidRPr="00FA1B88">
              <w:rPr>
                <w:rStyle w:val="Hyperlink"/>
                <w:rFonts w:ascii="Arial" w:hAnsi="Arial" w:cs="Arial"/>
                <w:noProof/>
                <w:sz w:val="24"/>
                <w:szCs w:val="24"/>
              </w:rPr>
              <w:t>Urban Heights Turnaround Plan</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_Toc167863795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10</w:t>
            </w:r>
            <w:r w:rsidR="006A1B40" w:rsidRPr="00FA1B88">
              <w:rPr>
                <w:rFonts w:ascii="Arial" w:hAnsi="Arial" w:cs="Arial"/>
                <w:noProof/>
                <w:webHidden/>
                <w:sz w:val="24"/>
                <w:szCs w:val="24"/>
              </w:rPr>
              <w:fldChar w:fldCharType="end"/>
            </w:r>
          </w:hyperlink>
        </w:p>
        <w:p w14:paraId="2BDA489C" w14:textId="472954B0"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6" w:history="1">
            <w:r w:rsidR="006A1B40" w:rsidRPr="00FA1B88">
              <w:rPr>
                <w:rStyle w:val="Hyperlink"/>
                <w:rFonts w:ascii="Arial" w:hAnsi="Arial" w:cs="Arial"/>
                <w:noProof/>
                <w:sz w:val="24"/>
                <w:szCs w:val="24"/>
              </w:rPr>
              <w:t>Conclusion</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_Toc167863796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12</w:t>
            </w:r>
            <w:r w:rsidR="006A1B40" w:rsidRPr="00FA1B88">
              <w:rPr>
                <w:rFonts w:ascii="Arial" w:hAnsi="Arial" w:cs="Arial"/>
                <w:noProof/>
                <w:webHidden/>
                <w:sz w:val="24"/>
                <w:szCs w:val="24"/>
              </w:rPr>
              <w:fldChar w:fldCharType="end"/>
            </w:r>
          </w:hyperlink>
        </w:p>
        <w:p w14:paraId="70205971" w14:textId="07B81655" w:rsidR="006A1B40" w:rsidRPr="00FA1B88" w:rsidRDefault="00000000" w:rsidP="00FA1B88">
          <w:pPr>
            <w:pStyle w:val="TOC1"/>
            <w:tabs>
              <w:tab w:val="right" w:leader="dot" w:pos="9016"/>
            </w:tabs>
            <w:spacing w:line="360" w:lineRule="auto"/>
            <w:rPr>
              <w:rFonts w:ascii="Arial" w:eastAsiaTheme="minorEastAsia" w:hAnsi="Arial" w:cs="Arial"/>
              <w:noProof/>
              <w:sz w:val="24"/>
              <w:szCs w:val="24"/>
              <w:lang w:eastAsia="en-GB"/>
            </w:rPr>
          </w:pPr>
          <w:hyperlink w:anchor="_Toc167863797" w:history="1">
            <w:r w:rsidR="006A1B40" w:rsidRPr="00FA1B88">
              <w:rPr>
                <w:rStyle w:val="Hyperlink"/>
                <w:rFonts w:ascii="Arial" w:hAnsi="Arial" w:cs="Arial"/>
                <w:noProof/>
                <w:sz w:val="24"/>
                <w:szCs w:val="24"/>
              </w:rPr>
              <w:t>References</w:t>
            </w:r>
            <w:r w:rsidR="006A1B40" w:rsidRPr="00FA1B88">
              <w:rPr>
                <w:rFonts w:ascii="Arial" w:hAnsi="Arial" w:cs="Arial"/>
                <w:noProof/>
                <w:webHidden/>
                <w:sz w:val="24"/>
                <w:szCs w:val="24"/>
              </w:rPr>
              <w:tab/>
            </w:r>
            <w:r w:rsidR="006A1B40" w:rsidRPr="00FA1B88">
              <w:rPr>
                <w:rFonts w:ascii="Arial" w:hAnsi="Arial" w:cs="Arial"/>
                <w:noProof/>
                <w:webHidden/>
                <w:sz w:val="24"/>
                <w:szCs w:val="24"/>
              </w:rPr>
              <w:fldChar w:fldCharType="begin"/>
            </w:r>
            <w:r w:rsidR="006A1B40" w:rsidRPr="00FA1B88">
              <w:rPr>
                <w:rFonts w:ascii="Arial" w:hAnsi="Arial" w:cs="Arial"/>
                <w:noProof/>
                <w:webHidden/>
                <w:sz w:val="24"/>
                <w:szCs w:val="24"/>
              </w:rPr>
              <w:instrText xml:space="preserve"> PAGEREF _Toc167863797 \h </w:instrText>
            </w:r>
            <w:r w:rsidR="006A1B40" w:rsidRPr="00FA1B88">
              <w:rPr>
                <w:rFonts w:ascii="Arial" w:hAnsi="Arial" w:cs="Arial"/>
                <w:noProof/>
                <w:webHidden/>
                <w:sz w:val="24"/>
                <w:szCs w:val="24"/>
              </w:rPr>
            </w:r>
            <w:r w:rsidR="006A1B40" w:rsidRPr="00FA1B88">
              <w:rPr>
                <w:rFonts w:ascii="Arial" w:hAnsi="Arial" w:cs="Arial"/>
                <w:noProof/>
                <w:webHidden/>
                <w:sz w:val="24"/>
                <w:szCs w:val="24"/>
              </w:rPr>
              <w:fldChar w:fldCharType="separate"/>
            </w:r>
            <w:r w:rsidR="006A1B40" w:rsidRPr="00FA1B88">
              <w:rPr>
                <w:rFonts w:ascii="Arial" w:hAnsi="Arial" w:cs="Arial"/>
                <w:noProof/>
                <w:webHidden/>
                <w:sz w:val="24"/>
                <w:szCs w:val="24"/>
              </w:rPr>
              <w:t>13</w:t>
            </w:r>
            <w:r w:rsidR="006A1B40" w:rsidRPr="00FA1B88">
              <w:rPr>
                <w:rFonts w:ascii="Arial" w:hAnsi="Arial" w:cs="Arial"/>
                <w:noProof/>
                <w:webHidden/>
                <w:sz w:val="24"/>
                <w:szCs w:val="24"/>
              </w:rPr>
              <w:fldChar w:fldCharType="end"/>
            </w:r>
          </w:hyperlink>
        </w:p>
        <w:p w14:paraId="39C5C887" w14:textId="513F3857" w:rsidR="00D9043B" w:rsidRPr="00FA1B88" w:rsidRDefault="00D9043B" w:rsidP="00FA1B88">
          <w:pPr>
            <w:spacing w:line="360" w:lineRule="auto"/>
            <w:jc w:val="both"/>
            <w:rPr>
              <w:rFonts w:ascii="Arial" w:hAnsi="Arial" w:cs="Arial"/>
              <w:sz w:val="24"/>
              <w:szCs w:val="24"/>
            </w:rPr>
          </w:pPr>
          <w:r w:rsidRPr="00FA1B88">
            <w:rPr>
              <w:rFonts w:ascii="Arial" w:hAnsi="Arial" w:cs="Arial"/>
              <w:b/>
              <w:bCs/>
              <w:noProof/>
              <w:sz w:val="24"/>
              <w:szCs w:val="24"/>
            </w:rPr>
            <w:fldChar w:fldCharType="end"/>
          </w:r>
        </w:p>
      </w:sdtContent>
    </w:sdt>
    <w:p w14:paraId="3CAA1C2F" w14:textId="77777777" w:rsidR="00D9043B" w:rsidRPr="00FA1B88" w:rsidRDefault="00D9043B" w:rsidP="00FA1B88">
      <w:pPr>
        <w:spacing w:line="360" w:lineRule="auto"/>
        <w:jc w:val="both"/>
        <w:rPr>
          <w:rFonts w:ascii="Arial" w:hAnsi="Arial" w:cs="Arial"/>
          <w:sz w:val="24"/>
          <w:szCs w:val="24"/>
        </w:rPr>
      </w:pPr>
    </w:p>
    <w:p w14:paraId="797B3F67" w14:textId="77777777" w:rsidR="00DE1B80" w:rsidRPr="00FA1B88" w:rsidRDefault="00DE1B80" w:rsidP="00FA1B88">
      <w:pPr>
        <w:spacing w:line="360" w:lineRule="auto"/>
        <w:jc w:val="both"/>
        <w:rPr>
          <w:rFonts w:ascii="Arial" w:hAnsi="Arial" w:cs="Arial"/>
          <w:sz w:val="24"/>
          <w:szCs w:val="24"/>
        </w:rPr>
      </w:pPr>
    </w:p>
    <w:p w14:paraId="0A0FD3FB" w14:textId="77777777" w:rsidR="00DE1B80" w:rsidRPr="00FA1B88" w:rsidRDefault="00DE1B80" w:rsidP="00FA1B88">
      <w:pPr>
        <w:spacing w:line="360" w:lineRule="auto"/>
        <w:rPr>
          <w:rFonts w:ascii="Arial" w:hAnsi="Arial" w:cs="Arial"/>
          <w:sz w:val="24"/>
          <w:szCs w:val="24"/>
        </w:rPr>
      </w:pPr>
      <w:r w:rsidRPr="00FA1B88">
        <w:rPr>
          <w:rFonts w:ascii="Arial" w:hAnsi="Arial" w:cs="Arial"/>
          <w:sz w:val="24"/>
          <w:szCs w:val="24"/>
        </w:rPr>
        <w:br w:type="page"/>
      </w:r>
    </w:p>
    <w:p w14:paraId="11A38522" w14:textId="264A77F2" w:rsidR="007A48F3" w:rsidRDefault="00DE1B80" w:rsidP="00FA1B88">
      <w:pPr>
        <w:pStyle w:val="Heading1"/>
        <w:spacing w:line="360" w:lineRule="auto"/>
        <w:rPr>
          <w:rFonts w:ascii="Arial" w:hAnsi="Arial"/>
        </w:rPr>
      </w:pPr>
      <w:bookmarkStart w:id="0" w:name="_Toc167863784"/>
      <w:r w:rsidRPr="00FA1B88">
        <w:rPr>
          <w:rFonts w:ascii="Arial" w:hAnsi="Arial"/>
        </w:rPr>
        <w:lastRenderedPageBreak/>
        <w:t>Executive Summary</w:t>
      </w:r>
      <w:bookmarkEnd w:id="0"/>
      <w:r w:rsidRPr="00FA1B88">
        <w:rPr>
          <w:rFonts w:ascii="Arial" w:hAnsi="Arial"/>
        </w:rPr>
        <w:t xml:space="preserve"> </w:t>
      </w:r>
    </w:p>
    <w:p w14:paraId="11E83BFC" w14:textId="20380FB1" w:rsidR="007A48F3" w:rsidRDefault="007A48F3" w:rsidP="00847D77">
      <w:pPr>
        <w:spacing w:after="0" w:line="360" w:lineRule="auto"/>
        <w:jc w:val="both"/>
        <w:rPr>
          <w:rFonts w:ascii="Arial" w:eastAsia="Times New Roman" w:hAnsi="Arial" w:cs="Arial"/>
          <w:sz w:val="24"/>
          <w:szCs w:val="24"/>
          <w:lang w:eastAsia="en-GB"/>
        </w:rPr>
      </w:pPr>
      <w:r w:rsidRPr="007A48F3">
        <w:rPr>
          <w:rFonts w:ascii="Arial" w:eastAsia="Times New Roman" w:hAnsi="Arial" w:cs="Arial"/>
          <w:sz w:val="24"/>
          <w:szCs w:val="24"/>
          <w:lang w:eastAsia="en-GB"/>
        </w:rPr>
        <w:t>The Urban Heights Hotel is facing challenges such as declining revenue and inefficient operations due to the ever-changing market. This report analyses the company's financial situation and highlights key concerns for the years 2021–2023. Revenue dropped £700,000 as a result of economic downturns and increased competition. There was a £500,000 spike in operational spending, which put profitability at risk. The ratio of debt to equity increased, leading to financial leverage. Repositioning strategically, streamlining operations, reorganising finances, developing creative marketing campaigns, establishing strong leadership, and involving stakeholders are all essential components of a comprehensive turnaround plan. Urban Heights may be able to recover financially, compete, and grow sustainably with the support of these solutions, even while the market is harsh.</w:t>
      </w:r>
    </w:p>
    <w:p w14:paraId="204C4F7C" w14:textId="6B7A21AA" w:rsidR="00847D77" w:rsidRDefault="00847D77" w:rsidP="00847D77">
      <w:pPr>
        <w:rPr>
          <w:rFonts w:ascii="Arial" w:eastAsia="Times New Roman" w:hAnsi="Arial" w:cs="Arial"/>
          <w:sz w:val="24"/>
          <w:szCs w:val="24"/>
          <w:lang w:eastAsia="en-GB"/>
        </w:rPr>
      </w:pPr>
    </w:p>
    <w:p w14:paraId="0BAC6B54" w14:textId="476A76A9" w:rsidR="00847D77" w:rsidRPr="00847D77" w:rsidRDefault="00847D77" w:rsidP="00847D77">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43437278" w14:textId="65081914" w:rsidR="00763FC3" w:rsidRPr="00FA1B88" w:rsidRDefault="00A371AE" w:rsidP="00FA1B88">
      <w:pPr>
        <w:pStyle w:val="Heading1"/>
        <w:spacing w:line="360" w:lineRule="auto"/>
        <w:rPr>
          <w:rFonts w:ascii="Arial" w:hAnsi="Arial"/>
        </w:rPr>
      </w:pPr>
      <w:bookmarkStart w:id="1" w:name="_Toc167863785"/>
      <w:r w:rsidRPr="00FA1B88">
        <w:rPr>
          <w:rFonts w:ascii="Arial" w:hAnsi="Arial"/>
        </w:rPr>
        <w:lastRenderedPageBreak/>
        <w:t>Introduction</w:t>
      </w:r>
      <w:bookmarkEnd w:id="1"/>
    </w:p>
    <w:p w14:paraId="5782569B" w14:textId="1EC151BD" w:rsidR="00C74B90" w:rsidRPr="00FA1B88" w:rsidRDefault="00C74B90" w:rsidP="00FA1B88">
      <w:pPr>
        <w:spacing w:line="360" w:lineRule="auto"/>
        <w:jc w:val="both"/>
        <w:rPr>
          <w:rFonts w:ascii="Arial" w:hAnsi="Arial" w:cs="Arial"/>
          <w:sz w:val="24"/>
          <w:szCs w:val="24"/>
        </w:rPr>
      </w:pPr>
      <w:r w:rsidRPr="00FA1B88">
        <w:rPr>
          <w:rFonts w:ascii="Arial" w:hAnsi="Arial" w:cs="Arial"/>
          <w:sz w:val="24"/>
          <w:szCs w:val="24"/>
        </w:rPr>
        <w:t xml:space="preserve">In Urban Heights hotel as we are seeing that there are some dynamic changes all over the time. The impacts are severe as it has a negative income in last year. The main concern for a business is to find out necessary details on the prospect of </w:t>
      </w:r>
      <w:r w:rsidR="00C343B3" w:rsidRPr="00FA1B88">
        <w:rPr>
          <w:rFonts w:ascii="Arial" w:hAnsi="Arial" w:cs="Arial"/>
          <w:sz w:val="24"/>
          <w:szCs w:val="24"/>
        </w:rPr>
        <w:t>revenue and profit. The revenue and profit should be the primary concern as one focus on the long-term growth and sustainability and other focuses on the short term. As we have analysed the case study from point to point we have seen multiple scenario where different kind of factors are playing the critical role of running a business in downhill tradition</w:t>
      </w:r>
      <w:r w:rsidR="005A0212">
        <w:rPr>
          <w:rFonts w:ascii="Arial" w:hAnsi="Arial" w:cs="Arial"/>
          <w:sz w:val="24"/>
          <w:szCs w:val="24"/>
        </w:rPr>
        <w:t xml:space="preserve"> (</w:t>
      </w:r>
      <w:r w:rsidR="005A0212">
        <w:rPr>
          <w:rFonts w:ascii="Arial" w:hAnsi="Arial" w:cs="Arial"/>
          <w:color w:val="222222"/>
          <w:sz w:val="24"/>
          <w:szCs w:val="24"/>
          <w:shd w:val="clear" w:color="auto" w:fill="FFFFFF"/>
        </w:rPr>
        <w:t>Amel-Zadeh et al, 2018</w:t>
      </w:r>
      <w:r w:rsidR="005A0212">
        <w:rPr>
          <w:rFonts w:ascii="Arial" w:hAnsi="Arial" w:cs="Arial"/>
          <w:sz w:val="24"/>
          <w:szCs w:val="24"/>
        </w:rPr>
        <w:t>)</w:t>
      </w:r>
      <w:r w:rsidR="00C343B3" w:rsidRPr="00FA1B88">
        <w:rPr>
          <w:rFonts w:ascii="Arial" w:hAnsi="Arial" w:cs="Arial"/>
          <w:sz w:val="24"/>
          <w:szCs w:val="24"/>
        </w:rPr>
        <w:t xml:space="preserve">. The overall prospect of business is doing great as it is needed to be known for the fact that it has quite good establishment and also the infrastructure is also quite great. However, the overall prospect of the business is to find out the necessary details on how to improve the current scenario and also working for the better prospect in future. This report will focus on the prospect of how to make this business better and having a turnaround policy for the business which will focus on the brining the business in next level. </w:t>
      </w:r>
    </w:p>
    <w:p w14:paraId="68FD1458" w14:textId="1825D90C" w:rsidR="00C74B90" w:rsidRPr="00FA1B88" w:rsidRDefault="00C74B90" w:rsidP="00FA1B88">
      <w:pPr>
        <w:spacing w:line="360" w:lineRule="auto"/>
        <w:rPr>
          <w:rFonts w:ascii="Arial" w:hAnsi="Arial" w:cs="Arial"/>
          <w:sz w:val="24"/>
          <w:szCs w:val="24"/>
        </w:rPr>
      </w:pPr>
      <w:r w:rsidRPr="00FA1B88">
        <w:rPr>
          <w:rFonts w:ascii="Arial" w:hAnsi="Arial" w:cs="Arial"/>
          <w:sz w:val="24"/>
          <w:szCs w:val="24"/>
        </w:rPr>
        <w:br w:type="page"/>
      </w:r>
    </w:p>
    <w:p w14:paraId="1E639A23" w14:textId="77777777" w:rsidR="00DC3EB9" w:rsidRPr="00FA1B88" w:rsidRDefault="00DC3EB9" w:rsidP="00FA1B88">
      <w:pPr>
        <w:spacing w:line="360" w:lineRule="auto"/>
        <w:jc w:val="both"/>
        <w:rPr>
          <w:rFonts w:ascii="Arial" w:hAnsi="Arial" w:cs="Arial"/>
          <w:sz w:val="24"/>
          <w:szCs w:val="24"/>
        </w:rPr>
      </w:pPr>
    </w:p>
    <w:p w14:paraId="41EA8C6A" w14:textId="5FC85F87" w:rsidR="0048103D" w:rsidRPr="00FA1B88" w:rsidRDefault="00BD51F8" w:rsidP="00FA1B88">
      <w:pPr>
        <w:pStyle w:val="Heading1"/>
        <w:spacing w:line="360" w:lineRule="auto"/>
        <w:rPr>
          <w:rFonts w:ascii="Arial" w:hAnsi="Arial"/>
        </w:rPr>
      </w:pPr>
      <w:bookmarkStart w:id="2" w:name="_Toc167863786"/>
      <w:r w:rsidRPr="00FA1B88">
        <w:rPr>
          <w:rFonts w:ascii="Arial" w:hAnsi="Arial"/>
        </w:rPr>
        <w:t>Evaluation of Trend and Pattern</w:t>
      </w:r>
      <w:bookmarkEnd w:id="2"/>
      <w:r w:rsidRPr="00FA1B88">
        <w:rPr>
          <w:rFonts w:ascii="Arial" w:hAnsi="Arial"/>
        </w:rPr>
        <w:t xml:space="preserve"> </w:t>
      </w:r>
    </w:p>
    <w:p w14:paraId="2505987C" w14:textId="31025926" w:rsidR="00BD51F8" w:rsidRPr="00FA1B88" w:rsidRDefault="00BD51F8" w:rsidP="00FA1B88">
      <w:pPr>
        <w:pStyle w:val="Heading2"/>
        <w:rPr>
          <w:rFonts w:ascii="Arial" w:hAnsi="Arial" w:cs="Arial"/>
        </w:rPr>
      </w:pPr>
      <w:bookmarkStart w:id="3" w:name="_Toc167863787"/>
      <w:r w:rsidRPr="00FA1B88">
        <w:rPr>
          <w:rFonts w:ascii="Arial" w:hAnsi="Arial" w:cs="Arial"/>
        </w:rPr>
        <w:t>Revenue Analysis</w:t>
      </w:r>
      <w:bookmarkEnd w:id="3"/>
      <w:r w:rsidRPr="00FA1B88">
        <w:rPr>
          <w:rFonts w:ascii="Arial" w:hAnsi="Arial" w:cs="Arial"/>
        </w:rPr>
        <w:t xml:space="preserve"> </w:t>
      </w:r>
    </w:p>
    <w:p w14:paraId="60B5C566" w14:textId="6B8EE13E" w:rsidR="00176F61" w:rsidRPr="00FA1B88" w:rsidRDefault="00176F61" w:rsidP="00FA1B88">
      <w:pPr>
        <w:spacing w:line="360" w:lineRule="auto"/>
        <w:jc w:val="both"/>
        <w:rPr>
          <w:rFonts w:ascii="Arial" w:hAnsi="Arial" w:cs="Arial"/>
          <w:sz w:val="24"/>
          <w:szCs w:val="24"/>
        </w:rPr>
      </w:pPr>
      <w:r w:rsidRPr="00FA1B88">
        <w:rPr>
          <w:rFonts w:ascii="Arial" w:hAnsi="Arial" w:cs="Arial"/>
          <w:sz w:val="24"/>
          <w:szCs w:val="24"/>
        </w:rPr>
        <w:t>The company's financial performance reveals a concerning fall in revenue from 2021 to 2023. In 2021, the business made £2,500,000. In 2022, it was £2,200,000. And in 2023, it was £1,800,000. This amounts to a £700,000 decline, or 28%, over the course of the period. Several factors could have contributed to this decline. Possible factors that reduced sales include economic downturns, intensifying competition, and changing consumer tastes</w:t>
      </w:r>
      <w:r w:rsidR="00476B7A">
        <w:rPr>
          <w:rFonts w:ascii="Arial" w:hAnsi="Arial" w:cs="Arial"/>
          <w:sz w:val="24"/>
          <w:szCs w:val="24"/>
        </w:rPr>
        <w:t xml:space="preserve"> (</w:t>
      </w:r>
      <w:r w:rsidR="00476B7A">
        <w:rPr>
          <w:rFonts w:ascii="Arial" w:hAnsi="Arial" w:cs="Arial"/>
          <w:color w:val="222222"/>
          <w:sz w:val="24"/>
          <w:szCs w:val="24"/>
          <w:shd w:val="clear" w:color="auto" w:fill="FFFFFF"/>
        </w:rPr>
        <w:t>Barboza et al, 2017</w:t>
      </w:r>
      <w:r w:rsidR="00476B7A">
        <w:rPr>
          <w:rFonts w:ascii="Arial" w:hAnsi="Arial" w:cs="Arial"/>
          <w:sz w:val="24"/>
          <w:szCs w:val="24"/>
        </w:rPr>
        <w:t>)</w:t>
      </w:r>
      <w:r w:rsidRPr="00FA1B88">
        <w:rPr>
          <w:rFonts w:ascii="Arial" w:hAnsi="Arial" w:cs="Arial"/>
          <w:sz w:val="24"/>
          <w:szCs w:val="24"/>
        </w:rPr>
        <w:t xml:space="preserve">. Possible contributing elements include ineffectiveness, low product quality, and misleading advertising. Revenue may have dropped because of changes in the market for the company's products or services, new regulations, or disruptions in the supply chain. </w:t>
      </w:r>
    </w:p>
    <w:tbl>
      <w:tblPr>
        <w:tblStyle w:val="GridTable4-Accent1"/>
        <w:tblW w:w="6560" w:type="dxa"/>
        <w:jc w:val="center"/>
        <w:tblLook w:val="04A0" w:firstRow="1" w:lastRow="0" w:firstColumn="1" w:lastColumn="0" w:noHBand="0" w:noVBand="1"/>
      </w:tblPr>
      <w:tblGrid>
        <w:gridCol w:w="2380"/>
        <w:gridCol w:w="1420"/>
        <w:gridCol w:w="1420"/>
        <w:gridCol w:w="1418"/>
      </w:tblGrid>
      <w:tr w:rsidR="00176F61" w:rsidRPr="00FA1B88" w14:paraId="30A9A604" w14:textId="77777777" w:rsidTr="006D3E6A">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1BC7D373" w14:textId="77777777" w:rsidR="00176F61" w:rsidRPr="00FA1B88" w:rsidRDefault="00176F61"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Year </w:t>
            </w:r>
          </w:p>
        </w:tc>
        <w:tc>
          <w:tcPr>
            <w:tcW w:w="1420" w:type="dxa"/>
            <w:noWrap/>
            <w:hideMark/>
          </w:tcPr>
          <w:p w14:paraId="5C07963E"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2A1BB150"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036E11B3" w14:textId="77777777" w:rsidR="00176F61" w:rsidRPr="00FA1B88" w:rsidRDefault="00176F61"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176F61" w:rsidRPr="00FA1B88" w14:paraId="53573E29" w14:textId="77777777" w:rsidTr="006D3E6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7752C4D0" w14:textId="77777777" w:rsidR="00176F61" w:rsidRPr="00FA1B88" w:rsidRDefault="00176F61"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Revenue </w:t>
            </w:r>
          </w:p>
        </w:tc>
        <w:tc>
          <w:tcPr>
            <w:tcW w:w="1420" w:type="dxa"/>
            <w:noWrap/>
            <w:hideMark/>
          </w:tcPr>
          <w:p w14:paraId="3D5545D7"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£2,500,000 </w:t>
            </w:r>
          </w:p>
        </w:tc>
        <w:tc>
          <w:tcPr>
            <w:tcW w:w="1420" w:type="dxa"/>
            <w:noWrap/>
            <w:hideMark/>
          </w:tcPr>
          <w:p w14:paraId="0B6520B3"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£2,200,000 </w:t>
            </w:r>
          </w:p>
        </w:tc>
        <w:tc>
          <w:tcPr>
            <w:tcW w:w="1340" w:type="dxa"/>
            <w:noWrap/>
            <w:hideMark/>
          </w:tcPr>
          <w:p w14:paraId="41A43377" w14:textId="77777777" w:rsidR="00176F61" w:rsidRPr="00FA1B88" w:rsidRDefault="00176F61"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£1,800,000</w:t>
            </w:r>
          </w:p>
        </w:tc>
      </w:tr>
    </w:tbl>
    <w:p w14:paraId="3F6DD4EA" w14:textId="77777777" w:rsidR="00176F61" w:rsidRPr="00FA1B88" w:rsidRDefault="00176F61" w:rsidP="00FA1B88">
      <w:pPr>
        <w:spacing w:line="360" w:lineRule="auto"/>
        <w:jc w:val="both"/>
        <w:rPr>
          <w:rFonts w:ascii="Arial" w:hAnsi="Arial" w:cs="Arial"/>
          <w:sz w:val="24"/>
          <w:szCs w:val="24"/>
        </w:rPr>
      </w:pPr>
    </w:p>
    <w:p w14:paraId="6E4C2732" w14:textId="771C4505" w:rsidR="00DC3EB9" w:rsidRPr="00FA1B88" w:rsidRDefault="00176F61" w:rsidP="00FA1B88">
      <w:pPr>
        <w:spacing w:line="360" w:lineRule="auto"/>
        <w:jc w:val="both"/>
        <w:rPr>
          <w:rFonts w:ascii="Arial" w:hAnsi="Arial" w:cs="Arial"/>
          <w:sz w:val="24"/>
          <w:szCs w:val="24"/>
        </w:rPr>
      </w:pPr>
      <w:r w:rsidRPr="00FA1B88">
        <w:rPr>
          <w:rFonts w:ascii="Arial" w:hAnsi="Arial" w:cs="Arial"/>
          <w:sz w:val="24"/>
          <w:szCs w:val="24"/>
        </w:rPr>
        <w:t>A decline in revenue calls into question the efficacy of the business's current market positioning and operational strategies. It is critical to have effective marketing, customer interaction, and market research. In response to shifts in the market, the company may decide to invest in innovation and streamline its operations</w:t>
      </w:r>
      <w:r w:rsidR="00596A7F">
        <w:rPr>
          <w:rFonts w:ascii="Arial" w:hAnsi="Arial" w:cs="Arial"/>
          <w:sz w:val="24"/>
          <w:szCs w:val="24"/>
        </w:rPr>
        <w:t xml:space="preserve"> (</w:t>
      </w:r>
      <w:r w:rsidR="00AC7849">
        <w:rPr>
          <w:rFonts w:ascii="Arial" w:hAnsi="Arial" w:cs="Arial"/>
          <w:color w:val="222222"/>
          <w:sz w:val="24"/>
          <w:szCs w:val="24"/>
          <w:shd w:val="clear" w:color="auto" w:fill="FFFFFF"/>
        </w:rPr>
        <w:t>Dogan et al, 2016</w:t>
      </w:r>
      <w:r w:rsidR="00596A7F">
        <w:rPr>
          <w:rFonts w:ascii="Arial" w:hAnsi="Arial" w:cs="Arial"/>
          <w:sz w:val="24"/>
          <w:szCs w:val="24"/>
        </w:rPr>
        <w:t>)</w:t>
      </w:r>
      <w:r w:rsidRPr="00FA1B88">
        <w:rPr>
          <w:rFonts w:ascii="Arial" w:hAnsi="Arial" w:cs="Arial"/>
          <w:sz w:val="24"/>
          <w:szCs w:val="24"/>
        </w:rPr>
        <w:t>. To recapture revenue growth and financial stability, it is necessary to comprehend market dynamics, enhance goods, and optimise procedures. Only then can we turn around this downward trend.</w:t>
      </w:r>
    </w:p>
    <w:p w14:paraId="6330426F" w14:textId="361B9AC4" w:rsidR="00DC3EB9" w:rsidRPr="00FA1B88" w:rsidRDefault="00DF0758" w:rsidP="00FA1B88">
      <w:pPr>
        <w:spacing w:line="360" w:lineRule="auto"/>
        <w:jc w:val="center"/>
        <w:rPr>
          <w:rFonts w:ascii="Arial" w:hAnsi="Arial" w:cs="Arial"/>
          <w:sz w:val="24"/>
          <w:szCs w:val="24"/>
        </w:rPr>
      </w:pPr>
      <w:r w:rsidRPr="00FA1B88">
        <w:rPr>
          <w:rFonts w:ascii="Arial" w:hAnsi="Arial" w:cs="Arial"/>
          <w:noProof/>
        </w:rPr>
        <w:lastRenderedPageBreak/>
        <w:drawing>
          <wp:inline distT="0" distB="0" distL="0" distR="0" wp14:anchorId="5C0D2007" wp14:editId="30A3DE8F">
            <wp:extent cx="4371975" cy="2486025"/>
            <wp:effectExtent l="0" t="0" r="0" b="0"/>
            <wp:docPr id="1" name="Chart 1">
              <a:extLst xmlns:a="http://schemas.openxmlformats.org/drawingml/2006/main">
                <a:ext uri="{FF2B5EF4-FFF2-40B4-BE49-F238E27FC236}">
                  <a16:creationId xmlns:a16="http://schemas.microsoft.com/office/drawing/2014/main" id="{AF4BBEF9-3462-46BC-973E-3870C4822A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AAAC828" w14:textId="61788B33" w:rsidR="00E12859" w:rsidRPr="00FA1B88" w:rsidRDefault="00E12859" w:rsidP="00FA1B88">
      <w:pPr>
        <w:spacing w:line="360" w:lineRule="auto"/>
        <w:jc w:val="center"/>
        <w:rPr>
          <w:rFonts w:ascii="Arial" w:hAnsi="Arial" w:cs="Arial"/>
          <w:b/>
          <w:sz w:val="24"/>
          <w:szCs w:val="24"/>
        </w:rPr>
      </w:pPr>
      <w:r w:rsidRPr="00FA1B88">
        <w:rPr>
          <w:rFonts w:ascii="Arial" w:hAnsi="Arial" w:cs="Arial"/>
          <w:b/>
          <w:sz w:val="24"/>
          <w:szCs w:val="24"/>
        </w:rPr>
        <w:t>Figure 1: Revenue Analysis of Urban Heights (Source: Case Study)</w:t>
      </w:r>
    </w:p>
    <w:p w14:paraId="616872D0" w14:textId="232BC174" w:rsidR="002754E3" w:rsidRPr="00FA1B88" w:rsidRDefault="001C605D" w:rsidP="00FA1B88">
      <w:pPr>
        <w:pStyle w:val="Heading2"/>
        <w:rPr>
          <w:rFonts w:ascii="Arial" w:hAnsi="Arial" w:cs="Arial"/>
        </w:rPr>
      </w:pPr>
      <w:bookmarkStart w:id="4" w:name="_Toc167863788"/>
      <w:r w:rsidRPr="00FA1B88">
        <w:rPr>
          <w:rFonts w:ascii="Arial" w:hAnsi="Arial" w:cs="Arial"/>
        </w:rPr>
        <w:t>Operating Expense A</w:t>
      </w:r>
      <w:r w:rsidR="002754E3" w:rsidRPr="00FA1B88">
        <w:rPr>
          <w:rFonts w:ascii="Arial" w:hAnsi="Arial" w:cs="Arial"/>
        </w:rPr>
        <w:t>nalysis</w:t>
      </w:r>
      <w:bookmarkEnd w:id="4"/>
      <w:r w:rsidR="002754E3" w:rsidRPr="00FA1B88">
        <w:rPr>
          <w:rFonts w:ascii="Arial" w:hAnsi="Arial" w:cs="Arial"/>
        </w:rPr>
        <w:t xml:space="preserve"> </w:t>
      </w:r>
    </w:p>
    <w:p w14:paraId="316AE4A5" w14:textId="77777777" w:rsidR="00C905DF" w:rsidRPr="00FA1B88" w:rsidRDefault="001C605D" w:rsidP="00FA1B88">
      <w:pPr>
        <w:spacing w:line="360" w:lineRule="auto"/>
        <w:jc w:val="both"/>
        <w:rPr>
          <w:rFonts w:ascii="Arial" w:hAnsi="Arial" w:cs="Arial"/>
          <w:sz w:val="24"/>
          <w:szCs w:val="24"/>
        </w:rPr>
      </w:pPr>
      <w:r w:rsidRPr="00FA1B88">
        <w:rPr>
          <w:rFonts w:ascii="Arial" w:hAnsi="Arial" w:cs="Arial"/>
          <w:sz w:val="24"/>
          <w:szCs w:val="24"/>
        </w:rPr>
        <w:t xml:space="preserve">Company spending is expected to increase significantly between 2021 and 2023, according to operating expenditure statistics. From £1,800,000 in 2021 to £2,000,000 in 2022 and £2,300,000 in 2023, operating expenses increased significantly. This works out to a three-year increase of £500,000 or 27.8 percent. A number of factors can account for this increase in operating expense. </w:t>
      </w:r>
    </w:p>
    <w:tbl>
      <w:tblPr>
        <w:tblStyle w:val="GridTable4-Accent1"/>
        <w:tblW w:w="6560" w:type="dxa"/>
        <w:jc w:val="center"/>
        <w:tblLook w:val="04A0" w:firstRow="1" w:lastRow="0" w:firstColumn="1" w:lastColumn="0" w:noHBand="0" w:noVBand="1"/>
      </w:tblPr>
      <w:tblGrid>
        <w:gridCol w:w="2380"/>
        <w:gridCol w:w="1420"/>
        <w:gridCol w:w="1420"/>
        <w:gridCol w:w="1418"/>
      </w:tblGrid>
      <w:tr w:rsidR="00C905DF" w:rsidRPr="00FA1B88" w14:paraId="1DA9EDEC" w14:textId="77777777" w:rsidTr="006D3E6A">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3B7FB7FC" w14:textId="77777777" w:rsidR="00C905DF" w:rsidRPr="00FA1B88" w:rsidRDefault="00C905DF"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Item </w:t>
            </w:r>
          </w:p>
        </w:tc>
        <w:tc>
          <w:tcPr>
            <w:tcW w:w="1420" w:type="dxa"/>
            <w:noWrap/>
            <w:hideMark/>
          </w:tcPr>
          <w:p w14:paraId="2DC2129E"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09510999"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04E9F007" w14:textId="77777777" w:rsidR="00C905DF" w:rsidRPr="00FA1B88" w:rsidRDefault="00C905DF"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C905DF" w:rsidRPr="00FA1B88" w14:paraId="1D298441" w14:textId="77777777" w:rsidTr="006D3E6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1B19451D" w14:textId="77777777" w:rsidR="00C905DF" w:rsidRPr="00FA1B88" w:rsidRDefault="00C905DF"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Operating Expenses </w:t>
            </w:r>
          </w:p>
        </w:tc>
        <w:tc>
          <w:tcPr>
            <w:tcW w:w="1420" w:type="dxa"/>
            <w:noWrap/>
            <w:hideMark/>
          </w:tcPr>
          <w:p w14:paraId="337D1CDD"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£1,800,000 </w:t>
            </w:r>
          </w:p>
        </w:tc>
        <w:tc>
          <w:tcPr>
            <w:tcW w:w="1420" w:type="dxa"/>
            <w:noWrap/>
            <w:hideMark/>
          </w:tcPr>
          <w:p w14:paraId="61C90E05"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£2,000,000 </w:t>
            </w:r>
          </w:p>
        </w:tc>
        <w:tc>
          <w:tcPr>
            <w:tcW w:w="1340" w:type="dxa"/>
            <w:noWrap/>
            <w:hideMark/>
          </w:tcPr>
          <w:p w14:paraId="792BB772" w14:textId="77777777" w:rsidR="00C905DF" w:rsidRPr="00FA1B88" w:rsidRDefault="00C905DF"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£2,300,000</w:t>
            </w:r>
          </w:p>
        </w:tc>
      </w:tr>
    </w:tbl>
    <w:p w14:paraId="5A77A848" w14:textId="77777777" w:rsidR="00C905DF" w:rsidRPr="00FA1B88" w:rsidRDefault="00C905DF" w:rsidP="00FA1B88">
      <w:pPr>
        <w:spacing w:line="360" w:lineRule="auto"/>
        <w:jc w:val="both"/>
        <w:rPr>
          <w:rFonts w:ascii="Arial" w:hAnsi="Arial" w:cs="Arial"/>
          <w:sz w:val="24"/>
          <w:szCs w:val="24"/>
        </w:rPr>
      </w:pPr>
    </w:p>
    <w:p w14:paraId="77F5C0C1" w14:textId="4B1BF4DB" w:rsidR="002754E3" w:rsidRPr="00FA1B88" w:rsidRDefault="001C605D" w:rsidP="00FA1B88">
      <w:pPr>
        <w:spacing w:line="360" w:lineRule="auto"/>
        <w:jc w:val="both"/>
        <w:rPr>
          <w:rFonts w:ascii="Arial" w:hAnsi="Arial" w:cs="Arial"/>
          <w:sz w:val="24"/>
          <w:szCs w:val="24"/>
        </w:rPr>
      </w:pPr>
      <w:r w:rsidRPr="00FA1B88">
        <w:rPr>
          <w:rFonts w:ascii="Arial" w:hAnsi="Arial" w:cs="Arial"/>
          <w:sz w:val="24"/>
          <w:szCs w:val="24"/>
        </w:rPr>
        <w:t>Prices might go up because of things like inflation, the cost of raw materials, or labour. Further increases in expenses may be caused by waste, inefficient methods, and outdated technology</w:t>
      </w:r>
      <w:r w:rsidR="00597792">
        <w:rPr>
          <w:rFonts w:ascii="Arial" w:hAnsi="Arial" w:cs="Arial"/>
          <w:sz w:val="24"/>
          <w:szCs w:val="24"/>
        </w:rPr>
        <w:t xml:space="preserve"> (</w:t>
      </w:r>
      <w:r w:rsidR="00597792">
        <w:rPr>
          <w:rFonts w:ascii="Arial" w:hAnsi="Arial" w:cs="Arial"/>
          <w:color w:val="222222"/>
          <w:sz w:val="24"/>
          <w:szCs w:val="24"/>
          <w:shd w:val="clear" w:color="auto" w:fill="FFFFFF"/>
        </w:rPr>
        <w:t>Donthu et al, 2021</w:t>
      </w:r>
      <w:r w:rsidR="00597792">
        <w:rPr>
          <w:rFonts w:ascii="Arial" w:hAnsi="Arial" w:cs="Arial"/>
          <w:sz w:val="24"/>
          <w:szCs w:val="24"/>
        </w:rPr>
        <w:t>)</w:t>
      </w:r>
      <w:r w:rsidRPr="00FA1B88">
        <w:rPr>
          <w:rFonts w:ascii="Arial" w:hAnsi="Arial" w:cs="Arial"/>
          <w:sz w:val="24"/>
          <w:szCs w:val="24"/>
        </w:rPr>
        <w:t>. An increase in spending on marketing, research and development, and other strategic endeavours might lead to a rise in income. Profitability is at risk due to increasing operating expenses and decreasing revenue. Spending on operations was for 72% of revenue in 2021, rising to 90.9% the next year and 127.8% the following year. The company is in a financial bind because it spends more money than it brings in</w:t>
      </w:r>
      <w:r w:rsidR="004A4C1D">
        <w:rPr>
          <w:rFonts w:ascii="Arial" w:hAnsi="Arial" w:cs="Arial"/>
          <w:sz w:val="24"/>
          <w:szCs w:val="24"/>
        </w:rPr>
        <w:t xml:space="preserve"> (</w:t>
      </w:r>
      <w:r w:rsidR="004A4C1D">
        <w:rPr>
          <w:rFonts w:ascii="Arial" w:hAnsi="Arial" w:cs="Arial"/>
          <w:color w:val="222222"/>
          <w:sz w:val="24"/>
          <w:szCs w:val="24"/>
          <w:shd w:val="clear" w:color="auto" w:fill="FFFFFF"/>
        </w:rPr>
        <w:t>Fisher, 2022</w:t>
      </w:r>
      <w:r w:rsidR="004A4C1D">
        <w:rPr>
          <w:rFonts w:ascii="Arial" w:hAnsi="Arial" w:cs="Arial"/>
          <w:sz w:val="24"/>
          <w:szCs w:val="24"/>
        </w:rPr>
        <w:t>)</w:t>
      </w:r>
      <w:r w:rsidRPr="00FA1B88">
        <w:rPr>
          <w:rFonts w:ascii="Arial" w:hAnsi="Arial" w:cs="Arial"/>
          <w:sz w:val="24"/>
          <w:szCs w:val="24"/>
        </w:rPr>
        <w:t xml:space="preserve">. Fixing this will need the firm to cut expenses. It is critical to streamline operations, enhance supplier terms, optimise inventory management, and eliminate non-essential expenditure. A return to </w:t>
      </w:r>
      <w:r w:rsidRPr="00FA1B88">
        <w:rPr>
          <w:rFonts w:ascii="Arial" w:hAnsi="Arial" w:cs="Arial"/>
          <w:sz w:val="24"/>
          <w:szCs w:val="24"/>
        </w:rPr>
        <w:lastRenderedPageBreak/>
        <w:t>profitability and financial security may be possible via the implementation of new processes and technologies that increase efficiency and decrease long-term costs.</w:t>
      </w:r>
    </w:p>
    <w:p w14:paraId="037994E9" w14:textId="10F20506" w:rsidR="002B1554" w:rsidRPr="00FA1B88" w:rsidRDefault="00244095" w:rsidP="00FA1B88">
      <w:pPr>
        <w:spacing w:line="360" w:lineRule="auto"/>
        <w:jc w:val="center"/>
        <w:rPr>
          <w:rFonts w:ascii="Arial" w:hAnsi="Arial" w:cs="Arial"/>
          <w:sz w:val="24"/>
          <w:szCs w:val="24"/>
        </w:rPr>
      </w:pPr>
      <w:r w:rsidRPr="00FA1B88">
        <w:rPr>
          <w:rFonts w:ascii="Arial" w:hAnsi="Arial" w:cs="Arial"/>
          <w:noProof/>
        </w:rPr>
        <w:drawing>
          <wp:inline distT="0" distB="0" distL="0" distR="0" wp14:anchorId="2FB76BDB" wp14:editId="2AB17EA3">
            <wp:extent cx="4572000" cy="2743200"/>
            <wp:effectExtent l="0" t="0" r="0" b="0"/>
            <wp:docPr id="5" name="Chart 5">
              <a:extLst xmlns:a="http://schemas.openxmlformats.org/drawingml/2006/main">
                <a:ext uri="{FF2B5EF4-FFF2-40B4-BE49-F238E27FC236}">
                  <a16:creationId xmlns:a16="http://schemas.microsoft.com/office/drawing/2014/main" id="{B884BF03-053E-4D4F-ADEB-EA6AD8F92F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6EBF873" w14:textId="17E3402B" w:rsidR="00E12859" w:rsidRPr="00FA1B88" w:rsidRDefault="00E12859" w:rsidP="00FA1B88">
      <w:pPr>
        <w:spacing w:line="360" w:lineRule="auto"/>
        <w:jc w:val="center"/>
        <w:rPr>
          <w:rFonts w:ascii="Arial" w:hAnsi="Arial" w:cs="Arial"/>
          <w:b/>
          <w:sz w:val="24"/>
          <w:szCs w:val="24"/>
        </w:rPr>
      </w:pPr>
      <w:r w:rsidRPr="00FA1B88">
        <w:rPr>
          <w:rFonts w:ascii="Arial" w:hAnsi="Arial" w:cs="Arial"/>
          <w:b/>
          <w:sz w:val="24"/>
          <w:szCs w:val="24"/>
        </w:rPr>
        <w:t>Figure 2: Operating Expense Analysis of Urban Heights (Source: Case Study)</w:t>
      </w:r>
    </w:p>
    <w:p w14:paraId="4B0F2C1E" w14:textId="69DFEBD3" w:rsidR="0081556B" w:rsidRPr="00FA1B88" w:rsidRDefault="00EE0290" w:rsidP="00FA1B88">
      <w:pPr>
        <w:pStyle w:val="Heading2"/>
        <w:rPr>
          <w:rFonts w:ascii="Arial" w:hAnsi="Arial" w:cs="Arial"/>
        </w:rPr>
      </w:pPr>
      <w:bookmarkStart w:id="5" w:name="_Toc167863789"/>
      <w:r w:rsidRPr="00FA1B88">
        <w:rPr>
          <w:rFonts w:ascii="Arial" w:hAnsi="Arial" w:cs="Arial"/>
        </w:rPr>
        <w:t>Profitability Analysis</w:t>
      </w:r>
      <w:bookmarkEnd w:id="5"/>
      <w:r w:rsidRPr="00FA1B88">
        <w:rPr>
          <w:rFonts w:ascii="Arial" w:hAnsi="Arial" w:cs="Arial"/>
        </w:rPr>
        <w:t xml:space="preserve"> </w:t>
      </w:r>
    </w:p>
    <w:p w14:paraId="1DA9B3D7" w14:textId="19B28825" w:rsidR="002C6896" w:rsidRPr="00FA1B88" w:rsidRDefault="00414D4E" w:rsidP="00FA1B88">
      <w:pPr>
        <w:spacing w:line="360" w:lineRule="auto"/>
        <w:jc w:val="both"/>
        <w:rPr>
          <w:rFonts w:ascii="Arial" w:hAnsi="Arial" w:cs="Arial"/>
          <w:sz w:val="24"/>
          <w:szCs w:val="24"/>
        </w:rPr>
      </w:pPr>
      <w:r w:rsidRPr="00FA1B88">
        <w:rPr>
          <w:rFonts w:ascii="Arial" w:hAnsi="Arial" w:cs="Arial"/>
          <w:sz w:val="24"/>
          <w:szCs w:val="24"/>
        </w:rPr>
        <w:t>According to operating spending figures for 2021–2023, the company's financial situation is concerning. A year later in 2022, operational spending reached £2,000,000, and a year later in 2023, it jumped to £2,300,000. This works out to a three-year increase of £500,000 or 27.8 percent. Falling revenue is making financial stress even harder</w:t>
      </w:r>
      <w:r w:rsidR="00496445">
        <w:rPr>
          <w:rFonts w:ascii="Arial" w:hAnsi="Arial" w:cs="Arial"/>
          <w:sz w:val="24"/>
          <w:szCs w:val="24"/>
        </w:rPr>
        <w:t xml:space="preserve"> (</w:t>
      </w:r>
      <w:r w:rsidR="00496445">
        <w:rPr>
          <w:rFonts w:ascii="Arial" w:hAnsi="Arial" w:cs="Arial"/>
          <w:color w:val="222222"/>
          <w:sz w:val="24"/>
          <w:szCs w:val="24"/>
          <w:shd w:val="clear" w:color="auto" w:fill="FFFFFF"/>
        </w:rPr>
        <w:t>Giese et al, 2019</w:t>
      </w:r>
      <w:r w:rsidR="00496445">
        <w:rPr>
          <w:rFonts w:ascii="Arial" w:hAnsi="Arial" w:cs="Arial"/>
          <w:sz w:val="24"/>
          <w:szCs w:val="24"/>
        </w:rPr>
        <w:t>)</w:t>
      </w:r>
      <w:r w:rsidRPr="00FA1B88">
        <w:rPr>
          <w:rFonts w:ascii="Arial" w:hAnsi="Arial" w:cs="Arial"/>
          <w:sz w:val="24"/>
          <w:szCs w:val="24"/>
        </w:rPr>
        <w:t xml:space="preserve">. The company's revenue for 2021, 2022, and 2023 is £2,500,000, £2,200,000, and £1,800,000, respectively, which may be used to determine net income. </w:t>
      </w:r>
    </w:p>
    <w:tbl>
      <w:tblPr>
        <w:tblStyle w:val="GridTable4-Accent1"/>
        <w:tblW w:w="6560" w:type="dxa"/>
        <w:jc w:val="center"/>
        <w:tblLook w:val="04A0" w:firstRow="1" w:lastRow="0" w:firstColumn="1" w:lastColumn="0" w:noHBand="0" w:noVBand="1"/>
      </w:tblPr>
      <w:tblGrid>
        <w:gridCol w:w="2380"/>
        <w:gridCol w:w="1420"/>
        <w:gridCol w:w="1420"/>
        <w:gridCol w:w="1377"/>
      </w:tblGrid>
      <w:tr w:rsidR="002C6896" w:rsidRPr="00FA1B88" w14:paraId="21CC55F7" w14:textId="77777777" w:rsidTr="006D3E6A">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518337EA" w14:textId="77777777" w:rsidR="002C6896" w:rsidRPr="00FA1B88" w:rsidRDefault="002C6896" w:rsidP="00FA1B88">
            <w:pPr>
              <w:spacing w:line="360" w:lineRule="auto"/>
              <w:jc w:val="center"/>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 xml:space="preserve">Item </w:t>
            </w:r>
          </w:p>
        </w:tc>
        <w:tc>
          <w:tcPr>
            <w:tcW w:w="1420" w:type="dxa"/>
            <w:noWrap/>
            <w:hideMark/>
          </w:tcPr>
          <w:p w14:paraId="3204F97B"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2021</w:t>
            </w:r>
          </w:p>
        </w:tc>
        <w:tc>
          <w:tcPr>
            <w:tcW w:w="1420" w:type="dxa"/>
            <w:noWrap/>
            <w:hideMark/>
          </w:tcPr>
          <w:p w14:paraId="03E3A5A0"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2022</w:t>
            </w:r>
          </w:p>
        </w:tc>
        <w:tc>
          <w:tcPr>
            <w:tcW w:w="1340" w:type="dxa"/>
            <w:noWrap/>
            <w:hideMark/>
          </w:tcPr>
          <w:p w14:paraId="4F55989B" w14:textId="77777777" w:rsidR="002C6896" w:rsidRPr="00FA1B88" w:rsidRDefault="002C6896"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000000"/>
                <w:sz w:val="24"/>
                <w:szCs w:val="24"/>
                <w:lang w:eastAsia="en-GB"/>
              </w:rPr>
            </w:pPr>
            <w:r w:rsidRPr="00FA1B88">
              <w:rPr>
                <w:rFonts w:ascii="Arial" w:eastAsia="Times New Roman" w:hAnsi="Arial" w:cs="Arial"/>
                <w:color w:val="000000"/>
                <w:sz w:val="24"/>
                <w:szCs w:val="24"/>
                <w:lang w:eastAsia="en-GB"/>
              </w:rPr>
              <w:t>2023</w:t>
            </w:r>
          </w:p>
        </w:tc>
      </w:tr>
      <w:tr w:rsidR="002C6896" w:rsidRPr="00FA1B88" w14:paraId="239298EE" w14:textId="77777777" w:rsidTr="006D3E6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380" w:type="dxa"/>
            <w:noWrap/>
            <w:hideMark/>
          </w:tcPr>
          <w:p w14:paraId="370AAE89" w14:textId="77777777" w:rsidR="002C6896" w:rsidRPr="00FA1B88" w:rsidRDefault="002C6896" w:rsidP="00FA1B88">
            <w:pPr>
              <w:spacing w:line="360" w:lineRule="auto"/>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Net Income </w:t>
            </w:r>
          </w:p>
        </w:tc>
        <w:tc>
          <w:tcPr>
            <w:tcW w:w="1420" w:type="dxa"/>
            <w:noWrap/>
            <w:hideMark/>
          </w:tcPr>
          <w:p w14:paraId="2FD69463"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£700,000 </w:t>
            </w:r>
          </w:p>
        </w:tc>
        <w:tc>
          <w:tcPr>
            <w:tcW w:w="1420" w:type="dxa"/>
            <w:noWrap/>
            <w:hideMark/>
          </w:tcPr>
          <w:p w14:paraId="560772E7"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 xml:space="preserve">£200,000 </w:t>
            </w:r>
          </w:p>
        </w:tc>
        <w:tc>
          <w:tcPr>
            <w:tcW w:w="1340" w:type="dxa"/>
            <w:noWrap/>
            <w:hideMark/>
          </w:tcPr>
          <w:p w14:paraId="76CFF90F" w14:textId="77777777" w:rsidR="002C6896" w:rsidRPr="00FA1B88" w:rsidRDefault="002C6896"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FA1B88">
              <w:rPr>
                <w:rFonts w:ascii="Arial" w:eastAsia="Times New Roman" w:hAnsi="Arial" w:cs="Arial"/>
                <w:color w:val="000000"/>
                <w:sz w:val="24"/>
                <w:szCs w:val="24"/>
                <w:lang w:eastAsia="en-GB"/>
              </w:rPr>
              <w:t>(£500,000)</w:t>
            </w:r>
          </w:p>
        </w:tc>
      </w:tr>
    </w:tbl>
    <w:p w14:paraId="481C7462" w14:textId="77777777" w:rsidR="002C6896" w:rsidRPr="00FA1B88" w:rsidRDefault="002C6896" w:rsidP="00FA1B88">
      <w:pPr>
        <w:spacing w:line="360" w:lineRule="auto"/>
        <w:jc w:val="both"/>
        <w:rPr>
          <w:rFonts w:ascii="Arial" w:hAnsi="Arial" w:cs="Arial"/>
          <w:sz w:val="24"/>
          <w:szCs w:val="24"/>
        </w:rPr>
      </w:pPr>
    </w:p>
    <w:p w14:paraId="3F9944CD" w14:textId="78CFA894" w:rsidR="00EE0290" w:rsidRPr="00FA1B88" w:rsidRDefault="00414D4E" w:rsidP="00FA1B88">
      <w:pPr>
        <w:spacing w:line="360" w:lineRule="auto"/>
        <w:jc w:val="both"/>
        <w:rPr>
          <w:rFonts w:ascii="Arial" w:hAnsi="Arial" w:cs="Arial"/>
          <w:sz w:val="24"/>
          <w:szCs w:val="24"/>
        </w:rPr>
      </w:pPr>
      <w:r w:rsidRPr="00FA1B88">
        <w:rPr>
          <w:rFonts w:ascii="Arial" w:hAnsi="Arial" w:cs="Arial"/>
          <w:sz w:val="24"/>
          <w:szCs w:val="24"/>
        </w:rPr>
        <w:t xml:space="preserve">In 2021, the projected net income is £700,000, calculated as £2,500,000 in revenue minus £1,800,000 in expenditure. In 2022, net income dropped to £200,000. After deducting £2,300,000 from £1,800,000 in sales, the company's loss for 2023 was £500,000. After making £700,000 in 2021, this trend went into the red for £500,000 in 2023 because to falling revenue and increasing operating expenses. Operating expenses increased from 72% in 2021 to 127.8% in 2023, causing the firm to spend </w:t>
      </w:r>
      <w:r w:rsidRPr="00FA1B88">
        <w:rPr>
          <w:rFonts w:ascii="Arial" w:hAnsi="Arial" w:cs="Arial"/>
          <w:sz w:val="24"/>
          <w:szCs w:val="24"/>
        </w:rPr>
        <w:lastRenderedPageBreak/>
        <w:t>more than it earned. To get over these problems, the company has to make money and cut expenses. Reversing the financial loss and restoring profitability requires an improvement in sales strategy, investigation of new markets, and operational efficiency.</w:t>
      </w:r>
    </w:p>
    <w:p w14:paraId="56ED22B8" w14:textId="2D1C81B1" w:rsidR="00C325A2" w:rsidRPr="00FA1B88" w:rsidRDefault="005C7A7B" w:rsidP="00FA1B88">
      <w:pPr>
        <w:spacing w:line="360" w:lineRule="auto"/>
        <w:jc w:val="center"/>
        <w:rPr>
          <w:rFonts w:ascii="Arial" w:hAnsi="Arial" w:cs="Arial"/>
          <w:sz w:val="24"/>
          <w:szCs w:val="24"/>
        </w:rPr>
      </w:pPr>
      <w:r w:rsidRPr="00FA1B88">
        <w:rPr>
          <w:rFonts w:ascii="Arial" w:hAnsi="Arial" w:cs="Arial"/>
          <w:noProof/>
        </w:rPr>
        <w:drawing>
          <wp:inline distT="0" distB="0" distL="0" distR="0" wp14:anchorId="39A81E58" wp14:editId="4A01AC44">
            <wp:extent cx="4572000" cy="2743200"/>
            <wp:effectExtent l="0" t="0" r="0" b="0"/>
            <wp:docPr id="6" name="Chart 6">
              <a:extLst xmlns:a="http://schemas.openxmlformats.org/drawingml/2006/main">
                <a:ext uri="{FF2B5EF4-FFF2-40B4-BE49-F238E27FC236}">
                  <a16:creationId xmlns:a16="http://schemas.microsoft.com/office/drawing/2014/main" id="{E2F378B0-9E76-4FF9-A225-1DE6F2A3F3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DA379DA" w14:textId="05EE602E" w:rsidR="005F6D85" w:rsidRPr="00FA1B88" w:rsidRDefault="005F6D85" w:rsidP="00FA1B88">
      <w:pPr>
        <w:spacing w:line="360" w:lineRule="auto"/>
        <w:jc w:val="center"/>
        <w:rPr>
          <w:rFonts w:ascii="Arial" w:hAnsi="Arial" w:cs="Arial"/>
          <w:b/>
          <w:sz w:val="24"/>
          <w:szCs w:val="24"/>
        </w:rPr>
      </w:pPr>
      <w:r w:rsidRPr="00FA1B88">
        <w:rPr>
          <w:rFonts w:ascii="Arial" w:hAnsi="Arial" w:cs="Arial"/>
          <w:b/>
          <w:sz w:val="24"/>
          <w:szCs w:val="24"/>
        </w:rPr>
        <w:t>Figure 3: Net Income Analysis of Urban Heights (Source: Case Study)</w:t>
      </w:r>
    </w:p>
    <w:p w14:paraId="62DD03C9" w14:textId="3F92CA61" w:rsidR="00B00139" w:rsidRPr="00FA1B88" w:rsidRDefault="002D6C79" w:rsidP="00FA1B88">
      <w:pPr>
        <w:pStyle w:val="Heading2"/>
        <w:rPr>
          <w:rFonts w:ascii="Arial" w:hAnsi="Arial" w:cs="Arial"/>
        </w:rPr>
      </w:pPr>
      <w:bookmarkStart w:id="6" w:name="_Toc167863790"/>
      <w:r w:rsidRPr="00FA1B88">
        <w:rPr>
          <w:rFonts w:ascii="Arial" w:hAnsi="Arial" w:cs="Arial"/>
        </w:rPr>
        <w:t>Balance Sheet Analysis</w:t>
      </w:r>
      <w:bookmarkEnd w:id="6"/>
    </w:p>
    <w:tbl>
      <w:tblPr>
        <w:tblStyle w:val="GridTable4-Accent1"/>
        <w:tblW w:w="5000" w:type="pct"/>
        <w:jc w:val="center"/>
        <w:tblLook w:val="04A0" w:firstRow="1" w:lastRow="0" w:firstColumn="1" w:lastColumn="0" w:noHBand="0" w:noVBand="1"/>
      </w:tblPr>
      <w:tblGrid>
        <w:gridCol w:w="3004"/>
        <w:gridCol w:w="2004"/>
        <w:gridCol w:w="2003"/>
        <w:gridCol w:w="2005"/>
      </w:tblGrid>
      <w:tr w:rsidR="00B34DCA" w:rsidRPr="00B34DCA" w14:paraId="4A8D438F" w14:textId="77777777" w:rsidTr="00B34DCA">
        <w:trPr>
          <w:cnfStyle w:val="100000000000" w:firstRow="1" w:lastRow="0" w:firstColumn="0" w:lastColumn="0" w:oddVBand="0" w:evenVBand="0" w:oddHBand="0" w:evenHBand="0" w:firstRowFirstColumn="0" w:firstRowLastColumn="0" w:lastRowFirstColumn="0" w:lastRowLastColumn="0"/>
          <w:trHeight w:val="315"/>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7FDE4E0" w14:textId="77777777" w:rsidR="00B34DCA" w:rsidRPr="00B34DCA" w:rsidRDefault="00B34DCA" w:rsidP="00FA1B88">
            <w:pPr>
              <w:spacing w:line="360" w:lineRule="auto"/>
              <w:jc w:val="center"/>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Asset/Liability </w:t>
            </w:r>
          </w:p>
        </w:tc>
        <w:tc>
          <w:tcPr>
            <w:tcW w:w="1111" w:type="pct"/>
            <w:noWrap/>
            <w:hideMark/>
          </w:tcPr>
          <w:p w14:paraId="524229A3"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2021</w:t>
            </w:r>
          </w:p>
        </w:tc>
        <w:tc>
          <w:tcPr>
            <w:tcW w:w="1111" w:type="pct"/>
            <w:noWrap/>
            <w:hideMark/>
          </w:tcPr>
          <w:p w14:paraId="4F442366"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2022</w:t>
            </w:r>
          </w:p>
        </w:tc>
        <w:tc>
          <w:tcPr>
            <w:tcW w:w="1112" w:type="pct"/>
            <w:noWrap/>
            <w:hideMark/>
          </w:tcPr>
          <w:p w14:paraId="040EE5A9" w14:textId="77777777" w:rsidR="00B34DCA" w:rsidRPr="00B34DCA" w:rsidRDefault="00B34DCA" w:rsidP="00FA1B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2023</w:t>
            </w:r>
          </w:p>
        </w:tc>
      </w:tr>
      <w:tr w:rsidR="00B34DCA" w:rsidRPr="00B34DCA" w14:paraId="4E0337DC" w14:textId="77777777" w:rsidTr="00B34DC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865A383"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Cash and Equivalents </w:t>
            </w:r>
          </w:p>
        </w:tc>
        <w:tc>
          <w:tcPr>
            <w:tcW w:w="1111" w:type="pct"/>
            <w:noWrap/>
            <w:hideMark/>
          </w:tcPr>
          <w:p w14:paraId="5E3E94E8"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 </w:t>
            </w:r>
          </w:p>
        </w:tc>
        <w:tc>
          <w:tcPr>
            <w:tcW w:w="1111" w:type="pct"/>
            <w:noWrap/>
            <w:hideMark/>
          </w:tcPr>
          <w:p w14:paraId="21E36A97"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£200,000 </w:t>
            </w:r>
          </w:p>
        </w:tc>
        <w:tc>
          <w:tcPr>
            <w:tcW w:w="1112" w:type="pct"/>
            <w:noWrap/>
            <w:hideMark/>
          </w:tcPr>
          <w:p w14:paraId="2C7CE252"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£100,000</w:t>
            </w:r>
          </w:p>
        </w:tc>
      </w:tr>
      <w:tr w:rsidR="00B34DCA" w:rsidRPr="00B34DCA" w14:paraId="754CFF21" w14:textId="77777777" w:rsidTr="00B34DCA">
        <w:trPr>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6C82C51E"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Accounts Receivable </w:t>
            </w:r>
          </w:p>
        </w:tc>
        <w:tc>
          <w:tcPr>
            <w:tcW w:w="1111" w:type="pct"/>
            <w:noWrap/>
            <w:hideMark/>
          </w:tcPr>
          <w:p w14:paraId="6FD0F3B3"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£150,000 </w:t>
            </w:r>
          </w:p>
        </w:tc>
        <w:tc>
          <w:tcPr>
            <w:tcW w:w="1111" w:type="pct"/>
            <w:noWrap/>
            <w:hideMark/>
          </w:tcPr>
          <w:p w14:paraId="3E221822"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£100,000 </w:t>
            </w:r>
          </w:p>
        </w:tc>
        <w:tc>
          <w:tcPr>
            <w:tcW w:w="1112" w:type="pct"/>
            <w:noWrap/>
            <w:hideMark/>
          </w:tcPr>
          <w:p w14:paraId="3D049ECD"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£80,000</w:t>
            </w:r>
          </w:p>
        </w:tc>
      </w:tr>
      <w:tr w:rsidR="00B34DCA" w:rsidRPr="00B34DCA" w14:paraId="51FEAFC1" w14:textId="77777777" w:rsidTr="00B34DC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5E47AF8"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Property and Equipment </w:t>
            </w:r>
          </w:p>
        </w:tc>
        <w:tc>
          <w:tcPr>
            <w:tcW w:w="1111" w:type="pct"/>
            <w:noWrap/>
            <w:hideMark/>
          </w:tcPr>
          <w:p w14:paraId="494E37D0"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£5,000,000 </w:t>
            </w:r>
          </w:p>
        </w:tc>
        <w:tc>
          <w:tcPr>
            <w:tcW w:w="1111" w:type="pct"/>
            <w:noWrap/>
            <w:hideMark/>
          </w:tcPr>
          <w:p w14:paraId="58BFF77C"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£4,800,000 </w:t>
            </w:r>
          </w:p>
        </w:tc>
        <w:tc>
          <w:tcPr>
            <w:tcW w:w="1112" w:type="pct"/>
            <w:noWrap/>
            <w:hideMark/>
          </w:tcPr>
          <w:p w14:paraId="5786307A"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£4,500,000</w:t>
            </w:r>
          </w:p>
        </w:tc>
      </w:tr>
      <w:tr w:rsidR="00B34DCA" w:rsidRPr="00B34DCA" w14:paraId="30069D02" w14:textId="77777777" w:rsidTr="00B34DCA">
        <w:trPr>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32A96D7C"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Total Assets </w:t>
            </w:r>
          </w:p>
        </w:tc>
        <w:tc>
          <w:tcPr>
            <w:tcW w:w="1111" w:type="pct"/>
            <w:noWrap/>
            <w:hideMark/>
          </w:tcPr>
          <w:p w14:paraId="28D9F6E1"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£5,450,000 </w:t>
            </w:r>
          </w:p>
        </w:tc>
        <w:tc>
          <w:tcPr>
            <w:tcW w:w="1111" w:type="pct"/>
            <w:noWrap/>
            <w:hideMark/>
          </w:tcPr>
          <w:p w14:paraId="4CE0DE7E"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£5,100,000 </w:t>
            </w:r>
          </w:p>
        </w:tc>
        <w:tc>
          <w:tcPr>
            <w:tcW w:w="1112" w:type="pct"/>
            <w:noWrap/>
            <w:hideMark/>
          </w:tcPr>
          <w:p w14:paraId="69C46FEC"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£4,680,000</w:t>
            </w:r>
          </w:p>
        </w:tc>
      </w:tr>
      <w:tr w:rsidR="00B34DCA" w:rsidRPr="00B34DCA" w14:paraId="365C7E14" w14:textId="77777777" w:rsidTr="00B34DC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08C21B44"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Accounts Payable </w:t>
            </w:r>
          </w:p>
        </w:tc>
        <w:tc>
          <w:tcPr>
            <w:tcW w:w="1111" w:type="pct"/>
            <w:noWrap/>
            <w:hideMark/>
          </w:tcPr>
          <w:p w14:paraId="199CA266"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£250,000 </w:t>
            </w:r>
          </w:p>
        </w:tc>
        <w:tc>
          <w:tcPr>
            <w:tcW w:w="1111" w:type="pct"/>
            <w:noWrap/>
            <w:hideMark/>
          </w:tcPr>
          <w:p w14:paraId="290EDA5A"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£270,000 </w:t>
            </w:r>
          </w:p>
        </w:tc>
        <w:tc>
          <w:tcPr>
            <w:tcW w:w="1112" w:type="pct"/>
            <w:noWrap/>
            <w:hideMark/>
          </w:tcPr>
          <w:p w14:paraId="39DB8A7C"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£300,000</w:t>
            </w:r>
          </w:p>
        </w:tc>
      </w:tr>
      <w:tr w:rsidR="00B34DCA" w:rsidRPr="00B34DCA" w14:paraId="4C7B31A4" w14:textId="77777777" w:rsidTr="00B34DCA">
        <w:trPr>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155DA69A"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Long-term Debt </w:t>
            </w:r>
          </w:p>
        </w:tc>
        <w:tc>
          <w:tcPr>
            <w:tcW w:w="1111" w:type="pct"/>
            <w:noWrap/>
            <w:hideMark/>
          </w:tcPr>
          <w:p w14:paraId="44CD138C"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£3,000,000 </w:t>
            </w:r>
          </w:p>
        </w:tc>
        <w:tc>
          <w:tcPr>
            <w:tcW w:w="1111" w:type="pct"/>
            <w:noWrap/>
            <w:hideMark/>
          </w:tcPr>
          <w:p w14:paraId="0A73C525"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£3,000,000 </w:t>
            </w:r>
          </w:p>
        </w:tc>
        <w:tc>
          <w:tcPr>
            <w:tcW w:w="1112" w:type="pct"/>
            <w:noWrap/>
            <w:hideMark/>
          </w:tcPr>
          <w:p w14:paraId="165EC368"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£3,000,000</w:t>
            </w:r>
          </w:p>
        </w:tc>
      </w:tr>
      <w:tr w:rsidR="00B34DCA" w:rsidRPr="00B34DCA" w14:paraId="6291EC66" w14:textId="77777777" w:rsidTr="00B34DCA">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2D2C37A5"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Total Liabilities </w:t>
            </w:r>
          </w:p>
        </w:tc>
        <w:tc>
          <w:tcPr>
            <w:tcW w:w="1111" w:type="pct"/>
            <w:noWrap/>
            <w:hideMark/>
          </w:tcPr>
          <w:p w14:paraId="145F9155"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£3,250,000 </w:t>
            </w:r>
          </w:p>
        </w:tc>
        <w:tc>
          <w:tcPr>
            <w:tcW w:w="1111" w:type="pct"/>
            <w:noWrap/>
            <w:hideMark/>
          </w:tcPr>
          <w:p w14:paraId="31571BEF"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£3,270,000 </w:t>
            </w:r>
          </w:p>
        </w:tc>
        <w:tc>
          <w:tcPr>
            <w:tcW w:w="1112" w:type="pct"/>
            <w:noWrap/>
            <w:hideMark/>
          </w:tcPr>
          <w:p w14:paraId="75D7602F" w14:textId="77777777" w:rsidR="00B34DCA" w:rsidRPr="00B34DCA" w:rsidRDefault="00B34DCA" w:rsidP="00FA1B88">
            <w:pPr>
              <w:spacing w:line="360" w:lineRule="auto"/>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£3,300,000</w:t>
            </w:r>
          </w:p>
        </w:tc>
      </w:tr>
      <w:tr w:rsidR="00B34DCA" w:rsidRPr="00B34DCA" w14:paraId="03BC8413" w14:textId="77777777" w:rsidTr="00B34DCA">
        <w:trPr>
          <w:trHeight w:val="300"/>
          <w:jc w:val="center"/>
        </w:trPr>
        <w:tc>
          <w:tcPr>
            <w:cnfStyle w:val="001000000000" w:firstRow="0" w:lastRow="0" w:firstColumn="1" w:lastColumn="0" w:oddVBand="0" w:evenVBand="0" w:oddHBand="0" w:evenHBand="0" w:firstRowFirstColumn="0" w:firstRowLastColumn="0" w:lastRowFirstColumn="0" w:lastRowLastColumn="0"/>
            <w:tcW w:w="1665" w:type="pct"/>
            <w:noWrap/>
            <w:hideMark/>
          </w:tcPr>
          <w:p w14:paraId="1326F2AE" w14:textId="77777777" w:rsidR="00B34DCA" w:rsidRPr="00B34DCA" w:rsidRDefault="00B34DCA" w:rsidP="00FA1B88">
            <w:pPr>
              <w:spacing w:line="360" w:lineRule="auto"/>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Equity </w:t>
            </w:r>
          </w:p>
        </w:tc>
        <w:tc>
          <w:tcPr>
            <w:tcW w:w="1111" w:type="pct"/>
            <w:noWrap/>
            <w:hideMark/>
          </w:tcPr>
          <w:p w14:paraId="5838A6B8"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£2,200,000 </w:t>
            </w:r>
          </w:p>
        </w:tc>
        <w:tc>
          <w:tcPr>
            <w:tcW w:w="1111" w:type="pct"/>
            <w:noWrap/>
            <w:hideMark/>
          </w:tcPr>
          <w:p w14:paraId="1060D2D0"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 xml:space="preserve">£1,830,000 </w:t>
            </w:r>
          </w:p>
        </w:tc>
        <w:tc>
          <w:tcPr>
            <w:tcW w:w="1112" w:type="pct"/>
            <w:noWrap/>
            <w:hideMark/>
          </w:tcPr>
          <w:p w14:paraId="6D84339A" w14:textId="77777777" w:rsidR="00B34DCA" w:rsidRPr="00B34DCA" w:rsidRDefault="00B34DCA" w:rsidP="00FA1B88">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sz w:val="24"/>
                <w:szCs w:val="24"/>
                <w:lang w:eastAsia="en-GB"/>
              </w:rPr>
            </w:pPr>
            <w:r w:rsidRPr="00B34DCA">
              <w:rPr>
                <w:rFonts w:ascii="Arial" w:eastAsia="Times New Roman" w:hAnsi="Arial" w:cs="Arial"/>
                <w:color w:val="000000"/>
                <w:sz w:val="24"/>
                <w:szCs w:val="24"/>
                <w:lang w:eastAsia="en-GB"/>
              </w:rPr>
              <w:t>£1,380,000</w:t>
            </w:r>
          </w:p>
        </w:tc>
      </w:tr>
    </w:tbl>
    <w:p w14:paraId="7D6ACAFE" w14:textId="7663587B" w:rsidR="002D6C79" w:rsidRPr="00FA1B88" w:rsidRDefault="002D6C79" w:rsidP="00FA1B88">
      <w:pPr>
        <w:spacing w:line="360" w:lineRule="auto"/>
        <w:jc w:val="both"/>
        <w:rPr>
          <w:rFonts w:ascii="Arial" w:hAnsi="Arial" w:cs="Arial"/>
          <w:sz w:val="24"/>
          <w:szCs w:val="24"/>
        </w:rPr>
      </w:pPr>
    </w:p>
    <w:p w14:paraId="008F231F" w14:textId="0A4FEF1F" w:rsidR="00D90047" w:rsidRPr="00FA1B88" w:rsidRDefault="00D90047" w:rsidP="00FA1B88">
      <w:pPr>
        <w:spacing w:line="360" w:lineRule="auto"/>
        <w:jc w:val="center"/>
        <w:rPr>
          <w:rFonts w:ascii="Arial" w:hAnsi="Arial" w:cs="Arial"/>
          <w:b/>
          <w:sz w:val="24"/>
          <w:szCs w:val="24"/>
        </w:rPr>
      </w:pPr>
      <w:r w:rsidRPr="00FA1B88">
        <w:rPr>
          <w:rFonts w:ascii="Arial" w:hAnsi="Arial" w:cs="Arial"/>
          <w:b/>
          <w:sz w:val="24"/>
          <w:szCs w:val="24"/>
        </w:rPr>
        <w:t>Figure 4: Balance Sheet Analysis of Urban Heights (Source: Case Study)</w:t>
      </w:r>
    </w:p>
    <w:p w14:paraId="6ABC480B" w14:textId="49749A55" w:rsidR="008C3FF4" w:rsidRPr="00FA1B88" w:rsidRDefault="008C3FF4" w:rsidP="00FA1B88">
      <w:pPr>
        <w:spacing w:line="360" w:lineRule="auto"/>
        <w:jc w:val="both"/>
        <w:rPr>
          <w:rFonts w:ascii="Arial" w:hAnsi="Arial" w:cs="Arial"/>
          <w:sz w:val="24"/>
          <w:szCs w:val="24"/>
        </w:rPr>
      </w:pPr>
      <w:r w:rsidRPr="00FA1B88">
        <w:rPr>
          <w:rFonts w:ascii="Arial" w:hAnsi="Arial" w:cs="Arial"/>
          <w:sz w:val="24"/>
          <w:szCs w:val="24"/>
        </w:rPr>
        <w:t xml:space="preserve">The financial health of Urban Heights may be evaluated by looking at its balance sheet for the years 2021, 2022, and 2023. Using important financial metrics, the study will </w:t>
      </w:r>
      <w:r w:rsidRPr="00FA1B88">
        <w:rPr>
          <w:rFonts w:ascii="Arial" w:hAnsi="Arial" w:cs="Arial"/>
          <w:sz w:val="24"/>
          <w:szCs w:val="24"/>
        </w:rPr>
        <w:lastRenderedPageBreak/>
        <w:t>assess asset utilisation, liquidity, and leverage. It is possible that the financial success and future problems of the organisation might be revealed by these ratio patterns.</w:t>
      </w:r>
    </w:p>
    <w:p w14:paraId="00D47CFE" w14:textId="4F2A7072" w:rsidR="00C47EF0" w:rsidRPr="00FA1B88" w:rsidRDefault="00C47EF0" w:rsidP="00FA1B88">
      <w:pPr>
        <w:pStyle w:val="Heading2"/>
        <w:rPr>
          <w:rFonts w:ascii="Arial" w:hAnsi="Arial" w:cs="Arial"/>
        </w:rPr>
      </w:pPr>
      <w:bookmarkStart w:id="7" w:name="_Toc167863791"/>
      <w:r w:rsidRPr="00FA1B88">
        <w:rPr>
          <w:rFonts w:ascii="Arial" w:hAnsi="Arial" w:cs="Arial"/>
        </w:rPr>
        <w:t>Current Ratio Analysis</w:t>
      </w:r>
      <w:bookmarkEnd w:id="7"/>
    </w:p>
    <w:p w14:paraId="5424BF5D" w14:textId="01825A72" w:rsidR="008C3FF4" w:rsidRPr="00FA1B88" w:rsidRDefault="008C3FF4" w:rsidP="00FA1B88">
      <w:pPr>
        <w:spacing w:line="360" w:lineRule="auto"/>
        <w:jc w:val="both"/>
        <w:rPr>
          <w:rFonts w:ascii="Arial" w:hAnsi="Arial" w:cs="Arial"/>
          <w:sz w:val="24"/>
          <w:szCs w:val="24"/>
        </w:rPr>
      </w:pPr>
      <w:r w:rsidRPr="00FA1B88">
        <w:rPr>
          <w:rFonts w:ascii="Arial" w:hAnsi="Arial" w:cs="Arial"/>
          <w:sz w:val="24"/>
          <w:szCs w:val="24"/>
        </w:rPr>
        <w:t>Analysing a company's current ratio reveals how well its assets and liabilities meet its short-term commitments. Dividing £450,000 in current assets by £250,000 in current liabilities yielded a current ratio of 1.8 in 2021. Nevertheless, by 2022 and 2023, this ratio had dropped to 0.93 and0.6, respectively. In 2023, the ratio fell below 1, which caused concern over the company's liquidity and its capacity to meet short-term obligations.</w:t>
      </w:r>
    </w:p>
    <w:p w14:paraId="24B27A6C" w14:textId="77777777" w:rsidR="00661974" w:rsidRPr="00FA1B88" w:rsidRDefault="008C3FF4" w:rsidP="00FA1B88">
      <w:pPr>
        <w:pStyle w:val="Heading2"/>
        <w:rPr>
          <w:rFonts w:ascii="Arial" w:hAnsi="Arial" w:cs="Arial"/>
        </w:rPr>
      </w:pPr>
      <w:bookmarkStart w:id="8" w:name="_Toc167863792"/>
      <w:r w:rsidRPr="00FA1B88">
        <w:rPr>
          <w:rFonts w:ascii="Arial" w:hAnsi="Arial" w:cs="Arial"/>
        </w:rPr>
        <w:t>Debt-to-Equity Ratio</w:t>
      </w:r>
      <w:r w:rsidR="00661974" w:rsidRPr="00FA1B88">
        <w:rPr>
          <w:rFonts w:ascii="Arial" w:hAnsi="Arial" w:cs="Arial"/>
        </w:rPr>
        <w:t xml:space="preserve"> Analysis</w:t>
      </w:r>
      <w:bookmarkEnd w:id="8"/>
    </w:p>
    <w:p w14:paraId="1F8D3391" w14:textId="01F4BAE4" w:rsidR="008C3FF4" w:rsidRPr="00FA1B88" w:rsidRDefault="008C3FF4" w:rsidP="00FA1B88">
      <w:pPr>
        <w:spacing w:line="360" w:lineRule="auto"/>
        <w:jc w:val="both"/>
        <w:rPr>
          <w:rFonts w:ascii="Arial" w:hAnsi="Arial" w:cs="Arial"/>
          <w:sz w:val="24"/>
          <w:szCs w:val="24"/>
        </w:rPr>
      </w:pPr>
      <w:r w:rsidRPr="00FA1B88">
        <w:rPr>
          <w:rFonts w:ascii="Arial" w:hAnsi="Arial" w:cs="Arial"/>
          <w:sz w:val="24"/>
          <w:szCs w:val="24"/>
        </w:rPr>
        <w:t>Financial leverage and the company's capital structure are shown by this ratio. In 2021, for every £1 in equity, the business had £1.36 in debt. After a gradual increase, this ratio reached 2.17 in 2023 and 1.64 in 2022. Concerns about the company's solvency and financial risk can arise if debt financing continues to outpace equity financing.</w:t>
      </w:r>
    </w:p>
    <w:p w14:paraId="07001274" w14:textId="6ED9A68B" w:rsidR="008C3FF4" w:rsidRPr="00FA1B88" w:rsidRDefault="003E1EF6" w:rsidP="00FA1B88">
      <w:pPr>
        <w:pStyle w:val="Heading2"/>
        <w:rPr>
          <w:rFonts w:ascii="Arial" w:hAnsi="Arial" w:cs="Arial"/>
        </w:rPr>
      </w:pPr>
      <w:bookmarkStart w:id="9" w:name="_Toc167863793"/>
      <w:r w:rsidRPr="00FA1B88">
        <w:rPr>
          <w:rFonts w:ascii="Arial" w:hAnsi="Arial" w:cs="Arial"/>
        </w:rPr>
        <w:t>Asset Turnover Ratio Analysis</w:t>
      </w:r>
      <w:bookmarkEnd w:id="9"/>
    </w:p>
    <w:p w14:paraId="656E8EBE" w14:textId="6089FDCA" w:rsidR="008C3FF4" w:rsidRPr="00FA1B88" w:rsidRDefault="008C3FF4" w:rsidP="00FA1B88">
      <w:pPr>
        <w:spacing w:line="360" w:lineRule="auto"/>
        <w:jc w:val="both"/>
        <w:rPr>
          <w:rFonts w:ascii="Arial" w:hAnsi="Arial" w:cs="Arial"/>
          <w:sz w:val="24"/>
          <w:szCs w:val="24"/>
        </w:rPr>
      </w:pPr>
      <w:r w:rsidRPr="00FA1B88">
        <w:rPr>
          <w:rFonts w:ascii="Arial" w:hAnsi="Arial" w:cs="Arial"/>
          <w:sz w:val="24"/>
          <w:szCs w:val="24"/>
        </w:rPr>
        <w:t>An examination of the asset turnover ratio may reveal how well a business makes use of its assets to generate income. To determine this ratio, we need revenue data, which is unfortunate. While total assets drop from £5,450,000 in 2021 to £4,680,000 in 2023, it's crucial to find out whether income falls at the same rate. Asset utilisation inefficiencies and operational difficulties might be to blame for a steady or declining revenue despite dwindling assets.</w:t>
      </w:r>
    </w:p>
    <w:p w14:paraId="7127A5BE" w14:textId="082ED47F" w:rsidR="00B57D8D" w:rsidRPr="00FA1B88" w:rsidRDefault="00724CBC" w:rsidP="00FA1B88">
      <w:pPr>
        <w:spacing w:line="360" w:lineRule="auto"/>
        <w:jc w:val="both"/>
        <w:rPr>
          <w:rFonts w:ascii="Arial" w:hAnsi="Arial" w:cs="Arial"/>
          <w:sz w:val="24"/>
          <w:szCs w:val="24"/>
        </w:rPr>
      </w:pPr>
      <w:r w:rsidRPr="00FA1B88">
        <w:rPr>
          <w:rFonts w:ascii="Arial" w:hAnsi="Arial" w:cs="Arial"/>
          <w:sz w:val="24"/>
          <w:szCs w:val="24"/>
        </w:rPr>
        <w:t xml:space="preserve">Urban Heights </w:t>
      </w:r>
      <w:r w:rsidR="008C3FF4" w:rsidRPr="00FA1B88">
        <w:rPr>
          <w:rFonts w:ascii="Arial" w:hAnsi="Arial" w:cs="Arial"/>
          <w:sz w:val="24"/>
          <w:szCs w:val="24"/>
        </w:rPr>
        <w:t>balance sheet examination reveals many concerning trends. Financial leverage is indicated by an increasing debt-to-equity ratio, while liquidity concerns are indicated by a decreasing current ratio</w:t>
      </w:r>
      <w:r w:rsidR="006919D7">
        <w:rPr>
          <w:rFonts w:ascii="Arial" w:hAnsi="Arial" w:cs="Arial"/>
          <w:sz w:val="24"/>
          <w:szCs w:val="24"/>
        </w:rPr>
        <w:t xml:space="preserve"> (</w:t>
      </w:r>
      <w:r w:rsidR="006919D7">
        <w:rPr>
          <w:rFonts w:ascii="Arial" w:hAnsi="Arial" w:cs="Arial"/>
          <w:color w:val="222222"/>
          <w:sz w:val="24"/>
          <w:szCs w:val="24"/>
          <w:shd w:val="clear" w:color="auto" w:fill="FFFFFF"/>
        </w:rPr>
        <w:t>Giese et al, 2019</w:t>
      </w:r>
      <w:r w:rsidR="006919D7">
        <w:rPr>
          <w:rFonts w:ascii="Arial" w:hAnsi="Arial" w:cs="Arial"/>
          <w:sz w:val="24"/>
          <w:szCs w:val="24"/>
        </w:rPr>
        <w:t>)</w:t>
      </w:r>
      <w:r w:rsidR="008C3FF4" w:rsidRPr="00FA1B88">
        <w:rPr>
          <w:rFonts w:ascii="Arial" w:hAnsi="Arial" w:cs="Arial"/>
          <w:sz w:val="24"/>
          <w:szCs w:val="24"/>
        </w:rPr>
        <w:t xml:space="preserve">. There is cause for concern about the company's asset management and income generating strategies due to the decline in total assets. If </w:t>
      </w:r>
      <w:r w:rsidRPr="00FA1B88">
        <w:rPr>
          <w:rFonts w:ascii="Arial" w:hAnsi="Arial" w:cs="Arial"/>
          <w:sz w:val="24"/>
          <w:szCs w:val="24"/>
        </w:rPr>
        <w:t xml:space="preserve">Urban Heights </w:t>
      </w:r>
      <w:r w:rsidR="008C3FF4" w:rsidRPr="00FA1B88">
        <w:rPr>
          <w:rFonts w:ascii="Arial" w:hAnsi="Arial" w:cs="Arial"/>
          <w:sz w:val="24"/>
          <w:szCs w:val="24"/>
        </w:rPr>
        <w:t>wants to keep growing and being financially stable, it has to solve these problems. The financial health of the organisation and the impact of strategic decisions might be better understood with the use of revenue and expense data</w:t>
      </w:r>
    </w:p>
    <w:p w14:paraId="66377ACE" w14:textId="7E1333E4" w:rsidR="00875CA8" w:rsidRPr="00FA1B88" w:rsidRDefault="00326549" w:rsidP="00FA1B88">
      <w:pPr>
        <w:pStyle w:val="Heading1"/>
        <w:spacing w:line="360" w:lineRule="auto"/>
        <w:rPr>
          <w:rFonts w:ascii="Arial" w:hAnsi="Arial"/>
        </w:rPr>
      </w:pPr>
      <w:bookmarkStart w:id="10" w:name="_Toc167863794"/>
      <w:r w:rsidRPr="00FA1B88">
        <w:rPr>
          <w:rFonts w:ascii="Arial" w:hAnsi="Arial"/>
        </w:rPr>
        <w:lastRenderedPageBreak/>
        <w:t>Key Reasons behind the Situation of the Urban Heights</w:t>
      </w:r>
      <w:bookmarkEnd w:id="10"/>
      <w:r w:rsidRPr="00FA1B88">
        <w:rPr>
          <w:rFonts w:ascii="Arial" w:hAnsi="Arial"/>
        </w:rPr>
        <w:t xml:space="preserve"> </w:t>
      </w:r>
    </w:p>
    <w:p w14:paraId="5560BBA4" w14:textId="1BB5751B" w:rsidR="000F2D13" w:rsidRPr="00FA1B88" w:rsidRDefault="000F2D13" w:rsidP="00FA1B88">
      <w:pPr>
        <w:spacing w:line="360" w:lineRule="auto"/>
        <w:jc w:val="both"/>
        <w:rPr>
          <w:rFonts w:ascii="Arial" w:hAnsi="Arial" w:cs="Arial"/>
          <w:sz w:val="24"/>
          <w:szCs w:val="24"/>
        </w:rPr>
      </w:pPr>
      <w:r w:rsidRPr="00FA1B88">
        <w:rPr>
          <w:rFonts w:ascii="Arial" w:hAnsi="Arial" w:cs="Arial"/>
          <w:sz w:val="24"/>
          <w:szCs w:val="24"/>
        </w:rPr>
        <w:t>A challenging situation, perhaps impacted by UK real-world events, appears in the financial assessment of Urban Heights from 2021 to 2023.</w:t>
      </w:r>
    </w:p>
    <w:p w14:paraId="0EE1E7EF" w14:textId="30C78764" w:rsidR="009B6442" w:rsidRPr="00FA1B88" w:rsidRDefault="000F2D13"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Economic Downturn:</w:t>
      </w:r>
      <w:r w:rsidRPr="00FA1B88">
        <w:rPr>
          <w:rFonts w:ascii="Arial" w:hAnsi="Arial" w:cs="Arial"/>
          <w:sz w:val="24"/>
          <w:szCs w:val="24"/>
        </w:rPr>
        <w:t xml:space="preserve"> Global trade tensions, the COVID-19 epidemic, and the uncertainty surrounding Brexit may have contributed to economic downturn in several countries</w:t>
      </w:r>
      <w:r w:rsidR="00895612">
        <w:rPr>
          <w:rFonts w:ascii="Arial" w:hAnsi="Arial" w:cs="Arial"/>
          <w:sz w:val="24"/>
          <w:szCs w:val="24"/>
        </w:rPr>
        <w:t xml:space="preserve"> (</w:t>
      </w:r>
      <w:r w:rsidR="00895612">
        <w:rPr>
          <w:rFonts w:ascii="Arial" w:hAnsi="Arial" w:cs="Arial"/>
          <w:color w:val="222222"/>
          <w:sz w:val="24"/>
          <w:szCs w:val="24"/>
          <w:shd w:val="clear" w:color="auto" w:fill="FFFFFF"/>
        </w:rPr>
        <w:t>Platonova</w:t>
      </w:r>
      <w:r w:rsidR="00960C07">
        <w:rPr>
          <w:rFonts w:ascii="Arial" w:hAnsi="Arial" w:cs="Arial"/>
          <w:color w:val="222222"/>
          <w:sz w:val="24"/>
          <w:szCs w:val="24"/>
          <w:shd w:val="clear" w:color="auto" w:fill="FFFFFF"/>
        </w:rPr>
        <w:t xml:space="preserve"> et al, </w:t>
      </w:r>
      <w:r w:rsidR="00895612">
        <w:rPr>
          <w:rFonts w:ascii="Arial" w:hAnsi="Arial" w:cs="Arial"/>
          <w:color w:val="222222"/>
          <w:sz w:val="24"/>
          <w:szCs w:val="24"/>
          <w:shd w:val="clear" w:color="auto" w:fill="FFFFFF"/>
        </w:rPr>
        <w:t>2018</w:t>
      </w:r>
      <w:r w:rsidR="00895612">
        <w:rPr>
          <w:rFonts w:ascii="Arial" w:hAnsi="Arial" w:cs="Arial"/>
          <w:sz w:val="24"/>
          <w:szCs w:val="24"/>
        </w:rPr>
        <w:t>)</w:t>
      </w:r>
      <w:r w:rsidRPr="00FA1B88">
        <w:rPr>
          <w:rFonts w:ascii="Arial" w:hAnsi="Arial" w:cs="Arial"/>
          <w:sz w:val="24"/>
          <w:szCs w:val="24"/>
        </w:rPr>
        <w:t>. Consumer spending, demand for Urban Heights' products and services, and income might have been impacted by these macroeconomic problems.</w:t>
      </w:r>
    </w:p>
    <w:p w14:paraId="100BC5AC" w14:textId="77777777" w:rsidR="00776A91" w:rsidRPr="00FA1B88" w:rsidRDefault="000F2D13"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Competition in the market:</w:t>
      </w:r>
      <w:r w:rsidRPr="00FA1B88">
        <w:rPr>
          <w:rFonts w:ascii="Arial" w:hAnsi="Arial" w:cs="Arial"/>
          <w:sz w:val="24"/>
          <w:szCs w:val="24"/>
        </w:rPr>
        <w:t xml:space="preserve"> More industrial competition might be in store for Urban Heights. Urban Heights may have seen a decline in its market share and subsequent financial impact as a result of new competitors, technological advancements, and consumer tastes. Profitability, pricing power, and sales could be impacted by this.</w:t>
      </w:r>
    </w:p>
    <w:p w14:paraId="031D11C8" w14:textId="4ED39859" w:rsidR="00B72AF7" w:rsidRPr="00FA1B88" w:rsidRDefault="00776A91"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Operational Inefficiency:</w:t>
      </w:r>
      <w:r w:rsidRPr="00FA1B88">
        <w:rPr>
          <w:rFonts w:ascii="Arial" w:hAnsi="Arial" w:cs="Arial"/>
          <w:sz w:val="24"/>
          <w:szCs w:val="24"/>
        </w:rPr>
        <w:t xml:space="preserve"> </w:t>
      </w:r>
      <w:r w:rsidR="000F2D13" w:rsidRPr="00FA1B88">
        <w:rPr>
          <w:rFonts w:ascii="Arial" w:hAnsi="Arial" w:cs="Arial"/>
          <w:sz w:val="24"/>
          <w:szCs w:val="24"/>
        </w:rPr>
        <w:t>Because of its reduced asset turnover ratio, Urban Heights can be experiencing operational inefficiencies</w:t>
      </w:r>
      <w:r w:rsidR="009B1AF5">
        <w:rPr>
          <w:rFonts w:ascii="Arial" w:hAnsi="Arial" w:cs="Arial"/>
          <w:sz w:val="24"/>
          <w:szCs w:val="24"/>
        </w:rPr>
        <w:t xml:space="preserve"> (</w:t>
      </w:r>
      <w:r w:rsidR="009B1AF5">
        <w:rPr>
          <w:rFonts w:ascii="Arial" w:hAnsi="Arial" w:cs="Arial"/>
          <w:color w:val="222222"/>
          <w:sz w:val="24"/>
          <w:szCs w:val="24"/>
          <w:shd w:val="clear" w:color="auto" w:fill="FFFFFF"/>
        </w:rPr>
        <w:t>Qiu et al, 2016</w:t>
      </w:r>
      <w:r w:rsidR="009B1AF5">
        <w:rPr>
          <w:rFonts w:ascii="Arial" w:hAnsi="Arial" w:cs="Arial"/>
          <w:sz w:val="24"/>
          <w:szCs w:val="24"/>
        </w:rPr>
        <w:t>)</w:t>
      </w:r>
      <w:r w:rsidR="000F2D13" w:rsidRPr="00FA1B88">
        <w:rPr>
          <w:rFonts w:ascii="Arial" w:hAnsi="Arial" w:cs="Arial"/>
          <w:sz w:val="24"/>
          <w:szCs w:val="24"/>
        </w:rPr>
        <w:t>. This can be the result of ineffective marketing, underutilization, or sloppy inventory management. The company may not have been able to maximise asset revenue due to inefficiencies.</w:t>
      </w:r>
    </w:p>
    <w:p w14:paraId="1BEA4889" w14:textId="2E8EF80F" w:rsidR="00B6796D" w:rsidRPr="00FA1B88" w:rsidRDefault="000F2D13"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Deleveraging</w:t>
      </w:r>
      <w:r w:rsidR="00B72AF7" w:rsidRPr="00FA1B88">
        <w:rPr>
          <w:rFonts w:ascii="Arial" w:hAnsi="Arial" w:cs="Arial"/>
          <w:b/>
          <w:sz w:val="24"/>
          <w:szCs w:val="24"/>
        </w:rPr>
        <w:t xml:space="preserve"> and Debt </w:t>
      </w:r>
      <w:r w:rsidR="00D973BA" w:rsidRPr="00FA1B88">
        <w:rPr>
          <w:rFonts w:ascii="Arial" w:hAnsi="Arial" w:cs="Arial"/>
          <w:b/>
          <w:sz w:val="24"/>
          <w:szCs w:val="24"/>
        </w:rPr>
        <w:t>Management:</w:t>
      </w:r>
      <w:r w:rsidRPr="00FA1B88">
        <w:rPr>
          <w:rFonts w:ascii="Arial" w:hAnsi="Arial" w:cs="Arial"/>
          <w:b/>
          <w:sz w:val="24"/>
          <w:szCs w:val="24"/>
        </w:rPr>
        <w:t xml:space="preserve"> </w:t>
      </w:r>
      <w:r w:rsidRPr="00FA1B88">
        <w:rPr>
          <w:rFonts w:ascii="Arial" w:hAnsi="Arial" w:cs="Arial"/>
          <w:sz w:val="24"/>
          <w:szCs w:val="24"/>
        </w:rPr>
        <w:t>A higher debt-to-equity ratio indicates a greater reliance on debt funding</w:t>
      </w:r>
      <w:r w:rsidR="007F0EE4">
        <w:rPr>
          <w:rFonts w:ascii="Arial" w:hAnsi="Arial" w:cs="Arial"/>
          <w:sz w:val="24"/>
          <w:szCs w:val="24"/>
        </w:rPr>
        <w:t xml:space="preserve"> (</w:t>
      </w:r>
      <w:r w:rsidR="007F0EE4">
        <w:rPr>
          <w:rFonts w:ascii="Arial" w:hAnsi="Arial" w:cs="Arial"/>
          <w:color w:val="222222"/>
          <w:sz w:val="24"/>
          <w:szCs w:val="24"/>
          <w:shd w:val="clear" w:color="auto" w:fill="FFFFFF"/>
        </w:rPr>
        <w:t>Rodriguez-Fernandez, 2016</w:t>
      </w:r>
      <w:r w:rsidR="007F0EE4">
        <w:rPr>
          <w:rFonts w:ascii="Arial" w:hAnsi="Arial" w:cs="Arial"/>
          <w:sz w:val="24"/>
          <w:szCs w:val="24"/>
        </w:rPr>
        <w:t>)</w:t>
      </w:r>
      <w:r w:rsidRPr="00FA1B88">
        <w:rPr>
          <w:rFonts w:ascii="Arial" w:hAnsi="Arial" w:cs="Arial"/>
          <w:sz w:val="24"/>
          <w:szCs w:val="24"/>
        </w:rPr>
        <w:t>. While taking on more debt might assist fund growth, doing so too soon can put a burden on the company's finances, drive up interest rates, and expose it to more risk. Debt management problems may have allowed Urban Heights to accumulate financial leverage over time.</w:t>
      </w:r>
    </w:p>
    <w:p w14:paraId="7BF6CAD0" w14:textId="65F97563" w:rsidR="003645B4" w:rsidRPr="00FA1B88" w:rsidRDefault="00B6796D"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Regulatory Environment:</w:t>
      </w:r>
      <w:r w:rsidRPr="00FA1B88">
        <w:rPr>
          <w:rFonts w:ascii="Arial" w:hAnsi="Arial" w:cs="Arial"/>
          <w:sz w:val="24"/>
          <w:szCs w:val="24"/>
        </w:rPr>
        <w:t xml:space="preserve"> </w:t>
      </w:r>
      <w:r w:rsidR="000F2D13" w:rsidRPr="00FA1B88">
        <w:rPr>
          <w:rFonts w:ascii="Arial" w:hAnsi="Arial" w:cs="Arial"/>
          <w:sz w:val="24"/>
          <w:szCs w:val="24"/>
        </w:rPr>
        <w:t>The regulatory environment may have had an impact on Urban Heights' operations and finances due to compliance requirements and laws</w:t>
      </w:r>
      <w:r w:rsidR="00921C29">
        <w:rPr>
          <w:rFonts w:ascii="Arial" w:hAnsi="Arial" w:cs="Arial"/>
          <w:sz w:val="24"/>
          <w:szCs w:val="24"/>
        </w:rPr>
        <w:t xml:space="preserve"> (</w:t>
      </w:r>
      <w:r w:rsidR="00921C29">
        <w:rPr>
          <w:rFonts w:ascii="Arial" w:hAnsi="Arial" w:cs="Arial"/>
          <w:color w:val="222222"/>
          <w:sz w:val="24"/>
          <w:szCs w:val="24"/>
          <w:shd w:val="clear" w:color="auto" w:fill="FFFFFF"/>
        </w:rPr>
        <w:t>Selvin et al, 2017</w:t>
      </w:r>
      <w:r w:rsidR="00921C29">
        <w:rPr>
          <w:rFonts w:ascii="Arial" w:hAnsi="Arial" w:cs="Arial"/>
          <w:sz w:val="24"/>
          <w:szCs w:val="24"/>
        </w:rPr>
        <w:t>)</w:t>
      </w:r>
      <w:r w:rsidR="000F2D13" w:rsidRPr="00FA1B88">
        <w:rPr>
          <w:rFonts w:ascii="Arial" w:hAnsi="Arial" w:cs="Arial"/>
          <w:sz w:val="24"/>
          <w:szCs w:val="24"/>
        </w:rPr>
        <w:t>. In order to adjust to new regulations, investments in compliance activities could put a pressure on financial resources and profitability.</w:t>
      </w:r>
    </w:p>
    <w:p w14:paraId="1FA61F8A" w14:textId="77777777" w:rsidR="00BC7EF7" w:rsidRPr="00FA1B88" w:rsidRDefault="003645B4"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Rapid Technology Movement:</w:t>
      </w:r>
      <w:r w:rsidRPr="00FA1B88">
        <w:rPr>
          <w:rFonts w:ascii="Arial" w:hAnsi="Arial" w:cs="Arial"/>
          <w:sz w:val="24"/>
          <w:szCs w:val="24"/>
        </w:rPr>
        <w:t xml:space="preserve"> </w:t>
      </w:r>
      <w:r w:rsidR="000F2D13" w:rsidRPr="00FA1B88">
        <w:rPr>
          <w:rFonts w:ascii="Arial" w:hAnsi="Arial" w:cs="Arial"/>
          <w:sz w:val="24"/>
          <w:szCs w:val="24"/>
        </w:rPr>
        <w:t xml:space="preserve">Urban Heights' business strategy and operations could have been impacted by the quick pace of technological advancement. Because of its inability to embrace digital transformation and </w:t>
      </w:r>
      <w:r w:rsidR="000F2D13" w:rsidRPr="00FA1B88">
        <w:rPr>
          <w:rFonts w:ascii="Arial" w:hAnsi="Arial" w:cs="Arial"/>
          <w:sz w:val="24"/>
          <w:szCs w:val="24"/>
        </w:rPr>
        <w:lastRenderedPageBreak/>
        <w:t>new technologies, Urban Heights may have seen a decline in revenue and profits.</w:t>
      </w:r>
    </w:p>
    <w:p w14:paraId="75471B42" w14:textId="492C319C" w:rsidR="000F2D13" w:rsidRPr="00FA1B88" w:rsidRDefault="000F2D13" w:rsidP="00FA1B88">
      <w:pPr>
        <w:pStyle w:val="ListParagraph"/>
        <w:numPr>
          <w:ilvl w:val="0"/>
          <w:numId w:val="10"/>
        </w:numPr>
        <w:spacing w:line="360" w:lineRule="auto"/>
        <w:jc w:val="both"/>
        <w:rPr>
          <w:rFonts w:ascii="Arial" w:hAnsi="Arial" w:cs="Arial"/>
          <w:sz w:val="24"/>
          <w:szCs w:val="24"/>
        </w:rPr>
      </w:pPr>
      <w:r w:rsidRPr="00FA1B88">
        <w:rPr>
          <w:rFonts w:ascii="Arial" w:hAnsi="Arial" w:cs="Arial"/>
          <w:b/>
          <w:sz w:val="24"/>
          <w:szCs w:val="24"/>
        </w:rPr>
        <w:t>Supply Chain Disruptions:</w:t>
      </w:r>
      <w:r w:rsidRPr="00FA1B88">
        <w:rPr>
          <w:rFonts w:ascii="Arial" w:hAnsi="Arial" w:cs="Arial"/>
          <w:sz w:val="24"/>
          <w:szCs w:val="24"/>
        </w:rPr>
        <w:t xml:space="preserve"> Urban Heights might face inventory shortages, increased expenses, and decreased profitability if manufacturing and delivery were to be interrupted by geopolitical conflicts, natural disasters, or logistical challenges.</w:t>
      </w:r>
    </w:p>
    <w:p w14:paraId="3A846982" w14:textId="521722E1" w:rsidR="009C176B" w:rsidRPr="00FA1B88" w:rsidRDefault="000F2D13" w:rsidP="00FA1B88">
      <w:pPr>
        <w:spacing w:line="360" w:lineRule="auto"/>
        <w:jc w:val="both"/>
        <w:rPr>
          <w:rFonts w:ascii="Arial" w:hAnsi="Arial" w:cs="Arial"/>
          <w:sz w:val="24"/>
          <w:szCs w:val="24"/>
        </w:rPr>
      </w:pPr>
      <w:r w:rsidRPr="00FA1B88">
        <w:rPr>
          <w:rFonts w:ascii="Arial" w:hAnsi="Arial" w:cs="Arial"/>
          <w:sz w:val="24"/>
          <w:szCs w:val="24"/>
        </w:rPr>
        <w:t>Due to supply chain, operational, financial, legal, competitive, and economic factors, Urban Heights had financial difficulties in the UK from 2021 to 2023</w:t>
      </w:r>
      <w:r w:rsidR="008610C8">
        <w:rPr>
          <w:rFonts w:ascii="Arial" w:hAnsi="Arial" w:cs="Arial"/>
          <w:sz w:val="24"/>
          <w:szCs w:val="24"/>
        </w:rPr>
        <w:t xml:space="preserve"> (</w:t>
      </w:r>
      <w:r w:rsidR="008610C8">
        <w:rPr>
          <w:rFonts w:ascii="Arial" w:hAnsi="Arial" w:cs="Arial"/>
          <w:color w:val="222222"/>
          <w:sz w:val="24"/>
          <w:szCs w:val="24"/>
          <w:shd w:val="clear" w:color="auto" w:fill="FFFFFF"/>
        </w:rPr>
        <w:t>Selvin et al, 2017</w:t>
      </w:r>
      <w:r w:rsidR="008610C8">
        <w:rPr>
          <w:rFonts w:ascii="Arial" w:hAnsi="Arial" w:cs="Arial"/>
          <w:sz w:val="24"/>
          <w:szCs w:val="24"/>
        </w:rPr>
        <w:t>)</w:t>
      </w:r>
      <w:r w:rsidRPr="00FA1B88">
        <w:rPr>
          <w:rFonts w:ascii="Arial" w:hAnsi="Arial" w:cs="Arial"/>
          <w:sz w:val="24"/>
          <w:szCs w:val="24"/>
        </w:rPr>
        <w:t>. To overcome these challenges, a thorough plan is required to improve operational efficiency, financial management, market dynamics, and the ever-changing business climate.</w:t>
      </w:r>
    </w:p>
    <w:p w14:paraId="4E674CEF" w14:textId="17DAFDAA" w:rsidR="004342FD" w:rsidRPr="00FA1B88" w:rsidRDefault="00C64ED6" w:rsidP="00FA1B88">
      <w:pPr>
        <w:pStyle w:val="Heading1"/>
        <w:spacing w:line="360" w:lineRule="auto"/>
        <w:rPr>
          <w:rFonts w:ascii="Arial" w:hAnsi="Arial"/>
        </w:rPr>
      </w:pPr>
      <w:bookmarkStart w:id="11" w:name="_Toc167863795"/>
      <w:r w:rsidRPr="00FA1B88">
        <w:rPr>
          <w:rFonts w:ascii="Arial" w:hAnsi="Arial"/>
        </w:rPr>
        <w:t>Urban Heights Turnaround Plan</w:t>
      </w:r>
      <w:bookmarkEnd w:id="11"/>
      <w:r w:rsidRPr="00FA1B88">
        <w:rPr>
          <w:rFonts w:ascii="Arial" w:hAnsi="Arial"/>
        </w:rPr>
        <w:t xml:space="preserve"> </w:t>
      </w:r>
    </w:p>
    <w:p w14:paraId="3B4D224F" w14:textId="77777777" w:rsidR="00C64ED6" w:rsidRPr="00FA1B88" w:rsidRDefault="00C64ED6" w:rsidP="00FA1B88">
      <w:pPr>
        <w:spacing w:line="360" w:lineRule="auto"/>
        <w:jc w:val="both"/>
        <w:rPr>
          <w:rFonts w:ascii="Arial" w:hAnsi="Arial" w:cs="Arial"/>
          <w:sz w:val="24"/>
          <w:szCs w:val="24"/>
        </w:rPr>
      </w:pPr>
      <w:r w:rsidRPr="00FA1B88">
        <w:rPr>
          <w:rFonts w:ascii="Arial" w:hAnsi="Arial" w:cs="Arial"/>
          <w:sz w:val="24"/>
          <w:szCs w:val="24"/>
        </w:rPr>
        <w:t>Reviving Urban Heights and getting back on its feet financially requires a comprehensive turnaround plan. The plan is given below:</w:t>
      </w:r>
    </w:p>
    <w:p w14:paraId="50D562EA" w14:textId="386F4675" w:rsidR="00C64ED6" w:rsidRPr="00FA1B88" w:rsidRDefault="00C64ED6" w:rsidP="00FA1B88">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t>Strategic Repositioning:</w:t>
      </w:r>
      <w:r w:rsidRPr="00FA1B88">
        <w:rPr>
          <w:rFonts w:ascii="Arial" w:hAnsi="Arial" w:cs="Arial"/>
          <w:sz w:val="24"/>
          <w:szCs w:val="24"/>
        </w:rPr>
        <w:t xml:space="preserve"> Research consumer tastes and habits in the market. Make use of information to enhance Urban Heights' marketing strategies and goods so they may better suit customer needs and compete in the market.</w:t>
      </w:r>
    </w:p>
    <w:p w14:paraId="419D48CB" w14:textId="1A1C461C" w:rsidR="00204C6C" w:rsidRPr="00670640" w:rsidRDefault="00C64ED6" w:rsidP="00670640">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t xml:space="preserve">Operational </w:t>
      </w:r>
      <w:r w:rsidR="00076233" w:rsidRPr="00FA1B88">
        <w:rPr>
          <w:rFonts w:ascii="Arial" w:hAnsi="Arial" w:cs="Arial"/>
          <w:b/>
          <w:sz w:val="24"/>
          <w:szCs w:val="24"/>
        </w:rPr>
        <w:t>Efficiency</w:t>
      </w:r>
      <w:r w:rsidRPr="00FA1B88">
        <w:rPr>
          <w:rFonts w:ascii="Arial" w:hAnsi="Arial" w:cs="Arial"/>
          <w:b/>
          <w:sz w:val="24"/>
          <w:szCs w:val="24"/>
        </w:rPr>
        <w:t xml:space="preserve"> Maximisation:</w:t>
      </w:r>
      <w:r w:rsidRPr="00FA1B88">
        <w:rPr>
          <w:rFonts w:ascii="Arial" w:hAnsi="Arial" w:cs="Arial"/>
          <w:sz w:val="24"/>
          <w:szCs w:val="24"/>
        </w:rPr>
        <w:t xml:space="preserve"> Maximise operational efficiency to save costs and streamline processes. Some examples include working to improve inventory management, renegotiating contracts with suppliers, and making better use of technology to increase productivity. Evaluate staff abilities to suit business needs</w:t>
      </w:r>
      <w:r w:rsidR="00300B75">
        <w:rPr>
          <w:rFonts w:ascii="Arial" w:hAnsi="Arial" w:cs="Arial"/>
          <w:sz w:val="24"/>
          <w:szCs w:val="24"/>
        </w:rPr>
        <w:t xml:space="preserve"> (</w:t>
      </w:r>
      <w:r w:rsidR="00300B75">
        <w:rPr>
          <w:rFonts w:ascii="Arial" w:hAnsi="Arial" w:cs="Arial"/>
          <w:color w:val="222222"/>
          <w:sz w:val="24"/>
          <w:szCs w:val="24"/>
          <w:shd w:val="clear" w:color="auto" w:fill="FFFFFF"/>
        </w:rPr>
        <w:t>Soumaré et al, 2016</w:t>
      </w:r>
      <w:r w:rsidR="00300B75">
        <w:rPr>
          <w:rFonts w:ascii="Arial" w:hAnsi="Arial" w:cs="Arial"/>
          <w:sz w:val="24"/>
          <w:szCs w:val="24"/>
        </w:rPr>
        <w:t>)</w:t>
      </w:r>
      <w:r w:rsidRPr="00FA1B88">
        <w:rPr>
          <w:rFonts w:ascii="Arial" w:hAnsi="Arial" w:cs="Arial"/>
          <w:sz w:val="24"/>
          <w:szCs w:val="24"/>
        </w:rPr>
        <w:t>.</w:t>
      </w:r>
      <w:r w:rsidR="00300B75">
        <w:rPr>
          <w:rFonts w:ascii="Arial" w:hAnsi="Arial" w:cs="Arial"/>
          <w:sz w:val="24"/>
          <w:szCs w:val="24"/>
        </w:rPr>
        <w:t xml:space="preserve"> Urban Heights should e</w:t>
      </w:r>
      <w:r w:rsidRPr="00FA1B88">
        <w:rPr>
          <w:rFonts w:ascii="Arial" w:hAnsi="Arial" w:cs="Arial"/>
          <w:sz w:val="24"/>
          <w:szCs w:val="24"/>
        </w:rPr>
        <w:t>nhance the purchasing process to meet customer satisfaction standards. Create training sessions for employees to boost responsiveness and service quality. Learn</w:t>
      </w:r>
      <w:r w:rsidR="009F7DFC" w:rsidRPr="00FA1B88">
        <w:rPr>
          <w:rFonts w:ascii="Arial" w:hAnsi="Arial" w:cs="Arial"/>
          <w:sz w:val="24"/>
          <w:szCs w:val="24"/>
        </w:rPr>
        <w:t>ing</w:t>
      </w:r>
      <w:r w:rsidRPr="00FA1B88">
        <w:rPr>
          <w:rFonts w:ascii="Arial" w:hAnsi="Arial" w:cs="Arial"/>
          <w:sz w:val="24"/>
          <w:szCs w:val="24"/>
        </w:rPr>
        <w:t xml:space="preserve"> what </w:t>
      </w:r>
      <w:r w:rsidR="009F7DFC" w:rsidRPr="00FA1B88">
        <w:rPr>
          <w:rFonts w:ascii="Arial" w:hAnsi="Arial" w:cs="Arial"/>
          <w:sz w:val="24"/>
          <w:szCs w:val="24"/>
        </w:rPr>
        <w:t xml:space="preserve">the </w:t>
      </w:r>
      <w:r w:rsidRPr="00FA1B88">
        <w:rPr>
          <w:rFonts w:ascii="Arial" w:hAnsi="Arial" w:cs="Arial"/>
          <w:sz w:val="24"/>
          <w:szCs w:val="24"/>
        </w:rPr>
        <w:t>customers want and provide it to them by using feedback techniques</w:t>
      </w:r>
      <w:r w:rsidR="00063581" w:rsidRPr="00FA1B88">
        <w:rPr>
          <w:rFonts w:ascii="Arial" w:hAnsi="Arial" w:cs="Arial"/>
          <w:sz w:val="24"/>
          <w:szCs w:val="24"/>
        </w:rPr>
        <w:t xml:space="preserve"> will aid them. </w:t>
      </w:r>
    </w:p>
    <w:p w14:paraId="37FD63A5" w14:textId="0E41455D" w:rsidR="004D2537" w:rsidRPr="00FA1B88" w:rsidRDefault="00204C6C" w:rsidP="00FA1B88">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t>Financial Restructuring:</w:t>
      </w:r>
      <w:r w:rsidRPr="00FA1B88">
        <w:rPr>
          <w:rFonts w:ascii="Arial" w:hAnsi="Arial" w:cs="Arial"/>
          <w:sz w:val="24"/>
          <w:szCs w:val="24"/>
        </w:rPr>
        <w:t xml:space="preserve"> Urban Heights should m</w:t>
      </w:r>
      <w:r w:rsidR="00C64ED6" w:rsidRPr="00FA1B88">
        <w:rPr>
          <w:rFonts w:ascii="Arial" w:hAnsi="Arial" w:cs="Arial"/>
          <w:sz w:val="24"/>
          <w:szCs w:val="24"/>
        </w:rPr>
        <w:t>ake a Strategic Plan for Liquidity and Debt Management. Debt restructuring involves negotiating new terms with creditors, such as longer payback terms or reduced interest rates. Consider asset sales or stock injections to bolster the company's finances.</w:t>
      </w:r>
    </w:p>
    <w:p w14:paraId="60D0F72B" w14:textId="0B2E08CB" w:rsidR="005B00FF" w:rsidRPr="00FA1B88" w:rsidRDefault="004D2537" w:rsidP="00FA1B88">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lastRenderedPageBreak/>
        <w:t>Creative Marketing in UK:</w:t>
      </w:r>
      <w:r w:rsidRPr="00FA1B88">
        <w:rPr>
          <w:rFonts w:ascii="Arial" w:hAnsi="Arial" w:cs="Arial"/>
          <w:sz w:val="24"/>
          <w:szCs w:val="24"/>
        </w:rPr>
        <w:t xml:space="preserve"> </w:t>
      </w:r>
      <w:r w:rsidR="00C64ED6" w:rsidRPr="00FA1B88">
        <w:rPr>
          <w:rFonts w:ascii="Arial" w:hAnsi="Arial" w:cs="Arial"/>
          <w:sz w:val="24"/>
          <w:szCs w:val="24"/>
        </w:rPr>
        <w:t xml:space="preserve">Urban Heights </w:t>
      </w:r>
      <w:r w:rsidRPr="00FA1B88">
        <w:rPr>
          <w:rFonts w:ascii="Arial" w:hAnsi="Arial" w:cs="Arial"/>
          <w:sz w:val="24"/>
          <w:szCs w:val="24"/>
        </w:rPr>
        <w:t xml:space="preserve">should </w:t>
      </w:r>
      <w:r w:rsidR="00C64ED6" w:rsidRPr="00FA1B88">
        <w:rPr>
          <w:rFonts w:ascii="Arial" w:hAnsi="Arial" w:cs="Arial"/>
          <w:sz w:val="24"/>
          <w:szCs w:val="24"/>
        </w:rPr>
        <w:t>think outside the box in order to enhance their offerings. Promote collaboration and ideation across departments to uncover untapped revenue streams and market opportunities.</w:t>
      </w:r>
    </w:p>
    <w:p w14:paraId="212B83AE" w14:textId="1FC0A1D8" w:rsidR="004624A5" w:rsidRPr="00FA1B88" w:rsidRDefault="00C64ED6" w:rsidP="00FA1B88">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t>Leadership and Governance:</w:t>
      </w:r>
      <w:r w:rsidRPr="00FA1B88">
        <w:rPr>
          <w:rFonts w:ascii="Arial" w:hAnsi="Arial" w:cs="Arial"/>
          <w:sz w:val="24"/>
          <w:szCs w:val="24"/>
        </w:rPr>
        <w:t xml:space="preserve"> </w:t>
      </w:r>
      <w:r w:rsidR="005B00FF" w:rsidRPr="00FA1B88">
        <w:rPr>
          <w:rFonts w:ascii="Arial" w:hAnsi="Arial" w:cs="Arial"/>
          <w:sz w:val="24"/>
          <w:szCs w:val="24"/>
        </w:rPr>
        <w:t>Urban Heights should m</w:t>
      </w:r>
      <w:r w:rsidRPr="00FA1B88">
        <w:rPr>
          <w:rFonts w:ascii="Arial" w:hAnsi="Arial" w:cs="Arial"/>
          <w:sz w:val="24"/>
          <w:szCs w:val="24"/>
        </w:rPr>
        <w:t xml:space="preserve">ake the company's governance more transparent and hold employees accountable. Executives with a track record of success should spearhead any efforts at a turnaround. To monitor progress and </w:t>
      </w:r>
      <w:r w:rsidR="004624A5" w:rsidRPr="00FA1B88">
        <w:rPr>
          <w:rFonts w:ascii="Arial" w:hAnsi="Arial" w:cs="Arial"/>
          <w:sz w:val="24"/>
          <w:szCs w:val="24"/>
        </w:rPr>
        <w:t>adjust</w:t>
      </w:r>
      <w:r w:rsidRPr="00FA1B88">
        <w:rPr>
          <w:rFonts w:ascii="Arial" w:hAnsi="Arial" w:cs="Arial"/>
          <w:sz w:val="24"/>
          <w:szCs w:val="24"/>
        </w:rPr>
        <w:t xml:space="preserve"> strategies, establish performance indicators and report often</w:t>
      </w:r>
      <w:r w:rsidR="00670640">
        <w:rPr>
          <w:rFonts w:ascii="Arial" w:hAnsi="Arial" w:cs="Arial"/>
          <w:sz w:val="24"/>
          <w:szCs w:val="24"/>
        </w:rPr>
        <w:t xml:space="preserve"> (</w:t>
      </w:r>
      <w:r w:rsidR="00670640">
        <w:rPr>
          <w:rFonts w:ascii="Arial" w:hAnsi="Arial" w:cs="Arial"/>
          <w:color w:val="222222"/>
          <w:sz w:val="24"/>
          <w:szCs w:val="24"/>
          <w:shd w:val="clear" w:color="auto" w:fill="FFFFFF"/>
        </w:rPr>
        <w:t>Van Duuren et al, 2016</w:t>
      </w:r>
      <w:r w:rsidR="00670640">
        <w:rPr>
          <w:rFonts w:ascii="Arial" w:hAnsi="Arial" w:cs="Arial"/>
          <w:sz w:val="24"/>
          <w:szCs w:val="24"/>
        </w:rPr>
        <w:t>)</w:t>
      </w:r>
      <w:r w:rsidRPr="00FA1B88">
        <w:rPr>
          <w:rFonts w:ascii="Arial" w:hAnsi="Arial" w:cs="Arial"/>
          <w:sz w:val="24"/>
          <w:szCs w:val="24"/>
        </w:rPr>
        <w:t>.</w:t>
      </w:r>
    </w:p>
    <w:p w14:paraId="3491A8C3" w14:textId="2578B453" w:rsidR="00C64ED6" w:rsidRPr="00FA1B88" w:rsidRDefault="00C64ED6" w:rsidP="00FA1B88">
      <w:pPr>
        <w:pStyle w:val="ListParagraph"/>
        <w:numPr>
          <w:ilvl w:val="0"/>
          <w:numId w:val="11"/>
        </w:numPr>
        <w:spacing w:line="360" w:lineRule="auto"/>
        <w:jc w:val="both"/>
        <w:rPr>
          <w:rFonts w:ascii="Arial" w:hAnsi="Arial" w:cs="Arial"/>
          <w:sz w:val="24"/>
          <w:szCs w:val="24"/>
        </w:rPr>
      </w:pPr>
      <w:r w:rsidRPr="00FA1B88">
        <w:rPr>
          <w:rFonts w:ascii="Arial" w:hAnsi="Arial" w:cs="Arial"/>
          <w:b/>
          <w:sz w:val="24"/>
          <w:szCs w:val="24"/>
        </w:rPr>
        <w:t>Involvement of Stakeholders:</w:t>
      </w:r>
      <w:r w:rsidRPr="00FA1B88">
        <w:rPr>
          <w:rFonts w:ascii="Arial" w:hAnsi="Arial" w:cs="Arial"/>
          <w:sz w:val="24"/>
          <w:szCs w:val="24"/>
        </w:rPr>
        <w:t xml:space="preserve"> </w:t>
      </w:r>
      <w:r w:rsidR="004624A5" w:rsidRPr="00FA1B88">
        <w:rPr>
          <w:rFonts w:ascii="Arial" w:hAnsi="Arial" w:cs="Arial"/>
          <w:sz w:val="24"/>
          <w:szCs w:val="24"/>
        </w:rPr>
        <w:t xml:space="preserve">Urban Heights </w:t>
      </w:r>
      <w:r w:rsidRPr="00FA1B88">
        <w:rPr>
          <w:rFonts w:ascii="Arial" w:hAnsi="Arial" w:cs="Arial"/>
          <w:sz w:val="24"/>
          <w:szCs w:val="24"/>
        </w:rPr>
        <w:t>Maintain transparent communication with employees, clients, vendors, and financiers. To fulfil the expectations of stakeholders, provide regular updates on the turnaround and actively solicit their advice.</w:t>
      </w:r>
    </w:p>
    <w:p w14:paraId="530407DF" w14:textId="353BA9D4" w:rsidR="00C64ED6" w:rsidRPr="00FA1B88" w:rsidRDefault="00C64ED6" w:rsidP="00FA1B88">
      <w:pPr>
        <w:spacing w:line="360" w:lineRule="auto"/>
        <w:jc w:val="both"/>
        <w:rPr>
          <w:rFonts w:ascii="Arial" w:hAnsi="Arial" w:cs="Arial"/>
          <w:sz w:val="24"/>
          <w:szCs w:val="24"/>
        </w:rPr>
      </w:pPr>
      <w:r w:rsidRPr="00FA1B88">
        <w:rPr>
          <w:rFonts w:ascii="Arial" w:hAnsi="Arial" w:cs="Arial"/>
          <w:sz w:val="24"/>
          <w:szCs w:val="24"/>
        </w:rPr>
        <w:t>These strategies have the potential to aid Urban Heights' financial recovery, return to relevance in the market, and development in the face of intense retail competition</w:t>
      </w:r>
      <w:r w:rsidR="00C8456B">
        <w:rPr>
          <w:rFonts w:ascii="Arial" w:hAnsi="Arial" w:cs="Arial"/>
          <w:sz w:val="24"/>
          <w:szCs w:val="24"/>
        </w:rPr>
        <w:t xml:space="preserve"> (</w:t>
      </w:r>
      <w:r w:rsidR="00C8456B">
        <w:rPr>
          <w:rFonts w:ascii="Arial" w:hAnsi="Arial" w:cs="Arial"/>
          <w:color w:val="222222"/>
          <w:sz w:val="24"/>
          <w:szCs w:val="24"/>
          <w:shd w:val="clear" w:color="auto" w:fill="FFFFFF"/>
        </w:rPr>
        <w:t>Whitehead, 2017</w:t>
      </w:r>
      <w:r w:rsidR="00C8456B">
        <w:rPr>
          <w:rFonts w:ascii="Arial" w:hAnsi="Arial" w:cs="Arial"/>
          <w:sz w:val="24"/>
          <w:szCs w:val="24"/>
        </w:rPr>
        <w:t>)</w:t>
      </w:r>
      <w:r w:rsidRPr="00FA1B88">
        <w:rPr>
          <w:rFonts w:ascii="Arial" w:hAnsi="Arial" w:cs="Arial"/>
          <w:sz w:val="24"/>
          <w:szCs w:val="24"/>
        </w:rPr>
        <w:t xml:space="preserve">. To assist the </w:t>
      </w:r>
      <w:r w:rsidR="00B031CA" w:rsidRPr="00FA1B88">
        <w:rPr>
          <w:rFonts w:ascii="Arial" w:hAnsi="Arial" w:cs="Arial"/>
          <w:sz w:val="24"/>
          <w:szCs w:val="24"/>
        </w:rPr>
        <w:t>business,</w:t>
      </w:r>
      <w:r w:rsidRPr="00FA1B88">
        <w:rPr>
          <w:rFonts w:ascii="Arial" w:hAnsi="Arial" w:cs="Arial"/>
          <w:sz w:val="24"/>
          <w:szCs w:val="24"/>
        </w:rPr>
        <w:t xml:space="preserve"> solve its challenges and better its future, this turnaround plan promotes agility, innovation, and strategic decision-making.</w:t>
      </w:r>
    </w:p>
    <w:p w14:paraId="5CAED758" w14:textId="77777777" w:rsidR="00C64ED6" w:rsidRPr="00FA1B88" w:rsidRDefault="00C64ED6" w:rsidP="00FA1B88">
      <w:pPr>
        <w:spacing w:line="360" w:lineRule="auto"/>
        <w:jc w:val="both"/>
        <w:rPr>
          <w:rFonts w:ascii="Arial" w:hAnsi="Arial" w:cs="Arial"/>
          <w:sz w:val="24"/>
          <w:szCs w:val="24"/>
        </w:rPr>
      </w:pPr>
    </w:p>
    <w:p w14:paraId="3A8822EF" w14:textId="77777777" w:rsidR="00C64ED6" w:rsidRPr="00FA1B88" w:rsidRDefault="00C64ED6" w:rsidP="00FA1B88">
      <w:pPr>
        <w:spacing w:line="360" w:lineRule="auto"/>
        <w:jc w:val="both"/>
        <w:rPr>
          <w:rFonts w:ascii="Arial" w:hAnsi="Arial" w:cs="Arial"/>
          <w:sz w:val="24"/>
          <w:szCs w:val="24"/>
        </w:rPr>
      </w:pPr>
    </w:p>
    <w:p w14:paraId="13B10E1B" w14:textId="77777777" w:rsidR="00C64ED6" w:rsidRPr="00FA1B88" w:rsidRDefault="00C64ED6" w:rsidP="00FA1B88">
      <w:pPr>
        <w:spacing w:line="360" w:lineRule="auto"/>
        <w:jc w:val="both"/>
        <w:rPr>
          <w:rFonts w:ascii="Arial" w:hAnsi="Arial" w:cs="Arial"/>
          <w:sz w:val="24"/>
          <w:szCs w:val="24"/>
        </w:rPr>
      </w:pPr>
    </w:p>
    <w:p w14:paraId="0A76EF23" w14:textId="77777777" w:rsidR="00C64ED6" w:rsidRPr="00FA1B88" w:rsidRDefault="00C64ED6" w:rsidP="00FA1B88">
      <w:pPr>
        <w:spacing w:line="360" w:lineRule="auto"/>
        <w:jc w:val="both"/>
        <w:rPr>
          <w:rFonts w:ascii="Arial" w:hAnsi="Arial" w:cs="Arial"/>
          <w:sz w:val="24"/>
          <w:szCs w:val="24"/>
        </w:rPr>
      </w:pPr>
    </w:p>
    <w:p w14:paraId="33866A16" w14:textId="7803E237" w:rsidR="00973C9B" w:rsidRPr="00FA1B88" w:rsidRDefault="00973C9B" w:rsidP="00FA1B88">
      <w:pPr>
        <w:spacing w:line="360" w:lineRule="auto"/>
        <w:jc w:val="both"/>
        <w:rPr>
          <w:rFonts w:ascii="Arial" w:hAnsi="Arial" w:cs="Arial"/>
          <w:sz w:val="24"/>
          <w:szCs w:val="24"/>
        </w:rPr>
      </w:pPr>
    </w:p>
    <w:p w14:paraId="104DC3B9" w14:textId="77777777" w:rsidR="00A636B3" w:rsidRPr="00FA1B88" w:rsidRDefault="00A636B3" w:rsidP="00FA1B88">
      <w:pPr>
        <w:spacing w:line="360" w:lineRule="auto"/>
        <w:jc w:val="both"/>
        <w:rPr>
          <w:rFonts w:ascii="Arial" w:hAnsi="Arial" w:cs="Arial"/>
          <w:sz w:val="24"/>
          <w:szCs w:val="24"/>
        </w:rPr>
      </w:pPr>
    </w:p>
    <w:p w14:paraId="43EB9F20" w14:textId="1CA5C474" w:rsidR="00A636B3" w:rsidRPr="00FA1B88" w:rsidRDefault="00A636B3" w:rsidP="00FA1B88">
      <w:pPr>
        <w:spacing w:line="360" w:lineRule="auto"/>
        <w:rPr>
          <w:rFonts w:ascii="Arial" w:hAnsi="Arial" w:cs="Arial"/>
          <w:sz w:val="24"/>
          <w:szCs w:val="24"/>
        </w:rPr>
      </w:pPr>
    </w:p>
    <w:p w14:paraId="76FE3F32" w14:textId="77777777" w:rsidR="00A636B3" w:rsidRPr="00FA1B88" w:rsidRDefault="00A636B3" w:rsidP="00FA1B88">
      <w:pPr>
        <w:spacing w:line="360" w:lineRule="auto"/>
        <w:rPr>
          <w:rFonts w:ascii="Arial" w:hAnsi="Arial" w:cs="Arial"/>
          <w:sz w:val="24"/>
          <w:szCs w:val="24"/>
        </w:rPr>
      </w:pPr>
      <w:r w:rsidRPr="00FA1B88">
        <w:rPr>
          <w:rFonts w:ascii="Arial" w:hAnsi="Arial" w:cs="Arial"/>
          <w:sz w:val="24"/>
          <w:szCs w:val="24"/>
        </w:rPr>
        <w:br w:type="page"/>
      </w:r>
    </w:p>
    <w:p w14:paraId="4B647DCF" w14:textId="41445F06" w:rsidR="005A7C4C" w:rsidRPr="00FA1B88" w:rsidRDefault="005A7C4C" w:rsidP="00FA1B88">
      <w:pPr>
        <w:pStyle w:val="Heading1"/>
        <w:spacing w:line="360" w:lineRule="auto"/>
        <w:rPr>
          <w:rFonts w:ascii="Arial" w:hAnsi="Arial"/>
        </w:rPr>
      </w:pPr>
      <w:bookmarkStart w:id="12" w:name="_Toc167863796"/>
      <w:r w:rsidRPr="00FA1B88">
        <w:rPr>
          <w:rFonts w:ascii="Arial" w:hAnsi="Arial"/>
        </w:rPr>
        <w:lastRenderedPageBreak/>
        <w:t>Conclusion</w:t>
      </w:r>
      <w:bookmarkEnd w:id="12"/>
    </w:p>
    <w:p w14:paraId="69D5C92B" w14:textId="3B1E5287" w:rsidR="005A7C4C" w:rsidRPr="00FA1B88" w:rsidRDefault="00B67270" w:rsidP="00FA1B88">
      <w:pPr>
        <w:spacing w:line="360" w:lineRule="auto"/>
        <w:jc w:val="both"/>
        <w:rPr>
          <w:rFonts w:ascii="Arial" w:hAnsi="Arial" w:cs="Arial"/>
          <w:sz w:val="24"/>
          <w:szCs w:val="24"/>
        </w:rPr>
      </w:pPr>
      <w:r w:rsidRPr="00FA1B88">
        <w:rPr>
          <w:rFonts w:ascii="Arial" w:hAnsi="Arial" w:cs="Arial"/>
          <w:sz w:val="24"/>
          <w:szCs w:val="24"/>
        </w:rPr>
        <w:t>In sum, Urban Heights has significant challenges in its financial recovery, but with hard work and strategic thinking, it may be able to overcome them. Through service repositioning, operational efficiency improvements, customer experience prioritisation, financial restructuring, innovation stimulation, leadership strengthening, and transparent communication, Urban Heights can increase its market competitiveness and resilience. The success of the turnaround plan depends on the commitment, execution, and adaptation of all stakeholders to changes in the market. Concentrated work and the effective implementation of the provided strategies may help Urban Heights become stronger, more adaptable, and sustainably built.</w:t>
      </w:r>
      <w:r w:rsidR="00711BA6" w:rsidRPr="00FA1B88">
        <w:rPr>
          <w:rFonts w:ascii="Arial" w:hAnsi="Arial" w:cs="Arial"/>
          <w:sz w:val="24"/>
          <w:szCs w:val="24"/>
        </w:rPr>
        <w:br w:type="page"/>
      </w:r>
    </w:p>
    <w:p w14:paraId="19096024" w14:textId="5D5A3BA4" w:rsidR="00A371AE" w:rsidRPr="00FA1B88" w:rsidRDefault="00A371AE" w:rsidP="00FA1B88">
      <w:pPr>
        <w:pStyle w:val="Heading1"/>
        <w:spacing w:line="360" w:lineRule="auto"/>
        <w:rPr>
          <w:rFonts w:ascii="Arial" w:hAnsi="Arial"/>
        </w:rPr>
      </w:pPr>
      <w:bookmarkStart w:id="13" w:name="_Toc167863797"/>
      <w:r w:rsidRPr="00FA1B88">
        <w:rPr>
          <w:rFonts w:ascii="Arial" w:hAnsi="Arial"/>
        </w:rPr>
        <w:lastRenderedPageBreak/>
        <w:t>References</w:t>
      </w:r>
      <w:bookmarkEnd w:id="13"/>
      <w:r w:rsidRPr="00FA1B88">
        <w:rPr>
          <w:rFonts w:ascii="Arial" w:hAnsi="Arial"/>
        </w:rPr>
        <w:t xml:space="preserve"> </w:t>
      </w:r>
    </w:p>
    <w:p w14:paraId="3A6A1082"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Amel-Zadeh, A., &amp; Serafeim, G. (2018). Why and how investors use ESG information: Evidence from a global survey. </w:t>
      </w:r>
      <w:r w:rsidRPr="00FA1B88">
        <w:rPr>
          <w:rFonts w:ascii="Arial" w:hAnsi="Arial" w:cs="Arial"/>
          <w:i/>
          <w:iCs/>
          <w:color w:val="222222"/>
          <w:sz w:val="24"/>
          <w:szCs w:val="24"/>
          <w:shd w:val="clear" w:color="auto" w:fill="FFFFFF"/>
        </w:rPr>
        <w:t>Financial analysts journal</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74</w:t>
      </w:r>
      <w:r w:rsidRPr="00FA1B88">
        <w:rPr>
          <w:rFonts w:ascii="Arial" w:hAnsi="Arial" w:cs="Arial"/>
          <w:color w:val="222222"/>
          <w:sz w:val="24"/>
          <w:szCs w:val="24"/>
          <w:shd w:val="clear" w:color="auto" w:fill="FFFFFF"/>
        </w:rPr>
        <w:t>(3), 87-103.</w:t>
      </w:r>
    </w:p>
    <w:p w14:paraId="120820F3"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Barboza, F., Kimura, H., &amp; Altman, E. (2017). Machine learning models and bankruptcy prediction. </w:t>
      </w:r>
      <w:r w:rsidRPr="00FA1B88">
        <w:rPr>
          <w:rFonts w:ascii="Arial" w:hAnsi="Arial" w:cs="Arial"/>
          <w:i/>
          <w:iCs/>
          <w:color w:val="222222"/>
          <w:sz w:val="24"/>
          <w:szCs w:val="24"/>
          <w:shd w:val="clear" w:color="auto" w:fill="FFFFFF"/>
        </w:rPr>
        <w:t>Expert Systems with Applications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83</w:t>
      </w:r>
      <w:r w:rsidRPr="00FA1B88">
        <w:rPr>
          <w:rFonts w:ascii="Arial" w:hAnsi="Arial" w:cs="Arial"/>
          <w:color w:val="222222"/>
          <w:sz w:val="24"/>
          <w:szCs w:val="24"/>
          <w:shd w:val="clear" w:color="auto" w:fill="FFFFFF"/>
        </w:rPr>
        <w:t>, 405-417.</w:t>
      </w:r>
    </w:p>
    <w:p w14:paraId="5CE4B5F6"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Baur, D. G., Dimpfl, T., &amp; Kuck, K. (2018). Bitcoin, gold and the US dollar–A replication and extension. </w:t>
      </w:r>
      <w:r w:rsidRPr="00FA1B88">
        <w:rPr>
          <w:rFonts w:ascii="Arial" w:hAnsi="Arial" w:cs="Arial"/>
          <w:i/>
          <w:iCs/>
          <w:color w:val="222222"/>
          <w:sz w:val="24"/>
          <w:szCs w:val="24"/>
          <w:shd w:val="clear" w:color="auto" w:fill="FFFFFF"/>
        </w:rPr>
        <w:t>Finance research letters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25</w:t>
      </w:r>
      <w:r w:rsidRPr="00FA1B88">
        <w:rPr>
          <w:rFonts w:ascii="Arial" w:hAnsi="Arial" w:cs="Arial"/>
          <w:color w:val="222222"/>
          <w:sz w:val="24"/>
          <w:szCs w:val="24"/>
          <w:shd w:val="clear" w:color="auto" w:fill="FFFFFF"/>
        </w:rPr>
        <w:t>, 103-110.</w:t>
      </w:r>
    </w:p>
    <w:p w14:paraId="4D25743C"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Beck, T., Chen, T., Lin, C., &amp; Song, F. M. (2016). Financial innovation: The bright and the dark sides. </w:t>
      </w:r>
      <w:r w:rsidRPr="00FA1B88">
        <w:rPr>
          <w:rFonts w:ascii="Arial" w:hAnsi="Arial" w:cs="Arial"/>
          <w:i/>
          <w:iCs/>
          <w:color w:val="222222"/>
          <w:sz w:val="24"/>
          <w:szCs w:val="24"/>
          <w:shd w:val="clear" w:color="auto" w:fill="FFFFFF"/>
        </w:rPr>
        <w:t>Journal of Banking &amp; Finance</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72</w:t>
      </w:r>
      <w:r w:rsidRPr="00FA1B88">
        <w:rPr>
          <w:rFonts w:ascii="Arial" w:hAnsi="Arial" w:cs="Arial"/>
          <w:color w:val="222222"/>
          <w:sz w:val="24"/>
          <w:szCs w:val="24"/>
          <w:shd w:val="clear" w:color="auto" w:fill="FFFFFF"/>
        </w:rPr>
        <w:t>, 28-51.</w:t>
      </w:r>
    </w:p>
    <w:p w14:paraId="30E901C8"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Bouri, E., Gil</w:t>
      </w:r>
      <w:r w:rsidRPr="00FA1B88">
        <w:rPr>
          <w:rFonts w:ascii="Cambria Math" w:hAnsi="Cambria Math" w:cs="Cambria Math"/>
          <w:color w:val="222222"/>
          <w:sz w:val="24"/>
          <w:szCs w:val="24"/>
          <w:shd w:val="clear" w:color="auto" w:fill="FFFFFF"/>
        </w:rPr>
        <w:t>‐</w:t>
      </w:r>
      <w:r w:rsidRPr="00FA1B88">
        <w:rPr>
          <w:rFonts w:ascii="Arial" w:hAnsi="Arial" w:cs="Arial"/>
          <w:color w:val="222222"/>
          <w:sz w:val="24"/>
          <w:szCs w:val="24"/>
          <w:shd w:val="clear" w:color="auto" w:fill="FFFFFF"/>
        </w:rPr>
        <w:t>Alana, L. A., Gupta, R., &amp; Roubaud, D. (2019). Modelling long memory volatility in the Bitcoin market: Evidence of persistence and structural breaks. </w:t>
      </w:r>
      <w:r w:rsidRPr="00FA1B88">
        <w:rPr>
          <w:rFonts w:ascii="Arial" w:hAnsi="Arial" w:cs="Arial"/>
          <w:i/>
          <w:iCs/>
          <w:color w:val="222222"/>
          <w:sz w:val="24"/>
          <w:szCs w:val="24"/>
          <w:shd w:val="clear" w:color="auto" w:fill="FFFFFF"/>
        </w:rPr>
        <w:t>International Journal of Finance &amp; Economics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24</w:t>
      </w:r>
      <w:r w:rsidRPr="00FA1B88">
        <w:rPr>
          <w:rFonts w:ascii="Arial" w:hAnsi="Arial" w:cs="Arial"/>
          <w:color w:val="222222"/>
          <w:sz w:val="24"/>
          <w:szCs w:val="24"/>
          <w:shd w:val="clear" w:color="auto" w:fill="FFFFFF"/>
        </w:rPr>
        <w:t>(1), 412-426.</w:t>
      </w:r>
    </w:p>
    <w:p w14:paraId="75F62347"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Caldara, D., Fuentes-Albero, C., Gilchrist, S., &amp; Zakrajšek, E. (2016). The macroeconomic impact of financial and uncertainty shocks. </w:t>
      </w:r>
      <w:r w:rsidRPr="00FA1B88">
        <w:rPr>
          <w:rFonts w:ascii="Arial" w:hAnsi="Arial" w:cs="Arial"/>
          <w:i/>
          <w:iCs/>
          <w:color w:val="222222"/>
          <w:sz w:val="24"/>
          <w:szCs w:val="24"/>
          <w:shd w:val="clear" w:color="auto" w:fill="FFFFFF"/>
        </w:rPr>
        <w:t>European Economic Review</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88</w:t>
      </w:r>
      <w:r w:rsidRPr="00FA1B88">
        <w:rPr>
          <w:rFonts w:ascii="Arial" w:hAnsi="Arial" w:cs="Arial"/>
          <w:color w:val="222222"/>
          <w:sz w:val="24"/>
          <w:szCs w:val="24"/>
          <w:shd w:val="clear" w:color="auto" w:fill="FFFFFF"/>
        </w:rPr>
        <w:t>, 185-207.</w:t>
      </w:r>
    </w:p>
    <w:p w14:paraId="7EB461E3"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Carbo</w:t>
      </w:r>
      <w:r w:rsidRPr="00FA1B88">
        <w:rPr>
          <w:rFonts w:ascii="Cambria Math" w:hAnsi="Cambria Math" w:cs="Cambria Math"/>
          <w:color w:val="222222"/>
          <w:sz w:val="24"/>
          <w:szCs w:val="24"/>
          <w:shd w:val="clear" w:color="auto" w:fill="FFFFFF"/>
        </w:rPr>
        <w:t>‐</w:t>
      </w:r>
      <w:r w:rsidRPr="00FA1B88">
        <w:rPr>
          <w:rFonts w:ascii="Arial" w:hAnsi="Arial" w:cs="Arial"/>
          <w:color w:val="222222"/>
          <w:sz w:val="24"/>
          <w:szCs w:val="24"/>
          <w:shd w:val="clear" w:color="auto" w:fill="FFFFFF"/>
        </w:rPr>
        <w:t>Valverde, S., Rodriguez</w:t>
      </w:r>
      <w:r w:rsidRPr="00FA1B88">
        <w:rPr>
          <w:rFonts w:ascii="Cambria Math" w:hAnsi="Cambria Math" w:cs="Cambria Math"/>
          <w:color w:val="222222"/>
          <w:sz w:val="24"/>
          <w:szCs w:val="24"/>
          <w:shd w:val="clear" w:color="auto" w:fill="FFFFFF"/>
        </w:rPr>
        <w:t>‐</w:t>
      </w:r>
      <w:r w:rsidRPr="00FA1B88">
        <w:rPr>
          <w:rFonts w:ascii="Arial" w:hAnsi="Arial" w:cs="Arial"/>
          <w:color w:val="222222"/>
          <w:sz w:val="24"/>
          <w:szCs w:val="24"/>
          <w:shd w:val="clear" w:color="auto" w:fill="FFFFFF"/>
        </w:rPr>
        <w:t>Fernandez, F., &amp; Udell, G. F. (2016). Trade credit, the financial crisis, and SME access to finance. </w:t>
      </w:r>
      <w:r w:rsidRPr="00FA1B88">
        <w:rPr>
          <w:rFonts w:ascii="Arial" w:hAnsi="Arial" w:cs="Arial"/>
          <w:i/>
          <w:iCs/>
          <w:color w:val="222222"/>
          <w:sz w:val="24"/>
          <w:szCs w:val="24"/>
          <w:shd w:val="clear" w:color="auto" w:fill="FFFFFF"/>
        </w:rPr>
        <w:t>Journal of Money, credit and Banking</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48</w:t>
      </w:r>
      <w:r w:rsidRPr="00FA1B88">
        <w:rPr>
          <w:rFonts w:ascii="Arial" w:hAnsi="Arial" w:cs="Arial"/>
          <w:color w:val="222222"/>
          <w:sz w:val="24"/>
          <w:szCs w:val="24"/>
          <w:shd w:val="clear" w:color="auto" w:fill="FFFFFF"/>
        </w:rPr>
        <w:t>(1), 113-143.</w:t>
      </w:r>
    </w:p>
    <w:p w14:paraId="691C2E7C"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Dogan, E., &amp; Turkekul, B. (2016). CO 2 emissions, real output, energy consumption, trade, urbanization and financial development: testing the EKC hypothesis for the USA. </w:t>
      </w:r>
      <w:r w:rsidRPr="00FA1B88">
        <w:rPr>
          <w:rFonts w:ascii="Arial" w:hAnsi="Arial" w:cs="Arial"/>
          <w:i/>
          <w:iCs/>
          <w:color w:val="222222"/>
          <w:sz w:val="24"/>
          <w:szCs w:val="24"/>
          <w:shd w:val="clear" w:color="auto" w:fill="FFFFFF"/>
        </w:rPr>
        <w:t>Environmental Science and Pollution Research</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23</w:t>
      </w:r>
      <w:r w:rsidRPr="00FA1B88">
        <w:rPr>
          <w:rFonts w:ascii="Arial" w:hAnsi="Arial" w:cs="Arial"/>
          <w:color w:val="222222"/>
          <w:sz w:val="24"/>
          <w:szCs w:val="24"/>
          <w:shd w:val="clear" w:color="auto" w:fill="FFFFFF"/>
        </w:rPr>
        <w:t>, 1203-1213.</w:t>
      </w:r>
    </w:p>
    <w:p w14:paraId="79302FF9"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Donthu, N., Kumar, S., Mukherjee, D., Pandey, N., &amp; Lim, W. M. (2021). How to conduct a bibliometric analysis: An overview and guidelines. </w:t>
      </w:r>
      <w:r w:rsidRPr="00FA1B88">
        <w:rPr>
          <w:rFonts w:ascii="Arial" w:hAnsi="Arial" w:cs="Arial"/>
          <w:i/>
          <w:iCs/>
          <w:color w:val="222222"/>
          <w:sz w:val="24"/>
          <w:szCs w:val="24"/>
          <w:shd w:val="clear" w:color="auto" w:fill="FFFFFF"/>
        </w:rPr>
        <w:t>Journal of business research</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133</w:t>
      </w:r>
      <w:r w:rsidRPr="00FA1B88">
        <w:rPr>
          <w:rFonts w:ascii="Arial" w:hAnsi="Arial" w:cs="Arial"/>
          <w:color w:val="222222"/>
          <w:sz w:val="24"/>
          <w:szCs w:val="24"/>
          <w:shd w:val="clear" w:color="auto" w:fill="FFFFFF"/>
        </w:rPr>
        <w:t>, 285-296.</w:t>
      </w:r>
    </w:p>
    <w:p w14:paraId="48AD56FF"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Fisher, R. C. (2022). </w:t>
      </w:r>
      <w:r w:rsidRPr="00FA1B88">
        <w:rPr>
          <w:rFonts w:ascii="Arial" w:hAnsi="Arial" w:cs="Arial"/>
          <w:i/>
          <w:iCs/>
          <w:color w:val="222222"/>
          <w:sz w:val="24"/>
          <w:szCs w:val="24"/>
          <w:shd w:val="clear" w:color="auto" w:fill="FFFFFF"/>
        </w:rPr>
        <w:t>State and local public finance</w:t>
      </w:r>
      <w:r w:rsidRPr="00FA1B88">
        <w:rPr>
          <w:rFonts w:ascii="Arial" w:hAnsi="Arial" w:cs="Arial"/>
          <w:color w:val="222222"/>
          <w:sz w:val="24"/>
          <w:szCs w:val="24"/>
          <w:shd w:val="clear" w:color="auto" w:fill="FFFFFF"/>
        </w:rPr>
        <w:t>. Routledge.</w:t>
      </w:r>
    </w:p>
    <w:p w14:paraId="3CEF5213"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Giese, G., Lee, L. E., Melas, D., Nagy, Z., &amp; Nishikawa, L. (2019). Foundations of ESG investing: How ESG affects equity valuation, risk, and performance. </w:t>
      </w:r>
      <w:r w:rsidRPr="00FA1B88">
        <w:rPr>
          <w:rFonts w:ascii="Arial" w:hAnsi="Arial" w:cs="Arial"/>
          <w:i/>
          <w:iCs/>
          <w:color w:val="222222"/>
          <w:sz w:val="24"/>
          <w:szCs w:val="24"/>
          <w:shd w:val="clear" w:color="auto" w:fill="FFFFFF"/>
        </w:rPr>
        <w:t>The Journal of Portfolio Management</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45</w:t>
      </w:r>
      <w:r w:rsidRPr="00FA1B88">
        <w:rPr>
          <w:rFonts w:ascii="Arial" w:hAnsi="Arial" w:cs="Arial"/>
          <w:color w:val="222222"/>
          <w:sz w:val="24"/>
          <w:szCs w:val="24"/>
          <w:shd w:val="clear" w:color="auto" w:fill="FFFFFF"/>
        </w:rPr>
        <w:t>(5), 69-83.</w:t>
      </w:r>
    </w:p>
    <w:p w14:paraId="442C69C9"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lastRenderedPageBreak/>
        <w:t>Goyal, K., &amp; Kumar, S. (2021). Financial literacy: A systematic review and bibliometric analysis. </w:t>
      </w:r>
      <w:r w:rsidRPr="00FA1B88">
        <w:rPr>
          <w:rFonts w:ascii="Arial" w:hAnsi="Arial" w:cs="Arial"/>
          <w:i/>
          <w:iCs/>
          <w:color w:val="222222"/>
          <w:sz w:val="24"/>
          <w:szCs w:val="24"/>
          <w:shd w:val="clear" w:color="auto" w:fill="FFFFFF"/>
        </w:rPr>
        <w:t>International Journal of Consumer Studies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45</w:t>
      </w:r>
      <w:r w:rsidRPr="00FA1B88">
        <w:rPr>
          <w:rFonts w:ascii="Arial" w:hAnsi="Arial" w:cs="Arial"/>
          <w:color w:val="222222"/>
          <w:sz w:val="24"/>
          <w:szCs w:val="24"/>
          <w:shd w:val="clear" w:color="auto" w:fill="FFFFFF"/>
        </w:rPr>
        <w:t>(1), 80-105.</w:t>
      </w:r>
    </w:p>
    <w:p w14:paraId="76E31769"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Hiferding, R. (2019). </w:t>
      </w:r>
      <w:r w:rsidRPr="00FA1B88">
        <w:rPr>
          <w:rFonts w:ascii="Arial" w:hAnsi="Arial" w:cs="Arial"/>
          <w:i/>
          <w:iCs/>
          <w:color w:val="222222"/>
          <w:sz w:val="24"/>
          <w:szCs w:val="24"/>
          <w:shd w:val="clear" w:color="auto" w:fill="FFFFFF"/>
        </w:rPr>
        <w:t>Finance capital: A study in the latest phase of capitalist development</w:t>
      </w:r>
      <w:r w:rsidRPr="00FA1B88">
        <w:rPr>
          <w:rFonts w:ascii="Arial" w:hAnsi="Arial" w:cs="Arial"/>
          <w:color w:val="222222"/>
          <w:sz w:val="24"/>
          <w:szCs w:val="24"/>
          <w:shd w:val="clear" w:color="auto" w:fill="FFFFFF"/>
        </w:rPr>
        <w:t>. Routledge.</w:t>
      </w:r>
    </w:p>
    <w:p w14:paraId="01061DB8"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Matar, A., &amp; Eneizan, B. (2018). Determinants of financial performance in the industrial firms: Evidence from Jordan. </w:t>
      </w:r>
      <w:r w:rsidRPr="00FA1B88">
        <w:rPr>
          <w:rFonts w:ascii="Arial" w:hAnsi="Arial" w:cs="Arial"/>
          <w:i/>
          <w:iCs/>
          <w:color w:val="222222"/>
          <w:sz w:val="24"/>
          <w:szCs w:val="24"/>
          <w:shd w:val="clear" w:color="auto" w:fill="FFFFFF"/>
        </w:rPr>
        <w:t>Asian Journal of Agricultural Extension, Economics &amp; Sociology</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22</w:t>
      </w:r>
      <w:r w:rsidRPr="00FA1B88">
        <w:rPr>
          <w:rFonts w:ascii="Arial" w:hAnsi="Arial" w:cs="Arial"/>
          <w:color w:val="222222"/>
          <w:sz w:val="24"/>
          <w:szCs w:val="24"/>
          <w:shd w:val="clear" w:color="auto" w:fill="FFFFFF"/>
        </w:rPr>
        <w:t>(1), 1-10.</w:t>
      </w:r>
    </w:p>
    <w:p w14:paraId="62AED802"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Platonova, E., Asutay, M., Dixon, R., &amp; Mohammad, S. (2018). The impact of corporate social responsibility disclosure on financial performance: Evidence from the GCC Islamic banking sector. </w:t>
      </w:r>
      <w:r w:rsidRPr="00FA1B88">
        <w:rPr>
          <w:rFonts w:ascii="Arial" w:hAnsi="Arial" w:cs="Arial"/>
          <w:i/>
          <w:iCs/>
          <w:color w:val="222222"/>
          <w:sz w:val="24"/>
          <w:szCs w:val="24"/>
          <w:shd w:val="clear" w:color="auto" w:fill="FFFFFF"/>
        </w:rPr>
        <w:t>Journal of business ethics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151</w:t>
      </w:r>
      <w:r w:rsidRPr="00FA1B88">
        <w:rPr>
          <w:rFonts w:ascii="Arial" w:hAnsi="Arial" w:cs="Arial"/>
          <w:color w:val="222222"/>
          <w:sz w:val="24"/>
          <w:szCs w:val="24"/>
          <w:shd w:val="clear" w:color="auto" w:fill="FFFFFF"/>
        </w:rPr>
        <w:t>, 451-471.</w:t>
      </w:r>
    </w:p>
    <w:p w14:paraId="68A1BF75"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Qiu, Y., Shaukat, A., &amp; Tharyan, R. (2016). Environmental and social disclosures: Link with corporate financial performance. </w:t>
      </w:r>
      <w:r w:rsidRPr="00FA1B88">
        <w:rPr>
          <w:rFonts w:ascii="Arial" w:hAnsi="Arial" w:cs="Arial"/>
          <w:i/>
          <w:iCs/>
          <w:color w:val="222222"/>
          <w:sz w:val="24"/>
          <w:szCs w:val="24"/>
          <w:shd w:val="clear" w:color="auto" w:fill="FFFFFF"/>
        </w:rPr>
        <w:t>The British Accounting Review</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48</w:t>
      </w:r>
      <w:r w:rsidRPr="00FA1B88">
        <w:rPr>
          <w:rFonts w:ascii="Arial" w:hAnsi="Arial" w:cs="Arial"/>
          <w:color w:val="222222"/>
          <w:sz w:val="24"/>
          <w:szCs w:val="24"/>
          <w:shd w:val="clear" w:color="auto" w:fill="FFFFFF"/>
        </w:rPr>
        <w:t>(1), 102-116.</w:t>
      </w:r>
    </w:p>
    <w:p w14:paraId="203AE50A"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Rodriguez-Fernandez, M. (2016). Social responsibility and financial performance: The role of good corporate governance. </w:t>
      </w:r>
      <w:r w:rsidRPr="00FA1B88">
        <w:rPr>
          <w:rFonts w:ascii="Arial" w:hAnsi="Arial" w:cs="Arial"/>
          <w:i/>
          <w:iCs/>
          <w:color w:val="222222"/>
          <w:sz w:val="24"/>
          <w:szCs w:val="24"/>
          <w:shd w:val="clear" w:color="auto" w:fill="FFFFFF"/>
        </w:rPr>
        <w:t>BRQ Business research quarterly</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19</w:t>
      </w:r>
      <w:r w:rsidRPr="00FA1B88">
        <w:rPr>
          <w:rFonts w:ascii="Arial" w:hAnsi="Arial" w:cs="Arial"/>
          <w:color w:val="222222"/>
          <w:sz w:val="24"/>
          <w:szCs w:val="24"/>
          <w:shd w:val="clear" w:color="auto" w:fill="FFFFFF"/>
        </w:rPr>
        <w:t>(2), 137-151.</w:t>
      </w:r>
    </w:p>
    <w:p w14:paraId="0E717BF0"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Selvin, S., Vinayakumar, R., Gopalakrishnan, E. A., Menon, V. K., &amp; Soman, K. P. (2017, September). Stock price prediction using LSTM, RNN and CNN-sliding window model. In </w:t>
      </w:r>
      <w:r w:rsidRPr="00FA1B88">
        <w:rPr>
          <w:rFonts w:ascii="Arial" w:hAnsi="Arial" w:cs="Arial"/>
          <w:i/>
          <w:iCs/>
          <w:color w:val="222222"/>
          <w:sz w:val="24"/>
          <w:szCs w:val="24"/>
          <w:shd w:val="clear" w:color="auto" w:fill="FFFFFF"/>
        </w:rPr>
        <w:t>2017 international conference on advances in computing, communications and informatics (icacci)</w:t>
      </w:r>
      <w:r w:rsidRPr="00FA1B88">
        <w:rPr>
          <w:rFonts w:ascii="Arial" w:hAnsi="Arial" w:cs="Arial"/>
          <w:color w:val="222222"/>
          <w:sz w:val="24"/>
          <w:szCs w:val="24"/>
          <w:shd w:val="clear" w:color="auto" w:fill="FFFFFF"/>
        </w:rPr>
        <w:t> (pp. 1643-1647). IEEE.</w:t>
      </w:r>
    </w:p>
    <w:p w14:paraId="32AC6EB8"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Soumaré, I., Tchana, F. T., &amp; Kengne, T. M. (2016). Analysis of the determinants of financial inclusion in Central and West Africa. </w:t>
      </w:r>
      <w:r w:rsidRPr="00FA1B88">
        <w:rPr>
          <w:rFonts w:ascii="Arial" w:hAnsi="Arial" w:cs="Arial"/>
          <w:i/>
          <w:iCs/>
          <w:color w:val="222222"/>
          <w:sz w:val="24"/>
          <w:szCs w:val="24"/>
          <w:shd w:val="clear" w:color="auto" w:fill="FFFFFF"/>
        </w:rPr>
        <w:t>Transnational Corporations Review</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8</w:t>
      </w:r>
      <w:r w:rsidRPr="00FA1B88">
        <w:rPr>
          <w:rFonts w:ascii="Arial" w:hAnsi="Arial" w:cs="Arial"/>
          <w:color w:val="222222"/>
          <w:sz w:val="24"/>
          <w:szCs w:val="24"/>
          <w:shd w:val="clear" w:color="auto" w:fill="FFFFFF"/>
        </w:rPr>
        <w:t>(4), 231-249.</w:t>
      </w:r>
    </w:p>
    <w:p w14:paraId="1C205C17"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Van Duuren, E., Plantinga, A., &amp; Scholtens, B. (2016). ESG integration and the investment management process: Fundamental investing reinvented. </w:t>
      </w:r>
      <w:r w:rsidRPr="00FA1B88">
        <w:rPr>
          <w:rFonts w:ascii="Arial" w:hAnsi="Arial" w:cs="Arial"/>
          <w:i/>
          <w:iCs/>
          <w:color w:val="222222"/>
          <w:sz w:val="24"/>
          <w:szCs w:val="24"/>
          <w:shd w:val="clear" w:color="auto" w:fill="FFFFFF"/>
        </w:rPr>
        <w:t>Journal of business ethics</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138</w:t>
      </w:r>
      <w:r w:rsidRPr="00FA1B88">
        <w:rPr>
          <w:rFonts w:ascii="Arial" w:hAnsi="Arial" w:cs="Arial"/>
          <w:color w:val="222222"/>
          <w:sz w:val="24"/>
          <w:szCs w:val="24"/>
          <w:shd w:val="clear" w:color="auto" w:fill="FFFFFF"/>
        </w:rPr>
        <w:t>, 525-533.</w:t>
      </w:r>
    </w:p>
    <w:p w14:paraId="2079B0A1" w14:textId="77777777" w:rsidR="000E4648" w:rsidRPr="00FA1B88" w:rsidRDefault="000E4648" w:rsidP="00FA1B88">
      <w:pPr>
        <w:spacing w:line="360" w:lineRule="auto"/>
        <w:jc w:val="both"/>
        <w:rPr>
          <w:rFonts w:ascii="Arial" w:hAnsi="Arial" w:cs="Arial"/>
          <w:color w:val="222222"/>
          <w:sz w:val="24"/>
          <w:szCs w:val="24"/>
          <w:shd w:val="clear" w:color="auto" w:fill="FFFFFF"/>
        </w:rPr>
      </w:pPr>
      <w:r w:rsidRPr="00FA1B88">
        <w:rPr>
          <w:rFonts w:ascii="Arial" w:hAnsi="Arial" w:cs="Arial"/>
          <w:color w:val="222222"/>
          <w:sz w:val="24"/>
          <w:szCs w:val="24"/>
          <w:shd w:val="clear" w:color="auto" w:fill="FFFFFF"/>
        </w:rPr>
        <w:t>Whitehead, J. (2017). Prioritizing sustainability indicators: Using materiality analysis to guide sustainability assessment and strategy. </w:t>
      </w:r>
      <w:r w:rsidRPr="00FA1B88">
        <w:rPr>
          <w:rFonts w:ascii="Arial" w:hAnsi="Arial" w:cs="Arial"/>
          <w:i/>
          <w:iCs/>
          <w:color w:val="222222"/>
          <w:sz w:val="24"/>
          <w:szCs w:val="24"/>
          <w:shd w:val="clear" w:color="auto" w:fill="FFFFFF"/>
        </w:rPr>
        <w:t>Business strategy and the environment</w:t>
      </w:r>
      <w:r w:rsidRPr="00FA1B88">
        <w:rPr>
          <w:rFonts w:ascii="Arial" w:hAnsi="Arial" w:cs="Arial"/>
          <w:color w:val="222222"/>
          <w:sz w:val="24"/>
          <w:szCs w:val="24"/>
          <w:shd w:val="clear" w:color="auto" w:fill="FFFFFF"/>
        </w:rPr>
        <w:t>, </w:t>
      </w:r>
      <w:r w:rsidRPr="00FA1B88">
        <w:rPr>
          <w:rFonts w:ascii="Arial" w:hAnsi="Arial" w:cs="Arial"/>
          <w:i/>
          <w:iCs/>
          <w:color w:val="222222"/>
          <w:sz w:val="24"/>
          <w:szCs w:val="24"/>
          <w:shd w:val="clear" w:color="auto" w:fill="FFFFFF"/>
        </w:rPr>
        <w:t>26</w:t>
      </w:r>
      <w:r w:rsidRPr="00FA1B88">
        <w:rPr>
          <w:rFonts w:ascii="Arial" w:hAnsi="Arial" w:cs="Arial"/>
          <w:color w:val="222222"/>
          <w:sz w:val="24"/>
          <w:szCs w:val="24"/>
          <w:shd w:val="clear" w:color="auto" w:fill="FFFFFF"/>
        </w:rPr>
        <w:t>(3), 399-412.</w:t>
      </w:r>
    </w:p>
    <w:p w14:paraId="6F8573C3" w14:textId="77777777" w:rsidR="00FA1B88" w:rsidRPr="00FA1B88" w:rsidRDefault="00FA1B88" w:rsidP="00FA1B88">
      <w:pPr>
        <w:spacing w:line="360" w:lineRule="auto"/>
        <w:jc w:val="both"/>
        <w:rPr>
          <w:rFonts w:ascii="Arial" w:hAnsi="Arial" w:cs="Arial"/>
          <w:color w:val="222222"/>
          <w:sz w:val="24"/>
          <w:szCs w:val="24"/>
          <w:shd w:val="clear" w:color="auto" w:fill="FFFFFF"/>
        </w:rPr>
      </w:pPr>
    </w:p>
    <w:p w14:paraId="1A6DC04E" w14:textId="77777777" w:rsidR="00960B2D" w:rsidRPr="00FA1B88" w:rsidRDefault="00960B2D" w:rsidP="00FA1B88">
      <w:pPr>
        <w:spacing w:line="360" w:lineRule="auto"/>
        <w:jc w:val="both"/>
        <w:rPr>
          <w:rFonts w:ascii="Arial" w:hAnsi="Arial" w:cs="Arial"/>
          <w:color w:val="222222"/>
          <w:sz w:val="24"/>
          <w:szCs w:val="24"/>
          <w:shd w:val="clear" w:color="auto" w:fill="FFFFFF"/>
        </w:rPr>
      </w:pPr>
    </w:p>
    <w:p w14:paraId="20DAF616" w14:textId="77777777" w:rsidR="003F5AD1" w:rsidRPr="00FA1B88" w:rsidRDefault="003F5AD1" w:rsidP="00FA1B88">
      <w:pPr>
        <w:spacing w:line="360" w:lineRule="auto"/>
        <w:jc w:val="both"/>
        <w:rPr>
          <w:rFonts w:ascii="Arial" w:hAnsi="Arial" w:cs="Arial"/>
          <w:color w:val="222222"/>
          <w:sz w:val="24"/>
          <w:szCs w:val="24"/>
          <w:shd w:val="clear" w:color="auto" w:fill="FFFFFF"/>
        </w:rPr>
      </w:pPr>
    </w:p>
    <w:p w14:paraId="7BA2F0CC" w14:textId="16F17D6D" w:rsidR="0081556B" w:rsidRPr="00FA1B88" w:rsidRDefault="0081556B" w:rsidP="00FA1B88">
      <w:pPr>
        <w:spacing w:line="360" w:lineRule="auto"/>
        <w:jc w:val="both"/>
        <w:rPr>
          <w:rFonts w:ascii="Arial" w:hAnsi="Arial" w:cs="Arial"/>
          <w:color w:val="222222"/>
          <w:sz w:val="24"/>
          <w:szCs w:val="24"/>
          <w:shd w:val="clear" w:color="auto" w:fill="FFFFFF"/>
        </w:rPr>
      </w:pPr>
    </w:p>
    <w:sectPr w:rsidR="0081556B" w:rsidRPr="00FA1B88">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9E61C5" w14:textId="77777777" w:rsidR="001B308D" w:rsidRDefault="001B308D" w:rsidP="003530CF">
      <w:pPr>
        <w:spacing w:after="0" w:line="240" w:lineRule="auto"/>
      </w:pPr>
      <w:r>
        <w:separator/>
      </w:r>
    </w:p>
  </w:endnote>
  <w:endnote w:type="continuationSeparator" w:id="0">
    <w:p w14:paraId="25AC4950" w14:textId="77777777" w:rsidR="001B308D" w:rsidRDefault="001B308D" w:rsidP="00353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2552575"/>
      <w:docPartObj>
        <w:docPartGallery w:val="Page Numbers (Bottom of Page)"/>
        <w:docPartUnique/>
      </w:docPartObj>
    </w:sdtPr>
    <w:sdtEndPr>
      <w:rPr>
        <w:noProof/>
      </w:rPr>
    </w:sdtEndPr>
    <w:sdtContent>
      <w:p w14:paraId="4533D37B" w14:textId="21F5DEB6" w:rsidR="003530CF" w:rsidRDefault="003530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325990" w14:textId="77777777" w:rsidR="003530CF" w:rsidRDefault="003530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7472FB" w14:textId="77777777" w:rsidR="001B308D" w:rsidRDefault="001B308D" w:rsidP="003530CF">
      <w:pPr>
        <w:spacing w:after="0" w:line="240" w:lineRule="auto"/>
      </w:pPr>
      <w:r>
        <w:separator/>
      </w:r>
    </w:p>
  </w:footnote>
  <w:footnote w:type="continuationSeparator" w:id="0">
    <w:p w14:paraId="4178FFC6" w14:textId="77777777" w:rsidR="001B308D" w:rsidRDefault="001B308D" w:rsidP="003530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547"/>
    <w:multiLevelType w:val="hybridMultilevel"/>
    <w:tmpl w:val="AFC47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75590"/>
    <w:multiLevelType w:val="hybridMultilevel"/>
    <w:tmpl w:val="82C06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9E716F"/>
    <w:multiLevelType w:val="hybridMultilevel"/>
    <w:tmpl w:val="D8FCB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891397"/>
    <w:multiLevelType w:val="hybridMultilevel"/>
    <w:tmpl w:val="C9E876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2C241F"/>
    <w:multiLevelType w:val="hybridMultilevel"/>
    <w:tmpl w:val="ECD43A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C079B2"/>
    <w:multiLevelType w:val="hybridMultilevel"/>
    <w:tmpl w:val="39E8E0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B6007"/>
    <w:multiLevelType w:val="hybridMultilevel"/>
    <w:tmpl w:val="54524D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546757"/>
    <w:multiLevelType w:val="hybridMultilevel"/>
    <w:tmpl w:val="95DEF2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1526B0"/>
    <w:multiLevelType w:val="hybridMultilevel"/>
    <w:tmpl w:val="15B8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7411C4"/>
    <w:multiLevelType w:val="hybridMultilevel"/>
    <w:tmpl w:val="B21084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3B3C87"/>
    <w:multiLevelType w:val="hybridMultilevel"/>
    <w:tmpl w:val="7E8A03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009223">
    <w:abstractNumId w:val="0"/>
  </w:num>
  <w:num w:numId="2" w16cid:durableId="1870139361">
    <w:abstractNumId w:val="7"/>
  </w:num>
  <w:num w:numId="3" w16cid:durableId="684019966">
    <w:abstractNumId w:val="8"/>
  </w:num>
  <w:num w:numId="4" w16cid:durableId="166336875">
    <w:abstractNumId w:val="4"/>
  </w:num>
  <w:num w:numId="5" w16cid:durableId="930747667">
    <w:abstractNumId w:val="9"/>
  </w:num>
  <w:num w:numId="6" w16cid:durableId="1340035884">
    <w:abstractNumId w:val="2"/>
  </w:num>
  <w:num w:numId="7" w16cid:durableId="280645616">
    <w:abstractNumId w:val="10"/>
  </w:num>
  <w:num w:numId="8" w16cid:durableId="1711800455">
    <w:abstractNumId w:val="1"/>
  </w:num>
  <w:num w:numId="9" w16cid:durableId="1911497752">
    <w:abstractNumId w:val="6"/>
  </w:num>
  <w:num w:numId="10" w16cid:durableId="478309702">
    <w:abstractNumId w:val="3"/>
  </w:num>
  <w:num w:numId="11" w16cid:durableId="4929191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2FB"/>
    <w:rsid w:val="00000441"/>
    <w:rsid w:val="00006934"/>
    <w:rsid w:val="000238A7"/>
    <w:rsid w:val="000325ED"/>
    <w:rsid w:val="0004072E"/>
    <w:rsid w:val="00040D01"/>
    <w:rsid w:val="00041E80"/>
    <w:rsid w:val="0004244D"/>
    <w:rsid w:val="00062617"/>
    <w:rsid w:val="00063581"/>
    <w:rsid w:val="000714A5"/>
    <w:rsid w:val="00076233"/>
    <w:rsid w:val="000926E7"/>
    <w:rsid w:val="00097449"/>
    <w:rsid w:val="000A3721"/>
    <w:rsid w:val="000A669E"/>
    <w:rsid w:val="000A7C48"/>
    <w:rsid w:val="000B14FA"/>
    <w:rsid w:val="000B24A9"/>
    <w:rsid w:val="000D0C50"/>
    <w:rsid w:val="000D718E"/>
    <w:rsid w:val="000E0C9C"/>
    <w:rsid w:val="000E375B"/>
    <w:rsid w:val="000E4648"/>
    <w:rsid w:val="000E5B22"/>
    <w:rsid w:val="000F2D13"/>
    <w:rsid w:val="000F3961"/>
    <w:rsid w:val="00112C22"/>
    <w:rsid w:val="0012310F"/>
    <w:rsid w:val="001331FE"/>
    <w:rsid w:val="00155233"/>
    <w:rsid w:val="001579AC"/>
    <w:rsid w:val="00163442"/>
    <w:rsid w:val="00176D13"/>
    <w:rsid w:val="00176F61"/>
    <w:rsid w:val="0018239C"/>
    <w:rsid w:val="0019484B"/>
    <w:rsid w:val="001A4883"/>
    <w:rsid w:val="001A5423"/>
    <w:rsid w:val="001A761D"/>
    <w:rsid w:val="001B308D"/>
    <w:rsid w:val="001C312C"/>
    <w:rsid w:val="001C605D"/>
    <w:rsid w:val="001E276A"/>
    <w:rsid w:val="001E28AC"/>
    <w:rsid w:val="001E4290"/>
    <w:rsid w:val="001F21BF"/>
    <w:rsid w:val="001F2282"/>
    <w:rsid w:val="00204C6C"/>
    <w:rsid w:val="0021609A"/>
    <w:rsid w:val="002225C9"/>
    <w:rsid w:val="002262FF"/>
    <w:rsid w:val="00244095"/>
    <w:rsid w:val="0025724A"/>
    <w:rsid w:val="002619CA"/>
    <w:rsid w:val="00266801"/>
    <w:rsid w:val="002754E3"/>
    <w:rsid w:val="00280766"/>
    <w:rsid w:val="002950C6"/>
    <w:rsid w:val="002A4E93"/>
    <w:rsid w:val="002B1554"/>
    <w:rsid w:val="002C0531"/>
    <w:rsid w:val="002C1611"/>
    <w:rsid w:val="002C5F1F"/>
    <w:rsid w:val="002C6896"/>
    <w:rsid w:val="002D6C79"/>
    <w:rsid w:val="002F03AB"/>
    <w:rsid w:val="002F2FD8"/>
    <w:rsid w:val="002F398F"/>
    <w:rsid w:val="00300B75"/>
    <w:rsid w:val="00312ABA"/>
    <w:rsid w:val="00322137"/>
    <w:rsid w:val="00326549"/>
    <w:rsid w:val="00326FC3"/>
    <w:rsid w:val="003475EE"/>
    <w:rsid w:val="00347FDA"/>
    <w:rsid w:val="003530CF"/>
    <w:rsid w:val="003619A7"/>
    <w:rsid w:val="003645B4"/>
    <w:rsid w:val="0037051E"/>
    <w:rsid w:val="0038003E"/>
    <w:rsid w:val="00382BF2"/>
    <w:rsid w:val="0038764F"/>
    <w:rsid w:val="00390737"/>
    <w:rsid w:val="003B5C85"/>
    <w:rsid w:val="003C3410"/>
    <w:rsid w:val="003E1EF6"/>
    <w:rsid w:val="003F5AD1"/>
    <w:rsid w:val="003F77CA"/>
    <w:rsid w:val="004041FA"/>
    <w:rsid w:val="0040467A"/>
    <w:rsid w:val="00405BB0"/>
    <w:rsid w:val="00414D4E"/>
    <w:rsid w:val="00421C55"/>
    <w:rsid w:val="0042373B"/>
    <w:rsid w:val="00424B50"/>
    <w:rsid w:val="00433312"/>
    <w:rsid w:val="004342FD"/>
    <w:rsid w:val="00442506"/>
    <w:rsid w:val="0044338F"/>
    <w:rsid w:val="00443BB6"/>
    <w:rsid w:val="004624A5"/>
    <w:rsid w:val="00476B7A"/>
    <w:rsid w:val="0048103D"/>
    <w:rsid w:val="00486404"/>
    <w:rsid w:val="00496445"/>
    <w:rsid w:val="00496D07"/>
    <w:rsid w:val="004A4A0F"/>
    <w:rsid w:val="004A4C1D"/>
    <w:rsid w:val="004B2BBE"/>
    <w:rsid w:val="004B5BD7"/>
    <w:rsid w:val="004C2A47"/>
    <w:rsid w:val="004C5A8E"/>
    <w:rsid w:val="004C68AC"/>
    <w:rsid w:val="004D2537"/>
    <w:rsid w:val="004D5EBF"/>
    <w:rsid w:val="004E28C9"/>
    <w:rsid w:val="004E5A52"/>
    <w:rsid w:val="004F1995"/>
    <w:rsid w:val="005049F5"/>
    <w:rsid w:val="00506E3C"/>
    <w:rsid w:val="005234A1"/>
    <w:rsid w:val="00533071"/>
    <w:rsid w:val="005419B0"/>
    <w:rsid w:val="00542666"/>
    <w:rsid w:val="005501F6"/>
    <w:rsid w:val="00567852"/>
    <w:rsid w:val="0058709D"/>
    <w:rsid w:val="00590636"/>
    <w:rsid w:val="00596A7F"/>
    <w:rsid w:val="00597792"/>
    <w:rsid w:val="005A0212"/>
    <w:rsid w:val="005A754A"/>
    <w:rsid w:val="005A7C4C"/>
    <w:rsid w:val="005B00FF"/>
    <w:rsid w:val="005B7118"/>
    <w:rsid w:val="005C2ED6"/>
    <w:rsid w:val="005C7A7B"/>
    <w:rsid w:val="005D428E"/>
    <w:rsid w:val="005D696C"/>
    <w:rsid w:val="005D6EC6"/>
    <w:rsid w:val="005E74D7"/>
    <w:rsid w:val="005F2DC3"/>
    <w:rsid w:val="005F6D85"/>
    <w:rsid w:val="00600C89"/>
    <w:rsid w:val="00602512"/>
    <w:rsid w:val="006118B6"/>
    <w:rsid w:val="00612685"/>
    <w:rsid w:val="00661974"/>
    <w:rsid w:val="00661C7B"/>
    <w:rsid w:val="00670640"/>
    <w:rsid w:val="00687AC3"/>
    <w:rsid w:val="006919D7"/>
    <w:rsid w:val="006950EB"/>
    <w:rsid w:val="00695990"/>
    <w:rsid w:val="006A1B40"/>
    <w:rsid w:val="006A64E7"/>
    <w:rsid w:val="006A6C17"/>
    <w:rsid w:val="006A76FC"/>
    <w:rsid w:val="006C5BEA"/>
    <w:rsid w:val="006D0FC8"/>
    <w:rsid w:val="006D3F77"/>
    <w:rsid w:val="006E352A"/>
    <w:rsid w:val="006F585E"/>
    <w:rsid w:val="00711BA6"/>
    <w:rsid w:val="00716947"/>
    <w:rsid w:val="00724CBC"/>
    <w:rsid w:val="00741FFA"/>
    <w:rsid w:val="00742133"/>
    <w:rsid w:val="00753D0B"/>
    <w:rsid w:val="00755DAC"/>
    <w:rsid w:val="00756AF1"/>
    <w:rsid w:val="00763FC3"/>
    <w:rsid w:val="007728A2"/>
    <w:rsid w:val="0077548A"/>
    <w:rsid w:val="00776A91"/>
    <w:rsid w:val="00780823"/>
    <w:rsid w:val="007A0CBE"/>
    <w:rsid w:val="007A180B"/>
    <w:rsid w:val="007A3CDF"/>
    <w:rsid w:val="007A48F3"/>
    <w:rsid w:val="007B0B52"/>
    <w:rsid w:val="007B7E8A"/>
    <w:rsid w:val="007C01D5"/>
    <w:rsid w:val="007C678F"/>
    <w:rsid w:val="007D05CF"/>
    <w:rsid w:val="007F0EE4"/>
    <w:rsid w:val="007F7833"/>
    <w:rsid w:val="008060D8"/>
    <w:rsid w:val="0081556B"/>
    <w:rsid w:val="00826727"/>
    <w:rsid w:val="008303D5"/>
    <w:rsid w:val="0083594C"/>
    <w:rsid w:val="00847D77"/>
    <w:rsid w:val="00860FA3"/>
    <w:rsid w:val="008610C8"/>
    <w:rsid w:val="0086119E"/>
    <w:rsid w:val="008624A3"/>
    <w:rsid w:val="008659D9"/>
    <w:rsid w:val="008718E3"/>
    <w:rsid w:val="00872445"/>
    <w:rsid w:val="00873463"/>
    <w:rsid w:val="00875CA8"/>
    <w:rsid w:val="00883845"/>
    <w:rsid w:val="008873AF"/>
    <w:rsid w:val="00892636"/>
    <w:rsid w:val="00895612"/>
    <w:rsid w:val="008B32FB"/>
    <w:rsid w:val="008C2629"/>
    <w:rsid w:val="008C3299"/>
    <w:rsid w:val="008C350F"/>
    <w:rsid w:val="008C3FF4"/>
    <w:rsid w:val="008C4541"/>
    <w:rsid w:val="008C4D20"/>
    <w:rsid w:val="008D0913"/>
    <w:rsid w:val="0090157E"/>
    <w:rsid w:val="0090702F"/>
    <w:rsid w:val="00907D9C"/>
    <w:rsid w:val="00911DB6"/>
    <w:rsid w:val="009209DF"/>
    <w:rsid w:val="00921C29"/>
    <w:rsid w:val="009255A2"/>
    <w:rsid w:val="009465FE"/>
    <w:rsid w:val="00956653"/>
    <w:rsid w:val="009609A5"/>
    <w:rsid w:val="00960B2D"/>
    <w:rsid w:val="00960C07"/>
    <w:rsid w:val="009662FC"/>
    <w:rsid w:val="00973C9B"/>
    <w:rsid w:val="00990F84"/>
    <w:rsid w:val="009958FC"/>
    <w:rsid w:val="0099607F"/>
    <w:rsid w:val="009B1AF5"/>
    <w:rsid w:val="009B6442"/>
    <w:rsid w:val="009C075A"/>
    <w:rsid w:val="009C176B"/>
    <w:rsid w:val="009C2B8C"/>
    <w:rsid w:val="009C4B44"/>
    <w:rsid w:val="009C7A4B"/>
    <w:rsid w:val="009D55A1"/>
    <w:rsid w:val="009D5888"/>
    <w:rsid w:val="009F061B"/>
    <w:rsid w:val="009F2D3A"/>
    <w:rsid w:val="009F7C2B"/>
    <w:rsid w:val="009F7DFC"/>
    <w:rsid w:val="00A121EC"/>
    <w:rsid w:val="00A30D08"/>
    <w:rsid w:val="00A371AE"/>
    <w:rsid w:val="00A45E36"/>
    <w:rsid w:val="00A4611D"/>
    <w:rsid w:val="00A574AF"/>
    <w:rsid w:val="00A60C61"/>
    <w:rsid w:val="00A636B3"/>
    <w:rsid w:val="00A74396"/>
    <w:rsid w:val="00A81646"/>
    <w:rsid w:val="00A8229B"/>
    <w:rsid w:val="00A876FE"/>
    <w:rsid w:val="00A915F4"/>
    <w:rsid w:val="00A92188"/>
    <w:rsid w:val="00AA20D9"/>
    <w:rsid w:val="00AA2510"/>
    <w:rsid w:val="00AB5CB5"/>
    <w:rsid w:val="00AC7849"/>
    <w:rsid w:val="00AD33E2"/>
    <w:rsid w:val="00AD6CD5"/>
    <w:rsid w:val="00AE1BB9"/>
    <w:rsid w:val="00AE1E24"/>
    <w:rsid w:val="00AF6AA4"/>
    <w:rsid w:val="00AF7287"/>
    <w:rsid w:val="00B00139"/>
    <w:rsid w:val="00B0170F"/>
    <w:rsid w:val="00B031CA"/>
    <w:rsid w:val="00B137BA"/>
    <w:rsid w:val="00B26F9F"/>
    <w:rsid w:val="00B33B53"/>
    <w:rsid w:val="00B34DCA"/>
    <w:rsid w:val="00B36DB0"/>
    <w:rsid w:val="00B421C2"/>
    <w:rsid w:val="00B43967"/>
    <w:rsid w:val="00B47B39"/>
    <w:rsid w:val="00B566DC"/>
    <w:rsid w:val="00B57D8D"/>
    <w:rsid w:val="00B57E78"/>
    <w:rsid w:val="00B67270"/>
    <w:rsid w:val="00B6796D"/>
    <w:rsid w:val="00B72AF7"/>
    <w:rsid w:val="00B8335A"/>
    <w:rsid w:val="00B83D53"/>
    <w:rsid w:val="00B979A9"/>
    <w:rsid w:val="00BA22FE"/>
    <w:rsid w:val="00BC7EF7"/>
    <w:rsid w:val="00BD51F8"/>
    <w:rsid w:val="00BF0EC6"/>
    <w:rsid w:val="00BF1C84"/>
    <w:rsid w:val="00BF62BD"/>
    <w:rsid w:val="00C012D1"/>
    <w:rsid w:val="00C04F0F"/>
    <w:rsid w:val="00C10C96"/>
    <w:rsid w:val="00C16CEE"/>
    <w:rsid w:val="00C174C8"/>
    <w:rsid w:val="00C26DAA"/>
    <w:rsid w:val="00C27CCA"/>
    <w:rsid w:val="00C325A2"/>
    <w:rsid w:val="00C32F4A"/>
    <w:rsid w:val="00C343B3"/>
    <w:rsid w:val="00C346F4"/>
    <w:rsid w:val="00C47EF0"/>
    <w:rsid w:val="00C51917"/>
    <w:rsid w:val="00C6185F"/>
    <w:rsid w:val="00C64ED6"/>
    <w:rsid w:val="00C66589"/>
    <w:rsid w:val="00C73933"/>
    <w:rsid w:val="00C74B90"/>
    <w:rsid w:val="00C8456B"/>
    <w:rsid w:val="00C865CA"/>
    <w:rsid w:val="00C900F5"/>
    <w:rsid w:val="00C903FF"/>
    <w:rsid w:val="00C905DF"/>
    <w:rsid w:val="00C940EE"/>
    <w:rsid w:val="00C94C90"/>
    <w:rsid w:val="00CA10BB"/>
    <w:rsid w:val="00CB3B1A"/>
    <w:rsid w:val="00CE120F"/>
    <w:rsid w:val="00CE5DF0"/>
    <w:rsid w:val="00D019C3"/>
    <w:rsid w:val="00D0409B"/>
    <w:rsid w:val="00D26318"/>
    <w:rsid w:val="00D309C8"/>
    <w:rsid w:val="00D500AD"/>
    <w:rsid w:val="00D64E0D"/>
    <w:rsid w:val="00D73F0D"/>
    <w:rsid w:val="00D76483"/>
    <w:rsid w:val="00D90047"/>
    <w:rsid w:val="00D9043B"/>
    <w:rsid w:val="00D973BA"/>
    <w:rsid w:val="00DB559F"/>
    <w:rsid w:val="00DC3EB9"/>
    <w:rsid w:val="00DC613E"/>
    <w:rsid w:val="00DD2AFE"/>
    <w:rsid w:val="00DE116D"/>
    <w:rsid w:val="00DE1B80"/>
    <w:rsid w:val="00DE1BB1"/>
    <w:rsid w:val="00DE2A0C"/>
    <w:rsid w:val="00DE2DFE"/>
    <w:rsid w:val="00DF0758"/>
    <w:rsid w:val="00E05087"/>
    <w:rsid w:val="00E07FC9"/>
    <w:rsid w:val="00E12859"/>
    <w:rsid w:val="00E13E5B"/>
    <w:rsid w:val="00E15D62"/>
    <w:rsid w:val="00E262D3"/>
    <w:rsid w:val="00E26334"/>
    <w:rsid w:val="00E26863"/>
    <w:rsid w:val="00E40141"/>
    <w:rsid w:val="00E73712"/>
    <w:rsid w:val="00E91C77"/>
    <w:rsid w:val="00EB6A24"/>
    <w:rsid w:val="00EC2406"/>
    <w:rsid w:val="00EE0290"/>
    <w:rsid w:val="00F04F99"/>
    <w:rsid w:val="00F14F28"/>
    <w:rsid w:val="00F34031"/>
    <w:rsid w:val="00F35102"/>
    <w:rsid w:val="00F40C55"/>
    <w:rsid w:val="00F50B52"/>
    <w:rsid w:val="00F67918"/>
    <w:rsid w:val="00F756DE"/>
    <w:rsid w:val="00FA1B88"/>
    <w:rsid w:val="00FB0578"/>
    <w:rsid w:val="00FB2CA6"/>
    <w:rsid w:val="00FB52A9"/>
    <w:rsid w:val="00FB592C"/>
    <w:rsid w:val="00FB67A8"/>
    <w:rsid w:val="00FC4762"/>
    <w:rsid w:val="00FD4B99"/>
    <w:rsid w:val="00FD65B5"/>
    <w:rsid w:val="00FE04FB"/>
    <w:rsid w:val="00FE1909"/>
    <w:rsid w:val="00FF01B5"/>
    <w:rsid w:val="00FF2DA0"/>
    <w:rsid w:val="00FF39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4F2"/>
  <w15:chartTrackingRefBased/>
  <w15:docId w15:val="{7C2F4741-BE53-44F9-8B00-54B10D173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0047"/>
  </w:style>
  <w:style w:type="paragraph" w:styleId="Heading1">
    <w:name w:val="heading 1"/>
    <w:basedOn w:val="Normal"/>
    <w:link w:val="Heading1Char"/>
    <w:autoRedefine/>
    <w:uiPriority w:val="1"/>
    <w:qFormat/>
    <w:rsid w:val="006A76FC"/>
    <w:pPr>
      <w:widowControl w:val="0"/>
      <w:autoSpaceDE w:val="0"/>
      <w:autoSpaceDN w:val="0"/>
      <w:spacing w:before="3" w:line="256" w:lineRule="auto"/>
      <w:outlineLvl w:val="0"/>
    </w:pPr>
    <w:rPr>
      <w:rFonts w:ascii="Times New Roman" w:eastAsia="Tahoma" w:hAnsi="Times New Roman" w:cs="Arial"/>
      <w:b/>
      <w:bCs/>
      <w:color w:val="4472C4" w:themeColor="accent1"/>
      <w:sz w:val="32"/>
      <w:szCs w:val="48"/>
    </w:rPr>
  </w:style>
  <w:style w:type="paragraph" w:styleId="Heading2">
    <w:name w:val="heading 2"/>
    <w:basedOn w:val="Normal"/>
    <w:next w:val="Normal"/>
    <w:link w:val="Heading2Char"/>
    <w:autoRedefine/>
    <w:uiPriority w:val="9"/>
    <w:unhideWhenUsed/>
    <w:qFormat/>
    <w:rsid w:val="006A76FC"/>
    <w:pPr>
      <w:keepNext/>
      <w:keepLines/>
      <w:spacing w:before="40" w:line="360" w:lineRule="auto"/>
      <w:outlineLvl w:val="1"/>
    </w:pPr>
    <w:rPr>
      <w:rFonts w:ascii="Times New Roman" w:eastAsia="Times New Roman" w:hAnsi="Times New Roman" w:cstheme="majorBidi"/>
      <w:color w:val="8EAADB" w:themeColor="accent1" w:themeTint="99"/>
      <w:sz w:val="28"/>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6A76FC"/>
    <w:rPr>
      <w:rFonts w:ascii="Times New Roman" w:eastAsia="Tahoma" w:hAnsi="Times New Roman" w:cs="Arial"/>
      <w:b/>
      <w:bCs/>
      <w:color w:val="4472C4" w:themeColor="accent1"/>
      <w:sz w:val="32"/>
      <w:szCs w:val="48"/>
    </w:rPr>
  </w:style>
  <w:style w:type="character" w:customStyle="1" w:styleId="Heading2Char">
    <w:name w:val="Heading 2 Char"/>
    <w:basedOn w:val="DefaultParagraphFont"/>
    <w:link w:val="Heading2"/>
    <w:uiPriority w:val="9"/>
    <w:rsid w:val="006A76FC"/>
    <w:rPr>
      <w:rFonts w:ascii="Times New Roman" w:eastAsia="Times New Roman" w:hAnsi="Times New Roman" w:cstheme="majorBidi"/>
      <w:color w:val="8EAADB" w:themeColor="accent1" w:themeTint="99"/>
      <w:sz w:val="28"/>
      <w:szCs w:val="26"/>
      <w:lang w:eastAsia="en-GB"/>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styleId="PlaceholderText">
    <w:name w:val="Placeholder Text"/>
    <w:basedOn w:val="DefaultParagraphFont"/>
    <w:uiPriority w:val="99"/>
    <w:semiHidden/>
    <w:rsid w:val="00486404"/>
    <w:rPr>
      <w:color w:val="808080"/>
    </w:rPr>
  </w:style>
  <w:style w:type="paragraph" w:styleId="ListParagraph">
    <w:name w:val="List Paragraph"/>
    <w:basedOn w:val="Normal"/>
    <w:uiPriority w:val="34"/>
    <w:qFormat/>
    <w:rsid w:val="00421C55"/>
    <w:pPr>
      <w:ind w:left="720"/>
      <w:contextualSpacing/>
    </w:pPr>
  </w:style>
  <w:style w:type="paragraph" w:styleId="TOCHeading">
    <w:name w:val="TOC Heading"/>
    <w:basedOn w:val="Heading1"/>
    <w:next w:val="Normal"/>
    <w:uiPriority w:val="39"/>
    <w:unhideWhenUsed/>
    <w:qFormat/>
    <w:rsid w:val="00D9043B"/>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9C075A"/>
    <w:pPr>
      <w:spacing w:after="100"/>
    </w:pPr>
  </w:style>
  <w:style w:type="paragraph" w:styleId="TOC2">
    <w:name w:val="toc 2"/>
    <w:basedOn w:val="Normal"/>
    <w:next w:val="Normal"/>
    <w:autoRedefine/>
    <w:uiPriority w:val="39"/>
    <w:unhideWhenUsed/>
    <w:rsid w:val="009C075A"/>
    <w:pPr>
      <w:spacing w:after="100"/>
      <w:ind w:left="220"/>
    </w:pPr>
  </w:style>
  <w:style w:type="character" w:styleId="Hyperlink">
    <w:name w:val="Hyperlink"/>
    <w:basedOn w:val="DefaultParagraphFont"/>
    <w:uiPriority w:val="99"/>
    <w:unhideWhenUsed/>
    <w:rsid w:val="009C075A"/>
    <w:rPr>
      <w:color w:val="0563C1" w:themeColor="hyperlink"/>
      <w:u w:val="single"/>
    </w:rPr>
  </w:style>
  <w:style w:type="paragraph" w:styleId="Header">
    <w:name w:val="header"/>
    <w:basedOn w:val="Normal"/>
    <w:link w:val="HeaderChar"/>
    <w:uiPriority w:val="99"/>
    <w:unhideWhenUsed/>
    <w:rsid w:val="00353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30CF"/>
  </w:style>
  <w:style w:type="paragraph" w:styleId="Footer">
    <w:name w:val="footer"/>
    <w:basedOn w:val="Normal"/>
    <w:link w:val="FooterChar"/>
    <w:uiPriority w:val="99"/>
    <w:unhideWhenUsed/>
    <w:rsid w:val="00353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30CF"/>
  </w:style>
  <w:style w:type="table" w:styleId="GridTable4-Accent2">
    <w:name w:val="Grid Table 4 Accent 2"/>
    <w:basedOn w:val="TableNormal"/>
    <w:uiPriority w:val="49"/>
    <w:rsid w:val="00DF0758"/>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DF075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151032">
      <w:bodyDiv w:val="1"/>
      <w:marLeft w:val="0"/>
      <w:marRight w:val="0"/>
      <w:marTop w:val="0"/>
      <w:marBottom w:val="0"/>
      <w:divBdr>
        <w:top w:val="none" w:sz="0" w:space="0" w:color="auto"/>
        <w:left w:val="none" w:sz="0" w:space="0" w:color="auto"/>
        <w:bottom w:val="none" w:sz="0" w:space="0" w:color="auto"/>
        <w:right w:val="none" w:sz="0" w:space="0" w:color="auto"/>
      </w:divBdr>
    </w:div>
    <w:div w:id="275065192">
      <w:bodyDiv w:val="1"/>
      <w:marLeft w:val="0"/>
      <w:marRight w:val="0"/>
      <w:marTop w:val="0"/>
      <w:marBottom w:val="0"/>
      <w:divBdr>
        <w:top w:val="none" w:sz="0" w:space="0" w:color="auto"/>
        <w:left w:val="none" w:sz="0" w:space="0" w:color="auto"/>
        <w:bottom w:val="none" w:sz="0" w:space="0" w:color="auto"/>
        <w:right w:val="none" w:sz="0" w:space="0" w:color="auto"/>
      </w:divBdr>
    </w:div>
    <w:div w:id="343096131">
      <w:bodyDiv w:val="1"/>
      <w:marLeft w:val="0"/>
      <w:marRight w:val="0"/>
      <w:marTop w:val="0"/>
      <w:marBottom w:val="0"/>
      <w:divBdr>
        <w:top w:val="none" w:sz="0" w:space="0" w:color="auto"/>
        <w:left w:val="none" w:sz="0" w:space="0" w:color="auto"/>
        <w:bottom w:val="none" w:sz="0" w:space="0" w:color="auto"/>
        <w:right w:val="none" w:sz="0" w:space="0" w:color="auto"/>
      </w:divBdr>
    </w:div>
    <w:div w:id="390036790">
      <w:bodyDiv w:val="1"/>
      <w:marLeft w:val="0"/>
      <w:marRight w:val="0"/>
      <w:marTop w:val="0"/>
      <w:marBottom w:val="0"/>
      <w:divBdr>
        <w:top w:val="none" w:sz="0" w:space="0" w:color="auto"/>
        <w:left w:val="none" w:sz="0" w:space="0" w:color="auto"/>
        <w:bottom w:val="none" w:sz="0" w:space="0" w:color="auto"/>
        <w:right w:val="none" w:sz="0" w:space="0" w:color="auto"/>
      </w:divBdr>
    </w:div>
    <w:div w:id="728698471">
      <w:bodyDiv w:val="1"/>
      <w:marLeft w:val="0"/>
      <w:marRight w:val="0"/>
      <w:marTop w:val="0"/>
      <w:marBottom w:val="0"/>
      <w:divBdr>
        <w:top w:val="none" w:sz="0" w:space="0" w:color="auto"/>
        <w:left w:val="none" w:sz="0" w:space="0" w:color="auto"/>
        <w:bottom w:val="none" w:sz="0" w:space="0" w:color="auto"/>
        <w:right w:val="none" w:sz="0" w:space="0" w:color="auto"/>
      </w:divBdr>
    </w:div>
    <w:div w:id="876815422">
      <w:bodyDiv w:val="1"/>
      <w:marLeft w:val="0"/>
      <w:marRight w:val="0"/>
      <w:marTop w:val="0"/>
      <w:marBottom w:val="0"/>
      <w:divBdr>
        <w:top w:val="none" w:sz="0" w:space="0" w:color="auto"/>
        <w:left w:val="none" w:sz="0" w:space="0" w:color="auto"/>
        <w:bottom w:val="none" w:sz="0" w:space="0" w:color="auto"/>
        <w:right w:val="none" w:sz="0" w:space="0" w:color="auto"/>
      </w:divBdr>
    </w:div>
    <w:div w:id="892738370">
      <w:bodyDiv w:val="1"/>
      <w:marLeft w:val="0"/>
      <w:marRight w:val="0"/>
      <w:marTop w:val="0"/>
      <w:marBottom w:val="0"/>
      <w:divBdr>
        <w:top w:val="none" w:sz="0" w:space="0" w:color="auto"/>
        <w:left w:val="none" w:sz="0" w:space="0" w:color="auto"/>
        <w:bottom w:val="none" w:sz="0" w:space="0" w:color="auto"/>
        <w:right w:val="none" w:sz="0" w:space="0" w:color="auto"/>
      </w:divBdr>
    </w:div>
    <w:div w:id="907544183">
      <w:bodyDiv w:val="1"/>
      <w:marLeft w:val="0"/>
      <w:marRight w:val="0"/>
      <w:marTop w:val="0"/>
      <w:marBottom w:val="0"/>
      <w:divBdr>
        <w:top w:val="none" w:sz="0" w:space="0" w:color="auto"/>
        <w:left w:val="none" w:sz="0" w:space="0" w:color="auto"/>
        <w:bottom w:val="none" w:sz="0" w:space="0" w:color="auto"/>
        <w:right w:val="none" w:sz="0" w:space="0" w:color="auto"/>
      </w:divBdr>
    </w:div>
    <w:div w:id="962734526">
      <w:bodyDiv w:val="1"/>
      <w:marLeft w:val="0"/>
      <w:marRight w:val="0"/>
      <w:marTop w:val="0"/>
      <w:marBottom w:val="0"/>
      <w:divBdr>
        <w:top w:val="none" w:sz="0" w:space="0" w:color="auto"/>
        <w:left w:val="none" w:sz="0" w:space="0" w:color="auto"/>
        <w:bottom w:val="none" w:sz="0" w:space="0" w:color="auto"/>
        <w:right w:val="none" w:sz="0" w:space="0" w:color="auto"/>
      </w:divBdr>
    </w:div>
    <w:div w:id="997463790">
      <w:bodyDiv w:val="1"/>
      <w:marLeft w:val="0"/>
      <w:marRight w:val="0"/>
      <w:marTop w:val="0"/>
      <w:marBottom w:val="0"/>
      <w:divBdr>
        <w:top w:val="none" w:sz="0" w:space="0" w:color="auto"/>
        <w:left w:val="none" w:sz="0" w:space="0" w:color="auto"/>
        <w:bottom w:val="none" w:sz="0" w:space="0" w:color="auto"/>
        <w:right w:val="none" w:sz="0" w:space="0" w:color="auto"/>
      </w:divBdr>
    </w:div>
    <w:div w:id="1046685503">
      <w:bodyDiv w:val="1"/>
      <w:marLeft w:val="0"/>
      <w:marRight w:val="0"/>
      <w:marTop w:val="0"/>
      <w:marBottom w:val="0"/>
      <w:divBdr>
        <w:top w:val="none" w:sz="0" w:space="0" w:color="auto"/>
        <w:left w:val="none" w:sz="0" w:space="0" w:color="auto"/>
        <w:bottom w:val="none" w:sz="0" w:space="0" w:color="auto"/>
        <w:right w:val="none" w:sz="0" w:space="0" w:color="auto"/>
      </w:divBdr>
    </w:div>
    <w:div w:id="1069305855">
      <w:bodyDiv w:val="1"/>
      <w:marLeft w:val="0"/>
      <w:marRight w:val="0"/>
      <w:marTop w:val="0"/>
      <w:marBottom w:val="0"/>
      <w:divBdr>
        <w:top w:val="none" w:sz="0" w:space="0" w:color="auto"/>
        <w:left w:val="none" w:sz="0" w:space="0" w:color="auto"/>
        <w:bottom w:val="none" w:sz="0" w:space="0" w:color="auto"/>
        <w:right w:val="none" w:sz="0" w:space="0" w:color="auto"/>
      </w:divBdr>
    </w:div>
    <w:div w:id="1086804329">
      <w:bodyDiv w:val="1"/>
      <w:marLeft w:val="0"/>
      <w:marRight w:val="0"/>
      <w:marTop w:val="0"/>
      <w:marBottom w:val="0"/>
      <w:divBdr>
        <w:top w:val="none" w:sz="0" w:space="0" w:color="auto"/>
        <w:left w:val="none" w:sz="0" w:space="0" w:color="auto"/>
        <w:bottom w:val="none" w:sz="0" w:space="0" w:color="auto"/>
        <w:right w:val="none" w:sz="0" w:space="0" w:color="auto"/>
      </w:divBdr>
    </w:div>
    <w:div w:id="1108702238">
      <w:bodyDiv w:val="1"/>
      <w:marLeft w:val="0"/>
      <w:marRight w:val="0"/>
      <w:marTop w:val="0"/>
      <w:marBottom w:val="0"/>
      <w:divBdr>
        <w:top w:val="none" w:sz="0" w:space="0" w:color="auto"/>
        <w:left w:val="none" w:sz="0" w:space="0" w:color="auto"/>
        <w:bottom w:val="none" w:sz="0" w:space="0" w:color="auto"/>
        <w:right w:val="none" w:sz="0" w:space="0" w:color="auto"/>
      </w:divBdr>
    </w:div>
    <w:div w:id="1196194784">
      <w:bodyDiv w:val="1"/>
      <w:marLeft w:val="0"/>
      <w:marRight w:val="0"/>
      <w:marTop w:val="0"/>
      <w:marBottom w:val="0"/>
      <w:divBdr>
        <w:top w:val="none" w:sz="0" w:space="0" w:color="auto"/>
        <w:left w:val="none" w:sz="0" w:space="0" w:color="auto"/>
        <w:bottom w:val="none" w:sz="0" w:space="0" w:color="auto"/>
        <w:right w:val="none" w:sz="0" w:space="0" w:color="auto"/>
      </w:divBdr>
    </w:div>
    <w:div w:id="1226406980">
      <w:bodyDiv w:val="1"/>
      <w:marLeft w:val="0"/>
      <w:marRight w:val="0"/>
      <w:marTop w:val="0"/>
      <w:marBottom w:val="0"/>
      <w:divBdr>
        <w:top w:val="none" w:sz="0" w:space="0" w:color="auto"/>
        <w:left w:val="none" w:sz="0" w:space="0" w:color="auto"/>
        <w:bottom w:val="none" w:sz="0" w:space="0" w:color="auto"/>
        <w:right w:val="none" w:sz="0" w:space="0" w:color="auto"/>
      </w:divBdr>
    </w:div>
    <w:div w:id="1322345313">
      <w:bodyDiv w:val="1"/>
      <w:marLeft w:val="0"/>
      <w:marRight w:val="0"/>
      <w:marTop w:val="0"/>
      <w:marBottom w:val="0"/>
      <w:divBdr>
        <w:top w:val="none" w:sz="0" w:space="0" w:color="auto"/>
        <w:left w:val="none" w:sz="0" w:space="0" w:color="auto"/>
        <w:bottom w:val="none" w:sz="0" w:space="0" w:color="auto"/>
        <w:right w:val="none" w:sz="0" w:space="0" w:color="auto"/>
      </w:divBdr>
    </w:div>
    <w:div w:id="1334071455">
      <w:bodyDiv w:val="1"/>
      <w:marLeft w:val="0"/>
      <w:marRight w:val="0"/>
      <w:marTop w:val="0"/>
      <w:marBottom w:val="0"/>
      <w:divBdr>
        <w:top w:val="none" w:sz="0" w:space="0" w:color="auto"/>
        <w:left w:val="none" w:sz="0" w:space="0" w:color="auto"/>
        <w:bottom w:val="none" w:sz="0" w:space="0" w:color="auto"/>
        <w:right w:val="none" w:sz="0" w:space="0" w:color="auto"/>
      </w:divBdr>
    </w:div>
    <w:div w:id="1341351522">
      <w:bodyDiv w:val="1"/>
      <w:marLeft w:val="0"/>
      <w:marRight w:val="0"/>
      <w:marTop w:val="0"/>
      <w:marBottom w:val="0"/>
      <w:divBdr>
        <w:top w:val="none" w:sz="0" w:space="0" w:color="auto"/>
        <w:left w:val="none" w:sz="0" w:space="0" w:color="auto"/>
        <w:bottom w:val="none" w:sz="0" w:space="0" w:color="auto"/>
        <w:right w:val="none" w:sz="0" w:space="0" w:color="auto"/>
      </w:divBdr>
    </w:div>
    <w:div w:id="1402025685">
      <w:bodyDiv w:val="1"/>
      <w:marLeft w:val="0"/>
      <w:marRight w:val="0"/>
      <w:marTop w:val="0"/>
      <w:marBottom w:val="0"/>
      <w:divBdr>
        <w:top w:val="none" w:sz="0" w:space="0" w:color="auto"/>
        <w:left w:val="none" w:sz="0" w:space="0" w:color="auto"/>
        <w:bottom w:val="none" w:sz="0" w:space="0" w:color="auto"/>
        <w:right w:val="none" w:sz="0" w:space="0" w:color="auto"/>
      </w:divBdr>
    </w:div>
    <w:div w:id="1413890868">
      <w:bodyDiv w:val="1"/>
      <w:marLeft w:val="0"/>
      <w:marRight w:val="0"/>
      <w:marTop w:val="0"/>
      <w:marBottom w:val="0"/>
      <w:divBdr>
        <w:top w:val="none" w:sz="0" w:space="0" w:color="auto"/>
        <w:left w:val="none" w:sz="0" w:space="0" w:color="auto"/>
        <w:bottom w:val="none" w:sz="0" w:space="0" w:color="auto"/>
        <w:right w:val="none" w:sz="0" w:space="0" w:color="auto"/>
      </w:divBdr>
    </w:div>
    <w:div w:id="1457064776">
      <w:bodyDiv w:val="1"/>
      <w:marLeft w:val="0"/>
      <w:marRight w:val="0"/>
      <w:marTop w:val="0"/>
      <w:marBottom w:val="0"/>
      <w:divBdr>
        <w:top w:val="none" w:sz="0" w:space="0" w:color="auto"/>
        <w:left w:val="none" w:sz="0" w:space="0" w:color="auto"/>
        <w:bottom w:val="none" w:sz="0" w:space="0" w:color="auto"/>
        <w:right w:val="none" w:sz="0" w:space="0" w:color="auto"/>
      </w:divBdr>
    </w:div>
    <w:div w:id="1459109773">
      <w:bodyDiv w:val="1"/>
      <w:marLeft w:val="0"/>
      <w:marRight w:val="0"/>
      <w:marTop w:val="0"/>
      <w:marBottom w:val="0"/>
      <w:divBdr>
        <w:top w:val="none" w:sz="0" w:space="0" w:color="auto"/>
        <w:left w:val="none" w:sz="0" w:space="0" w:color="auto"/>
        <w:bottom w:val="none" w:sz="0" w:space="0" w:color="auto"/>
        <w:right w:val="none" w:sz="0" w:space="0" w:color="auto"/>
      </w:divBdr>
    </w:div>
    <w:div w:id="1550995491">
      <w:bodyDiv w:val="1"/>
      <w:marLeft w:val="0"/>
      <w:marRight w:val="0"/>
      <w:marTop w:val="0"/>
      <w:marBottom w:val="0"/>
      <w:divBdr>
        <w:top w:val="none" w:sz="0" w:space="0" w:color="auto"/>
        <w:left w:val="none" w:sz="0" w:space="0" w:color="auto"/>
        <w:bottom w:val="none" w:sz="0" w:space="0" w:color="auto"/>
        <w:right w:val="none" w:sz="0" w:space="0" w:color="auto"/>
      </w:divBdr>
    </w:div>
    <w:div w:id="1611820643">
      <w:bodyDiv w:val="1"/>
      <w:marLeft w:val="0"/>
      <w:marRight w:val="0"/>
      <w:marTop w:val="0"/>
      <w:marBottom w:val="0"/>
      <w:divBdr>
        <w:top w:val="none" w:sz="0" w:space="0" w:color="auto"/>
        <w:left w:val="none" w:sz="0" w:space="0" w:color="auto"/>
        <w:bottom w:val="none" w:sz="0" w:space="0" w:color="auto"/>
        <w:right w:val="none" w:sz="0" w:space="0" w:color="auto"/>
      </w:divBdr>
    </w:div>
    <w:div w:id="1730575286">
      <w:bodyDiv w:val="1"/>
      <w:marLeft w:val="0"/>
      <w:marRight w:val="0"/>
      <w:marTop w:val="0"/>
      <w:marBottom w:val="0"/>
      <w:divBdr>
        <w:top w:val="none" w:sz="0" w:space="0" w:color="auto"/>
        <w:left w:val="none" w:sz="0" w:space="0" w:color="auto"/>
        <w:bottom w:val="none" w:sz="0" w:space="0" w:color="auto"/>
        <w:right w:val="none" w:sz="0" w:space="0" w:color="auto"/>
      </w:divBdr>
    </w:div>
    <w:div w:id="1744522597">
      <w:bodyDiv w:val="1"/>
      <w:marLeft w:val="0"/>
      <w:marRight w:val="0"/>
      <w:marTop w:val="0"/>
      <w:marBottom w:val="0"/>
      <w:divBdr>
        <w:top w:val="none" w:sz="0" w:space="0" w:color="auto"/>
        <w:left w:val="none" w:sz="0" w:space="0" w:color="auto"/>
        <w:bottom w:val="none" w:sz="0" w:space="0" w:color="auto"/>
        <w:right w:val="none" w:sz="0" w:space="0" w:color="auto"/>
      </w:divBdr>
    </w:div>
    <w:div w:id="1774323967">
      <w:bodyDiv w:val="1"/>
      <w:marLeft w:val="0"/>
      <w:marRight w:val="0"/>
      <w:marTop w:val="0"/>
      <w:marBottom w:val="0"/>
      <w:divBdr>
        <w:top w:val="none" w:sz="0" w:space="0" w:color="auto"/>
        <w:left w:val="none" w:sz="0" w:space="0" w:color="auto"/>
        <w:bottom w:val="none" w:sz="0" w:space="0" w:color="auto"/>
        <w:right w:val="none" w:sz="0" w:space="0" w:color="auto"/>
      </w:divBdr>
    </w:div>
    <w:div w:id="1875996146">
      <w:bodyDiv w:val="1"/>
      <w:marLeft w:val="0"/>
      <w:marRight w:val="0"/>
      <w:marTop w:val="0"/>
      <w:marBottom w:val="0"/>
      <w:divBdr>
        <w:top w:val="none" w:sz="0" w:space="0" w:color="auto"/>
        <w:left w:val="none" w:sz="0" w:space="0" w:color="auto"/>
        <w:bottom w:val="none" w:sz="0" w:space="0" w:color="auto"/>
        <w:right w:val="none" w:sz="0" w:space="0" w:color="auto"/>
      </w:divBdr>
    </w:div>
    <w:div w:id="1973901847">
      <w:bodyDiv w:val="1"/>
      <w:marLeft w:val="0"/>
      <w:marRight w:val="0"/>
      <w:marTop w:val="0"/>
      <w:marBottom w:val="0"/>
      <w:divBdr>
        <w:top w:val="none" w:sz="0" w:space="0" w:color="auto"/>
        <w:left w:val="none" w:sz="0" w:space="0" w:color="auto"/>
        <w:bottom w:val="none" w:sz="0" w:space="0" w:color="auto"/>
        <w:right w:val="none" w:sz="0" w:space="0" w:color="auto"/>
      </w:divBdr>
    </w:div>
    <w:div w:id="1993218289">
      <w:bodyDiv w:val="1"/>
      <w:marLeft w:val="0"/>
      <w:marRight w:val="0"/>
      <w:marTop w:val="0"/>
      <w:marBottom w:val="0"/>
      <w:divBdr>
        <w:top w:val="none" w:sz="0" w:space="0" w:color="auto"/>
        <w:left w:val="none" w:sz="0" w:space="0" w:color="auto"/>
        <w:bottom w:val="none" w:sz="0" w:space="0" w:color="auto"/>
        <w:right w:val="none" w:sz="0" w:space="0" w:color="auto"/>
      </w:divBdr>
    </w:div>
    <w:div w:id="2011977742">
      <w:bodyDiv w:val="1"/>
      <w:marLeft w:val="0"/>
      <w:marRight w:val="0"/>
      <w:marTop w:val="0"/>
      <w:marBottom w:val="0"/>
      <w:divBdr>
        <w:top w:val="none" w:sz="0" w:space="0" w:color="auto"/>
        <w:left w:val="none" w:sz="0" w:space="0" w:color="auto"/>
        <w:bottom w:val="none" w:sz="0" w:space="0" w:color="auto"/>
        <w:right w:val="none" w:sz="0" w:space="0" w:color="auto"/>
      </w:divBdr>
    </w:div>
    <w:div w:id="2031756659">
      <w:bodyDiv w:val="1"/>
      <w:marLeft w:val="0"/>
      <w:marRight w:val="0"/>
      <w:marTop w:val="0"/>
      <w:marBottom w:val="0"/>
      <w:divBdr>
        <w:top w:val="none" w:sz="0" w:space="0" w:color="auto"/>
        <w:left w:val="none" w:sz="0" w:space="0" w:color="auto"/>
        <w:bottom w:val="none" w:sz="0" w:space="0" w:color="auto"/>
        <w:right w:val="none" w:sz="0" w:space="0" w:color="auto"/>
      </w:divBdr>
    </w:div>
    <w:div w:id="2080246822">
      <w:bodyDiv w:val="1"/>
      <w:marLeft w:val="0"/>
      <w:marRight w:val="0"/>
      <w:marTop w:val="0"/>
      <w:marBottom w:val="0"/>
      <w:divBdr>
        <w:top w:val="none" w:sz="0" w:space="0" w:color="auto"/>
        <w:left w:val="none" w:sz="0" w:space="0" w:color="auto"/>
        <w:bottom w:val="none" w:sz="0" w:space="0" w:color="auto"/>
        <w:right w:val="none" w:sz="0" w:space="0" w:color="auto"/>
      </w:divBdr>
    </w:div>
    <w:div w:id="2131123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2024(Outsourcing)\May\2.%20Shabana%20Apu\2000%20Word%20Financial%20Management\Copy%20of%20Financial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Revenue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scatterChart>
        <c:scatterStyle val="lineMarker"/>
        <c:varyColors val="0"/>
        <c:ser>
          <c:idx val="0"/>
          <c:order val="0"/>
          <c:spPr>
            <a:ln w="95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xVal>
            <c:numRef>
              <c:f>Sheet4!$H$2:$H$4</c:f>
              <c:numCache>
                <c:formatCode>General</c:formatCode>
                <c:ptCount val="3"/>
                <c:pt idx="0">
                  <c:v>2021</c:v>
                </c:pt>
                <c:pt idx="1">
                  <c:v>2022</c:v>
                </c:pt>
                <c:pt idx="2">
                  <c:v>2023</c:v>
                </c:pt>
              </c:numCache>
            </c:numRef>
          </c:xVal>
          <c:yVal>
            <c:numRef>
              <c:f>Sheet4!$I$2:$I$4</c:f>
              <c:numCache>
                <c:formatCode>#,##0</c:formatCode>
                <c:ptCount val="3"/>
                <c:pt idx="0">
                  <c:v>2500000</c:v>
                </c:pt>
                <c:pt idx="1">
                  <c:v>2200000</c:v>
                </c:pt>
                <c:pt idx="2">
                  <c:v>1800000</c:v>
                </c:pt>
              </c:numCache>
            </c:numRef>
          </c:yVal>
          <c:smooth val="0"/>
          <c:extLst>
            <c:ext xmlns:c16="http://schemas.microsoft.com/office/drawing/2014/chart" uri="{C3380CC4-5D6E-409C-BE32-E72D297353CC}">
              <c16:uniqueId val="{00000000-8D36-4C0F-8BDD-B27E7E710BB2}"/>
            </c:ext>
          </c:extLst>
        </c:ser>
        <c:dLbls>
          <c:showLegendKey val="0"/>
          <c:showVal val="0"/>
          <c:showCatName val="0"/>
          <c:showSerName val="0"/>
          <c:showPercent val="0"/>
          <c:showBubbleSize val="0"/>
        </c:dLbls>
        <c:axId val="501195808"/>
        <c:axId val="501196136"/>
      </c:scatterChart>
      <c:valAx>
        <c:axId val="501195808"/>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1196136"/>
        <c:crosses val="autoZero"/>
        <c:crossBetween val="midCat"/>
        <c:majorUnit val="1"/>
        <c:minorUnit val="1"/>
      </c:valAx>
      <c:valAx>
        <c:axId val="501196136"/>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11958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Operating Expense Analysis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991426071741033"/>
          <c:y val="0.18560185185185185"/>
          <c:w val="0.81419685039370082"/>
          <c:h val="0.72088764946048411"/>
        </c:manualLayout>
      </c:layout>
      <c:scatterChart>
        <c:scatterStyle val="lineMarker"/>
        <c:varyColors val="0"/>
        <c:ser>
          <c:idx val="0"/>
          <c:order val="0"/>
          <c:spPr>
            <a:ln w="25400" cap="rnd">
              <a:no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cap="rnd">
                <a:solidFill>
                  <a:schemeClr val="accent1"/>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trendline>
            <c:spPr>
              <a:ln w="19050" cap="rnd">
                <a:solidFill>
                  <a:schemeClr val="accent1"/>
                </a:solidFill>
                <a:prstDash val="sysDash"/>
              </a:ln>
              <a:effectLst/>
            </c:spPr>
            <c:trendlineType val="linear"/>
            <c:dispRSqr val="0"/>
            <c:dispEq val="0"/>
          </c:trendline>
          <c:xVal>
            <c:numRef>
              <c:f>Sheet3!$A$6:$A$8</c:f>
              <c:numCache>
                <c:formatCode>General</c:formatCode>
                <c:ptCount val="3"/>
                <c:pt idx="0">
                  <c:v>2021</c:v>
                </c:pt>
                <c:pt idx="1">
                  <c:v>2022</c:v>
                </c:pt>
                <c:pt idx="2">
                  <c:v>2023</c:v>
                </c:pt>
              </c:numCache>
            </c:numRef>
          </c:xVal>
          <c:yVal>
            <c:numRef>
              <c:f>Sheet3!$B$6:$B$8</c:f>
              <c:numCache>
                <c:formatCode>General</c:formatCode>
                <c:ptCount val="3"/>
                <c:pt idx="0">
                  <c:v>1800000</c:v>
                </c:pt>
                <c:pt idx="1">
                  <c:v>2000000</c:v>
                </c:pt>
                <c:pt idx="2">
                  <c:v>2300000</c:v>
                </c:pt>
              </c:numCache>
            </c:numRef>
          </c:yVal>
          <c:smooth val="0"/>
          <c:extLst>
            <c:ext xmlns:c16="http://schemas.microsoft.com/office/drawing/2014/chart" uri="{C3380CC4-5D6E-409C-BE32-E72D297353CC}">
              <c16:uniqueId val="{00000001-2536-4ED7-950B-E471C0B5E066}"/>
            </c:ext>
          </c:extLst>
        </c:ser>
        <c:dLbls>
          <c:dLblPos val="t"/>
          <c:showLegendKey val="0"/>
          <c:showVal val="1"/>
          <c:showCatName val="0"/>
          <c:showSerName val="0"/>
          <c:showPercent val="0"/>
          <c:showBubbleSize val="0"/>
        </c:dLbls>
        <c:axId val="511408656"/>
        <c:axId val="511409640"/>
      </c:scatterChart>
      <c:valAx>
        <c:axId val="51140865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409640"/>
        <c:crosses val="autoZero"/>
        <c:crossBetween val="midCat"/>
        <c:majorUnit val="1"/>
        <c:minorUnit val="1"/>
      </c:valAx>
      <c:valAx>
        <c:axId val="51140964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14086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Net Income Analysis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Sheet5!$B$6:$B$8</c:f>
              <c:numCache>
                <c:formatCode>General</c:formatCode>
                <c:ptCount val="3"/>
                <c:pt idx="0">
                  <c:v>2021</c:v>
                </c:pt>
                <c:pt idx="1">
                  <c:v>2022</c:v>
                </c:pt>
                <c:pt idx="2">
                  <c:v>2023</c:v>
                </c:pt>
              </c:numCache>
            </c:numRef>
          </c:xVal>
          <c:yVal>
            <c:numRef>
              <c:f>Sheet5!$C$6:$C$8</c:f>
              <c:numCache>
                <c:formatCode>General</c:formatCode>
                <c:ptCount val="3"/>
                <c:pt idx="0">
                  <c:v>700000</c:v>
                </c:pt>
                <c:pt idx="1">
                  <c:v>200000</c:v>
                </c:pt>
                <c:pt idx="2">
                  <c:v>-500000</c:v>
                </c:pt>
              </c:numCache>
            </c:numRef>
          </c:yVal>
          <c:smooth val="0"/>
          <c:extLst>
            <c:ext xmlns:c16="http://schemas.microsoft.com/office/drawing/2014/chart" uri="{C3380CC4-5D6E-409C-BE32-E72D297353CC}">
              <c16:uniqueId val="{00000000-233C-4280-94B8-B80427453960}"/>
            </c:ext>
          </c:extLst>
        </c:ser>
        <c:dLbls>
          <c:showLegendKey val="0"/>
          <c:showVal val="0"/>
          <c:showCatName val="0"/>
          <c:showSerName val="0"/>
          <c:showPercent val="0"/>
          <c:showBubbleSize val="0"/>
        </c:dLbls>
        <c:axId val="497977168"/>
        <c:axId val="497980776"/>
      </c:scatterChart>
      <c:valAx>
        <c:axId val="497977168"/>
        <c:scaling>
          <c:orientation val="minMax"/>
        </c:scaling>
        <c:delete val="0"/>
        <c:axPos val="b"/>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980776"/>
        <c:crosses val="autoZero"/>
        <c:crossBetween val="midCat"/>
        <c:majorUnit val="1"/>
        <c:minorUnit val="1"/>
      </c:valAx>
      <c:valAx>
        <c:axId val="497980776"/>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79771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48">
  <cs:axisTitle>
    <cs:lnRef idx="0"/>
    <cs:fillRef idx="0"/>
    <cs:effectRef idx="0"/>
    <cs:fontRef idx="minor">
      <a:schemeClr val="lt1">
        <a:lumMod val="75000"/>
      </a:schemeClr>
    </cs:fontRef>
    <cs:defRPr sz="900" b="1" kern="1200" cap="all"/>
  </cs:axisTitle>
  <cs:categoryAxis>
    <cs:lnRef idx="0"/>
    <cs:fillRef idx="0"/>
    <cs:effectRef idx="0"/>
    <cs:fontRef idx="minor">
      <a:schemeClr val="lt1">
        <a:lumMod val="75000"/>
      </a:schemeClr>
    </cs:fontRef>
    <cs:spPr>
      <a:ln w="9525" cap="flat" cmpd="sng" algn="ctr">
        <a:solidFill>
          <a:schemeClr val="lt1">
            <a:lumMod val="50000"/>
          </a:schemeClr>
        </a:solidFill>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9525" cap="rnd">
        <a:solidFill>
          <a:schemeClr val="phClr"/>
        </a:solidFill>
        <a:round/>
      </a:ln>
    </cs:spPr>
  </cs:dataPointLine>
  <cs:dataPointMarker>
    <cs:lnRef idx="0">
      <cs:styleClr val="auto"/>
    </cs:lnRef>
    <cs:fillRef idx="3">
      <cs:styleClr val="auto"/>
    </cs:fillRef>
    <cs:effectRef idx="3"/>
    <cs:fontRef idx="minor">
      <a:schemeClr val="tx1"/>
    </cs:fontRef>
    <cs:spPr>
      <a:ln w="9525" cap="rnd">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spPr>
      <a:ln w="9525" cap="flat" cmpd="sng" algn="ctr">
        <a:solidFill>
          <a:schemeClr val="lt1">
            <a:lumMod val="50000"/>
          </a:schemeClr>
        </a:solidFill>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spPr>
      <a:ln w="9525" cap="flat" cmpd="sng" algn="ctr">
        <a:solidFill>
          <a:schemeClr val="lt1">
            <a:lumMod val="50000"/>
          </a:schemeClr>
        </a:solidFill>
      </a:ln>
    </cs:spPr>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014E8E-3693-40D3-AA28-86C38A7B70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3061</Words>
  <Characters>17450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Mojnu miah</cp:lastModifiedBy>
  <cp:revision>2</cp:revision>
  <dcterms:created xsi:type="dcterms:W3CDTF">2024-06-05T00:12:00Z</dcterms:created>
  <dcterms:modified xsi:type="dcterms:W3CDTF">2024-06-05T00:12:00Z</dcterms:modified>
</cp:coreProperties>
</file>