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06DD7" w14:textId="3D7C0050" w:rsidR="00845BA7" w:rsidRPr="00845BA7" w:rsidRDefault="00845BA7" w:rsidP="00845BA7">
      <w:pPr>
        <w:jc w:val="center"/>
      </w:pPr>
      <w:r w:rsidRPr="00845BA7">
        <w:drawing>
          <wp:inline distT="0" distB="0" distL="0" distR="0" wp14:anchorId="4B804D40" wp14:editId="0B9DBD83">
            <wp:extent cx="2743200" cy="563880"/>
            <wp:effectExtent l="0" t="0" r="0" b="7620"/>
            <wp:docPr id="364548777"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563880"/>
                    </a:xfrm>
                    <a:prstGeom prst="rect">
                      <a:avLst/>
                    </a:prstGeom>
                    <a:noFill/>
                    <a:ln>
                      <a:noFill/>
                    </a:ln>
                  </pic:spPr>
                </pic:pic>
              </a:graphicData>
            </a:graphic>
          </wp:inline>
        </w:drawing>
      </w:r>
    </w:p>
    <w:p w14:paraId="3B227F90" w14:textId="77777777" w:rsidR="00845BA7" w:rsidRPr="00845BA7" w:rsidRDefault="00845BA7" w:rsidP="00845BA7">
      <w:pPr>
        <w:jc w:val="center"/>
      </w:pPr>
      <w:r w:rsidRPr="00845BA7">
        <w:t>Master of Business Administration</w:t>
      </w:r>
    </w:p>
    <w:p w14:paraId="35848277" w14:textId="77777777" w:rsidR="00845BA7" w:rsidRPr="00845BA7" w:rsidRDefault="00845BA7" w:rsidP="00845BA7">
      <w:pPr>
        <w:jc w:val="center"/>
      </w:pPr>
      <w:r w:rsidRPr="00845BA7">
        <w:t>International Business pathway</w:t>
      </w:r>
    </w:p>
    <w:p w14:paraId="378DF030" w14:textId="77777777" w:rsidR="00845BA7" w:rsidRPr="00845BA7" w:rsidRDefault="00845BA7" w:rsidP="00845BA7">
      <w:pPr>
        <w:jc w:val="left"/>
        <w:rPr>
          <w:lang w:val="en-US"/>
        </w:rPr>
      </w:pPr>
    </w:p>
    <w:p w14:paraId="5B443CEC" w14:textId="544A3DC0" w:rsidR="00845BA7" w:rsidRPr="00845BA7" w:rsidRDefault="00845BA7" w:rsidP="00845BA7">
      <w:pPr>
        <w:jc w:val="left"/>
        <w:rPr>
          <w:lang w:val="en-US"/>
        </w:rPr>
      </w:pPr>
      <w:r w:rsidRPr="00845BA7">
        <w:rPr>
          <w:lang w:val="en-US"/>
        </w:rPr>
        <w:drawing>
          <wp:anchor distT="0" distB="0" distL="0" distR="0" simplePos="0" relativeHeight="251659264" behindDoc="1" locked="0" layoutInCell="1" allowOverlap="1" wp14:anchorId="5A74BCEA" wp14:editId="5F40CECB">
            <wp:simplePos x="0" y="0"/>
            <wp:positionH relativeFrom="page">
              <wp:posOffset>2646680</wp:posOffset>
            </wp:positionH>
            <wp:positionV relativeFrom="paragraph">
              <wp:posOffset>172085</wp:posOffset>
            </wp:positionV>
            <wp:extent cx="2252345" cy="2252345"/>
            <wp:effectExtent l="0" t="0" r="0" b="0"/>
            <wp:wrapTopAndBottom/>
            <wp:docPr id="1365791463"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52345" cy="2252345"/>
                    </a:xfrm>
                    <a:prstGeom prst="rect">
                      <a:avLst/>
                    </a:prstGeom>
                    <a:noFill/>
                  </pic:spPr>
                </pic:pic>
              </a:graphicData>
            </a:graphic>
            <wp14:sizeRelH relativeFrom="page">
              <wp14:pctWidth>0</wp14:pctWidth>
            </wp14:sizeRelH>
            <wp14:sizeRelV relativeFrom="page">
              <wp14:pctHeight>0</wp14:pctHeight>
            </wp14:sizeRelV>
          </wp:anchor>
        </w:drawing>
      </w:r>
    </w:p>
    <w:p w14:paraId="63E2219E" w14:textId="77777777" w:rsidR="00845BA7" w:rsidRPr="00845BA7" w:rsidRDefault="00845BA7" w:rsidP="00845BA7">
      <w:pPr>
        <w:jc w:val="center"/>
        <w:rPr>
          <w:b/>
        </w:rPr>
      </w:pPr>
      <w:r w:rsidRPr="00845BA7">
        <w:rPr>
          <w:b/>
          <w:color w:val="EE0000"/>
        </w:rPr>
        <w:t>Contemporary</w:t>
      </w:r>
      <w:r w:rsidRPr="00845BA7">
        <w:rPr>
          <w:b/>
        </w:rPr>
        <w:t xml:space="preserve"> </w:t>
      </w:r>
      <w:r w:rsidRPr="00845BA7">
        <w:rPr>
          <w:b/>
          <w:color w:val="EE0000"/>
        </w:rPr>
        <w:t>employability</w:t>
      </w:r>
      <w:r w:rsidRPr="00845BA7">
        <w:rPr>
          <w:b/>
        </w:rPr>
        <w:t xml:space="preserve"> </w:t>
      </w:r>
      <w:r w:rsidRPr="00845BA7">
        <w:rPr>
          <w:b/>
          <w:color w:val="EE0000"/>
        </w:rPr>
        <w:t>skills</w:t>
      </w:r>
    </w:p>
    <w:p w14:paraId="75309C36" w14:textId="02188730" w:rsidR="00845BA7" w:rsidRPr="00845BA7" w:rsidRDefault="00845BA7" w:rsidP="00845BA7">
      <w:pPr>
        <w:jc w:val="center"/>
      </w:pPr>
      <w:r w:rsidRPr="00845BA7">
        <w:rPr>
          <w:color w:val="EE0000"/>
        </w:rPr>
        <w:t>Assessment</w:t>
      </w:r>
      <w:r w:rsidRPr="00845BA7">
        <w:t xml:space="preserve"> </w:t>
      </w:r>
      <w:r w:rsidRPr="00845BA7">
        <w:rPr>
          <w:color w:val="EE0000"/>
        </w:rPr>
        <w:t>1</w:t>
      </w:r>
      <w:r w:rsidRPr="00845BA7">
        <w:t>: Individual report</w:t>
      </w:r>
    </w:p>
    <w:p w14:paraId="64E5C072" w14:textId="77777777" w:rsidR="00845BA7" w:rsidRPr="00845BA7" w:rsidRDefault="00845BA7" w:rsidP="00845BA7">
      <w:pPr>
        <w:jc w:val="left"/>
      </w:pPr>
    </w:p>
    <w:p w14:paraId="5D14C6EE" w14:textId="32EA87CE" w:rsidR="00845BA7" w:rsidRPr="00845BA7" w:rsidRDefault="00845BA7" w:rsidP="00845BA7">
      <w:pPr>
        <w:jc w:val="left"/>
        <w:rPr>
          <w:b/>
          <w:bCs/>
        </w:rPr>
      </w:pPr>
      <w:r w:rsidRPr="00845BA7">
        <w:rPr>
          <w:b/>
          <w:bCs/>
        </w:rPr>
        <w:t xml:space="preserve">Module name: International </w:t>
      </w:r>
      <w:r>
        <w:rPr>
          <w:b/>
          <w:bCs/>
        </w:rPr>
        <w:t>Business Concepts</w:t>
      </w:r>
    </w:p>
    <w:p w14:paraId="0120796C" w14:textId="77777777" w:rsidR="00845BA7" w:rsidRPr="00845BA7" w:rsidRDefault="00845BA7" w:rsidP="00845BA7">
      <w:pPr>
        <w:jc w:val="left"/>
        <w:rPr>
          <w:b/>
          <w:bCs/>
        </w:rPr>
      </w:pPr>
    </w:p>
    <w:p w14:paraId="55DED95C" w14:textId="0DB85CD7" w:rsidR="00845BA7" w:rsidRPr="00845BA7" w:rsidRDefault="00845BA7" w:rsidP="00845BA7">
      <w:pPr>
        <w:jc w:val="left"/>
        <w:rPr>
          <w:b/>
          <w:bCs/>
        </w:rPr>
      </w:pPr>
      <w:r w:rsidRPr="00845BA7">
        <w:rPr>
          <w:b/>
          <w:bCs/>
        </w:rPr>
        <w:t>Module Code: LCMB70</w:t>
      </w:r>
      <w:r>
        <w:rPr>
          <w:b/>
          <w:bCs/>
        </w:rPr>
        <w:t>34</w:t>
      </w:r>
    </w:p>
    <w:p w14:paraId="61456FF1" w14:textId="77777777" w:rsidR="00845BA7" w:rsidRPr="00845BA7" w:rsidRDefault="00845BA7" w:rsidP="00845BA7">
      <w:pPr>
        <w:jc w:val="left"/>
        <w:rPr>
          <w:b/>
          <w:bCs/>
        </w:rPr>
      </w:pPr>
    </w:p>
    <w:p w14:paraId="3FE46DD5" w14:textId="3E50867C" w:rsidR="00845BA7" w:rsidRPr="00845BA7" w:rsidRDefault="00845BA7" w:rsidP="00845BA7">
      <w:pPr>
        <w:jc w:val="left"/>
        <w:rPr>
          <w:b/>
          <w:bCs/>
        </w:rPr>
      </w:pPr>
      <w:r w:rsidRPr="00845BA7">
        <w:rPr>
          <w:b/>
          <w:bCs/>
        </w:rPr>
        <w:t>Lecturer Name:</w:t>
      </w:r>
      <w:r w:rsidR="00E33E0B">
        <w:rPr>
          <w:b/>
          <w:bCs/>
        </w:rPr>
        <w:t xml:space="preserve"> Jean Wang</w:t>
      </w:r>
    </w:p>
    <w:p w14:paraId="395652D4" w14:textId="77777777" w:rsidR="00845BA7" w:rsidRPr="00845BA7" w:rsidRDefault="00845BA7" w:rsidP="00845BA7">
      <w:pPr>
        <w:jc w:val="left"/>
        <w:rPr>
          <w:b/>
          <w:bCs/>
        </w:rPr>
      </w:pPr>
    </w:p>
    <w:p w14:paraId="3FB46FAC" w14:textId="415B1C61" w:rsidR="00845BA7" w:rsidRPr="00845BA7" w:rsidRDefault="00845BA7" w:rsidP="00845BA7">
      <w:pPr>
        <w:jc w:val="left"/>
        <w:rPr>
          <w:b/>
          <w:bCs/>
        </w:rPr>
      </w:pPr>
      <w:r w:rsidRPr="00845BA7">
        <w:rPr>
          <w:b/>
          <w:bCs/>
        </w:rPr>
        <w:t xml:space="preserve">Student Name: </w:t>
      </w:r>
      <w:r>
        <w:rPr>
          <w:b/>
          <w:bCs/>
        </w:rPr>
        <w:t>Neet</w:t>
      </w:r>
      <w:r w:rsidR="00E33E0B">
        <w:rPr>
          <w:b/>
          <w:bCs/>
        </w:rPr>
        <w:t>kumar Maganbhai</w:t>
      </w:r>
      <w:r>
        <w:rPr>
          <w:b/>
          <w:bCs/>
        </w:rPr>
        <w:t xml:space="preserve"> Bajariya</w:t>
      </w:r>
    </w:p>
    <w:p w14:paraId="082CFF77" w14:textId="77777777" w:rsidR="00845BA7" w:rsidRPr="00845BA7" w:rsidRDefault="00845BA7" w:rsidP="00845BA7">
      <w:pPr>
        <w:jc w:val="left"/>
        <w:rPr>
          <w:b/>
          <w:bCs/>
        </w:rPr>
      </w:pPr>
    </w:p>
    <w:p w14:paraId="415133E0" w14:textId="22ACC99F" w:rsidR="00845BA7" w:rsidRPr="00845BA7" w:rsidRDefault="00845BA7" w:rsidP="00845BA7">
      <w:pPr>
        <w:jc w:val="left"/>
        <w:rPr>
          <w:b/>
          <w:bCs/>
        </w:rPr>
      </w:pPr>
      <w:r w:rsidRPr="00845BA7">
        <w:rPr>
          <w:b/>
          <w:bCs/>
        </w:rPr>
        <w:t>Student No.</w:t>
      </w:r>
      <w:r w:rsidRPr="00845BA7">
        <w:t>: 25</w:t>
      </w:r>
      <w:r w:rsidR="00E33E0B">
        <w:t>20872</w:t>
      </w:r>
    </w:p>
    <w:p w14:paraId="633FE254" w14:textId="77777777" w:rsidR="00845BA7" w:rsidRPr="00845BA7" w:rsidRDefault="00845BA7" w:rsidP="00845BA7">
      <w:pPr>
        <w:jc w:val="left"/>
        <w:rPr>
          <w:b/>
          <w:bCs/>
        </w:rPr>
      </w:pPr>
    </w:p>
    <w:p w14:paraId="24DA9512" w14:textId="77777777" w:rsidR="00845BA7" w:rsidRPr="00845BA7" w:rsidRDefault="00845BA7" w:rsidP="00845BA7">
      <w:pPr>
        <w:jc w:val="left"/>
        <w:rPr>
          <w:b/>
          <w:bCs/>
        </w:rPr>
      </w:pPr>
      <w:r w:rsidRPr="00845BA7">
        <w:rPr>
          <w:b/>
          <w:bCs/>
        </w:rPr>
        <w:t>Word Count:</w:t>
      </w:r>
      <w:r w:rsidRPr="00845BA7">
        <w:t xml:space="preserve"> 5233</w:t>
      </w:r>
    </w:p>
    <w:p w14:paraId="7095A43C" w14:textId="6C0DAC7A" w:rsidR="00845BA7" w:rsidRPr="00845BA7" w:rsidRDefault="00845BA7" w:rsidP="00845BA7">
      <w:pPr>
        <w:jc w:val="left"/>
        <w:rPr>
          <w:b/>
          <w:bCs/>
        </w:rPr>
      </w:pPr>
      <w:r w:rsidRPr="00845BA7">
        <w:rPr>
          <w:b/>
          <w:bCs/>
        </w:rPr>
        <w:t>Submission Date:</w:t>
      </w:r>
      <w:r w:rsidRPr="00845BA7">
        <w:t xml:space="preserve"> 1</w:t>
      </w:r>
      <w:r>
        <w:t>4</w:t>
      </w:r>
      <w:r w:rsidRPr="00845BA7">
        <w:rPr>
          <w:vertAlign w:val="superscript"/>
        </w:rPr>
        <w:t>th</w:t>
      </w:r>
      <w:r w:rsidRPr="00845BA7">
        <w:t xml:space="preserve"> August, 2026</w:t>
      </w:r>
    </w:p>
    <w:p w14:paraId="37CA83B0" w14:textId="77777777" w:rsidR="00845BA7" w:rsidRPr="00845BA7" w:rsidRDefault="00845BA7" w:rsidP="00845BA7">
      <w:pPr>
        <w:jc w:val="left"/>
        <w:rPr>
          <w:b/>
          <w:bCs/>
        </w:rPr>
      </w:pPr>
    </w:p>
    <w:p w14:paraId="6F2AD45F" w14:textId="77777777" w:rsidR="00845BA7" w:rsidRPr="00845BA7" w:rsidRDefault="00845BA7" w:rsidP="00845BA7">
      <w:pPr>
        <w:jc w:val="left"/>
        <w:rPr>
          <w:b/>
          <w:bCs/>
        </w:rPr>
      </w:pPr>
      <w:r w:rsidRPr="00845BA7">
        <w:rPr>
          <w:b/>
          <w:bCs/>
        </w:rPr>
        <w:lastRenderedPageBreak/>
        <w:t xml:space="preserve">AI Use Acknowledgement </w:t>
      </w:r>
    </w:p>
    <w:p w14:paraId="59222DC2" w14:textId="037E21E7" w:rsidR="00845BA7" w:rsidRPr="00845BA7" w:rsidRDefault="00845BA7" w:rsidP="00845BA7">
      <w:pPr>
        <w:jc w:val="left"/>
      </w:pPr>
      <w:r w:rsidRPr="00845BA7">
        <w:rPr>
          <w:b/>
          <w:bCs/>
        </w:rPr>
        <w:t>I acknowledge the use of ChatGPT (https://chatgpt.com/c/6a7cbd58-5410-83ee-b059-4d2a49118650) on 1</w:t>
      </w:r>
      <w:r>
        <w:rPr>
          <w:b/>
          <w:bCs/>
        </w:rPr>
        <w:t>3</w:t>
      </w:r>
      <w:r w:rsidRPr="00845BA7">
        <w:rPr>
          <w:b/>
          <w:bCs/>
        </w:rPr>
        <w:t xml:space="preserve"> August 2026 to support research, proofreading and visual development activities for my Strategic Management assignment. I used the prompt(s):</w:t>
      </w:r>
    </w:p>
    <w:p w14:paraId="5A82BB78" w14:textId="40DA92C0" w:rsidR="00845BA7" w:rsidRDefault="00845BA7" w:rsidP="00845BA7">
      <w:pPr>
        <w:pStyle w:val="ListParagraph"/>
        <w:numPr>
          <w:ilvl w:val="0"/>
          <w:numId w:val="2"/>
        </w:numPr>
        <w:jc w:val="left"/>
      </w:pPr>
      <w:r w:rsidRPr="00845BA7">
        <w:t>Help me compare the reliability of academic, government and company sources about IKEA’s potential entry into Kenya.</w:t>
      </w:r>
    </w:p>
    <w:p w14:paraId="220F13BC" w14:textId="77777777" w:rsidR="00845BA7" w:rsidRDefault="00845BA7" w:rsidP="00845BA7">
      <w:pPr>
        <w:pStyle w:val="ListParagraph"/>
        <w:numPr>
          <w:ilvl w:val="0"/>
          <w:numId w:val="2"/>
        </w:numPr>
        <w:jc w:val="left"/>
      </w:pPr>
      <w:r w:rsidRPr="00845BA7">
        <w:t>Review my completed paragraph and identify unclear, repetitive or grammatically incorrect sentences without changing my argument.</w:t>
      </w:r>
    </w:p>
    <w:p w14:paraId="4F864684" w14:textId="3774E532" w:rsidR="00845BA7" w:rsidRPr="00845BA7" w:rsidRDefault="00845BA7" w:rsidP="00845BA7">
      <w:pPr>
        <w:pStyle w:val="ListParagraph"/>
        <w:numPr>
          <w:ilvl w:val="0"/>
          <w:numId w:val="2"/>
        </w:numPr>
        <w:jc w:val="left"/>
      </w:pPr>
      <w:r w:rsidRPr="00845BA7">
        <w:t>Suggest an appropriate chart or diagram for presenting the PELC and market-attractiveness findings for IKEA in Kenya.</w:t>
      </w:r>
    </w:p>
    <w:p w14:paraId="23A88BC9" w14:textId="165EC050" w:rsidR="00A42F3F" w:rsidRDefault="00845BA7" w:rsidP="00845BA7">
      <w:pPr>
        <w:jc w:val="left"/>
      </w:pPr>
      <w:r w:rsidRPr="00845BA7">
        <w:t xml:space="preserve"> </w:t>
      </w:r>
      <w:r w:rsidR="00A42F3F">
        <w:br w:type="page"/>
      </w:r>
    </w:p>
    <w:p w14:paraId="1FA474C9" w14:textId="77777777" w:rsidR="00AA3F1A" w:rsidRDefault="00AA3F1A" w:rsidP="00AA3F1A"/>
    <w:sdt>
      <w:sdtPr>
        <w:rPr>
          <w:rFonts w:ascii="Arial" w:eastAsiaTheme="minorHAnsi" w:hAnsi="Arial" w:cstheme="minorBidi"/>
          <w:noProof/>
          <w:color w:val="auto"/>
          <w:kern w:val="2"/>
          <w:sz w:val="24"/>
          <w:szCs w:val="22"/>
          <w:lang w:val="en-IN"/>
          <w14:ligatures w14:val="standardContextual"/>
        </w:rPr>
        <w:id w:val="-962648546"/>
        <w:docPartObj>
          <w:docPartGallery w:val="Table of Contents"/>
          <w:docPartUnique/>
        </w:docPartObj>
      </w:sdtPr>
      <w:sdtEndPr>
        <w:rPr>
          <w:b/>
          <w:bCs/>
        </w:rPr>
      </w:sdtEndPr>
      <w:sdtContent>
        <w:p w14:paraId="3850A14D" w14:textId="50B9C569" w:rsidR="00A42F3F" w:rsidRDefault="00A42F3F">
          <w:pPr>
            <w:pStyle w:val="TOCHeading"/>
          </w:pPr>
          <w:r>
            <w:t>Table of Contents</w:t>
          </w:r>
        </w:p>
        <w:p w14:paraId="12DFEEF9" w14:textId="1ABB2430" w:rsidR="001D44E7" w:rsidRDefault="00A42F3F">
          <w:pPr>
            <w:pStyle w:val="TOC1"/>
            <w:tabs>
              <w:tab w:val="right" w:leader="dot" w:pos="9016"/>
            </w:tabs>
            <w:rPr>
              <w:rFonts w:asciiTheme="minorHAnsi" w:eastAsiaTheme="minorEastAsia" w:hAnsiTheme="minorHAnsi"/>
              <w:szCs w:val="24"/>
              <w:lang w:eastAsia="en-IN"/>
            </w:rPr>
          </w:pPr>
          <w:r>
            <w:fldChar w:fldCharType="begin"/>
          </w:r>
          <w:r>
            <w:instrText xml:space="preserve"> TOC \o "1-3" \h \z \u </w:instrText>
          </w:r>
          <w:r>
            <w:fldChar w:fldCharType="separate"/>
          </w:r>
          <w:hyperlink w:anchor="_Toc237201111" w:history="1">
            <w:r w:rsidR="001D44E7" w:rsidRPr="00256C28">
              <w:rPr>
                <w:rStyle w:val="Hyperlink"/>
              </w:rPr>
              <w:t>1. Introduction</w:t>
            </w:r>
            <w:r w:rsidR="001D44E7">
              <w:rPr>
                <w:webHidden/>
              </w:rPr>
              <w:tab/>
            </w:r>
            <w:r w:rsidR="001D44E7">
              <w:rPr>
                <w:webHidden/>
              </w:rPr>
              <w:fldChar w:fldCharType="begin"/>
            </w:r>
            <w:r w:rsidR="001D44E7">
              <w:rPr>
                <w:webHidden/>
              </w:rPr>
              <w:instrText xml:space="preserve"> PAGEREF _Toc237201111 \h </w:instrText>
            </w:r>
            <w:r w:rsidR="001D44E7">
              <w:rPr>
                <w:webHidden/>
              </w:rPr>
            </w:r>
            <w:r w:rsidR="001D44E7">
              <w:rPr>
                <w:webHidden/>
              </w:rPr>
              <w:fldChar w:fldCharType="separate"/>
            </w:r>
            <w:r w:rsidR="001D44E7">
              <w:rPr>
                <w:webHidden/>
              </w:rPr>
              <w:t>1</w:t>
            </w:r>
            <w:r w:rsidR="001D44E7">
              <w:rPr>
                <w:webHidden/>
              </w:rPr>
              <w:fldChar w:fldCharType="end"/>
            </w:r>
          </w:hyperlink>
        </w:p>
        <w:p w14:paraId="33DF76A3" w14:textId="66FEA39A" w:rsidR="001D44E7" w:rsidRDefault="001D44E7">
          <w:pPr>
            <w:pStyle w:val="TOC1"/>
            <w:tabs>
              <w:tab w:val="right" w:leader="dot" w:pos="9016"/>
            </w:tabs>
            <w:rPr>
              <w:rFonts w:asciiTheme="minorHAnsi" w:eastAsiaTheme="minorEastAsia" w:hAnsiTheme="minorHAnsi"/>
              <w:szCs w:val="24"/>
              <w:lang w:eastAsia="en-IN"/>
            </w:rPr>
          </w:pPr>
          <w:hyperlink w:anchor="_Toc237201112" w:history="1">
            <w:r w:rsidRPr="00256C28">
              <w:rPr>
                <w:rStyle w:val="Hyperlink"/>
              </w:rPr>
              <w:t>2. Classification &amp; Global Strategy</w:t>
            </w:r>
            <w:r>
              <w:rPr>
                <w:webHidden/>
              </w:rPr>
              <w:tab/>
            </w:r>
            <w:r>
              <w:rPr>
                <w:webHidden/>
              </w:rPr>
              <w:fldChar w:fldCharType="begin"/>
            </w:r>
            <w:r>
              <w:rPr>
                <w:webHidden/>
              </w:rPr>
              <w:instrText xml:space="preserve"> PAGEREF _Toc237201112 \h </w:instrText>
            </w:r>
            <w:r>
              <w:rPr>
                <w:webHidden/>
              </w:rPr>
            </w:r>
            <w:r>
              <w:rPr>
                <w:webHidden/>
              </w:rPr>
              <w:fldChar w:fldCharType="separate"/>
            </w:r>
            <w:r>
              <w:rPr>
                <w:webHidden/>
              </w:rPr>
              <w:t>1</w:t>
            </w:r>
            <w:r>
              <w:rPr>
                <w:webHidden/>
              </w:rPr>
              <w:fldChar w:fldCharType="end"/>
            </w:r>
          </w:hyperlink>
        </w:p>
        <w:p w14:paraId="1ED71D30" w14:textId="47F84A2E" w:rsidR="001D44E7" w:rsidRDefault="001D44E7">
          <w:pPr>
            <w:pStyle w:val="TOC2"/>
            <w:tabs>
              <w:tab w:val="right" w:leader="dot" w:pos="9016"/>
            </w:tabs>
            <w:rPr>
              <w:rFonts w:asciiTheme="minorHAnsi" w:eastAsiaTheme="minorEastAsia" w:hAnsiTheme="minorHAnsi"/>
              <w:szCs w:val="24"/>
              <w:lang w:eastAsia="en-IN"/>
            </w:rPr>
          </w:pPr>
          <w:hyperlink w:anchor="_Toc237201113" w:history="1">
            <w:r w:rsidRPr="00256C28">
              <w:rPr>
                <w:rStyle w:val="Hyperlink"/>
              </w:rPr>
              <w:t>2.1 IKEA: Organisational Classification</w:t>
            </w:r>
            <w:r>
              <w:rPr>
                <w:webHidden/>
              </w:rPr>
              <w:tab/>
            </w:r>
            <w:r>
              <w:rPr>
                <w:webHidden/>
              </w:rPr>
              <w:fldChar w:fldCharType="begin"/>
            </w:r>
            <w:r>
              <w:rPr>
                <w:webHidden/>
              </w:rPr>
              <w:instrText xml:space="preserve"> PAGEREF _Toc237201113 \h </w:instrText>
            </w:r>
            <w:r>
              <w:rPr>
                <w:webHidden/>
              </w:rPr>
            </w:r>
            <w:r>
              <w:rPr>
                <w:webHidden/>
              </w:rPr>
              <w:fldChar w:fldCharType="separate"/>
            </w:r>
            <w:r>
              <w:rPr>
                <w:webHidden/>
              </w:rPr>
              <w:t>1</w:t>
            </w:r>
            <w:r>
              <w:rPr>
                <w:webHidden/>
              </w:rPr>
              <w:fldChar w:fldCharType="end"/>
            </w:r>
          </w:hyperlink>
        </w:p>
        <w:p w14:paraId="3D878956" w14:textId="65E53517" w:rsidR="001D44E7" w:rsidRDefault="001D44E7">
          <w:pPr>
            <w:pStyle w:val="TOC2"/>
            <w:tabs>
              <w:tab w:val="right" w:leader="dot" w:pos="9016"/>
            </w:tabs>
            <w:rPr>
              <w:rFonts w:asciiTheme="minorHAnsi" w:eastAsiaTheme="minorEastAsia" w:hAnsiTheme="minorHAnsi"/>
              <w:szCs w:val="24"/>
              <w:lang w:eastAsia="en-IN"/>
            </w:rPr>
          </w:pPr>
          <w:hyperlink w:anchor="_Toc237201114" w:history="1">
            <w:r w:rsidRPr="00256C28">
              <w:rPr>
                <w:rStyle w:val="Hyperlink"/>
              </w:rPr>
              <w:t>2.2 Bartlett &amp; Ghoshal</w:t>
            </w:r>
            <w:r>
              <w:rPr>
                <w:webHidden/>
              </w:rPr>
              <w:tab/>
            </w:r>
            <w:r>
              <w:rPr>
                <w:webHidden/>
              </w:rPr>
              <w:fldChar w:fldCharType="begin"/>
            </w:r>
            <w:r>
              <w:rPr>
                <w:webHidden/>
              </w:rPr>
              <w:instrText xml:space="preserve"> PAGEREF _Toc237201114 \h </w:instrText>
            </w:r>
            <w:r>
              <w:rPr>
                <w:webHidden/>
              </w:rPr>
            </w:r>
            <w:r>
              <w:rPr>
                <w:webHidden/>
              </w:rPr>
              <w:fldChar w:fldCharType="separate"/>
            </w:r>
            <w:r>
              <w:rPr>
                <w:webHidden/>
              </w:rPr>
              <w:t>2</w:t>
            </w:r>
            <w:r>
              <w:rPr>
                <w:webHidden/>
              </w:rPr>
              <w:fldChar w:fldCharType="end"/>
            </w:r>
          </w:hyperlink>
        </w:p>
        <w:p w14:paraId="13AC8C59" w14:textId="240E32E9" w:rsidR="001D44E7" w:rsidRDefault="001D44E7">
          <w:pPr>
            <w:pStyle w:val="TOC2"/>
            <w:tabs>
              <w:tab w:val="right" w:leader="dot" w:pos="9016"/>
            </w:tabs>
            <w:rPr>
              <w:rFonts w:asciiTheme="minorHAnsi" w:eastAsiaTheme="minorEastAsia" w:hAnsiTheme="minorHAnsi"/>
              <w:szCs w:val="24"/>
              <w:lang w:eastAsia="en-IN"/>
            </w:rPr>
          </w:pPr>
          <w:hyperlink w:anchor="_Toc237201115" w:history="1">
            <w:r w:rsidRPr="00256C28">
              <w:rPr>
                <w:rStyle w:val="Hyperlink"/>
              </w:rPr>
              <w:t>2.3 Global Footprint &amp; Competitive Advantage</w:t>
            </w:r>
            <w:r>
              <w:rPr>
                <w:webHidden/>
              </w:rPr>
              <w:tab/>
            </w:r>
            <w:r>
              <w:rPr>
                <w:webHidden/>
              </w:rPr>
              <w:fldChar w:fldCharType="begin"/>
            </w:r>
            <w:r>
              <w:rPr>
                <w:webHidden/>
              </w:rPr>
              <w:instrText xml:space="preserve"> PAGEREF _Toc237201115 \h </w:instrText>
            </w:r>
            <w:r>
              <w:rPr>
                <w:webHidden/>
              </w:rPr>
            </w:r>
            <w:r>
              <w:rPr>
                <w:webHidden/>
              </w:rPr>
              <w:fldChar w:fldCharType="separate"/>
            </w:r>
            <w:r>
              <w:rPr>
                <w:webHidden/>
              </w:rPr>
              <w:t>3</w:t>
            </w:r>
            <w:r>
              <w:rPr>
                <w:webHidden/>
              </w:rPr>
              <w:fldChar w:fldCharType="end"/>
            </w:r>
          </w:hyperlink>
        </w:p>
        <w:p w14:paraId="5D90FF95" w14:textId="25FDB222" w:rsidR="001D44E7" w:rsidRDefault="001D44E7">
          <w:pPr>
            <w:pStyle w:val="TOC1"/>
            <w:tabs>
              <w:tab w:val="right" w:leader="dot" w:pos="9016"/>
            </w:tabs>
            <w:rPr>
              <w:rFonts w:asciiTheme="minorHAnsi" w:eastAsiaTheme="minorEastAsia" w:hAnsiTheme="minorHAnsi"/>
              <w:szCs w:val="24"/>
              <w:lang w:eastAsia="en-IN"/>
            </w:rPr>
          </w:pPr>
          <w:hyperlink w:anchor="_Toc237201116" w:history="1">
            <w:r w:rsidRPr="00256C28">
              <w:rPr>
                <w:rStyle w:val="Hyperlink"/>
              </w:rPr>
              <w:t>3. Macro-Environmental Appraisal and Market Attractiveness</w:t>
            </w:r>
            <w:r>
              <w:rPr>
                <w:webHidden/>
              </w:rPr>
              <w:tab/>
            </w:r>
            <w:r>
              <w:rPr>
                <w:webHidden/>
              </w:rPr>
              <w:fldChar w:fldCharType="begin"/>
            </w:r>
            <w:r>
              <w:rPr>
                <w:webHidden/>
              </w:rPr>
              <w:instrText xml:space="preserve"> PAGEREF _Toc237201116 \h </w:instrText>
            </w:r>
            <w:r>
              <w:rPr>
                <w:webHidden/>
              </w:rPr>
            </w:r>
            <w:r>
              <w:rPr>
                <w:webHidden/>
              </w:rPr>
              <w:fldChar w:fldCharType="separate"/>
            </w:r>
            <w:r>
              <w:rPr>
                <w:webHidden/>
              </w:rPr>
              <w:t>5</w:t>
            </w:r>
            <w:r>
              <w:rPr>
                <w:webHidden/>
              </w:rPr>
              <w:fldChar w:fldCharType="end"/>
            </w:r>
          </w:hyperlink>
        </w:p>
        <w:p w14:paraId="1EA9DB63" w14:textId="05686049" w:rsidR="001D44E7" w:rsidRDefault="001D44E7">
          <w:pPr>
            <w:pStyle w:val="TOC2"/>
            <w:tabs>
              <w:tab w:val="right" w:leader="dot" w:pos="9016"/>
            </w:tabs>
            <w:rPr>
              <w:rFonts w:asciiTheme="minorHAnsi" w:eastAsiaTheme="minorEastAsia" w:hAnsiTheme="minorHAnsi"/>
              <w:szCs w:val="24"/>
              <w:lang w:eastAsia="en-IN"/>
            </w:rPr>
          </w:pPr>
          <w:hyperlink w:anchor="_Toc237201117" w:history="1">
            <w:r w:rsidRPr="00256C28">
              <w:rPr>
                <w:rStyle w:val="Hyperlink"/>
              </w:rPr>
              <w:t>3.1 Political Environment</w:t>
            </w:r>
            <w:r>
              <w:rPr>
                <w:webHidden/>
              </w:rPr>
              <w:tab/>
            </w:r>
            <w:r>
              <w:rPr>
                <w:webHidden/>
              </w:rPr>
              <w:fldChar w:fldCharType="begin"/>
            </w:r>
            <w:r>
              <w:rPr>
                <w:webHidden/>
              </w:rPr>
              <w:instrText xml:space="preserve"> PAGEREF _Toc237201117 \h </w:instrText>
            </w:r>
            <w:r>
              <w:rPr>
                <w:webHidden/>
              </w:rPr>
            </w:r>
            <w:r>
              <w:rPr>
                <w:webHidden/>
              </w:rPr>
              <w:fldChar w:fldCharType="separate"/>
            </w:r>
            <w:r>
              <w:rPr>
                <w:webHidden/>
              </w:rPr>
              <w:t>5</w:t>
            </w:r>
            <w:r>
              <w:rPr>
                <w:webHidden/>
              </w:rPr>
              <w:fldChar w:fldCharType="end"/>
            </w:r>
          </w:hyperlink>
        </w:p>
        <w:p w14:paraId="755219C9" w14:textId="6030DD71" w:rsidR="001D44E7" w:rsidRDefault="001D44E7">
          <w:pPr>
            <w:pStyle w:val="TOC2"/>
            <w:tabs>
              <w:tab w:val="right" w:leader="dot" w:pos="9016"/>
            </w:tabs>
            <w:rPr>
              <w:rFonts w:asciiTheme="minorHAnsi" w:eastAsiaTheme="minorEastAsia" w:hAnsiTheme="minorHAnsi"/>
              <w:szCs w:val="24"/>
              <w:lang w:eastAsia="en-IN"/>
            </w:rPr>
          </w:pPr>
          <w:hyperlink w:anchor="_Toc237201118" w:history="1">
            <w:r w:rsidRPr="00256C28">
              <w:rPr>
                <w:rStyle w:val="Hyperlink"/>
              </w:rPr>
              <w:t>3.2 Economic Environment</w:t>
            </w:r>
            <w:r>
              <w:rPr>
                <w:webHidden/>
              </w:rPr>
              <w:tab/>
            </w:r>
            <w:r>
              <w:rPr>
                <w:webHidden/>
              </w:rPr>
              <w:fldChar w:fldCharType="begin"/>
            </w:r>
            <w:r>
              <w:rPr>
                <w:webHidden/>
              </w:rPr>
              <w:instrText xml:space="preserve"> PAGEREF _Toc237201118 \h </w:instrText>
            </w:r>
            <w:r>
              <w:rPr>
                <w:webHidden/>
              </w:rPr>
            </w:r>
            <w:r>
              <w:rPr>
                <w:webHidden/>
              </w:rPr>
              <w:fldChar w:fldCharType="separate"/>
            </w:r>
            <w:r>
              <w:rPr>
                <w:webHidden/>
              </w:rPr>
              <w:t>6</w:t>
            </w:r>
            <w:r>
              <w:rPr>
                <w:webHidden/>
              </w:rPr>
              <w:fldChar w:fldCharType="end"/>
            </w:r>
          </w:hyperlink>
        </w:p>
        <w:p w14:paraId="69B43664" w14:textId="5D510856" w:rsidR="001D44E7" w:rsidRDefault="001D44E7">
          <w:pPr>
            <w:pStyle w:val="TOC2"/>
            <w:tabs>
              <w:tab w:val="right" w:leader="dot" w:pos="9016"/>
            </w:tabs>
            <w:rPr>
              <w:rFonts w:asciiTheme="minorHAnsi" w:eastAsiaTheme="minorEastAsia" w:hAnsiTheme="minorHAnsi"/>
              <w:szCs w:val="24"/>
              <w:lang w:eastAsia="en-IN"/>
            </w:rPr>
          </w:pPr>
          <w:hyperlink w:anchor="_Toc237201119" w:history="1">
            <w:r w:rsidRPr="00256C28">
              <w:rPr>
                <w:rStyle w:val="Hyperlink"/>
              </w:rPr>
              <w:t>3.3 Legal &amp; Regulatory Environment</w:t>
            </w:r>
            <w:r>
              <w:rPr>
                <w:webHidden/>
              </w:rPr>
              <w:tab/>
            </w:r>
            <w:r>
              <w:rPr>
                <w:webHidden/>
              </w:rPr>
              <w:fldChar w:fldCharType="begin"/>
            </w:r>
            <w:r>
              <w:rPr>
                <w:webHidden/>
              </w:rPr>
              <w:instrText xml:space="preserve"> PAGEREF _Toc237201119 \h </w:instrText>
            </w:r>
            <w:r>
              <w:rPr>
                <w:webHidden/>
              </w:rPr>
            </w:r>
            <w:r>
              <w:rPr>
                <w:webHidden/>
              </w:rPr>
              <w:fldChar w:fldCharType="separate"/>
            </w:r>
            <w:r>
              <w:rPr>
                <w:webHidden/>
              </w:rPr>
              <w:t>7</w:t>
            </w:r>
            <w:r>
              <w:rPr>
                <w:webHidden/>
              </w:rPr>
              <w:fldChar w:fldCharType="end"/>
            </w:r>
          </w:hyperlink>
        </w:p>
        <w:p w14:paraId="41979CA1" w14:textId="551E86E1" w:rsidR="001D44E7" w:rsidRDefault="001D44E7">
          <w:pPr>
            <w:pStyle w:val="TOC2"/>
            <w:tabs>
              <w:tab w:val="right" w:leader="dot" w:pos="9016"/>
            </w:tabs>
            <w:rPr>
              <w:rFonts w:asciiTheme="minorHAnsi" w:eastAsiaTheme="minorEastAsia" w:hAnsiTheme="minorHAnsi"/>
              <w:szCs w:val="24"/>
              <w:lang w:eastAsia="en-IN"/>
            </w:rPr>
          </w:pPr>
          <w:hyperlink w:anchor="_Toc237201120" w:history="1">
            <w:r w:rsidRPr="00256C28">
              <w:rPr>
                <w:rStyle w:val="Hyperlink"/>
              </w:rPr>
              <w:t>3.4 Cultural Environment</w:t>
            </w:r>
            <w:r>
              <w:rPr>
                <w:webHidden/>
              </w:rPr>
              <w:tab/>
            </w:r>
            <w:r>
              <w:rPr>
                <w:webHidden/>
              </w:rPr>
              <w:fldChar w:fldCharType="begin"/>
            </w:r>
            <w:r>
              <w:rPr>
                <w:webHidden/>
              </w:rPr>
              <w:instrText xml:space="preserve"> PAGEREF _Toc237201120 \h </w:instrText>
            </w:r>
            <w:r>
              <w:rPr>
                <w:webHidden/>
              </w:rPr>
            </w:r>
            <w:r>
              <w:rPr>
                <w:webHidden/>
              </w:rPr>
              <w:fldChar w:fldCharType="separate"/>
            </w:r>
            <w:r>
              <w:rPr>
                <w:webHidden/>
              </w:rPr>
              <w:t>8</w:t>
            </w:r>
            <w:r>
              <w:rPr>
                <w:webHidden/>
              </w:rPr>
              <w:fldChar w:fldCharType="end"/>
            </w:r>
          </w:hyperlink>
        </w:p>
        <w:p w14:paraId="7060A174" w14:textId="3B5C4F3E" w:rsidR="001D44E7" w:rsidRDefault="001D44E7">
          <w:pPr>
            <w:pStyle w:val="TOC2"/>
            <w:tabs>
              <w:tab w:val="right" w:leader="dot" w:pos="9016"/>
            </w:tabs>
            <w:rPr>
              <w:rFonts w:asciiTheme="minorHAnsi" w:eastAsiaTheme="minorEastAsia" w:hAnsiTheme="minorHAnsi"/>
              <w:szCs w:val="24"/>
              <w:lang w:eastAsia="en-IN"/>
            </w:rPr>
          </w:pPr>
          <w:hyperlink w:anchor="_Toc237201121" w:history="1">
            <w:r w:rsidRPr="00256C28">
              <w:rPr>
                <w:rStyle w:val="Hyperlink"/>
              </w:rPr>
              <w:t>3.5 Integrated Market Attractiveness</w:t>
            </w:r>
            <w:r>
              <w:rPr>
                <w:webHidden/>
              </w:rPr>
              <w:tab/>
            </w:r>
            <w:r>
              <w:rPr>
                <w:webHidden/>
              </w:rPr>
              <w:fldChar w:fldCharType="begin"/>
            </w:r>
            <w:r>
              <w:rPr>
                <w:webHidden/>
              </w:rPr>
              <w:instrText xml:space="preserve"> PAGEREF _Toc237201121 \h </w:instrText>
            </w:r>
            <w:r>
              <w:rPr>
                <w:webHidden/>
              </w:rPr>
            </w:r>
            <w:r>
              <w:rPr>
                <w:webHidden/>
              </w:rPr>
              <w:fldChar w:fldCharType="separate"/>
            </w:r>
            <w:r>
              <w:rPr>
                <w:webHidden/>
              </w:rPr>
              <w:t>9</w:t>
            </w:r>
            <w:r>
              <w:rPr>
                <w:webHidden/>
              </w:rPr>
              <w:fldChar w:fldCharType="end"/>
            </w:r>
          </w:hyperlink>
        </w:p>
        <w:p w14:paraId="461EDE98" w14:textId="6C20156A" w:rsidR="001D44E7" w:rsidRDefault="001D44E7">
          <w:pPr>
            <w:pStyle w:val="TOC2"/>
            <w:tabs>
              <w:tab w:val="right" w:leader="dot" w:pos="9016"/>
            </w:tabs>
            <w:rPr>
              <w:rFonts w:asciiTheme="minorHAnsi" w:eastAsiaTheme="minorEastAsia" w:hAnsiTheme="minorHAnsi"/>
              <w:szCs w:val="24"/>
              <w:lang w:eastAsia="en-IN"/>
            </w:rPr>
          </w:pPr>
          <w:hyperlink w:anchor="_Toc237201122" w:history="1">
            <w:r w:rsidRPr="00256C28">
              <w:rPr>
                <w:rStyle w:val="Hyperlink"/>
              </w:rPr>
              <w:t>3.6 Dunning's OLI Framework</w:t>
            </w:r>
            <w:r>
              <w:rPr>
                <w:webHidden/>
              </w:rPr>
              <w:tab/>
            </w:r>
            <w:r>
              <w:rPr>
                <w:webHidden/>
              </w:rPr>
              <w:fldChar w:fldCharType="begin"/>
            </w:r>
            <w:r>
              <w:rPr>
                <w:webHidden/>
              </w:rPr>
              <w:instrText xml:space="preserve"> PAGEREF _Toc237201122 \h </w:instrText>
            </w:r>
            <w:r>
              <w:rPr>
                <w:webHidden/>
              </w:rPr>
            </w:r>
            <w:r>
              <w:rPr>
                <w:webHidden/>
              </w:rPr>
              <w:fldChar w:fldCharType="separate"/>
            </w:r>
            <w:r>
              <w:rPr>
                <w:webHidden/>
              </w:rPr>
              <w:t>11</w:t>
            </w:r>
            <w:r>
              <w:rPr>
                <w:webHidden/>
              </w:rPr>
              <w:fldChar w:fldCharType="end"/>
            </w:r>
          </w:hyperlink>
        </w:p>
        <w:p w14:paraId="294E4603" w14:textId="7C48A147" w:rsidR="001D44E7" w:rsidRDefault="001D44E7">
          <w:pPr>
            <w:pStyle w:val="TOC1"/>
            <w:tabs>
              <w:tab w:val="right" w:leader="dot" w:pos="9016"/>
            </w:tabs>
            <w:rPr>
              <w:rFonts w:asciiTheme="minorHAnsi" w:eastAsiaTheme="minorEastAsia" w:hAnsiTheme="minorHAnsi"/>
              <w:szCs w:val="24"/>
              <w:lang w:eastAsia="en-IN"/>
            </w:rPr>
          </w:pPr>
          <w:hyperlink w:anchor="_Toc237201123" w:history="1">
            <w:r w:rsidRPr="00256C28">
              <w:rPr>
                <w:rStyle w:val="Hyperlink"/>
              </w:rPr>
              <w:t>4. Entry Mode Strategy and Strategic Synthesis</w:t>
            </w:r>
            <w:r>
              <w:rPr>
                <w:webHidden/>
              </w:rPr>
              <w:tab/>
            </w:r>
            <w:r>
              <w:rPr>
                <w:webHidden/>
              </w:rPr>
              <w:fldChar w:fldCharType="begin"/>
            </w:r>
            <w:r>
              <w:rPr>
                <w:webHidden/>
              </w:rPr>
              <w:instrText xml:space="preserve"> PAGEREF _Toc237201123 \h </w:instrText>
            </w:r>
            <w:r>
              <w:rPr>
                <w:webHidden/>
              </w:rPr>
            </w:r>
            <w:r>
              <w:rPr>
                <w:webHidden/>
              </w:rPr>
              <w:fldChar w:fldCharType="separate"/>
            </w:r>
            <w:r>
              <w:rPr>
                <w:webHidden/>
              </w:rPr>
              <w:t>12</w:t>
            </w:r>
            <w:r>
              <w:rPr>
                <w:webHidden/>
              </w:rPr>
              <w:fldChar w:fldCharType="end"/>
            </w:r>
          </w:hyperlink>
        </w:p>
        <w:p w14:paraId="3AE09DEF" w14:textId="49E1314F" w:rsidR="001D44E7" w:rsidRDefault="001D44E7">
          <w:pPr>
            <w:pStyle w:val="TOC2"/>
            <w:tabs>
              <w:tab w:val="right" w:leader="dot" w:pos="9016"/>
            </w:tabs>
            <w:rPr>
              <w:rFonts w:asciiTheme="minorHAnsi" w:eastAsiaTheme="minorEastAsia" w:hAnsiTheme="minorHAnsi"/>
              <w:szCs w:val="24"/>
              <w:lang w:eastAsia="en-IN"/>
            </w:rPr>
          </w:pPr>
          <w:hyperlink w:anchor="_Toc237201124" w:history="1">
            <w:r w:rsidRPr="00256C28">
              <w:rPr>
                <w:rStyle w:val="Hyperlink"/>
              </w:rPr>
              <w:t>4.1 Historical Entry Modes</w:t>
            </w:r>
            <w:r>
              <w:rPr>
                <w:webHidden/>
              </w:rPr>
              <w:tab/>
            </w:r>
            <w:r>
              <w:rPr>
                <w:webHidden/>
              </w:rPr>
              <w:fldChar w:fldCharType="begin"/>
            </w:r>
            <w:r>
              <w:rPr>
                <w:webHidden/>
              </w:rPr>
              <w:instrText xml:space="preserve"> PAGEREF _Toc237201124 \h </w:instrText>
            </w:r>
            <w:r>
              <w:rPr>
                <w:webHidden/>
              </w:rPr>
            </w:r>
            <w:r>
              <w:rPr>
                <w:webHidden/>
              </w:rPr>
              <w:fldChar w:fldCharType="separate"/>
            </w:r>
            <w:r>
              <w:rPr>
                <w:webHidden/>
              </w:rPr>
              <w:t>12</w:t>
            </w:r>
            <w:r>
              <w:rPr>
                <w:webHidden/>
              </w:rPr>
              <w:fldChar w:fldCharType="end"/>
            </w:r>
          </w:hyperlink>
        </w:p>
        <w:p w14:paraId="5617A02E" w14:textId="6FEB00A8" w:rsidR="001D44E7" w:rsidRDefault="001D44E7">
          <w:pPr>
            <w:pStyle w:val="TOC2"/>
            <w:tabs>
              <w:tab w:val="right" w:leader="dot" w:pos="9016"/>
            </w:tabs>
            <w:rPr>
              <w:rFonts w:asciiTheme="minorHAnsi" w:eastAsiaTheme="minorEastAsia" w:hAnsiTheme="minorHAnsi"/>
              <w:szCs w:val="24"/>
              <w:lang w:eastAsia="en-IN"/>
            </w:rPr>
          </w:pPr>
          <w:hyperlink w:anchor="_Toc237201125" w:history="1">
            <w:r w:rsidRPr="00256C28">
              <w:rPr>
                <w:rStyle w:val="Hyperlink"/>
              </w:rPr>
              <w:t>4.2 Historical Mode versus Kenya</w:t>
            </w:r>
            <w:r>
              <w:rPr>
                <w:webHidden/>
              </w:rPr>
              <w:tab/>
            </w:r>
            <w:r>
              <w:rPr>
                <w:webHidden/>
              </w:rPr>
              <w:fldChar w:fldCharType="begin"/>
            </w:r>
            <w:r>
              <w:rPr>
                <w:webHidden/>
              </w:rPr>
              <w:instrText xml:space="preserve"> PAGEREF _Toc237201125 \h </w:instrText>
            </w:r>
            <w:r>
              <w:rPr>
                <w:webHidden/>
              </w:rPr>
            </w:r>
            <w:r>
              <w:rPr>
                <w:webHidden/>
              </w:rPr>
              <w:fldChar w:fldCharType="separate"/>
            </w:r>
            <w:r>
              <w:rPr>
                <w:webHidden/>
              </w:rPr>
              <w:t>13</w:t>
            </w:r>
            <w:r>
              <w:rPr>
                <w:webHidden/>
              </w:rPr>
              <w:fldChar w:fldCharType="end"/>
            </w:r>
          </w:hyperlink>
        </w:p>
        <w:p w14:paraId="6368F40D" w14:textId="7CAA3C11" w:rsidR="001D44E7" w:rsidRDefault="001D44E7">
          <w:pPr>
            <w:pStyle w:val="TOC2"/>
            <w:tabs>
              <w:tab w:val="right" w:leader="dot" w:pos="9016"/>
            </w:tabs>
            <w:rPr>
              <w:rFonts w:asciiTheme="minorHAnsi" w:eastAsiaTheme="minorEastAsia" w:hAnsiTheme="minorHAnsi"/>
              <w:szCs w:val="24"/>
              <w:lang w:eastAsia="en-IN"/>
            </w:rPr>
          </w:pPr>
          <w:hyperlink w:anchor="_Toc237201126" w:history="1">
            <w:r w:rsidRPr="00256C28">
              <w:rPr>
                <w:rStyle w:val="Hyperlink"/>
              </w:rPr>
              <w:t>4.3 Alternative Entry Modes</w:t>
            </w:r>
            <w:r>
              <w:rPr>
                <w:webHidden/>
              </w:rPr>
              <w:tab/>
            </w:r>
            <w:r>
              <w:rPr>
                <w:webHidden/>
              </w:rPr>
              <w:fldChar w:fldCharType="begin"/>
            </w:r>
            <w:r>
              <w:rPr>
                <w:webHidden/>
              </w:rPr>
              <w:instrText xml:space="preserve"> PAGEREF _Toc237201126 \h </w:instrText>
            </w:r>
            <w:r>
              <w:rPr>
                <w:webHidden/>
              </w:rPr>
            </w:r>
            <w:r>
              <w:rPr>
                <w:webHidden/>
              </w:rPr>
              <w:fldChar w:fldCharType="separate"/>
            </w:r>
            <w:r>
              <w:rPr>
                <w:webHidden/>
              </w:rPr>
              <w:t>13</w:t>
            </w:r>
            <w:r>
              <w:rPr>
                <w:webHidden/>
              </w:rPr>
              <w:fldChar w:fldCharType="end"/>
            </w:r>
          </w:hyperlink>
        </w:p>
        <w:p w14:paraId="4C6793C7" w14:textId="11A0FD05" w:rsidR="001D44E7" w:rsidRDefault="001D44E7">
          <w:pPr>
            <w:pStyle w:val="TOC2"/>
            <w:tabs>
              <w:tab w:val="right" w:leader="dot" w:pos="9016"/>
            </w:tabs>
            <w:rPr>
              <w:rFonts w:asciiTheme="minorHAnsi" w:eastAsiaTheme="minorEastAsia" w:hAnsiTheme="minorHAnsi"/>
              <w:szCs w:val="24"/>
              <w:lang w:eastAsia="en-IN"/>
            </w:rPr>
          </w:pPr>
          <w:hyperlink w:anchor="_Toc237201127" w:history="1">
            <w:r w:rsidRPr="00256C28">
              <w:rPr>
                <w:rStyle w:val="Hyperlink"/>
              </w:rPr>
              <w:t>4.4 Recommended Entry Strategy</w:t>
            </w:r>
            <w:r>
              <w:rPr>
                <w:webHidden/>
              </w:rPr>
              <w:tab/>
            </w:r>
            <w:r>
              <w:rPr>
                <w:webHidden/>
              </w:rPr>
              <w:fldChar w:fldCharType="begin"/>
            </w:r>
            <w:r>
              <w:rPr>
                <w:webHidden/>
              </w:rPr>
              <w:instrText xml:space="preserve"> PAGEREF _Toc237201127 \h </w:instrText>
            </w:r>
            <w:r>
              <w:rPr>
                <w:webHidden/>
              </w:rPr>
            </w:r>
            <w:r>
              <w:rPr>
                <w:webHidden/>
              </w:rPr>
              <w:fldChar w:fldCharType="separate"/>
            </w:r>
            <w:r>
              <w:rPr>
                <w:webHidden/>
              </w:rPr>
              <w:t>14</w:t>
            </w:r>
            <w:r>
              <w:rPr>
                <w:webHidden/>
              </w:rPr>
              <w:fldChar w:fldCharType="end"/>
            </w:r>
          </w:hyperlink>
        </w:p>
        <w:p w14:paraId="3C9D1934" w14:textId="66D171A9" w:rsidR="001D44E7" w:rsidRDefault="001D44E7">
          <w:pPr>
            <w:pStyle w:val="TOC2"/>
            <w:tabs>
              <w:tab w:val="right" w:leader="dot" w:pos="9016"/>
            </w:tabs>
            <w:rPr>
              <w:rFonts w:asciiTheme="minorHAnsi" w:eastAsiaTheme="minorEastAsia" w:hAnsiTheme="minorHAnsi"/>
              <w:szCs w:val="24"/>
              <w:lang w:eastAsia="en-IN"/>
            </w:rPr>
          </w:pPr>
          <w:hyperlink w:anchor="_Toc237201128" w:history="1">
            <w:r w:rsidRPr="00256C28">
              <w:rPr>
                <w:rStyle w:val="Hyperlink"/>
              </w:rPr>
              <w:t>4.5 Strategic Synthe</w:t>
            </w:r>
            <w:r>
              <w:rPr>
                <w:webHidden/>
              </w:rPr>
              <w:tab/>
            </w:r>
            <w:r>
              <w:rPr>
                <w:webHidden/>
              </w:rPr>
              <w:fldChar w:fldCharType="begin"/>
            </w:r>
            <w:r>
              <w:rPr>
                <w:webHidden/>
              </w:rPr>
              <w:instrText xml:space="preserve"> PAGEREF _Toc237201128 \h </w:instrText>
            </w:r>
            <w:r>
              <w:rPr>
                <w:webHidden/>
              </w:rPr>
            </w:r>
            <w:r>
              <w:rPr>
                <w:webHidden/>
              </w:rPr>
              <w:fldChar w:fldCharType="separate"/>
            </w:r>
            <w:r>
              <w:rPr>
                <w:webHidden/>
              </w:rPr>
              <w:t>15</w:t>
            </w:r>
            <w:r>
              <w:rPr>
                <w:webHidden/>
              </w:rPr>
              <w:fldChar w:fldCharType="end"/>
            </w:r>
          </w:hyperlink>
        </w:p>
        <w:p w14:paraId="71DCA68C" w14:textId="50A591BF" w:rsidR="001D44E7" w:rsidRDefault="001D44E7">
          <w:pPr>
            <w:pStyle w:val="TOC1"/>
            <w:tabs>
              <w:tab w:val="right" w:leader="dot" w:pos="9016"/>
            </w:tabs>
            <w:rPr>
              <w:rFonts w:asciiTheme="minorHAnsi" w:eastAsiaTheme="minorEastAsia" w:hAnsiTheme="minorHAnsi"/>
              <w:szCs w:val="24"/>
              <w:lang w:eastAsia="en-IN"/>
            </w:rPr>
          </w:pPr>
          <w:hyperlink w:anchor="_Toc237201129" w:history="1">
            <w:r w:rsidRPr="00256C28">
              <w:rPr>
                <w:rStyle w:val="Hyperlink"/>
              </w:rPr>
              <w:t>5. Gibbs Reflective Cycle</w:t>
            </w:r>
            <w:r>
              <w:rPr>
                <w:webHidden/>
              </w:rPr>
              <w:tab/>
            </w:r>
            <w:r>
              <w:rPr>
                <w:webHidden/>
              </w:rPr>
              <w:fldChar w:fldCharType="begin"/>
            </w:r>
            <w:r>
              <w:rPr>
                <w:webHidden/>
              </w:rPr>
              <w:instrText xml:space="preserve"> PAGEREF _Toc237201129 \h </w:instrText>
            </w:r>
            <w:r>
              <w:rPr>
                <w:webHidden/>
              </w:rPr>
            </w:r>
            <w:r>
              <w:rPr>
                <w:webHidden/>
              </w:rPr>
              <w:fldChar w:fldCharType="separate"/>
            </w:r>
            <w:r>
              <w:rPr>
                <w:webHidden/>
              </w:rPr>
              <w:t>15</w:t>
            </w:r>
            <w:r>
              <w:rPr>
                <w:webHidden/>
              </w:rPr>
              <w:fldChar w:fldCharType="end"/>
            </w:r>
          </w:hyperlink>
        </w:p>
        <w:p w14:paraId="38EE2DB7" w14:textId="602AD997" w:rsidR="001D44E7" w:rsidRDefault="001D44E7">
          <w:pPr>
            <w:pStyle w:val="TOC2"/>
            <w:tabs>
              <w:tab w:val="right" w:leader="dot" w:pos="9016"/>
            </w:tabs>
            <w:rPr>
              <w:rFonts w:asciiTheme="minorHAnsi" w:eastAsiaTheme="minorEastAsia" w:hAnsiTheme="minorHAnsi"/>
              <w:szCs w:val="24"/>
              <w:lang w:eastAsia="en-IN"/>
            </w:rPr>
          </w:pPr>
          <w:hyperlink w:anchor="_Toc237201130" w:history="1">
            <w:r w:rsidRPr="00256C28">
              <w:rPr>
                <w:rStyle w:val="Hyperlink"/>
              </w:rPr>
              <w:t>5.1 Description</w:t>
            </w:r>
            <w:r>
              <w:rPr>
                <w:webHidden/>
              </w:rPr>
              <w:tab/>
            </w:r>
            <w:r>
              <w:rPr>
                <w:webHidden/>
              </w:rPr>
              <w:fldChar w:fldCharType="begin"/>
            </w:r>
            <w:r>
              <w:rPr>
                <w:webHidden/>
              </w:rPr>
              <w:instrText xml:space="preserve"> PAGEREF _Toc237201130 \h </w:instrText>
            </w:r>
            <w:r>
              <w:rPr>
                <w:webHidden/>
              </w:rPr>
            </w:r>
            <w:r>
              <w:rPr>
                <w:webHidden/>
              </w:rPr>
              <w:fldChar w:fldCharType="separate"/>
            </w:r>
            <w:r>
              <w:rPr>
                <w:webHidden/>
              </w:rPr>
              <w:t>15</w:t>
            </w:r>
            <w:r>
              <w:rPr>
                <w:webHidden/>
              </w:rPr>
              <w:fldChar w:fldCharType="end"/>
            </w:r>
          </w:hyperlink>
        </w:p>
        <w:p w14:paraId="245C8BD7" w14:textId="4A613EE6" w:rsidR="001D44E7" w:rsidRDefault="001D44E7">
          <w:pPr>
            <w:pStyle w:val="TOC2"/>
            <w:tabs>
              <w:tab w:val="right" w:leader="dot" w:pos="9016"/>
            </w:tabs>
            <w:rPr>
              <w:rFonts w:asciiTheme="minorHAnsi" w:eastAsiaTheme="minorEastAsia" w:hAnsiTheme="minorHAnsi"/>
              <w:szCs w:val="24"/>
              <w:lang w:eastAsia="en-IN"/>
            </w:rPr>
          </w:pPr>
          <w:hyperlink w:anchor="_Toc237201131" w:history="1">
            <w:r w:rsidRPr="00256C28">
              <w:rPr>
                <w:rStyle w:val="Hyperlink"/>
              </w:rPr>
              <w:t>5.2 Feelings</w:t>
            </w:r>
            <w:r>
              <w:rPr>
                <w:webHidden/>
              </w:rPr>
              <w:tab/>
            </w:r>
            <w:r>
              <w:rPr>
                <w:webHidden/>
              </w:rPr>
              <w:fldChar w:fldCharType="begin"/>
            </w:r>
            <w:r>
              <w:rPr>
                <w:webHidden/>
              </w:rPr>
              <w:instrText xml:space="preserve"> PAGEREF _Toc237201131 \h </w:instrText>
            </w:r>
            <w:r>
              <w:rPr>
                <w:webHidden/>
              </w:rPr>
            </w:r>
            <w:r>
              <w:rPr>
                <w:webHidden/>
              </w:rPr>
              <w:fldChar w:fldCharType="separate"/>
            </w:r>
            <w:r>
              <w:rPr>
                <w:webHidden/>
              </w:rPr>
              <w:t>15</w:t>
            </w:r>
            <w:r>
              <w:rPr>
                <w:webHidden/>
              </w:rPr>
              <w:fldChar w:fldCharType="end"/>
            </w:r>
          </w:hyperlink>
        </w:p>
        <w:p w14:paraId="0D6D8017" w14:textId="74FC0927" w:rsidR="001D44E7" w:rsidRDefault="001D44E7">
          <w:pPr>
            <w:pStyle w:val="TOC2"/>
            <w:tabs>
              <w:tab w:val="right" w:leader="dot" w:pos="9016"/>
            </w:tabs>
            <w:rPr>
              <w:rFonts w:asciiTheme="minorHAnsi" w:eastAsiaTheme="minorEastAsia" w:hAnsiTheme="minorHAnsi"/>
              <w:szCs w:val="24"/>
              <w:lang w:eastAsia="en-IN"/>
            </w:rPr>
          </w:pPr>
          <w:hyperlink w:anchor="_Toc237201132" w:history="1">
            <w:r w:rsidRPr="00256C28">
              <w:rPr>
                <w:rStyle w:val="Hyperlink"/>
              </w:rPr>
              <w:t>5.3 Evaluation</w:t>
            </w:r>
            <w:r>
              <w:rPr>
                <w:webHidden/>
              </w:rPr>
              <w:tab/>
            </w:r>
            <w:r>
              <w:rPr>
                <w:webHidden/>
              </w:rPr>
              <w:fldChar w:fldCharType="begin"/>
            </w:r>
            <w:r>
              <w:rPr>
                <w:webHidden/>
              </w:rPr>
              <w:instrText xml:space="preserve"> PAGEREF _Toc237201132 \h </w:instrText>
            </w:r>
            <w:r>
              <w:rPr>
                <w:webHidden/>
              </w:rPr>
            </w:r>
            <w:r>
              <w:rPr>
                <w:webHidden/>
              </w:rPr>
              <w:fldChar w:fldCharType="separate"/>
            </w:r>
            <w:r>
              <w:rPr>
                <w:webHidden/>
              </w:rPr>
              <w:t>15</w:t>
            </w:r>
            <w:r>
              <w:rPr>
                <w:webHidden/>
              </w:rPr>
              <w:fldChar w:fldCharType="end"/>
            </w:r>
          </w:hyperlink>
        </w:p>
        <w:p w14:paraId="3CD7A2AF" w14:textId="5F946261" w:rsidR="001D44E7" w:rsidRDefault="001D44E7">
          <w:pPr>
            <w:pStyle w:val="TOC2"/>
            <w:tabs>
              <w:tab w:val="right" w:leader="dot" w:pos="9016"/>
            </w:tabs>
            <w:rPr>
              <w:rFonts w:asciiTheme="minorHAnsi" w:eastAsiaTheme="minorEastAsia" w:hAnsiTheme="minorHAnsi"/>
              <w:szCs w:val="24"/>
              <w:lang w:eastAsia="en-IN"/>
            </w:rPr>
          </w:pPr>
          <w:hyperlink w:anchor="_Toc237201133" w:history="1">
            <w:r w:rsidRPr="00256C28">
              <w:rPr>
                <w:rStyle w:val="Hyperlink"/>
              </w:rPr>
              <w:t>5.4 Analysis</w:t>
            </w:r>
            <w:r>
              <w:rPr>
                <w:webHidden/>
              </w:rPr>
              <w:tab/>
            </w:r>
            <w:r>
              <w:rPr>
                <w:webHidden/>
              </w:rPr>
              <w:fldChar w:fldCharType="begin"/>
            </w:r>
            <w:r>
              <w:rPr>
                <w:webHidden/>
              </w:rPr>
              <w:instrText xml:space="preserve"> PAGEREF _Toc237201133 \h </w:instrText>
            </w:r>
            <w:r>
              <w:rPr>
                <w:webHidden/>
              </w:rPr>
            </w:r>
            <w:r>
              <w:rPr>
                <w:webHidden/>
              </w:rPr>
              <w:fldChar w:fldCharType="separate"/>
            </w:r>
            <w:r>
              <w:rPr>
                <w:webHidden/>
              </w:rPr>
              <w:t>16</w:t>
            </w:r>
            <w:r>
              <w:rPr>
                <w:webHidden/>
              </w:rPr>
              <w:fldChar w:fldCharType="end"/>
            </w:r>
          </w:hyperlink>
        </w:p>
        <w:p w14:paraId="3788F37C" w14:textId="3CE87EE9" w:rsidR="001D44E7" w:rsidRDefault="001D44E7">
          <w:pPr>
            <w:pStyle w:val="TOC2"/>
            <w:tabs>
              <w:tab w:val="right" w:leader="dot" w:pos="9016"/>
            </w:tabs>
            <w:rPr>
              <w:rFonts w:asciiTheme="minorHAnsi" w:eastAsiaTheme="minorEastAsia" w:hAnsiTheme="minorHAnsi"/>
              <w:szCs w:val="24"/>
              <w:lang w:eastAsia="en-IN"/>
            </w:rPr>
          </w:pPr>
          <w:hyperlink w:anchor="_Toc237201134" w:history="1">
            <w:r w:rsidRPr="00256C28">
              <w:rPr>
                <w:rStyle w:val="Hyperlink"/>
              </w:rPr>
              <w:t>5.5 Conclusion</w:t>
            </w:r>
            <w:r>
              <w:rPr>
                <w:webHidden/>
              </w:rPr>
              <w:tab/>
            </w:r>
            <w:r>
              <w:rPr>
                <w:webHidden/>
              </w:rPr>
              <w:fldChar w:fldCharType="begin"/>
            </w:r>
            <w:r>
              <w:rPr>
                <w:webHidden/>
              </w:rPr>
              <w:instrText xml:space="preserve"> PAGEREF _Toc237201134 \h </w:instrText>
            </w:r>
            <w:r>
              <w:rPr>
                <w:webHidden/>
              </w:rPr>
            </w:r>
            <w:r>
              <w:rPr>
                <w:webHidden/>
              </w:rPr>
              <w:fldChar w:fldCharType="separate"/>
            </w:r>
            <w:r>
              <w:rPr>
                <w:webHidden/>
              </w:rPr>
              <w:t>16</w:t>
            </w:r>
            <w:r>
              <w:rPr>
                <w:webHidden/>
              </w:rPr>
              <w:fldChar w:fldCharType="end"/>
            </w:r>
          </w:hyperlink>
        </w:p>
        <w:p w14:paraId="1BF1A2B5" w14:textId="0979475F" w:rsidR="001D44E7" w:rsidRDefault="001D44E7">
          <w:pPr>
            <w:pStyle w:val="TOC2"/>
            <w:tabs>
              <w:tab w:val="right" w:leader="dot" w:pos="9016"/>
            </w:tabs>
            <w:rPr>
              <w:rFonts w:asciiTheme="minorHAnsi" w:eastAsiaTheme="minorEastAsia" w:hAnsiTheme="minorHAnsi"/>
              <w:szCs w:val="24"/>
              <w:lang w:eastAsia="en-IN"/>
            </w:rPr>
          </w:pPr>
          <w:hyperlink w:anchor="_Toc237201135" w:history="1">
            <w:r w:rsidRPr="00256C28">
              <w:rPr>
                <w:rStyle w:val="Hyperlink"/>
              </w:rPr>
              <w:t>5.6 Action Plan</w:t>
            </w:r>
            <w:r>
              <w:rPr>
                <w:webHidden/>
              </w:rPr>
              <w:tab/>
            </w:r>
            <w:r>
              <w:rPr>
                <w:webHidden/>
              </w:rPr>
              <w:fldChar w:fldCharType="begin"/>
            </w:r>
            <w:r>
              <w:rPr>
                <w:webHidden/>
              </w:rPr>
              <w:instrText xml:space="preserve"> PAGEREF _Toc237201135 \h </w:instrText>
            </w:r>
            <w:r>
              <w:rPr>
                <w:webHidden/>
              </w:rPr>
            </w:r>
            <w:r>
              <w:rPr>
                <w:webHidden/>
              </w:rPr>
              <w:fldChar w:fldCharType="separate"/>
            </w:r>
            <w:r>
              <w:rPr>
                <w:webHidden/>
              </w:rPr>
              <w:t>17</w:t>
            </w:r>
            <w:r>
              <w:rPr>
                <w:webHidden/>
              </w:rPr>
              <w:fldChar w:fldCharType="end"/>
            </w:r>
          </w:hyperlink>
        </w:p>
        <w:p w14:paraId="1FFBB83F" w14:textId="68AB8FF7" w:rsidR="001D44E7" w:rsidRDefault="001D44E7">
          <w:pPr>
            <w:pStyle w:val="TOC1"/>
            <w:tabs>
              <w:tab w:val="right" w:leader="dot" w:pos="9016"/>
            </w:tabs>
            <w:rPr>
              <w:rFonts w:asciiTheme="minorHAnsi" w:eastAsiaTheme="minorEastAsia" w:hAnsiTheme="minorHAnsi"/>
              <w:szCs w:val="24"/>
              <w:lang w:eastAsia="en-IN"/>
            </w:rPr>
          </w:pPr>
          <w:hyperlink w:anchor="_Toc237201136" w:history="1">
            <w:r w:rsidRPr="00256C28">
              <w:rPr>
                <w:rStyle w:val="Hyperlink"/>
              </w:rPr>
              <w:t>6. Conclusion</w:t>
            </w:r>
            <w:r>
              <w:rPr>
                <w:webHidden/>
              </w:rPr>
              <w:tab/>
            </w:r>
            <w:r>
              <w:rPr>
                <w:webHidden/>
              </w:rPr>
              <w:fldChar w:fldCharType="begin"/>
            </w:r>
            <w:r>
              <w:rPr>
                <w:webHidden/>
              </w:rPr>
              <w:instrText xml:space="preserve"> PAGEREF _Toc237201136 \h </w:instrText>
            </w:r>
            <w:r>
              <w:rPr>
                <w:webHidden/>
              </w:rPr>
            </w:r>
            <w:r>
              <w:rPr>
                <w:webHidden/>
              </w:rPr>
              <w:fldChar w:fldCharType="separate"/>
            </w:r>
            <w:r>
              <w:rPr>
                <w:webHidden/>
              </w:rPr>
              <w:t>17</w:t>
            </w:r>
            <w:r>
              <w:rPr>
                <w:webHidden/>
              </w:rPr>
              <w:fldChar w:fldCharType="end"/>
            </w:r>
          </w:hyperlink>
        </w:p>
        <w:p w14:paraId="16D80F19" w14:textId="6D9048F9" w:rsidR="001D44E7" w:rsidRDefault="001D44E7">
          <w:pPr>
            <w:pStyle w:val="TOC1"/>
            <w:tabs>
              <w:tab w:val="right" w:leader="dot" w:pos="9016"/>
            </w:tabs>
            <w:rPr>
              <w:rFonts w:asciiTheme="minorHAnsi" w:eastAsiaTheme="minorEastAsia" w:hAnsiTheme="minorHAnsi"/>
              <w:szCs w:val="24"/>
              <w:lang w:eastAsia="en-IN"/>
            </w:rPr>
          </w:pPr>
          <w:hyperlink w:anchor="_Toc237201137" w:history="1">
            <w:r w:rsidRPr="00256C28">
              <w:rPr>
                <w:rStyle w:val="Hyperlink"/>
              </w:rPr>
              <w:t>References</w:t>
            </w:r>
            <w:r>
              <w:rPr>
                <w:webHidden/>
              </w:rPr>
              <w:tab/>
            </w:r>
            <w:r>
              <w:rPr>
                <w:webHidden/>
              </w:rPr>
              <w:fldChar w:fldCharType="begin"/>
            </w:r>
            <w:r>
              <w:rPr>
                <w:webHidden/>
              </w:rPr>
              <w:instrText xml:space="preserve"> PAGEREF _Toc237201137 \h </w:instrText>
            </w:r>
            <w:r>
              <w:rPr>
                <w:webHidden/>
              </w:rPr>
            </w:r>
            <w:r>
              <w:rPr>
                <w:webHidden/>
              </w:rPr>
              <w:fldChar w:fldCharType="separate"/>
            </w:r>
            <w:r>
              <w:rPr>
                <w:webHidden/>
              </w:rPr>
              <w:t>18</w:t>
            </w:r>
            <w:r>
              <w:rPr>
                <w:webHidden/>
              </w:rPr>
              <w:fldChar w:fldCharType="end"/>
            </w:r>
          </w:hyperlink>
        </w:p>
        <w:p w14:paraId="0848E576" w14:textId="79C7ED1F" w:rsidR="00A42F3F" w:rsidRDefault="00A42F3F">
          <w:r>
            <w:rPr>
              <w:b/>
              <w:bCs/>
            </w:rPr>
            <w:fldChar w:fldCharType="end"/>
          </w:r>
        </w:p>
      </w:sdtContent>
    </w:sdt>
    <w:p w14:paraId="52060CD2" w14:textId="77777777" w:rsidR="00AA3F1A" w:rsidRDefault="00AA3F1A">
      <w:pPr>
        <w:jc w:val="left"/>
        <w:rPr>
          <w:rFonts w:eastAsiaTheme="majorEastAsia" w:cstheme="majorBidi"/>
          <w:b/>
          <w:color w:val="000000" w:themeColor="text1"/>
          <w:sz w:val="32"/>
          <w:szCs w:val="40"/>
        </w:rPr>
      </w:pPr>
      <w:r>
        <w:br w:type="page"/>
      </w:r>
    </w:p>
    <w:p w14:paraId="1407516D" w14:textId="77777777" w:rsidR="00A42F3F" w:rsidRDefault="00A42F3F" w:rsidP="00AA3F1A">
      <w:pPr>
        <w:pStyle w:val="Heading1"/>
        <w:sectPr w:rsidR="00A42F3F">
          <w:footerReference w:type="default" r:id="rId10"/>
          <w:pgSz w:w="11906" w:h="16838"/>
          <w:pgMar w:top="1440" w:right="1440" w:bottom="1440" w:left="1440" w:header="708" w:footer="708" w:gutter="0"/>
          <w:cols w:space="708"/>
          <w:docGrid w:linePitch="360"/>
        </w:sectPr>
      </w:pPr>
    </w:p>
    <w:p w14:paraId="368C9ECE" w14:textId="7258C18C" w:rsidR="00EF05B7" w:rsidRPr="00EF05B7" w:rsidRDefault="00EF05B7" w:rsidP="00AA3F1A">
      <w:pPr>
        <w:pStyle w:val="Heading1"/>
      </w:pPr>
      <w:bookmarkStart w:id="0" w:name="_Toc237201111"/>
      <w:r w:rsidRPr="00EF05B7">
        <w:lastRenderedPageBreak/>
        <w:t>1. Introduction</w:t>
      </w:r>
      <w:bookmarkEnd w:id="0"/>
    </w:p>
    <w:p w14:paraId="22F89AC0" w14:textId="77777777" w:rsidR="00740098" w:rsidRDefault="00740098" w:rsidP="00740098">
      <w:r>
        <w:t>Firms are becoming more frequently challenged to balance capabilities that can be transferred internationally with country-specific market conditions in order to expand internationally in retail. This report assesses IKEA's proposed entry into Kenya, where there is no significant operational presence as of 1 June 2026. IKEA is the right case as company is an example of worldwide reach, standardised concepts and franchising, and at the same time selective adaptation. Potential in Kenya includes urbanisation, evolving household consumption demands and modern consumption, but affordability, logistics, regulation and uncertainty may limit performance. It is the central question whether the strategic investment by IKEA is worthwhile for the country due to its geographical advantages.The key question that arises is whether the country's resource investment is justified in terms of its location advantages. The report then shows organisational classification and Bartlett and Ghoshal's framework before assessing the political, economic, legal, and cultural environment, then looking at the findings in the light of Dunning's OLI paradigm and finally recommending an appropriate entry mode.</w:t>
      </w:r>
    </w:p>
    <w:p w14:paraId="36557C3C" w14:textId="77777777" w:rsidR="00740098" w:rsidRDefault="00740098" w:rsidP="00740098"/>
    <w:p w14:paraId="088BE464" w14:textId="0D1DEB06" w:rsidR="00740098" w:rsidRDefault="00740098" w:rsidP="00AA3F1A">
      <w:pPr>
        <w:pStyle w:val="Heading1"/>
      </w:pPr>
      <w:bookmarkStart w:id="1" w:name="_Toc237201112"/>
      <w:r>
        <w:t>2. Classification &amp; Global Strategy</w:t>
      </w:r>
      <w:bookmarkEnd w:id="1"/>
    </w:p>
    <w:p w14:paraId="79C57497" w14:textId="77777777" w:rsidR="00740098" w:rsidRDefault="00740098" w:rsidP="00AA3F1A">
      <w:pPr>
        <w:pStyle w:val="Heading2"/>
      </w:pPr>
      <w:bookmarkStart w:id="2" w:name="_Toc237201113"/>
      <w:r>
        <w:t>2.1 IKEA: Organisational Classification</w:t>
      </w:r>
      <w:bookmarkEnd w:id="2"/>
    </w:p>
    <w:p w14:paraId="2716C1C3" w14:textId="77777777" w:rsidR="00740098" w:rsidRDefault="00740098" w:rsidP="00740098">
      <w:r>
        <w:t>IKEA can be viewed as a transnational multinational enterprise because it has transnational activities in international markets, but high level coordination of resources with market level retail operations. The IKEA business is large and global, having 504 stores in 63 markets by November 2025 (IKEA, 2025a). It has an integrated model that covers concept development, product range, sourcing, supply and retail and franchising that coordinates independently owned operating companies in a common system (Inter IKEA Group, 2025). This arrangement allows for global exposure without the need for any one corporation to own all retail locations, and gives the company control over the concept and brand.</w:t>
      </w:r>
    </w:p>
    <w:p w14:paraId="5AB77E80" w14:textId="421F7F85" w:rsidR="00AA3F1A" w:rsidRPr="00AA3F1A" w:rsidRDefault="00AA3F1A" w:rsidP="00AA3F1A">
      <w:r w:rsidRPr="00AA3F1A">
        <w:t xml:space="preserve">Table </w:t>
      </w:r>
      <w:r>
        <w:t>2.</w:t>
      </w:r>
      <w:r w:rsidRPr="00AA3F1A">
        <w:t>1</w:t>
      </w:r>
      <w:r>
        <w:t>:</w:t>
      </w:r>
      <w:r w:rsidRPr="00AA3F1A">
        <w:t xml:space="preserve"> IKEA's Organisational Classification</w:t>
      </w:r>
    </w:p>
    <w:tbl>
      <w:tblPr>
        <w:tblStyle w:val="TableGrid"/>
        <w:tblW w:w="0" w:type="auto"/>
        <w:tblLook w:val="04A0" w:firstRow="1" w:lastRow="0" w:firstColumn="1" w:lastColumn="0" w:noHBand="0" w:noVBand="1"/>
      </w:tblPr>
      <w:tblGrid>
        <w:gridCol w:w="1867"/>
        <w:gridCol w:w="4127"/>
        <w:gridCol w:w="3022"/>
      </w:tblGrid>
      <w:tr w:rsidR="00AA3F1A" w:rsidRPr="00AA3F1A" w14:paraId="4349AF57" w14:textId="77777777" w:rsidTr="00AA3F1A">
        <w:tc>
          <w:tcPr>
            <w:tcW w:w="0" w:type="auto"/>
            <w:hideMark/>
          </w:tcPr>
          <w:p w14:paraId="4C7CDB9A" w14:textId="77777777" w:rsidR="00AA3F1A" w:rsidRPr="00AA3F1A" w:rsidRDefault="00AA3F1A" w:rsidP="00AA3F1A">
            <w:pPr>
              <w:spacing w:after="160" w:line="259" w:lineRule="auto"/>
              <w:jc w:val="left"/>
              <w:rPr>
                <w:b/>
                <w:bCs/>
              </w:rPr>
            </w:pPr>
            <w:r w:rsidRPr="00AA3F1A">
              <w:rPr>
                <w:b/>
                <w:bCs/>
              </w:rPr>
              <w:t>Dimension</w:t>
            </w:r>
          </w:p>
        </w:tc>
        <w:tc>
          <w:tcPr>
            <w:tcW w:w="0" w:type="auto"/>
            <w:hideMark/>
          </w:tcPr>
          <w:p w14:paraId="6D017A62" w14:textId="77777777" w:rsidR="00AA3F1A" w:rsidRPr="00AA3F1A" w:rsidRDefault="00AA3F1A" w:rsidP="00AA3F1A">
            <w:pPr>
              <w:spacing w:after="160" w:line="259" w:lineRule="auto"/>
              <w:jc w:val="left"/>
              <w:rPr>
                <w:b/>
                <w:bCs/>
              </w:rPr>
            </w:pPr>
            <w:r w:rsidRPr="00AA3F1A">
              <w:rPr>
                <w:b/>
                <w:bCs/>
              </w:rPr>
              <w:t>Evidence from IKEA</w:t>
            </w:r>
          </w:p>
        </w:tc>
        <w:tc>
          <w:tcPr>
            <w:tcW w:w="0" w:type="auto"/>
            <w:hideMark/>
          </w:tcPr>
          <w:p w14:paraId="6CC100D4" w14:textId="77777777" w:rsidR="00AA3F1A" w:rsidRPr="00AA3F1A" w:rsidRDefault="00AA3F1A" w:rsidP="00AA3F1A">
            <w:pPr>
              <w:spacing w:after="160" w:line="259" w:lineRule="auto"/>
              <w:jc w:val="left"/>
              <w:rPr>
                <w:b/>
                <w:bCs/>
              </w:rPr>
            </w:pPr>
            <w:r w:rsidRPr="00AA3F1A">
              <w:rPr>
                <w:b/>
                <w:bCs/>
              </w:rPr>
              <w:t>Strategic interpretation</w:t>
            </w:r>
          </w:p>
        </w:tc>
      </w:tr>
      <w:tr w:rsidR="00AA3F1A" w:rsidRPr="00AA3F1A" w14:paraId="34C4419D" w14:textId="77777777" w:rsidTr="00AA3F1A">
        <w:tc>
          <w:tcPr>
            <w:tcW w:w="0" w:type="auto"/>
            <w:hideMark/>
          </w:tcPr>
          <w:p w14:paraId="7CD86CDA" w14:textId="77777777" w:rsidR="00AA3F1A" w:rsidRPr="00AA3F1A" w:rsidRDefault="00AA3F1A" w:rsidP="00AA3F1A">
            <w:pPr>
              <w:spacing w:after="160" w:line="259" w:lineRule="auto"/>
            </w:pPr>
            <w:r w:rsidRPr="00AA3F1A">
              <w:t>International scale</w:t>
            </w:r>
          </w:p>
        </w:tc>
        <w:tc>
          <w:tcPr>
            <w:tcW w:w="0" w:type="auto"/>
            <w:hideMark/>
          </w:tcPr>
          <w:p w14:paraId="15D4D5A4" w14:textId="77777777" w:rsidR="00AA3F1A" w:rsidRPr="00AA3F1A" w:rsidRDefault="00AA3F1A" w:rsidP="00AA3F1A">
            <w:pPr>
              <w:spacing w:after="160" w:line="259" w:lineRule="auto"/>
            </w:pPr>
            <w:r w:rsidRPr="00AA3F1A">
              <w:t>504 stores across 63 markets</w:t>
            </w:r>
          </w:p>
        </w:tc>
        <w:tc>
          <w:tcPr>
            <w:tcW w:w="0" w:type="auto"/>
            <w:hideMark/>
          </w:tcPr>
          <w:p w14:paraId="2114C487" w14:textId="77777777" w:rsidR="00AA3F1A" w:rsidRPr="00AA3F1A" w:rsidRDefault="00AA3F1A" w:rsidP="00AA3F1A">
            <w:pPr>
              <w:spacing w:after="160" w:line="259" w:lineRule="auto"/>
            </w:pPr>
            <w:r w:rsidRPr="00AA3F1A">
              <w:t>Demonstrates substantial multinational reach</w:t>
            </w:r>
          </w:p>
        </w:tc>
      </w:tr>
      <w:tr w:rsidR="00AA3F1A" w:rsidRPr="00AA3F1A" w14:paraId="68352269" w14:textId="77777777" w:rsidTr="00AA3F1A">
        <w:tc>
          <w:tcPr>
            <w:tcW w:w="0" w:type="auto"/>
            <w:hideMark/>
          </w:tcPr>
          <w:p w14:paraId="68160451" w14:textId="77777777" w:rsidR="00AA3F1A" w:rsidRPr="00AA3F1A" w:rsidRDefault="00AA3F1A" w:rsidP="00AA3F1A">
            <w:pPr>
              <w:spacing w:after="160" w:line="259" w:lineRule="auto"/>
            </w:pPr>
            <w:r w:rsidRPr="00AA3F1A">
              <w:t>Global coordination</w:t>
            </w:r>
          </w:p>
        </w:tc>
        <w:tc>
          <w:tcPr>
            <w:tcW w:w="0" w:type="auto"/>
            <w:hideMark/>
          </w:tcPr>
          <w:p w14:paraId="2FB080ED" w14:textId="77777777" w:rsidR="00AA3F1A" w:rsidRPr="00AA3F1A" w:rsidRDefault="00AA3F1A" w:rsidP="00AA3F1A">
            <w:pPr>
              <w:spacing w:after="160" w:line="259" w:lineRule="auto"/>
            </w:pPr>
            <w:r w:rsidRPr="00AA3F1A">
              <w:t>Central IKEA Concept, range development and supply coordination</w:t>
            </w:r>
          </w:p>
        </w:tc>
        <w:tc>
          <w:tcPr>
            <w:tcW w:w="0" w:type="auto"/>
            <w:hideMark/>
          </w:tcPr>
          <w:p w14:paraId="214ED459" w14:textId="77777777" w:rsidR="00AA3F1A" w:rsidRPr="00AA3F1A" w:rsidRDefault="00AA3F1A" w:rsidP="00AA3F1A">
            <w:pPr>
              <w:spacing w:after="160" w:line="259" w:lineRule="auto"/>
            </w:pPr>
            <w:r w:rsidRPr="00AA3F1A">
              <w:t>Supports global integration</w:t>
            </w:r>
          </w:p>
        </w:tc>
      </w:tr>
      <w:tr w:rsidR="00AA3F1A" w:rsidRPr="00AA3F1A" w14:paraId="345A382B" w14:textId="77777777" w:rsidTr="00AA3F1A">
        <w:tc>
          <w:tcPr>
            <w:tcW w:w="0" w:type="auto"/>
            <w:hideMark/>
          </w:tcPr>
          <w:p w14:paraId="59760C4E" w14:textId="77777777" w:rsidR="00AA3F1A" w:rsidRPr="00AA3F1A" w:rsidRDefault="00AA3F1A" w:rsidP="00AA3F1A">
            <w:pPr>
              <w:spacing w:after="160" w:line="259" w:lineRule="auto"/>
            </w:pPr>
            <w:r w:rsidRPr="00AA3F1A">
              <w:t>Local operations</w:t>
            </w:r>
          </w:p>
        </w:tc>
        <w:tc>
          <w:tcPr>
            <w:tcW w:w="0" w:type="auto"/>
            <w:hideMark/>
          </w:tcPr>
          <w:p w14:paraId="20C2F756" w14:textId="77777777" w:rsidR="00AA3F1A" w:rsidRPr="00AA3F1A" w:rsidRDefault="00AA3F1A" w:rsidP="00AA3F1A">
            <w:pPr>
              <w:spacing w:after="160" w:line="259" w:lineRule="auto"/>
            </w:pPr>
            <w:r w:rsidRPr="00AA3F1A">
              <w:t>Franchisees operate retail channels in defined territories</w:t>
            </w:r>
          </w:p>
        </w:tc>
        <w:tc>
          <w:tcPr>
            <w:tcW w:w="0" w:type="auto"/>
            <w:hideMark/>
          </w:tcPr>
          <w:p w14:paraId="72976067" w14:textId="77777777" w:rsidR="00AA3F1A" w:rsidRPr="00AA3F1A" w:rsidRDefault="00AA3F1A" w:rsidP="00AA3F1A">
            <w:pPr>
              <w:spacing w:after="160" w:line="259" w:lineRule="auto"/>
            </w:pPr>
            <w:r w:rsidRPr="00AA3F1A">
              <w:t>Enables local market knowledge</w:t>
            </w:r>
          </w:p>
        </w:tc>
      </w:tr>
      <w:tr w:rsidR="00AA3F1A" w:rsidRPr="00AA3F1A" w14:paraId="4B69966A" w14:textId="77777777" w:rsidTr="00AA3F1A">
        <w:tc>
          <w:tcPr>
            <w:tcW w:w="0" w:type="auto"/>
            <w:hideMark/>
          </w:tcPr>
          <w:p w14:paraId="0429A111" w14:textId="77777777" w:rsidR="00AA3F1A" w:rsidRPr="00AA3F1A" w:rsidRDefault="00AA3F1A" w:rsidP="00AA3F1A">
            <w:pPr>
              <w:spacing w:after="160" w:line="259" w:lineRule="auto"/>
            </w:pPr>
            <w:r w:rsidRPr="00AA3F1A">
              <w:lastRenderedPageBreak/>
              <w:t>Ownership structure</w:t>
            </w:r>
          </w:p>
        </w:tc>
        <w:tc>
          <w:tcPr>
            <w:tcW w:w="0" w:type="auto"/>
            <w:hideMark/>
          </w:tcPr>
          <w:p w14:paraId="4C14BBAD" w14:textId="77777777" w:rsidR="00AA3F1A" w:rsidRPr="00AA3F1A" w:rsidRDefault="00AA3F1A" w:rsidP="00AA3F1A">
            <w:pPr>
              <w:spacing w:after="160" w:line="259" w:lineRule="auto"/>
            </w:pPr>
            <w:r w:rsidRPr="00AA3F1A">
              <w:t>Multiple companies operate under the IKEA Brand</w:t>
            </w:r>
          </w:p>
        </w:tc>
        <w:tc>
          <w:tcPr>
            <w:tcW w:w="0" w:type="auto"/>
            <w:hideMark/>
          </w:tcPr>
          <w:p w14:paraId="5270C605" w14:textId="77777777" w:rsidR="00AA3F1A" w:rsidRPr="00AA3F1A" w:rsidRDefault="00AA3F1A" w:rsidP="00AA3F1A">
            <w:pPr>
              <w:spacing w:after="160" w:line="259" w:lineRule="auto"/>
            </w:pPr>
            <w:r w:rsidRPr="00AA3F1A">
              <w:t>IKEA is not simply a conventional wholly owned MNC</w:t>
            </w:r>
          </w:p>
        </w:tc>
      </w:tr>
      <w:tr w:rsidR="00AA3F1A" w:rsidRPr="00AA3F1A" w14:paraId="49D6628C" w14:textId="77777777" w:rsidTr="00AA3F1A">
        <w:tc>
          <w:tcPr>
            <w:tcW w:w="0" w:type="auto"/>
            <w:hideMark/>
          </w:tcPr>
          <w:p w14:paraId="2CBC503A" w14:textId="77777777" w:rsidR="00AA3F1A" w:rsidRPr="00AA3F1A" w:rsidRDefault="00AA3F1A" w:rsidP="00AA3F1A">
            <w:pPr>
              <w:spacing w:after="160" w:line="259" w:lineRule="auto"/>
            </w:pPr>
            <w:r w:rsidRPr="00AA3F1A">
              <w:t>Strategic classification</w:t>
            </w:r>
          </w:p>
        </w:tc>
        <w:tc>
          <w:tcPr>
            <w:tcW w:w="0" w:type="auto"/>
            <w:hideMark/>
          </w:tcPr>
          <w:p w14:paraId="4F5E943D" w14:textId="77777777" w:rsidR="00AA3F1A" w:rsidRPr="00AA3F1A" w:rsidRDefault="00AA3F1A" w:rsidP="00AA3F1A">
            <w:pPr>
              <w:spacing w:after="160" w:line="259" w:lineRule="auto"/>
            </w:pPr>
            <w:r w:rsidRPr="00AA3F1A">
              <w:t>Global integration + selective local responsiveness</w:t>
            </w:r>
          </w:p>
        </w:tc>
        <w:tc>
          <w:tcPr>
            <w:tcW w:w="0" w:type="auto"/>
            <w:hideMark/>
          </w:tcPr>
          <w:p w14:paraId="7A69D9D3" w14:textId="77777777" w:rsidR="00AA3F1A" w:rsidRPr="00AA3F1A" w:rsidRDefault="00AA3F1A" w:rsidP="00AA3F1A">
            <w:pPr>
              <w:spacing w:after="160" w:line="259" w:lineRule="auto"/>
            </w:pPr>
            <w:r w:rsidRPr="00AA3F1A">
              <w:t>Supports classification as transnational</w:t>
            </w:r>
          </w:p>
        </w:tc>
      </w:tr>
      <w:tr w:rsidR="00AA3F1A" w:rsidRPr="00AA3F1A" w14:paraId="26C3AB41" w14:textId="77777777" w:rsidTr="00AA3F1A">
        <w:tc>
          <w:tcPr>
            <w:tcW w:w="0" w:type="auto"/>
            <w:hideMark/>
          </w:tcPr>
          <w:p w14:paraId="408F681B" w14:textId="77777777" w:rsidR="00AA3F1A" w:rsidRPr="00AA3F1A" w:rsidRDefault="00AA3F1A" w:rsidP="00AA3F1A">
            <w:pPr>
              <w:spacing w:after="160" w:line="259" w:lineRule="auto"/>
            </w:pPr>
            <w:r w:rsidRPr="00AA3F1A">
              <w:t>Kenya implication</w:t>
            </w:r>
          </w:p>
        </w:tc>
        <w:tc>
          <w:tcPr>
            <w:tcW w:w="0" w:type="auto"/>
            <w:hideMark/>
          </w:tcPr>
          <w:p w14:paraId="5899A614" w14:textId="77777777" w:rsidR="00AA3F1A" w:rsidRPr="00AA3F1A" w:rsidRDefault="00AA3F1A" w:rsidP="00AA3F1A">
            <w:pPr>
              <w:spacing w:after="160" w:line="259" w:lineRule="auto"/>
            </w:pPr>
            <w:r w:rsidRPr="00AA3F1A">
              <w:t>Global standards should be retained while adapting service and product-market execution</w:t>
            </w:r>
          </w:p>
        </w:tc>
        <w:tc>
          <w:tcPr>
            <w:tcW w:w="0" w:type="auto"/>
            <w:hideMark/>
          </w:tcPr>
          <w:p w14:paraId="1985380B" w14:textId="77777777" w:rsidR="00AA3F1A" w:rsidRPr="00AA3F1A" w:rsidRDefault="00AA3F1A" w:rsidP="00AA3F1A">
            <w:pPr>
              <w:spacing w:after="160" w:line="259" w:lineRule="auto"/>
            </w:pPr>
            <w:r w:rsidRPr="00AA3F1A">
              <w:t>Supports bounded local responsiveness</w:t>
            </w:r>
          </w:p>
        </w:tc>
      </w:tr>
    </w:tbl>
    <w:p w14:paraId="65F23548" w14:textId="77777777" w:rsidR="00AA3F1A" w:rsidRDefault="00AA3F1A" w:rsidP="00740098"/>
    <w:p w14:paraId="2F1427E3" w14:textId="77777777" w:rsidR="00740098" w:rsidRDefault="00740098" w:rsidP="00AA3F1A">
      <w:pPr>
        <w:pStyle w:val="Heading2"/>
      </w:pPr>
      <w:bookmarkStart w:id="3" w:name="_Toc237201114"/>
      <w:r>
        <w:t>2.2 Bartlett &amp; Ghoshal</w:t>
      </w:r>
      <w:bookmarkEnd w:id="3"/>
    </w:p>
    <w:p w14:paraId="334B0555" w14:textId="77777777" w:rsidR="00740098" w:rsidRDefault="00740098" w:rsidP="00740098">
      <w:r>
        <w:t>Bartlett and Ghoshal (1989) have developed a framework for assessing international strategy in terms of pressures for global integration and local responsiveness. The difficulty of integrating IKEA products is expressed by the high integration pressure in IKEA, which is due to the necessity of standardizing product development, purchasing, coordinating the supply chain and establishing the brand image, as well as building the IKEA Concept. IKEA is a brand owned by Inter IKEA Systems, and Inter IKEA Systems has the power to ensure that the IKEA Concept is consistently introduced across all IKEA stores, which helps achieve economies of scale and brand coherence (IKEA, 2025b). However Kenya would produce responsiveness needs related to product variety, delivery, assembly, payment preferences and consumers. It is evident from IKEA's experience in Morocco that they are able to customize some aspects of the offer while maintaining the basic quality and concept of their offer (IKEA, 2025c). It is therefore more correct to understand IKEA as a search for a transnational configuration: ‘bounded local responsiveness' safeguards market relevance while guaranteeing ‘global integration' of efficiency and brand consistency. This distinction is important because adaptation can have a positive effect on local demand conversion and standardisation can lower costs.</w:t>
      </w:r>
    </w:p>
    <w:p w14:paraId="7DCB2ADE" w14:textId="5D74F0D7" w:rsidR="00AA3F1A" w:rsidRPr="00AA3F1A" w:rsidRDefault="00AA3F1A" w:rsidP="00AA3F1A">
      <w:r w:rsidRPr="00AA3F1A">
        <w:t>Table 2.</w:t>
      </w:r>
      <w:r>
        <w:t>2:</w:t>
      </w:r>
      <w:r w:rsidRPr="00AA3F1A">
        <w:t xml:space="preserve"> Bartlett &amp; Ghoshal Strategic Assessment</w:t>
      </w:r>
    </w:p>
    <w:tbl>
      <w:tblPr>
        <w:tblStyle w:val="TableGrid"/>
        <w:tblW w:w="0" w:type="auto"/>
        <w:tblLook w:val="04A0" w:firstRow="1" w:lastRow="0" w:firstColumn="1" w:lastColumn="0" w:noHBand="0" w:noVBand="1"/>
      </w:tblPr>
      <w:tblGrid>
        <w:gridCol w:w="2022"/>
        <w:gridCol w:w="1716"/>
        <w:gridCol w:w="2712"/>
        <w:gridCol w:w="2566"/>
      </w:tblGrid>
      <w:tr w:rsidR="00AA3F1A" w:rsidRPr="00AA3F1A" w14:paraId="39C92D1D" w14:textId="77777777" w:rsidTr="00AA3F1A">
        <w:tc>
          <w:tcPr>
            <w:tcW w:w="0" w:type="auto"/>
            <w:hideMark/>
          </w:tcPr>
          <w:p w14:paraId="7638917D" w14:textId="77777777" w:rsidR="00AA3F1A" w:rsidRPr="00AA3F1A" w:rsidRDefault="00AA3F1A" w:rsidP="00AA3F1A">
            <w:pPr>
              <w:spacing w:after="160" w:line="259" w:lineRule="auto"/>
              <w:jc w:val="left"/>
              <w:rPr>
                <w:b/>
                <w:bCs/>
              </w:rPr>
            </w:pPr>
            <w:r w:rsidRPr="00AA3F1A">
              <w:rPr>
                <w:b/>
                <w:bCs/>
              </w:rPr>
              <w:t>Strategic dimension</w:t>
            </w:r>
          </w:p>
        </w:tc>
        <w:tc>
          <w:tcPr>
            <w:tcW w:w="0" w:type="auto"/>
            <w:hideMark/>
          </w:tcPr>
          <w:p w14:paraId="73325893" w14:textId="77777777" w:rsidR="00AA3F1A" w:rsidRPr="00AA3F1A" w:rsidRDefault="00AA3F1A" w:rsidP="00AA3F1A">
            <w:pPr>
              <w:spacing w:after="160" w:line="259" w:lineRule="auto"/>
              <w:jc w:val="left"/>
              <w:rPr>
                <w:b/>
                <w:bCs/>
              </w:rPr>
            </w:pPr>
            <w:r w:rsidRPr="00AA3F1A">
              <w:rPr>
                <w:b/>
                <w:bCs/>
              </w:rPr>
              <w:t>IKEA's position</w:t>
            </w:r>
          </w:p>
        </w:tc>
        <w:tc>
          <w:tcPr>
            <w:tcW w:w="0" w:type="auto"/>
            <w:hideMark/>
          </w:tcPr>
          <w:p w14:paraId="6D7CFC75" w14:textId="77777777" w:rsidR="00AA3F1A" w:rsidRPr="00AA3F1A" w:rsidRDefault="00AA3F1A" w:rsidP="00AA3F1A">
            <w:pPr>
              <w:spacing w:after="160" w:line="259" w:lineRule="auto"/>
              <w:jc w:val="left"/>
              <w:rPr>
                <w:b/>
                <w:bCs/>
              </w:rPr>
            </w:pPr>
            <w:r w:rsidRPr="00AA3F1A">
              <w:rPr>
                <w:b/>
                <w:bCs/>
              </w:rPr>
              <w:t>Evidence</w:t>
            </w:r>
          </w:p>
        </w:tc>
        <w:tc>
          <w:tcPr>
            <w:tcW w:w="0" w:type="auto"/>
            <w:hideMark/>
          </w:tcPr>
          <w:p w14:paraId="6EEDF47C" w14:textId="77777777" w:rsidR="00AA3F1A" w:rsidRPr="00AA3F1A" w:rsidRDefault="00AA3F1A" w:rsidP="00AA3F1A">
            <w:pPr>
              <w:spacing w:after="160" w:line="259" w:lineRule="auto"/>
              <w:jc w:val="left"/>
              <w:rPr>
                <w:b/>
                <w:bCs/>
              </w:rPr>
            </w:pPr>
            <w:r w:rsidRPr="00AA3F1A">
              <w:rPr>
                <w:b/>
                <w:bCs/>
              </w:rPr>
              <w:t>Kenya implication</w:t>
            </w:r>
          </w:p>
        </w:tc>
      </w:tr>
      <w:tr w:rsidR="00AA3F1A" w:rsidRPr="00AA3F1A" w14:paraId="021E55A8" w14:textId="77777777" w:rsidTr="00AA3F1A">
        <w:tc>
          <w:tcPr>
            <w:tcW w:w="0" w:type="auto"/>
            <w:hideMark/>
          </w:tcPr>
          <w:p w14:paraId="75D472F2" w14:textId="77777777" w:rsidR="00AA3F1A" w:rsidRPr="00AA3F1A" w:rsidRDefault="00AA3F1A" w:rsidP="00AA3F1A">
            <w:pPr>
              <w:spacing w:after="160" w:line="259" w:lineRule="auto"/>
            </w:pPr>
            <w:r w:rsidRPr="00AA3F1A">
              <w:t>Global integration</w:t>
            </w:r>
          </w:p>
        </w:tc>
        <w:tc>
          <w:tcPr>
            <w:tcW w:w="0" w:type="auto"/>
            <w:hideMark/>
          </w:tcPr>
          <w:p w14:paraId="724A9DB4" w14:textId="77777777" w:rsidR="00AA3F1A" w:rsidRPr="00AA3F1A" w:rsidRDefault="00AA3F1A" w:rsidP="00AA3F1A">
            <w:pPr>
              <w:spacing w:after="160" w:line="259" w:lineRule="auto"/>
            </w:pPr>
            <w:r w:rsidRPr="00AA3F1A">
              <w:t>High</w:t>
            </w:r>
          </w:p>
        </w:tc>
        <w:tc>
          <w:tcPr>
            <w:tcW w:w="0" w:type="auto"/>
            <w:hideMark/>
          </w:tcPr>
          <w:p w14:paraId="339102E5" w14:textId="77777777" w:rsidR="00AA3F1A" w:rsidRPr="00AA3F1A" w:rsidRDefault="00AA3F1A" w:rsidP="00AA3F1A">
            <w:pPr>
              <w:spacing w:after="160" w:line="259" w:lineRule="auto"/>
            </w:pPr>
            <w:r w:rsidRPr="00AA3F1A">
              <w:t>Standardised IKEA Concept, global range and supply coordination</w:t>
            </w:r>
          </w:p>
        </w:tc>
        <w:tc>
          <w:tcPr>
            <w:tcW w:w="0" w:type="auto"/>
            <w:hideMark/>
          </w:tcPr>
          <w:p w14:paraId="5D28D272" w14:textId="77777777" w:rsidR="00AA3F1A" w:rsidRPr="00AA3F1A" w:rsidRDefault="00AA3F1A" w:rsidP="00AA3F1A">
            <w:pPr>
              <w:spacing w:after="160" w:line="259" w:lineRule="auto"/>
            </w:pPr>
            <w:r w:rsidRPr="00AA3F1A">
              <w:t>Preserve core brand, design and operating standards</w:t>
            </w:r>
          </w:p>
        </w:tc>
      </w:tr>
      <w:tr w:rsidR="00AA3F1A" w:rsidRPr="00AA3F1A" w14:paraId="5E66BC27" w14:textId="77777777" w:rsidTr="00AA3F1A">
        <w:tc>
          <w:tcPr>
            <w:tcW w:w="0" w:type="auto"/>
            <w:hideMark/>
          </w:tcPr>
          <w:p w14:paraId="60C8B345" w14:textId="77777777" w:rsidR="00AA3F1A" w:rsidRPr="00AA3F1A" w:rsidRDefault="00AA3F1A" w:rsidP="00AA3F1A">
            <w:pPr>
              <w:spacing w:after="160" w:line="259" w:lineRule="auto"/>
            </w:pPr>
            <w:r w:rsidRPr="00AA3F1A">
              <w:t>Local responsiveness</w:t>
            </w:r>
          </w:p>
        </w:tc>
        <w:tc>
          <w:tcPr>
            <w:tcW w:w="0" w:type="auto"/>
            <w:hideMark/>
          </w:tcPr>
          <w:p w14:paraId="0E92427A" w14:textId="77777777" w:rsidR="00AA3F1A" w:rsidRPr="00AA3F1A" w:rsidRDefault="00AA3F1A" w:rsidP="00AA3F1A">
            <w:pPr>
              <w:spacing w:after="160" w:line="259" w:lineRule="auto"/>
            </w:pPr>
            <w:r w:rsidRPr="00AA3F1A">
              <w:t>Moderate–High</w:t>
            </w:r>
          </w:p>
        </w:tc>
        <w:tc>
          <w:tcPr>
            <w:tcW w:w="0" w:type="auto"/>
            <w:hideMark/>
          </w:tcPr>
          <w:p w14:paraId="1C0CF5B9" w14:textId="77777777" w:rsidR="00AA3F1A" w:rsidRPr="00AA3F1A" w:rsidRDefault="00AA3F1A" w:rsidP="00AA3F1A">
            <w:pPr>
              <w:spacing w:after="160" w:line="259" w:lineRule="auto"/>
            </w:pPr>
            <w:r w:rsidRPr="00AA3F1A">
              <w:t>Franchisees provide market knowledge and can adapt selected elements</w:t>
            </w:r>
          </w:p>
        </w:tc>
        <w:tc>
          <w:tcPr>
            <w:tcW w:w="0" w:type="auto"/>
            <w:hideMark/>
          </w:tcPr>
          <w:p w14:paraId="383B84E9" w14:textId="77777777" w:rsidR="00AA3F1A" w:rsidRPr="00AA3F1A" w:rsidRDefault="00AA3F1A" w:rsidP="00AA3F1A">
            <w:pPr>
              <w:spacing w:after="160" w:line="259" w:lineRule="auto"/>
            </w:pPr>
            <w:r w:rsidRPr="00AA3F1A">
              <w:t>Adapt service, payment, delivery and product mix</w:t>
            </w:r>
          </w:p>
        </w:tc>
      </w:tr>
      <w:tr w:rsidR="00AA3F1A" w:rsidRPr="00AA3F1A" w14:paraId="6DCD7E29" w14:textId="77777777" w:rsidTr="00AA3F1A">
        <w:tc>
          <w:tcPr>
            <w:tcW w:w="0" w:type="auto"/>
            <w:hideMark/>
          </w:tcPr>
          <w:p w14:paraId="264D1862" w14:textId="77777777" w:rsidR="00AA3F1A" w:rsidRPr="00AA3F1A" w:rsidRDefault="00AA3F1A" w:rsidP="00AA3F1A">
            <w:pPr>
              <w:spacing w:after="160" w:line="259" w:lineRule="auto"/>
            </w:pPr>
            <w:r w:rsidRPr="00AA3F1A">
              <w:lastRenderedPageBreak/>
              <w:t>Cost pressure</w:t>
            </w:r>
          </w:p>
        </w:tc>
        <w:tc>
          <w:tcPr>
            <w:tcW w:w="0" w:type="auto"/>
            <w:hideMark/>
          </w:tcPr>
          <w:p w14:paraId="76AD36DF" w14:textId="77777777" w:rsidR="00AA3F1A" w:rsidRPr="00AA3F1A" w:rsidRDefault="00AA3F1A" w:rsidP="00AA3F1A">
            <w:pPr>
              <w:spacing w:after="160" w:line="259" w:lineRule="auto"/>
            </w:pPr>
            <w:r w:rsidRPr="00AA3F1A">
              <w:t>High</w:t>
            </w:r>
          </w:p>
        </w:tc>
        <w:tc>
          <w:tcPr>
            <w:tcW w:w="0" w:type="auto"/>
            <w:hideMark/>
          </w:tcPr>
          <w:p w14:paraId="6E1F0FF5" w14:textId="77777777" w:rsidR="00AA3F1A" w:rsidRPr="00AA3F1A" w:rsidRDefault="00AA3F1A" w:rsidP="00AA3F1A">
            <w:pPr>
              <w:spacing w:after="160" w:line="259" w:lineRule="auto"/>
            </w:pPr>
            <w:r w:rsidRPr="00AA3F1A">
              <w:t>Scale and coordinated sourcing support affordability</w:t>
            </w:r>
          </w:p>
        </w:tc>
        <w:tc>
          <w:tcPr>
            <w:tcW w:w="0" w:type="auto"/>
            <w:hideMark/>
          </w:tcPr>
          <w:p w14:paraId="38B40917" w14:textId="77777777" w:rsidR="00AA3F1A" w:rsidRPr="00AA3F1A" w:rsidRDefault="00AA3F1A" w:rsidP="00AA3F1A">
            <w:pPr>
              <w:spacing w:after="160" w:line="259" w:lineRule="auto"/>
            </w:pPr>
            <w:r w:rsidRPr="00AA3F1A">
              <w:t>Local costs must not undermine price proposition</w:t>
            </w:r>
          </w:p>
        </w:tc>
      </w:tr>
      <w:tr w:rsidR="00AA3F1A" w:rsidRPr="00AA3F1A" w14:paraId="76181FF2" w14:textId="77777777" w:rsidTr="00AA3F1A">
        <w:tc>
          <w:tcPr>
            <w:tcW w:w="0" w:type="auto"/>
            <w:hideMark/>
          </w:tcPr>
          <w:p w14:paraId="7F6DDDAE" w14:textId="77777777" w:rsidR="00AA3F1A" w:rsidRPr="00AA3F1A" w:rsidRDefault="00AA3F1A" w:rsidP="00AA3F1A">
            <w:pPr>
              <w:spacing w:after="160" w:line="259" w:lineRule="auto"/>
            </w:pPr>
            <w:r w:rsidRPr="00AA3F1A">
              <w:t>Differentiation pressure</w:t>
            </w:r>
          </w:p>
        </w:tc>
        <w:tc>
          <w:tcPr>
            <w:tcW w:w="0" w:type="auto"/>
            <w:hideMark/>
          </w:tcPr>
          <w:p w14:paraId="34DE66E7" w14:textId="77777777" w:rsidR="00AA3F1A" w:rsidRPr="00AA3F1A" w:rsidRDefault="00AA3F1A" w:rsidP="00AA3F1A">
            <w:pPr>
              <w:spacing w:after="160" w:line="259" w:lineRule="auto"/>
            </w:pPr>
            <w:r w:rsidRPr="00AA3F1A">
              <w:t>High</w:t>
            </w:r>
          </w:p>
        </w:tc>
        <w:tc>
          <w:tcPr>
            <w:tcW w:w="0" w:type="auto"/>
            <w:hideMark/>
          </w:tcPr>
          <w:p w14:paraId="531E8E26" w14:textId="77777777" w:rsidR="00AA3F1A" w:rsidRPr="00AA3F1A" w:rsidRDefault="00AA3F1A" w:rsidP="00AA3F1A">
            <w:pPr>
              <w:spacing w:after="160" w:line="259" w:lineRule="auto"/>
            </w:pPr>
            <w:r w:rsidRPr="00AA3F1A">
              <w:t>Global brand, design and IKEA Concept</w:t>
            </w:r>
          </w:p>
        </w:tc>
        <w:tc>
          <w:tcPr>
            <w:tcW w:w="0" w:type="auto"/>
            <w:hideMark/>
          </w:tcPr>
          <w:p w14:paraId="564026AA" w14:textId="77777777" w:rsidR="00AA3F1A" w:rsidRPr="00AA3F1A" w:rsidRDefault="00AA3F1A" w:rsidP="00AA3F1A">
            <w:pPr>
              <w:spacing w:after="160" w:line="259" w:lineRule="auto"/>
            </w:pPr>
            <w:r w:rsidRPr="00AA3F1A">
              <w:t>Protect brand consistency</w:t>
            </w:r>
          </w:p>
        </w:tc>
      </w:tr>
      <w:tr w:rsidR="00AA3F1A" w:rsidRPr="00AA3F1A" w14:paraId="60996B72" w14:textId="77777777" w:rsidTr="00AA3F1A">
        <w:tc>
          <w:tcPr>
            <w:tcW w:w="0" w:type="auto"/>
            <w:hideMark/>
          </w:tcPr>
          <w:p w14:paraId="168E7F1A" w14:textId="77777777" w:rsidR="00AA3F1A" w:rsidRPr="00AA3F1A" w:rsidRDefault="00AA3F1A" w:rsidP="00AA3F1A">
            <w:pPr>
              <w:spacing w:after="160" w:line="259" w:lineRule="auto"/>
            </w:pPr>
            <w:r w:rsidRPr="00AA3F1A">
              <w:t>Overall configuration</w:t>
            </w:r>
          </w:p>
        </w:tc>
        <w:tc>
          <w:tcPr>
            <w:tcW w:w="0" w:type="auto"/>
            <w:hideMark/>
          </w:tcPr>
          <w:p w14:paraId="73AEC968" w14:textId="77777777" w:rsidR="00AA3F1A" w:rsidRPr="00AA3F1A" w:rsidRDefault="00AA3F1A" w:rsidP="00AA3F1A">
            <w:pPr>
              <w:spacing w:after="160" w:line="259" w:lineRule="auto"/>
            </w:pPr>
            <w:r w:rsidRPr="00AA3F1A">
              <w:t>Transnational</w:t>
            </w:r>
          </w:p>
        </w:tc>
        <w:tc>
          <w:tcPr>
            <w:tcW w:w="0" w:type="auto"/>
            <w:hideMark/>
          </w:tcPr>
          <w:p w14:paraId="13718721" w14:textId="77777777" w:rsidR="00AA3F1A" w:rsidRPr="00AA3F1A" w:rsidRDefault="00AA3F1A" w:rsidP="00AA3F1A">
            <w:pPr>
              <w:spacing w:after="160" w:line="259" w:lineRule="auto"/>
            </w:pPr>
            <w:r w:rsidRPr="00AA3F1A">
              <w:t>Global integration combined with selective adaptation</w:t>
            </w:r>
          </w:p>
        </w:tc>
        <w:tc>
          <w:tcPr>
            <w:tcW w:w="0" w:type="auto"/>
            <w:hideMark/>
          </w:tcPr>
          <w:p w14:paraId="0559C9A5" w14:textId="77777777" w:rsidR="00AA3F1A" w:rsidRPr="00AA3F1A" w:rsidRDefault="00AA3F1A" w:rsidP="00AA3F1A">
            <w:pPr>
              <w:spacing w:after="160" w:line="259" w:lineRule="auto"/>
            </w:pPr>
            <w:r w:rsidRPr="00AA3F1A">
              <w:t>Use bounded local responsiveness</w:t>
            </w:r>
          </w:p>
        </w:tc>
      </w:tr>
    </w:tbl>
    <w:p w14:paraId="4D717BB1" w14:textId="77777777" w:rsidR="00A42F3F" w:rsidRDefault="00A42F3F" w:rsidP="00740098"/>
    <w:p w14:paraId="30B9559F" w14:textId="77777777" w:rsidR="00A42F3F" w:rsidRDefault="00A42F3F" w:rsidP="00A42F3F">
      <w:pPr>
        <w:keepNext/>
        <w:jc w:val="center"/>
      </w:pPr>
      <w:r>
        <w:drawing>
          <wp:inline distT="0" distB="0" distL="0" distR="0" wp14:anchorId="122D931A" wp14:editId="016D9673">
            <wp:extent cx="4238625" cy="2668057"/>
            <wp:effectExtent l="0" t="0" r="0" b="0"/>
            <wp:docPr id="608209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209474" name="Picture 608209474"/>
                    <pic:cNvPicPr/>
                  </pic:nvPicPr>
                  <pic:blipFill rotWithShape="1">
                    <a:blip r:embed="rId11">
                      <a:extLst>
                        <a:ext uri="{28A0092B-C50C-407E-A947-70E740481C1C}">
                          <a14:useLocalDpi xmlns:a14="http://schemas.microsoft.com/office/drawing/2010/main" val="0"/>
                        </a:ext>
                      </a:extLst>
                    </a:blip>
                    <a:srcRect t="8160"/>
                    <a:stretch>
                      <a:fillRect/>
                    </a:stretch>
                  </pic:blipFill>
                  <pic:spPr bwMode="auto">
                    <a:xfrm>
                      <a:off x="0" y="0"/>
                      <a:ext cx="4239217" cy="2668430"/>
                    </a:xfrm>
                    <a:prstGeom prst="rect">
                      <a:avLst/>
                    </a:prstGeom>
                    <a:ln>
                      <a:noFill/>
                    </a:ln>
                    <a:extLst>
                      <a:ext uri="{53640926-AAD7-44D8-BBD7-CCE9431645EC}">
                        <a14:shadowObscured xmlns:a14="http://schemas.microsoft.com/office/drawing/2010/main"/>
                      </a:ext>
                    </a:extLst>
                  </pic:spPr>
                </pic:pic>
              </a:graphicData>
            </a:graphic>
          </wp:inline>
        </w:drawing>
      </w:r>
    </w:p>
    <w:p w14:paraId="7D31A703" w14:textId="77777777" w:rsidR="00A42F3F" w:rsidRDefault="00A42F3F" w:rsidP="00740098"/>
    <w:p w14:paraId="60186DDC" w14:textId="1C1769A2" w:rsidR="00740098" w:rsidRDefault="00AA3F1A" w:rsidP="00AA3F1A">
      <w:pPr>
        <w:pStyle w:val="Heading2"/>
      </w:pPr>
      <w:bookmarkStart w:id="4" w:name="_Toc237201115"/>
      <w:r>
        <w:t xml:space="preserve">2.3 </w:t>
      </w:r>
      <w:r w:rsidR="00740098">
        <w:t>Global Footprint &amp; Competitive Advantage</w:t>
      </w:r>
      <w:bookmarkEnd w:id="4"/>
    </w:p>
    <w:p w14:paraId="243B84EA" w14:textId="77777777" w:rsidR="00740098" w:rsidRDefault="00740098" w:rsidP="00740098">
      <w:r>
        <w:t>IKEA's geographic spread is important to IKEA's competitive advantage because it diffuses the fixed capabilities, the knowledge and costs of product development across numerous markets. Its built-in range and supply processes help to ensure that products are sourced and delivered in a coordinated way, and the franchise system allows for local operators to bring in their consumer and market expertise (Inter IKEA Group, 2025). Proprietary design, scale economies and a recognisable brand globally underpin IKEA's proposition of functional home furnishings at relatively affordable prices (IKEA, 2025a). But the footprint also establishes strategic interdependence; when a disruption occurs in one sourcing process or in a logistics chain, or in exchange rates, it can impact several markets. Therefore, IKEA's competitive edge in Kenya would not just stem from familiarity with the brand but from moving its global efficiencies and tailoring the customer offer to the local environment enough. This balance creates a potential lucrative but execution-centric expansion opportunity for Kenya. It further indicates that international scale is not enough to ensure competitive advantage—the key is to be able to replicate the IKEA system without requiring a customer proposition that is not in line with the Kenyan buyer, the Kenyan housing culture, or service expectations.</w:t>
      </w:r>
    </w:p>
    <w:p w14:paraId="1C61010D" w14:textId="42085AE9" w:rsidR="00AA3F1A" w:rsidRPr="00AA3F1A" w:rsidRDefault="00AA3F1A" w:rsidP="00AA3F1A">
      <w:r w:rsidRPr="00AA3F1A">
        <w:lastRenderedPageBreak/>
        <w:t xml:space="preserve">Table </w:t>
      </w:r>
      <w:r>
        <w:t>2.</w:t>
      </w:r>
      <w:r w:rsidRPr="00AA3F1A">
        <w:t>3</w:t>
      </w:r>
      <w:r>
        <w:t>:</w:t>
      </w:r>
      <w:r w:rsidRPr="00AA3F1A">
        <w:t xml:space="preserve"> IKEA's Global Competitive Advantage and Kenya Transferability</w:t>
      </w:r>
    </w:p>
    <w:tbl>
      <w:tblPr>
        <w:tblStyle w:val="TableGrid"/>
        <w:tblW w:w="0" w:type="auto"/>
        <w:tblLook w:val="04A0" w:firstRow="1" w:lastRow="0" w:firstColumn="1" w:lastColumn="0" w:noHBand="0" w:noVBand="1"/>
      </w:tblPr>
      <w:tblGrid>
        <w:gridCol w:w="1634"/>
        <w:gridCol w:w="2418"/>
        <w:gridCol w:w="2133"/>
        <w:gridCol w:w="2831"/>
      </w:tblGrid>
      <w:tr w:rsidR="00AA3F1A" w:rsidRPr="00AA3F1A" w14:paraId="70019CF4" w14:textId="77777777" w:rsidTr="00AA3F1A">
        <w:tc>
          <w:tcPr>
            <w:tcW w:w="0" w:type="auto"/>
            <w:hideMark/>
          </w:tcPr>
          <w:p w14:paraId="507201B3" w14:textId="77777777" w:rsidR="00AA3F1A" w:rsidRPr="00AA3F1A" w:rsidRDefault="00AA3F1A" w:rsidP="00AA3F1A">
            <w:pPr>
              <w:spacing w:after="160" w:line="259" w:lineRule="auto"/>
              <w:jc w:val="left"/>
              <w:rPr>
                <w:b/>
                <w:bCs/>
              </w:rPr>
            </w:pPr>
            <w:r w:rsidRPr="00AA3F1A">
              <w:rPr>
                <w:b/>
                <w:bCs/>
              </w:rPr>
              <w:t>IKEA capability</w:t>
            </w:r>
          </w:p>
        </w:tc>
        <w:tc>
          <w:tcPr>
            <w:tcW w:w="0" w:type="auto"/>
            <w:hideMark/>
          </w:tcPr>
          <w:p w14:paraId="40B80FC9" w14:textId="77777777" w:rsidR="00AA3F1A" w:rsidRPr="00AA3F1A" w:rsidRDefault="00AA3F1A" w:rsidP="00AA3F1A">
            <w:pPr>
              <w:spacing w:after="160" w:line="259" w:lineRule="auto"/>
              <w:jc w:val="left"/>
              <w:rPr>
                <w:b/>
                <w:bCs/>
              </w:rPr>
            </w:pPr>
            <w:r w:rsidRPr="00AA3F1A">
              <w:rPr>
                <w:b/>
                <w:bCs/>
              </w:rPr>
              <w:t>Global competitive advantage</w:t>
            </w:r>
          </w:p>
        </w:tc>
        <w:tc>
          <w:tcPr>
            <w:tcW w:w="0" w:type="auto"/>
            <w:hideMark/>
          </w:tcPr>
          <w:p w14:paraId="7042711A" w14:textId="77777777" w:rsidR="00AA3F1A" w:rsidRPr="00AA3F1A" w:rsidRDefault="00AA3F1A" w:rsidP="00AA3F1A">
            <w:pPr>
              <w:spacing w:after="160" w:line="259" w:lineRule="auto"/>
              <w:jc w:val="left"/>
              <w:rPr>
                <w:b/>
                <w:bCs/>
              </w:rPr>
            </w:pPr>
            <w:r w:rsidRPr="00AA3F1A">
              <w:rPr>
                <w:b/>
                <w:bCs/>
              </w:rPr>
              <w:t>Transferability to Kenya</w:t>
            </w:r>
          </w:p>
        </w:tc>
        <w:tc>
          <w:tcPr>
            <w:tcW w:w="0" w:type="auto"/>
            <w:hideMark/>
          </w:tcPr>
          <w:p w14:paraId="3FF9DF8B" w14:textId="77777777" w:rsidR="00AA3F1A" w:rsidRPr="00AA3F1A" w:rsidRDefault="00AA3F1A" w:rsidP="00AA3F1A">
            <w:pPr>
              <w:spacing w:after="160" w:line="259" w:lineRule="auto"/>
              <w:jc w:val="left"/>
              <w:rPr>
                <w:b/>
                <w:bCs/>
              </w:rPr>
            </w:pPr>
            <w:r w:rsidRPr="00AA3F1A">
              <w:rPr>
                <w:b/>
                <w:bCs/>
              </w:rPr>
              <w:t>Main constraint</w:t>
            </w:r>
          </w:p>
        </w:tc>
      </w:tr>
      <w:tr w:rsidR="00AA3F1A" w:rsidRPr="00AA3F1A" w14:paraId="458DD37A" w14:textId="77777777" w:rsidTr="00AA3F1A">
        <w:tc>
          <w:tcPr>
            <w:tcW w:w="0" w:type="auto"/>
            <w:hideMark/>
          </w:tcPr>
          <w:p w14:paraId="08EF2518" w14:textId="77777777" w:rsidR="00AA3F1A" w:rsidRPr="00AA3F1A" w:rsidRDefault="00AA3F1A" w:rsidP="00AA3F1A">
            <w:pPr>
              <w:spacing w:after="160" w:line="259" w:lineRule="auto"/>
            </w:pPr>
            <w:r w:rsidRPr="00AA3F1A">
              <w:t>Global brand</w:t>
            </w:r>
          </w:p>
        </w:tc>
        <w:tc>
          <w:tcPr>
            <w:tcW w:w="0" w:type="auto"/>
            <w:hideMark/>
          </w:tcPr>
          <w:p w14:paraId="596EC549" w14:textId="77777777" w:rsidR="00AA3F1A" w:rsidRPr="00AA3F1A" w:rsidRDefault="00AA3F1A" w:rsidP="00AA3F1A">
            <w:pPr>
              <w:spacing w:after="160" w:line="259" w:lineRule="auto"/>
            </w:pPr>
            <w:r w:rsidRPr="00AA3F1A">
              <w:t>Recognition and trust</w:t>
            </w:r>
          </w:p>
        </w:tc>
        <w:tc>
          <w:tcPr>
            <w:tcW w:w="0" w:type="auto"/>
            <w:hideMark/>
          </w:tcPr>
          <w:p w14:paraId="09936ADF" w14:textId="77777777" w:rsidR="00AA3F1A" w:rsidRPr="00AA3F1A" w:rsidRDefault="00AA3F1A" w:rsidP="00AA3F1A">
            <w:pPr>
              <w:spacing w:after="160" w:line="259" w:lineRule="auto"/>
            </w:pPr>
            <w:r w:rsidRPr="00AA3F1A">
              <w:t>High</w:t>
            </w:r>
          </w:p>
        </w:tc>
        <w:tc>
          <w:tcPr>
            <w:tcW w:w="0" w:type="auto"/>
            <w:hideMark/>
          </w:tcPr>
          <w:p w14:paraId="7777AF52" w14:textId="77777777" w:rsidR="00AA3F1A" w:rsidRPr="00AA3F1A" w:rsidRDefault="00AA3F1A" w:rsidP="00AA3F1A">
            <w:pPr>
              <w:spacing w:after="160" w:line="259" w:lineRule="auto"/>
            </w:pPr>
            <w:r w:rsidRPr="00AA3F1A">
              <w:t>New-market awareness still required</w:t>
            </w:r>
          </w:p>
        </w:tc>
      </w:tr>
      <w:tr w:rsidR="00AA3F1A" w:rsidRPr="00AA3F1A" w14:paraId="1471B6F8" w14:textId="77777777" w:rsidTr="00AA3F1A">
        <w:tc>
          <w:tcPr>
            <w:tcW w:w="0" w:type="auto"/>
            <w:hideMark/>
          </w:tcPr>
          <w:p w14:paraId="6CF6BE5E" w14:textId="77777777" w:rsidR="00AA3F1A" w:rsidRPr="00AA3F1A" w:rsidRDefault="00AA3F1A" w:rsidP="00AA3F1A">
            <w:pPr>
              <w:spacing w:after="160" w:line="259" w:lineRule="auto"/>
            </w:pPr>
            <w:r w:rsidRPr="00AA3F1A">
              <w:t>Proprietary design</w:t>
            </w:r>
          </w:p>
        </w:tc>
        <w:tc>
          <w:tcPr>
            <w:tcW w:w="0" w:type="auto"/>
            <w:hideMark/>
          </w:tcPr>
          <w:p w14:paraId="50F20E30" w14:textId="77777777" w:rsidR="00AA3F1A" w:rsidRPr="00AA3F1A" w:rsidRDefault="00AA3F1A" w:rsidP="00AA3F1A">
            <w:pPr>
              <w:spacing w:after="160" w:line="259" w:lineRule="auto"/>
            </w:pPr>
            <w:r w:rsidRPr="00AA3F1A">
              <w:t>Differentiation</w:t>
            </w:r>
          </w:p>
        </w:tc>
        <w:tc>
          <w:tcPr>
            <w:tcW w:w="0" w:type="auto"/>
            <w:hideMark/>
          </w:tcPr>
          <w:p w14:paraId="711732F5" w14:textId="77777777" w:rsidR="00AA3F1A" w:rsidRPr="00AA3F1A" w:rsidRDefault="00AA3F1A" w:rsidP="00AA3F1A">
            <w:pPr>
              <w:spacing w:after="160" w:line="259" w:lineRule="auto"/>
            </w:pPr>
            <w:r w:rsidRPr="00AA3F1A">
              <w:t>High</w:t>
            </w:r>
          </w:p>
        </w:tc>
        <w:tc>
          <w:tcPr>
            <w:tcW w:w="0" w:type="auto"/>
            <w:hideMark/>
          </w:tcPr>
          <w:p w14:paraId="220AD3F2" w14:textId="77777777" w:rsidR="00AA3F1A" w:rsidRPr="00AA3F1A" w:rsidRDefault="00AA3F1A" w:rsidP="00AA3F1A">
            <w:pPr>
              <w:spacing w:after="160" w:line="259" w:lineRule="auto"/>
            </w:pPr>
            <w:r w:rsidRPr="00AA3F1A">
              <w:t>Local tastes may require selective adaptation</w:t>
            </w:r>
          </w:p>
        </w:tc>
      </w:tr>
      <w:tr w:rsidR="00AA3F1A" w:rsidRPr="00AA3F1A" w14:paraId="09DAC0F9" w14:textId="77777777" w:rsidTr="00AA3F1A">
        <w:tc>
          <w:tcPr>
            <w:tcW w:w="0" w:type="auto"/>
            <w:hideMark/>
          </w:tcPr>
          <w:p w14:paraId="69850994" w14:textId="77777777" w:rsidR="00AA3F1A" w:rsidRPr="00AA3F1A" w:rsidRDefault="00AA3F1A" w:rsidP="00AA3F1A">
            <w:pPr>
              <w:spacing w:after="160" w:line="259" w:lineRule="auto"/>
            </w:pPr>
            <w:r w:rsidRPr="00AA3F1A">
              <w:t>Economies of scale</w:t>
            </w:r>
          </w:p>
        </w:tc>
        <w:tc>
          <w:tcPr>
            <w:tcW w:w="0" w:type="auto"/>
            <w:hideMark/>
          </w:tcPr>
          <w:p w14:paraId="2FCD6987" w14:textId="77777777" w:rsidR="00AA3F1A" w:rsidRPr="00AA3F1A" w:rsidRDefault="00AA3F1A" w:rsidP="00AA3F1A">
            <w:pPr>
              <w:spacing w:after="160" w:line="259" w:lineRule="auto"/>
            </w:pPr>
            <w:r w:rsidRPr="00AA3F1A">
              <w:t>Lower unit costs</w:t>
            </w:r>
          </w:p>
        </w:tc>
        <w:tc>
          <w:tcPr>
            <w:tcW w:w="0" w:type="auto"/>
            <w:hideMark/>
          </w:tcPr>
          <w:p w14:paraId="7656360F" w14:textId="77777777" w:rsidR="00AA3F1A" w:rsidRPr="00AA3F1A" w:rsidRDefault="00AA3F1A" w:rsidP="00AA3F1A">
            <w:pPr>
              <w:spacing w:after="160" w:line="259" w:lineRule="auto"/>
            </w:pPr>
            <w:r w:rsidRPr="00AA3F1A">
              <w:t>High</w:t>
            </w:r>
          </w:p>
        </w:tc>
        <w:tc>
          <w:tcPr>
            <w:tcW w:w="0" w:type="auto"/>
            <w:hideMark/>
          </w:tcPr>
          <w:p w14:paraId="6464CB5E" w14:textId="77777777" w:rsidR="00AA3F1A" w:rsidRPr="00AA3F1A" w:rsidRDefault="00AA3F1A" w:rsidP="00AA3F1A">
            <w:pPr>
              <w:spacing w:after="160" w:line="259" w:lineRule="auto"/>
            </w:pPr>
            <w:r w:rsidRPr="00AA3F1A">
              <w:t>Import/logistics costs can dilute savings</w:t>
            </w:r>
          </w:p>
        </w:tc>
      </w:tr>
      <w:tr w:rsidR="00AA3F1A" w:rsidRPr="00AA3F1A" w14:paraId="22267AC6" w14:textId="77777777" w:rsidTr="00AA3F1A">
        <w:tc>
          <w:tcPr>
            <w:tcW w:w="0" w:type="auto"/>
            <w:hideMark/>
          </w:tcPr>
          <w:p w14:paraId="2829D28C" w14:textId="77777777" w:rsidR="00AA3F1A" w:rsidRPr="00AA3F1A" w:rsidRDefault="00AA3F1A" w:rsidP="00AA3F1A">
            <w:pPr>
              <w:spacing w:after="160" w:line="259" w:lineRule="auto"/>
            </w:pPr>
            <w:r w:rsidRPr="00AA3F1A">
              <w:t>Flat-pack model</w:t>
            </w:r>
          </w:p>
        </w:tc>
        <w:tc>
          <w:tcPr>
            <w:tcW w:w="0" w:type="auto"/>
            <w:hideMark/>
          </w:tcPr>
          <w:p w14:paraId="677F0047" w14:textId="77777777" w:rsidR="00AA3F1A" w:rsidRPr="00AA3F1A" w:rsidRDefault="00AA3F1A" w:rsidP="00AA3F1A">
            <w:pPr>
              <w:spacing w:after="160" w:line="259" w:lineRule="auto"/>
            </w:pPr>
            <w:r w:rsidRPr="00AA3F1A">
              <w:t>Efficient storage and transportation</w:t>
            </w:r>
          </w:p>
        </w:tc>
        <w:tc>
          <w:tcPr>
            <w:tcW w:w="0" w:type="auto"/>
            <w:hideMark/>
          </w:tcPr>
          <w:p w14:paraId="0E3A7F35" w14:textId="77777777" w:rsidR="00AA3F1A" w:rsidRPr="00AA3F1A" w:rsidRDefault="00AA3F1A" w:rsidP="00AA3F1A">
            <w:pPr>
              <w:spacing w:after="160" w:line="259" w:lineRule="auto"/>
            </w:pPr>
            <w:r w:rsidRPr="00AA3F1A">
              <w:t>High</w:t>
            </w:r>
          </w:p>
        </w:tc>
        <w:tc>
          <w:tcPr>
            <w:tcW w:w="0" w:type="auto"/>
            <w:hideMark/>
          </w:tcPr>
          <w:p w14:paraId="752EDECE" w14:textId="77777777" w:rsidR="00AA3F1A" w:rsidRPr="00AA3F1A" w:rsidRDefault="00AA3F1A" w:rsidP="00AA3F1A">
            <w:pPr>
              <w:spacing w:after="160" w:line="259" w:lineRule="auto"/>
            </w:pPr>
            <w:r w:rsidRPr="00AA3F1A">
              <w:t>Last-mile costs remain significant</w:t>
            </w:r>
          </w:p>
        </w:tc>
      </w:tr>
      <w:tr w:rsidR="00AA3F1A" w:rsidRPr="00AA3F1A" w14:paraId="0A0C57D2" w14:textId="77777777" w:rsidTr="00AA3F1A">
        <w:tc>
          <w:tcPr>
            <w:tcW w:w="0" w:type="auto"/>
            <w:hideMark/>
          </w:tcPr>
          <w:p w14:paraId="3940D42C" w14:textId="77777777" w:rsidR="00AA3F1A" w:rsidRPr="00AA3F1A" w:rsidRDefault="00AA3F1A" w:rsidP="00AA3F1A">
            <w:pPr>
              <w:spacing w:after="160" w:line="259" w:lineRule="auto"/>
            </w:pPr>
            <w:r w:rsidRPr="00AA3F1A">
              <w:t>Global sourcing</w:t>
            </w:r>
          </w:p>
        </w:tc>
        <w:tc>
          <w:tcPr>
            <w:tcW w:w="0" w:type="auto"/>
            <w:hideMark/>
          </w:tcPr>
          <w:p w14:paraId="07187873" w14:textId="77777777" w:rsidR="00AA3F1A" w:rsidRPr="00AA3F1A" w:rsidRDefault="00AA3F1A" w:rsidP="00AA3F1A">
            <w:pPr>
              <w:spacing w:after="160" w:line="259" w:lineRule="auto"/>
            </w:pPr>
            <w:r w:rsidRPr="00AA3F1A">
              <w:t>Access to international supply network</w:t>
            </w:r>
          </w:p>
        </w:tc>
        <w:tc>
          <w:tcPr>
            <w:tcW w:w="0" w:type="auto"/>
            <w:hideMark/>
          </w:tcPr>
          <w:p w14:paraId="50D18CCC" w14:textId="77777777" w:rsidR="00AA3F1A" w:rsidRPr="00AA3F1A" w:rsidRDefault="00AA3F1A" w:rsidP="00AA3F1A">
            <w:pPr>
              <w:spacing w:after="160" w:line="259" w:lineRule="auto"/>
            </w:pPr>
            <w:r w:rsidRPr="00AA3F1A">
              <w:t>High</w:t>
            </w:r>
          </w:p>
        </w:tc>
        <w:tc>
          <w:tcPr>
            <w:tcW w:w="0" w:type="auto"/>
            <w:hideMark/>
          </w:tcPr>
          <w:p w14:paraId="121350B8" w14:textId="77777777" w:rsidR="00AA3F1A" w:rsidRPr="00AA3F1A" w:rsidRDefault="00AA3F1A" w:rsidP="00AA3F1A">
            <w:pPr>
              <w:spacing w:after="160" w:line="259" w:lineRule="auto"/>
            </w:pPr>
            <w:r w:rsidRPr="00AA3F1A">
              <w:t>Customs, duties and FX exposure</w:t>
            </w:r>
          </w:p>
        </w:tc>
      </w:tr>
      <w:tr w:rsidR="00AA3F1A" w:rsidRPr="00AA3F1A" w14:paraId="5FE5511F" w14:textId="77777777" w:rsidTr="00AA3F1A">
        <w:tc>
          <w:tcPr>
            <w:tcW w:w="0" w:type="auto"/>
            <w:hideMark/>
          </w:tcPr>
          <w:p w14:paraId="1691D6E1" w14:textId="77777777" w:rsidR="00AA3F1A" w:rsidRPr="00AA3F1A" w:rsidRDefault="00AA3F1A" w:rsidP="00AA3F1A">
            <w:pPr>
              <w:spacing w:after="160" w:line="259" w:lineRule="auto"/>
            </w:pPr>
            <w:r w:rsidRPr="00AA3F1A">
              <w:t>Franchise system</w:t>
            </w:r>
          </w:p>
        </w:tc>
        <w:tc>
          <w:tcPr>
            <w:tcW w:w="0" w:type="auto"/>
            <w:hideMark/>
          </w:tcPr>
          <w:p w14:paraId="73ED2311" w14:textId="77777777" w:rsidR="00AA3F1A" w:rsidRPr="00AA3F1A" w:rsidRDefault="00AA3F1A" w:rsidP="00AA3F1A">
            <w:pPr>
              <w:spacing w:after="160" w:line="259" w:lineRule="auto"/>
            </w:pPr>
            <w:r w:rsidRPr="00AA3F1A">
              <w:t>Local knowledge with global governance</w:t>
            </w:r>
          </w:p>
        </w:tc>
        <w:tc>
          <w:tcPr>
            <w:tcW w:w="0" w:type="auto"/>
            <w:hideMark/>
          </w:tcPr>
          <w:p w14:paraId="6B673F41" w14:textId="77777777" w:rsidR="00AA3F1A" w:rsidRPr="00AA3F1A" w:rsidRDefault="00AA3F1A" w:rsidP="00AA3F1A">
            <w:pPr>
              <w:spacing w:after="160" w:line="259" w:lineRule="auto"/>
            </w:pPr>
            <w:r w:rsidRPr="00AA3F1A">
              <w:t>High</w:t>
            </w:r>
          </w:p>
        </w:tc>
        <w:tc>
          <w:tcPr>
            <w:tcW w:w="0" w:type="auto"/>
            <w:hideMark/>
          </w:tcPr>
          <w:p w14:paraId="72F29905" w14:textId="77777777" w:rsidR="00AA3F1A" w:rsidRPr="00AA3F1A" w:rsidRDefault="00AA3F1A" w:rsidP="00AA3F1A">
            <w:pPr>
              <w:spacing w:after="160" w:line="259" w:lineRule="auto"/>
            </w:pPr>
            <w:r w:rsidRPr="00AA3F1A">
              <w:t>Partner capability and control</w:t>
            </w:r>
          </w:p>
        </w:tc>
      </w:tr>
      <w:tr w:rsidR="00AA3F1A" w:rsidRPr="00AA3F1A" w14:paraId="4BE96ACC" w14:textId="77777777" w:rsidTr="00AA3F1A">
        <w:tc>
          <w:tcPr>
            <w:tcW w:w="0" w:type="auto"/>
            <w:hideMark/>
          </w:tcPr>
          <w:p w14:paraId="7B65F949" w14:textId="77777777" w:rsidR="00AA3F1A" w:rsidRPr="00AA3F1A" w:rsidRDefault="00AA3F1A" w:rsidP="00AA3F1A">
            <w:pPr>
              <w:spacing w:after="160" w:line="259" w:lineRule="auto"/>
            </w:pPr>
            <w:r w:rsidRPr="00AA3F1A">
              <w:t>IKEA Concept</w:t>
            </w:r>
          </w:p>
        </w:tc>
        <w:tc>
          <w:tcPr>
            <w:tcW w:w="0" w:type="auto"/>
            <w:hideMark/>
          </w:tcPr>
          <w:p w14:paraId="12195C5C" w14:textId="77777777" w:rsidR="00AA3F1A" w:rsidRPr="00AA3F1A" w:rsidRDefault="00AA3F1A" w:rsidP="00AA3F1A">
            <w:pPr>
              <w:spacing w:after="160" w:line="259" w:lineRule="auto"/>
            </w:pPr>
            <w:r w:rsidRPr="00AA3F1A">
              <w:t>Consistent customer proposition</w:t>
            </w:r>
          </w:p>
        </w:tc>
        <w:tc>
          <w:tcPr>
            <w:tcW w:w="0" w:type="auto"/>
            <w:hideMark/>
          </w:tcPr>
          <w:p w14:paraId="71F8EC31" w14:textId="77777777" w:rsidR="00AA3F1A" w:rsidRPr="00AA3F1A" w:rsidRDefault="00AA3F1A" w:rsidP="00AA3F1A">
            <w:pPr>
              <w:spacing w:after="160" w:line="259" w:lineRule="auto"/>
            </w:pPr>
            <w:r w:rsidRPr="00AA3F1A">
              <w:t>High</w:t>
            </w:r>
          </w:p>
        </w:tc>
        <w:tc>
          <w:tcPr>
            <w:tcW w:w="0" w:type="auto"/>
            <w:hideMark/>
          </w:tcPr>
          <w:p w14:paraId="758A0B89" w14:textId="77777777" w:rsidR="00AA3F1A" w:rsidRPr="00AA3F1A" w:rsidRDefault="00AA3F1A" w:rsidP="00AA3F1A">
            <w:pPr>
              <w:spacing w:after="160" w:line="259" w:lineRule="auto"/>
            </w:pPr>
            <w:r w:rsidRPr="00AA3F1A">
              <w:t>Must be adapted without losing identity</w:t>
            </w:r>
          </w:p>
        </w:tc>
      </w:tr>
      <w:tr w:rsidR="00AA3F1A" w:rsidRPr="00AA3F1A" w14:paraId="4A5C37F1" w14:textId="77777777" w:rsidTr="00AA3F1A">
        <w:tc>
          <w:tcPr>
            <w:tcW w:w="0" w:type="auto"/>
            <w:hideMark/>
          </w:tcPr>
          <w:p w14:paraId="54B300D4" w14:textId="77777777" w:rsidR="00AA3F1A" w:rsidRPr="00AA3F1A" w:rsidRDefault="00AA3F1A" w:rsidP="00AA3F1A">
            <w:pPr>
              <w:spacing w:after="160" w:line="259" w:lineRule="auto"/>
            </w:pPr>
            <w:r w:rsidRPr="00AA3F1A">
              <w:t>Digital channels</w:t>
            </w:r>
          </w:p>
        </w:tc>
        <w:tc>
          <w:tcPr>
            <w:tcW w:w="0" w:type="auto"/>
            <w:hideMark/>
          </w:tcPr>
          <w:p w14:paraId="7233B45B" w14:textId="77777777" w:rsidR="00AA3F1A" w:rsidRPr="00AA3F1A" w:rsidRDefault="00AA3F1A" w:rsidP="00AA3F1A">
            <w:pPr>
              <w:spacing w:after="160" w:line="259" w:lineRule="auto"/>
            </w:pPr>
            <w:r w:rsidRPr="00AA3F1A">
              <w:t>Wider customer reach</w:t>
            </w:r>
          </w:p>
        </w:tc>
        <w:tc>
          <w:tcPr>
            <w:tcW w:w="0" w:type="auto"/>
            <w:hideMark/>
          </w:tcPr>
          <w:p w14:paraId="449B041D" w14:textId="77777777" w:rsidR="00AA3F1A" w:rsidRPr="00AA3F1A" w:rsidRDefault="00AA3F1A" w:rsidP="00AA3F1A">
            <w:pPr>
              <w:spacing w:after="160" w:line="259" w:lineRule="auto"/>
            </w:pPr>
            <w:r w:rsidRPr="00AA3F1A">
              <w:t>Moderate–High</w:t>
            </w:r>
          </w:p>
        </w:tc>
        <w:tc>
          <w:tcPr>
            <w:tcW w:w="0" w:type="auto"/>
            <w:hideMark/>
          </w:tcPr>
          <w:p w14:paraId="09F9AC86" w14:textId="77777777" w:rsidR="00AA3F1A" w:rsidRPr="00AA3F1A" w:rsidRDefault="00AA3F1A" w:rsidP="00AA3F1A">
            <w:pPr>
              <w:spacing w:after="160" w:line="259" w:lineRule="auto"/>
            </w:pPr>
            <w:r w:rsidRPr="00AA3F1A">
              <w:t>Furniture requires physical experience and fulfilment</w:t>
            </w:r>
          </w:p>
        </w:tc>
      </w:tr>
    </w:tbl>
    <w:p w14:paraId="31C5AF20" w14:textId="77777777" w:rsidR="00AA3F1A" w:rsidRDefault="00AA3F1A" w:rsidP="00740098"/>
    <w:p w14:paraId="1A66BF61" w14:textId="77777777" w:rsidR="00740098" w:rsidRDefault="00740098" w:rsidP="00740098"/>
    <w:p w14:paraId="72C8B2D1" w14:textId="77777777" w:rsidR="00740098" w:rsidRDefault="00740098" w:rsidP="00AA3F1A">
      <w:pPr>
        <w:pStyle w:val="Heading1"/>
      </w:pPr>
      <w:bookmarkStart w:id="5" w:name="_Toc237201116"/>
      <w:r>
        <w:lastRenderedPageBreak/>
        <w:t>3. Macro-Environmental Appraisal and Market Attractiveness</w:t>
      </w:r>
      <w:bookmarkEnd w:id="5"/>
      <w:r>
        <w:t xml:space="preserve"> </w:t>
      </w:r>
    </w:p>
    <w:p w14:paraId="0F2959E3" w14:textId="77777777" w:rsidR="00A42F3F" w:rsidRDefault="00A42F3F" w:rsidP="00A42F3F">
      <w:pPr>
        <w:keepNext/>
        <w:jc w:val="center"/>
      </w:pPr>
      <w:r>
        <w:drawing>
          <wp:inline distT="0" distB="0" distL="0" distR="0" wp14:anchorId="1B57BDA6" wp14:editId="795A6FFA">
            <wp:extent cx="4857750" cy="2717800"/>
            <wp:effectExtent l="0" t="0" r="0" b="6350"/>
            <wp:docPr id="12629046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904628" name="Picture 1262904628"/>
                    <pic:cNvPicPr/>
                  </pic:nvPicPr>
                  <pic:blipFill rotWithShape="1">
                    <a:blip r:embed="rId12">
                      <a:extLst>
                        <a:ext uri="{28A0092B-C50C-407E-A947-70E740481C1C}">
                          <a14:useLocalDpi xmlns:a14="http://schemas.microsoft.com/office/drawing/2010/main" val="0"/>
                        </a:ext>
                      </a:extLst>
                    </a:blip>
                    <a:srcRect t="6140"/>
                    <a:stretch>
                      <a:fillRect/>
                    </a:stretch>
                  </pic:blipFill>
                  <pic:spPr bwMode="auto">
                    <a:xfrm>
                      <a:off x="0" y="0"/>
                      <a:ext cx="4858428" cy="2718179"/>
                    </a:xfrm>
                    <a:prstGeom prst="rect">
                      <a:avLst/>
                    </a:prstGeom>
                    <a:ln>
                      <a:noFill/>
                    </a:ln>
                    <a:extLst>
                      <a:ext uri="{53640926-AAD7-44D8-BBD7-CCE9431645EC}">
                        <a14:shadowObscured xmlns:a14="http://schemas.microsoft.com/office/drawing/2010/main"/>
                      </a:ext>
                    </a:extLst>
                  </pic:spPr>
                </pic:pic>
              </a:graphicData>
            </a:graphic>
          </wp:inline>
        </w:drawing>
      </w:r>
    </w:p>
    <w:p w14:paraId="50BCDBDF" w14:textId="77777777" w:rsidR="00E33E0B" w:rsidRDefault="00E33E0B" w:rsidP="00AA3F1A">
      <w:pPr>
        <w:pStyle w:val="Heading2"/>
      </w:pPr>
      <w:bookmarkStart w:id="6" w:name="_Toc237201117"/>
    </w:p>
    <w:p w14:paraId="1881002D" w14:textId="2890A955" w:rsidR="00740098" w:rsidRDefault="00740098" w:rsidP="00AA3F1A">
      <w:pPr>
        <w:pStyle w:val="Heading2"/>
      </w:pPr>
      <w:r>
        <w:t>3.1 Political Environment</w:t>
      </w:r>
      <w:bookmarkEnd w:id="6"/>
      <w:r>
        <w:t xml:space="preserve"> </w:t>
      </w:r>
    </w:p>
    <w:p w14:paraId="27F088C1" w14:textId="77777777" w:rsidR="00740098" w:rsidRDefault="00740098" w:rsidP="00740098">
      <w:r>
        <w:t xml:space="preserve">The overall political climate in Kenya is favourable to foreign businesses, although political risks are present and can impact on consumer confidence, business operations and investment decisions. World Bank (2025b) notes that Kenya is relatively stable in its macroeconomic policies along with the fiscal consolidation and debt vulnerability as ongoing challenges. Given this, IKEA's political stability does not remove its operational risk if there is a risk of a change in the taxation regime, public spending or priorities in regulation. </w:t>
      </w:r>
    </w:p>
    <w:p w14:paraId="51BB15C0" w14:textId="77777777" w:rsidR="00740098" w:rsidRDefault="00740098" w:rsidP="00740098">
      <w:r>
        <w:t xml:space="preserve">Investment environment may be enhanced by reform efforts. According to the World Bank (2025b), inflation, exchange-rate stability and international reserves had improved and fiscal measures had to be undertaken to restore sustainability and inclusive growth in May 2025. IKEA's fiscal control will have to improve as well if there is a greater trust in long-term planning, but one must not neglect risks associated with policy and taxation of the fiscal vulnerability that has been prevalent in IKEA. </w:t>
      </w:r>
    </w:p>
    <w:p w14:paraId="113E4517" w14:textId="77777777" w:rsidR="00740098" w:rsidRDefault="00740098" w:rsidP="00740098">
      <w:r>
        <w:t xml:space="preserve">Retailers with predictable customer access and delivery are at risk of security and protest issues. Previous World Bank research correlated reduced business confidence to protests and reduced private consumption (World Bank, 2025a). Uproar in Nairobi can thus impact store traffic, staffing and last-mile logistics. The city and route level political exposure should therefore be assessed and IKEA should not consider Kenya as a homogeneous category. </w:t>
      </w:r>
    </w:p>
    <w:p w14:paraId="1CED2AC5" w14:textId="77777777" w:rsidR="00740098" w:rsidRDefault="00740098" w:rsidP="00740098">
      <w:r>
        <w:t xml:space="preserve">Foreign-investment policy is relatively pro-business. Foreign investors are formally registered by Invest Kenya and a minimum capital investment of US$100,000 is required for foreign-investor registration (Invest Kenya, 2026). Another avenue coming from the EAC membership is regional opportunities which are dependent on trade rules and logistics in Kenya. Overall, the current political climate allows for entry but </w:t>
      </w:r>
      <w:r>
        <w:lastRenderedPageBreak/>
        <w:t xml:space="preserve">uncertainty further reinforces argument for the phased approach to investment, local partnership and flexible commitments, instead of large investments. </w:t>
      </w:r>
    </w:p>
    <w:p w14:paraId="518E8FDF" w14:textId="77777777" w:rsidR="00740098" w:rsidRDefault="00740098" w:rsidP="00740098">
      <w:r>
        <w:t>Political risk also relates to IKEA's business model as the business depends on a large format store, which come with sunk costs in terms of premises, warehousing and inventory. These assets are not as mobile as digital selling channels once committed to. A local partner might be able to shed some light on processes, which helps to decrease information asymmetry. However, IKEA's political exposure would stay as it would not change due to the partnership. Political conditions thus support a sequence that allows delaying, scaling or relocation of investment for an international NE.</w:t>
      </w:r>
    </w:p>
    <w:p w14:paraId="653242B7" w14:textId="77777777" w:rsidR="00740098" w:rsidRDefault="00740098" w:rsidP="00740098"/>
    <w:p w14:paraId="5436451D" w14:textId="77777777" w:rsidR="00740098" w:rsidRDefault="00740098" w:rsidP="00AA3F1A">
      <w:pPr>
        <w:pStyle w:val="Heading2"/>
      </w:pPr>
      <w:bookmarkStart w:id="7" w:name="_Toc237201118"/>
      <w:r>
        <w:t>3.2 Economic Environment</w:t>
      </w:r>
      <w:bookmarkEnd w:id="7"/>
      <w:r>
        <w:t xml:space="preserve"> </w:t>
      </w:r>
    </w:p>
    <w:p w14:paraId="4106532F" w14:textId="77777777" w:rsidR="00740098" w:rsidRDefault="00740098" w:rsidP="00740098">
      <w:r>
        <w:t xml:space="preserve">Kenya's economic climate is a challenge for IKEA offering a growing urbanising consumer market and an impact on IKEA's low price proposition from a lack of affordability in households and costs of imported products. The population projection for Kenya was 53.3 million people in mid-2025, and by the 2026 Economic Survey, Kenyan real GDP growth was projected at 6.8% and 4.6% respectively in wholesale &amp; retail trade and construction (Kenya National Bureau of Statistics [KNBS] 2026a; KNBS 2026b). The indicators are promoting retail opportunity, especially in Nairobi. </w:t>
      </w:r>
    </w:p>
    <w:p w14:paraId="0EA4B65B" w14:textId="77777777" w:rsidR="00740098" w:rsidRDefault="00740098" w:rsidP="00740098">
      <w:r>
        <w:t>But growth in aggregate GDP does not necessarily mean that there is purchasing power.</w:t>
      </w:r>
      <w:r w:rsidR="00EF05B7" w:rsidRPr="00EF05B7">
        <w:t xml:space="preserve"> </w:t>
      </w:r>
      <w:r>
        <w:t>Kenya is still struggling with poor labour market outcomes, high debt pressures, and private consumption has continued to play a significant role in a constrained fiscal space (World Bank, 2026a). IKEA thus encounters a segmentation problem: A large population does not equate to the ability of most households to afford the imported furniture after delivery and tax. The addressable market is probably going to be skewed towards middle and higher-income consumers.</w:t>
      </w:r>
    </w:p>
    <w:p w14:paraId="5FF47A01" w14:textId="77777777" w:rsidR="00740098" w:rsidRDefault="00740098" w:rsidP="00740098">
      <w:r>
        <w:t xml:space="preserve">The affordability is further complicated by inflation. The consumer inflation rate stood at 5.6% during April 2026, driven by the increase in prices for food, transport and housing (KNBS, 2026c). When essential expenses go up, consumers can cut back on buying furniture, either by delaying purchases or by opting for more affordable options. IKEA has to therefore safeguard its value proposition not only in the price of its products but also the full cost of the customer, such as delivery and assembly. </w:t>
      </w:r>
    </w:p>
    <w:p w14:paraId="40F95F81" w14:textId="77777777" w:rsidR="00740098" w:rsidRDefault="00740098" w:rsidP="00740098">
      <w:r>
        <w:t>The exposure to exchange rates should not be neglected either. Imports would mean that foreign-currency prices would not equal the revenue in the local currency (Kenyan shilling). The World Bank noted that exchange rate stability and international reserves were on the rise in 2025, but was concerned about fiscal and debt risks (World Bank, 2025b). A weaker currency might lead to higher landed costs and increase prices, impacting IKEA's affordability claim.</w:t>
      </w:r>
    </w:p>
    <w:p w14:paraId="39D19FA5" w14:textId="77777777" w:rsidR="00740098" w:rsidRDefault="00740098" w:rsidP="00740098">
      <w:r>
        <w:t xml:space="preserve">Adding to this is import taxation and logistics. According to KRA guidance, import duties can be zero, 10% or 25%, depending on the product, and may be even higher for sensitive products, with VAT at 16% and import declaration and railway development levies also levied on imports (KRA, 2026a). Furniture is heavy compared to the cost so logistics becomes a significant margin driver, including last mile delivery. </w:t>
      </w:r>
      <w:r>
        <w:lastRenderedPageBreak/>
        <w:t xml:space="preserve">IKEA's flat-pack model improves transport efficiency, but cannot eliminate Kenyan logistics costs. </w:t>
      </w:r>
    </w:p>
    <w:p w14:paraId="39E6573B" w14:textId="77777777" w:rsidR="00740098" w:rsidRDefault="00740098" w:rsidP="00740098">
      <w:r>
        <w:t>However, opportunities for infrastructure exists. Kenya as an important commercial and transport hub and investment in transport and digital infrastructure can aid modern retail. However, the localised Nairobi service is more cost effective than the national network because of congestion and reliability of deliveries. This facilitates phasing up expansions.</w:t>
      </w:r>
    </w:p>
    <w:p w14:paraId="54AD478D" w14:textId="77777777" w:rsidR="00740098" w:rsidRDefault="00740098" w:rsidP="00740098">
      <w:r>
        <w:t xml:space="preserve">Demand potential from housing conditions. According to the World Bank, there is a housing shortage of more than two million units, and the number of new city dwellers each year is around 500,000 (World Bank, 2022). But for the poor, low incomes are still a constraint. However, apartment living and demand for utilitarian space-saving items may sustain demand for modular storage units, kitchens and space-saving furniture. </w:t>
      </w:r>
    </w:p>
    <w:p w14:paraId="169ED340" w14:textId="77777777" w:rsidR="00740098" w:rsidRDefault="00740098" w:rsidP="00740098">
      <w:r>
        <w:t>In summary, Kenya's economy and potential to attract investments is not necessarily high. Opportunity is driven by GDP growth, population, construction and urbanisation and demand for housing, while inflation, differential purchasing power, taxes, logistics and exchange rate risks put strain on IKEA's affordability model. The critical one is whether IKEA can get the product to market at a price close enough to its global offering. A Nairobi-focussed phased entry with local sourcing where appropriate and discipline in inventory management to increase the likelihood of maintaining affordability. This puts the quality of the demand, rather than its quantity, as the one decisive economic factor.</w:t>
      </w:r>
    </w:p>
    <w:p w14:paraId="661B0EB9" w14:textId="77777777" w:rsidR="00740098" w:rsidRDefault="00740098" w:rsidP="00740098"/>
    <w:p w14:paraId="3710AC32" w14:textId="77777777" w:rsidR="00740098" w:rsidRDefault="00740098" w:rsidP="00AA3F1A">
      <w:pPr>
        <w:pStyle w:val="Heading2"/>
      </w:pPr>
      <w:bookmarkStart w:id="8" w:name="_Toc237201119"/>
      <w:r>
        <w:t>3.3 Legal &amp; Regulatory Environment</w:t>
      </w:r>
      <w:bookmarkEnd w:id="8"/>
      <w:r>
        <w:t xml:space="preserve"> </w:t>
      </w:r>
    </w:p>
    <w:p w14:paraId="15AABD9A" w14:textId="77777777" w:rsidR="00740098" w:rsidRDefault="00740098" w:rsidP="00740098">
      <w:r>
        <w:t xml:space="preserve">Kenya has a regulatory regime for foreign retail investment, albeit with multiple compliance layers that would impact on entry cost, control and customer experience for IKEA. The Companies Act 2015 provides for the incorporation and regulation of companies and defines a foreign company as a company incorporated outside Kenya (Kenya Law, 2023). Foreign investors are required to invest US$100,000 in order to be registered with Invest Kenya, which offers a digital registration route for foreign investors (Invest Kenya, 2026). These mechanisms aid in establishment, but do not render entry easy. </w:t>
      </w:r>
    </w:p>
    <w:p w14:paraId="523882B4" w14:textId="77777777" w:rsidR="00740098" w:rsidRDefault="00740098" w:rsidP="00740098">
      <w:r>
        <w:t xml:space="preserve">Customs and tax is more important. According to the Kenya Revenue Authority guidance, imported goods may be subject to 0%, 10% or 25% of EAC Common External Tariff duties, 16% VAT and import duties including sensitive products which could be more than 25%. (KRA, 2026a). IKEA is heavily dependent on products from around the world and these charges can add to landed costs and reduce competitiveness. Importers have to clear customs and provide documents like bill of lading, certificates and invoices. Under new customs rules (KRA, 2025), imports in general will require a certificate of origin from October 2025. IKEA, therefore, would need to have good customs-management skills. </w:t>
      </w:r>
    </w:p>
    <w:p w14:paraId="5CFB1159" w14:textId="77777777" w:rsidR="00740098" w:rsidRDefault="00740098" w:rsidP="00740098">
      <w:r>
        <w:lastRenderedPageBreak/>
        <w:t xml:space="preserve">Consumer regulation is material as IKEA would be selling a wide portfolio to households. Kenya's Consumer Protection Act deals with unfair, unreasonable, misleading and deceptive trade practices and consumer redress mechanisms (Kenya Law, 2022a). IKEA needs clarity on prices, correct product descriptions, guarantees and complaints. Compliance can be expensive, but it may also help to build trust with a new international entrant. </w:t>
      </w:r>
    </w:p>
    <w:p w14:paraId="26D57AFF" w14:textId="77777777" w:rsidR="00740098" w:rsidRDefault="00740098" w:rsidP="00740098">
      <w:r>
        <w:t xml:space="preserve">Employment regulation has an impact as well: minimum terms and conditions for employment are set by the Employment Act (Kenya Law, 2024) which IKEA should match. IP is also crucial as IKEA brand and designs, along with its proprietary concept, form its competitive advantage. Authorities for protection of industrial property in Kenya are outlined in the Industrial Property Act (Kenya Law 2022b). Competition regulation counts: Competition Act bans practices that prevent, distort and lessen competition (Kenya Law, 2022c). </w:t>
      </w:r>
    </w:p>
    <w:p w14:paraId="66DC3F2F" w14:textId="77777777" w:rsidR="00740098" w:rsidRDefault="00740098" w:rsidP="00740098">
      <w:r>
        <w:t>Generally, Kenya's legal environment is conducive to entry and is a moderate constraint. While a multinational may be able to handle the requirements, the complexities of customs, taxes and compliance make all the more sense in order to have a local partner and phase in expansion, including data governance.</w:t>
      </w:r>
    </w:p>
    <w:p w14:paraId="2A70D0E8" w14:textId="77777777" w:rsidR="00740098" w:rsidRDefault="00740098" w:rsidP="00740098"/>
    <w:p w14:paraId="450B1E29" w14:textId="77777777" w:rsidR="00740098" w:rsidRDefault="00740098" w:rsidP="00AA3F1A">
      <w:pPr>
        <w:pStyle w:val="Heading2"/>
      </w:pPr>
      <w:bookmarkStart w:id="9" w:name="_Toc237201120"/>
      <w:r>
        <w:t>3.4 Cultural Environment</w:t>
      </w:r>
      <w:bookmarkEnd w:id="9"/>
      <w:r>
        <w:t xml:space="preserve"> </w:t>
      </w:r>
    </w:p>
    <w:p w14:paraId="5690E87B" w14:textId="77777777" w:rsidR="00740098" w:rsidRDefault="00740098" w:rsidP="00740098">
      <w:r>
        <w:t xml:space="preserve">While the cultural environment in Kenya is a good product-market fit for IKEA, cultural fit cannot be inferred from size. At mid-2025, the Kenyan population is expected to be 53.3 million, and as the country continues to become more urban, household/housing needs are also changing (KNBS, 2026a; World Bank, 2022). According to the World Bank (2022), the rate of urbanisation is approximately 4.4%, adding up to nearly 500,000 urban residents each year, and the housing deficit is over 2 million units. These conditions have made compact, functional and modular furniture desirable, especially for urban dwellers who want to make the best use of their limited home space. </w:t>
      </w:r>
    </w:p>
    <w:p w14:paraId="10338B81" w14:textId="77777777" w:rsidR="00740098" w:rsidRDefault="00740098" w:rsidP="00740098">
      <w:r>
        <w:t>Urban affordability issues make IKEA's most loyal customer base more limited than the urban population. Kenyan consumers could compare products based on their total ownership costs, which cover delivery, assembly and durability. IKEA may therefore need to create value visibility, rather than just transferring their normal communication.</w:t>
      </w:r>
    </w:p>
    <w:p w14:paraId="789034A8" w14:textId="247B9F05" w:rsidR="00EF05B7" w:rsidRPr="00EF05B7" w:rsidRDefault="00740098" w:rsidP="00740098">
      <w:r>
        <w:t>Consumer behaviour also helps in the digital adaptation. Use of mobile money is widespread in Kenya, with World Bank Findex data showing high use of mobile phone payments. This can be used to help with an IKEA proposition that involves online discovery, digital ordering and physical product experience. But the fact that people can pay online does not mean they will buy large furniture online. IKEA needs to combine digital with in-store and delivery convenience.</w:t>
      </w:r>
      <w:r w:rsidR="00EF05B7" w:rsidRPr="00EF05B7">
        <w:t xml:space="preserve"> </w:t>
      </w:r>
    </w:p>
    <w:p w14:paraId="79781183" w14:textId="77777777" w:rsidR="003A19C6" w:rsidRDefault="003A19C6" w:rsidP="003A19C6">
      <w:r>
        <w:t xml:space="preserve">Cultural adaptation should therefore be selective, rather than change the central substance of the culture. IKEA should maintain the fundamental Scandinavian design approach, flat-packs, and self-service as these are integral to its global competitive edge. Instead, product mix, dimensions of the room, payment mechanisms, delivery, </w:t>
      </w:r>
      <w:r>
        <w:lastRenderedPageBreak/>
        <w:t>assembly assistance and communication should be targeted. The strategic fit can then be said to be positive: Kenyan urbanisation and the shift in housing needs are an opportunity for IKEA functional design proposition, but there is a need for local responsiveness in terms of affordability and service expectations.</w:t>
      </w:r>
    </w:p>
    <w:p w14:paraId="406A2C67" w14:textId="4C02B6B7" w:rsidR="00AA3F1A" w:rsidRPr="00AA3F1A" w:rsidRDefault="00AA3F1A" w:rsidP="00AA3F1A">
      <w:r w:rsidRPr="00AA3F1A">
        <w:t>Table 3.1: PELC Appraisal of Kenya for IKEA</w:t>
      </w:r>
    </w:p>
    <w:tbl>
      <w:tblPr>
        <w:tblStyle w:val="TableGrid"/>
        <w:tblW w:w="0" w:type="auto"/>
        <w:tblLook w:val="04A0" w:firstRow="1" w:lastRow="0" w:firstColumn="1" w:lastColumn="0" w:noHBand="0" w:noVBand="1"/>
      </w:tblPr>
      <w:tblGrid>
        <w:gridCol w:w="1443"/>
        <w:gridCol w:w="1847"/>
        <w:gridCol w:w="1717"/>
        <w:gridCol w:w="2070"/>
        <w:gridCol w:w="1939"/>
      </w:tblGrid>
      <w:tr w:rsidR="00AA3F1A" w:rsidRPr="00AA3F1A" w14:paraId="24B4DD48" w14:textId="77777777" w:rsidTr="00AA3F1A">
        <w:tc>
          <w:tcPr>
            <w:tcW w:w="0" w:type="auto"/>
            <w:hideMark/>
          </w:tcPr>
          <w:p w14:paraId="443651D8" w14:textId="77777777" w:rsidR="00AA3F1A" w:rsidRPr="00AA3F1A" w:rsidRDefault="00AA3F1A" w:rsidP="00AA3F1A">
            <w:pPr>
              <w:spacing w:after="160" w:line="259" w:lineRule="auto"/>
              <w:jc w:val="left"/>
              <w:rPr>
                <w:b/>
                <w:bCs/>
              </w:rPr>
            </w:pPr>
            <w:r w:rsidRPr="00AA3F1A">
              <w:rPr>
                <w:b/>
                <w:bCs/>
              </w:rPr>
              <w:t>Dimension</w:t>
            </w:r>
          </w:p>
        </w:tc>
        <w:tc>
          <w:tcPr>
            <w:tcW w:w="0" w:type="auto"/>
            <w:hideMark/>
          </w:tcPr>
          <w:p w14:paraId="72EEB0EB" w14:textId="77777777" w:rsidR="00AA3F1A" w:rsidRPr="00AA3F1A" w:rsidRDefault="00AA3F1A" w:rsidP="00AA3F1A">
            <w:pPr>
              <w:spacing w:after="160" w:line="259" w:lineRule="auto"/>
              <w:jc w:val="left"/>
              <w:rPr>
                <w:b/>
                <w:bCs/>
              </w:rPr>
            </w:pPr>
            <w:r w:rsidRPr="00AA3F1A">
              <w:rPr>
                <w:b/>
                <w:bCs/>
              </w:rPr>
              <w:t>Key evidence</w:t>
            </w:r>
          </w:p>
        </w:tc>
        <w:tc>
          <w:tcPr>
            <w:tcW w:w="0" w:type="auto"/>
            <w:hideMark/>
          </w:tcPr>
          <w:p w14:paraId="4A062553" w14:textId="77777777" w:rsidR="00AA3F1A" w:rsidRPr="00AA3F1A" w:rsidRDefault="00AA3F1A" w:rsidP="00AA3F1A">
            <w:pPr>
              <w:spacing w:after="160" w:line="259" w:lineRule="auto"/>
              <w:jc w:val="left"/>
              <w:rPr>
                <w:b/>
                <w:bCs/>
              </w:rPr>
            </w:pPr>
            <w:r w:rsidRPr="00AA3F1A">
              <w:rPr>
                <w:b/>
                <w:bCs/>
              </w:rPr>
              <w:t>Opportunity for IKEA</w:t>
            </w:r>
          </w:p>
        </w:tc>
        <w:tc>
          <w:tcPr>
            <w:tcW w:w="0" w:type="auto"/>
            <w:hideMark/>
          </w:tcPr>
          <w:p w14:paraId="68D2C807" w14:textId="77777777" w:rsidR="00AA3F1A" w:rsidRPr="00AA3F1A" w:rsidRDefault="00AA3F1A" w:rsidP="00AA3F1A">
            <w:pPr>
              <w:spacing w:after="160" w:line="259" w:lineRule="auto"/>
              <w:jc w:val="left"/>
              <w:rPr>
                <w:b/>
                <w:bCs/>
              </w:rPr>
            </w:pPr>
            <w:r w:rsidRPr="00AA3F1A">
              <w:rPr>
                <w:b/>
                <w:bCs/>
              </w:rPr>
              <w:t>Risk/constraint</w:t>
            </w:r>
          </w:p>
        </w:tc>
        <w:tc>
          <w:tcPr>
            <w:tcW w:w="0" w:type="auto"/>
            <w:hideMark/>
          </w:tcPr>
          <w:p w14:paraId="79509D70" w14:textId="77777777" w:rsidR="00AA3F1A" w:rsidRPr="00AA3F1A" w:rsidRDefault="00AA3F1A" w:rsidP="00AA3F1A">
            <w:pPr>
              <w:spacing w:after="160" w:line="259" w:lineRule="auto"/>
              <w:jc w:val="left"/>
              <w:rPr>
                <w:b/>
                <w:bCs/>
              </w:rPr>
            </w:pPr>
            <w:r w:rsidRPr="00AA3F1A">
              <w:rPr>
                <w:b/>
                <w:bCs/>
              </w:rPr>
              <w:t>Strategic implication</w:t>
            </w:r>
          </w:p>
        </w:tc>
      </w:tr>
      <w:tr w:rsidR="00AA3F1A" w:rsidRPr="00AA3F1A" w14:paraId="443121E5" w14:textId="77777777" w:rsidTr="00AA3F1A">
        <w:tc>
          <w:tcPr>
            <w:tcW w:w="0" w:type="auto"/>
            <w:hideMark/>
          </w:tcPr>
          <w:p w14:paraId="4999D5EB" w14:textId="77777777" w:rsidR="00AA3F1A" w:rsidRPr="00AA3F1A" w:rsidRDefault="00AA3F1A" w:rsidP="00AA3F1A">
            <w:pPr>
              <w:spacing w:after="160" w:line="259" w:lineRule="auto"/>
            </w:pPr>
            <w:r w:rsidRPr="00AA3F1A">
              <w:rPr>
                <w:b/>
                <w:bCs/>
              </w:rPr>
              <w:t>Political</w:t>
            </w:r>
          </w:p>
        </w:tc>
        <w:tc>
          <w:tcPr>
            <w:tcW w:w="0" w:type="auto"/>
            <w:hideMark/>
          </w:tcPr>
          <w:p w14:paraId="2DB06C24" w14:textId="77777777" w:rsidR="00AA3F1A" w:rsidRPr="00AA3F1A" w:rsidRDefault="00AA3F1A" w:rsidP="00AA3F1A">
            <w:pPr>
              <w:spacing w:after="160" w:line="259" w:lineRule="auto"/>
            </w:pPr>
            <w:r w:rsidRPr="00AA3F1A">
              <w:t>Relative stability but fiscal/debt pressures and protest risk</w:t>
            </w:r>
          </w:p>
        </w:tc>
        <w:tc>
          <w:tcPr>
            <w:tcW w:w="0" w:type="auto"/>
            <w:hideMark/>
          </w:tcPr>
          <w:p w14:paraId="64317DC3" w14:textId="77777777" w:rsidR="00AA3F1A" w:rsidRPr="00AA3F1A" w:rsidRDefault="00AA3F1A" w:rsidP="00AA3F1A">
            <w:pPr>
              <w:spacing w:after="160" w:line="259" w:lineRule="auto"/>
            </w:pPr>
            <w:r w:rsidRPr="00AA3F1A">
              <w:t>FDI environment permits entry</w:t>
            </w:r>
          </w:p>
        </w:tc>
        <w:tc>
          <w:tcPr>
            <w:tcW w:w="0" w:type="auto"/>
            <w:hideMark/>
          </w:tcPr>
          <w:p w14:paraId="59B29621" w14:textId="77777777" w:rsidR="00AA3F1A" w:rsidRPr="00AA3F1A" w:rsidRDefault="00AA3F1A" w:rsidP="00AA3F1A">
            <w:pPr>
              <w:spacing w:after="160" w:line="259" w:lineRule="auto"/>
            </w:pPr>
            <w:r w:rsidRPr="00AA3F1A">
              <w:t>Policy uncertainty and disruption</w:t>
            </w:r>
          </w:p>
        </w:tc>
        <w:tc>
          <w:tcPr>
            <w:tcW w:w="0" w:type="auto"/>
            <w:hideMark/>
          </w:tcPr>
          <w:p w14:paraId="3336463B" w14:textId="77777777" w:rsidR="00AA3F1A" w:rsidRPr="00AA3F1A" w:rsidRDefault="00AA3F1A" w:rsidP="00AA3F1A">
            <w:pPr>
              <w:spacing w:after="160" w:line="259" w:lineRule="auto"/>
            </w:pPr>
            <w:r w:rsidRPr="00AA3F1A">
              <w:t>Phased investment and local knowledge</w:t>
            </w:r>
          </w:p>
        </w:tc>
      </w:tr>
      <w:tr w:rsidR="00AA3F1A" w:rsidRPr="00AA3F1A" w14:paraId="0782A562" w14:textId="77777777" w:rsidTr="00AA3F1A">
        <w:tc>
          <w:tcPr>
            <w:tcW w:w="0" w:type="auto"/>
            <w:hideMark/>
          </w:tcPr>
          <w:p w14:paraId="2BEE2D94" w14:textId="77777777" w:rsidR="00AA3F1A" w:rsidRPr="00AA3F1A" w:rsidRDefault="00AA3F1A" w:rsidP="00AA3F1A">
            <w:pPr>
              <w:spacing w:after="160" w:line="259" w:lineRule="auto"/>
            </w:pPr>
            <w:r w:rsidRPr="00AA3F1A">
              <w:rPr>
                <w:b/>
                <w:bCs/>
              </w:rPr>
              <w:t>Economic</w:t>
            </w:r>
          </w:p>
        </w:tc>
        <w:tc>
          <w:tcPr>
            <w:tcW w:w="0" w:type="auto"/>
            <w:hideMark/>
          </w:tcPr>
          <w:p w14:paraId="6B574301" w14:textId="77777777" w:rsidR="00AA3F1A" w:rsidRPr="00AA3F1A" w:rsidRDefault="00AA3F1A" w:rsidP="00AA3F1A">
            <w:pPr>
              <w:spacing w:after="160" w:line="259" w:lineRule="auto"/>
            </w:pPr>
            <w:r w:rsidRPr="00AA3F1A">
              <w:t>4.6% GDP growth in 2025; construction grew 6.8%; retail 3.6%</w:t>
            </w:r>
          </w:p>
        </w:tc>
        <w:tc>
          <w:tcPr>
            <w:tcW w:w="0" w:type="auto"/>
            <w:hideMark/>
          </w:tcPr>
          <w:p w14:paraId="0DB27F11" w14:textId="77777777" w:rsidR="00AA3F1A" w:rsidRPr="00AA3F1A" w:rsidRDefault="00AA3F1A" w:rsidP="00AA3F1A">
            <w:pPr>
              <w:spacing w:after="160" w:line="259" w:lineRule="auto"/>
            </w:pPr>
            <w:r w:rsidRPr="00AA3F1A">
              <w:t>Growing economy and housing-related demand</w:t>
            </w:r>
          </w:p>
        </w:tc>
        <w:tc>
          <w:tcPr>
            <w:tcW w:w="0" w:type="auto"/>
            <w:hideMark/>
          </w:tcPr>
          <w:p w14:paraId="13C172D7" w14:textId="77777777" w:rsidR="00AA3F1A" w:rsidRPr="00AA3F1A" w:rsidRDefault="00AA3F1A" w:rsidP="00AA3F1A">
            <w:pPr>
              <w:spacing w:after="160" w:line="259" w:lineRule="auto"/>
            </w:pPr>
            <w:r w:rsidRPr="00AA3F1A">
              <w:t>Purchasing power, inflation, FX and import costs</w:t>
            </w:r>
          </w:p>
        </w:tc>
        <w:tc>
          <w:tcPr>
            <w:tcW w:w="0" w:type="auto"/>
            <w:hideMark/>
          </w:tcPr>
          <w:p w14:paraId="7F5F5667" w14:textId="77777777" w:rsidR="00AA3F1A" w:rsidRPr="00AA3F1A" w:rsidRDefault="00AA3F1A" w:rsidP="00AA3F1A">
            <w:pPr>
              <w:spacing w:after="160" w:line="259" w:lineRule="auto"/>
            </w:pPr>
            <w:r w:rsidRPr="00AA3F1A">
              <w:t>Protect affordability; Nairobi-first approach</w:t>
            </w:r>
          </w:p>
        </w:tc>
      </w:tr>
      <w:tr w:rsidR="00AA3F1A" w:rsidRPr="00AA3F1A" w14:paraId="500448BB" w14:textId="77777777" w:rsidTr="00AA3F1A">
        <w:tc>
          <w:tcPr>
            <w:tcW w:w="0" w:type="auto"/>
            <w:hideMark/>
          </w:tcPr>
          <w:p w14:paraId="3A0F4CBC" w14:textId="77777777" w:rsidR="00AA3F1A" w:rsidRPr="00AA3F1A" w:rsidRDefault="00AA3F1A" w:rsidP="00AA3F1A">
            <w:pPr>
              <w:spacing w:after="160" w:line="259" w:lineRule="auto"/>
            </w:pPr>
            <w:r w:rsidRPr="00AA3F1A">
              <w:rPr>
                <w:b/>
                <w:bCs/>
              </w:rPr>
              <w:t>Legal</w:t>
            </w:r>
          </w:p>
        </w:tc>
        <w:tc>
          <w:tcPr>
            <w:tcW w:w="0" w:type="auto"/>
            <w:hideMark/>
          </w:tcPr>
          <w:p w14:paraId="77FFA19C" w14:textId="77777777" w:rsidR="00AA3F1A" w:rsidRPr="00AA3F1A" w:rsidRDefault="00AA3F1A" w:rsidP="00AA3F1A">
            <w:pPr>
              <w:spacing w:after="160" w:line="259" w:lineRule="auto"/>
            </w:pPr>
            <w:r w:rsidRPr="00AA3F1A">
              <w:t>Foreign investment registration; customs, VAT and consumer/IP regulation</w:t>
            </w:r>
          </w:p>
        </w:tc>
        <w:tc>
          <w:tcPr>
            <w:tcW w:w="0" w:type="auto"/>
            <w:hideMark/>
          </w:tcPr>
          <w:p w14:paraId="24E7CB4B" w14:textId="77777777" w:rsidR="00AA3F1A" w:rsidRPr="00AA3F1A" w:rsidRDefault="00AA3F1A" w:rsidP="00AA3F1A">
            <w:pPr>
              <w:spacing w:after="160" w:line="259" w:lineRule="auto"/>
            </w:pPr>
            <w:r w:rsidRPr="00AA3F1A">
              <w:t>Formal investment framework</w:t>
            </w:r>
          </w:p>
        </w:tc>
        <w:tc>
          <w:tcPr>
            <w:tcW w:w="0" w:type="auto"/>
            <w:hideMark/>
          </w:tcPr>
          <w:p w14:paraId="6B6ECC31" w14:textId="77777777" w:rsidR="00AA3F1A" w:rsidRPr="00AA3F1A" w:rsidRDefault="00AA3F1A" w:rsidP="00AA3F1A">
            <w:pPr>
              <w:spacing w:after="160" w:line="259" w:lineRule="auto"/>
            </w:pPr>
            <w:r w:rsidRPr="00AA3F1A">
              <w:t>Compliance and import costs</w:t>
            </w:r>
          </w:p>
        </w:tc>
        <w:tc>
          <w:tcPr>
            <w:tcW w:w="0" w:type="auto"/>
            <w:hideMark/>
          </w:tcPr>
          <w:p w14:paraId="149C6CBD" w14:textId="77777777" w:rsidR="00AA3F1A" w:rsidRPr="00AA3F1A" w:rsidRDefault="00AA3F1A" w:rsidP="00AA3F1A">
            <w:pPr>
              <w:spacing w:after="160" w:line="259" w:lineRule="auto"/>
            </w:pPr>
            <w:r w:rsidRPr="00AA3F1A">
              <w:t>Strong local compliance capability</w:t>
            </w:r>
          </w:p>
        </w:tc>
      </w:tr>
      <w:tr w:rsidR="00AA3F1A" w:rsidRPr="00AA3F1A" w14:paraId="014B1243" w14:textId="77777777" w:rsidTr="00AA3F1A">
        <w:tc>
          <w:tcPr>
            <w:tcW w:w="0" w:type="auto"/>
            <w:hideMark/>
          </w:tcPr>
          <w:p w14:paraId="4F66FF01" w14:textId="77777777" w:rsidR="00AA3F1A" w:rsidRPr="00AA3F1A" w:rsidRDefault="00AA3F1A" w:rsidP="00AA3F1A">
            <w:pPr>
              <w:spacing w:after="160" w:line="259" w:lineRule="auto"/>
            </w:pPr>
            <w:r w:rsidRPr="00AA3F1A">
              <w:rPr>
                <w:b/>
                <w:bCs/>
              </w:rPr>
              <w:t>Cultural</w:t>
            </w:r>
          </w:p>
        </w:tc>
        <w:tc>
          <w:tcPr>
            <w:tcW w:w="0" w:type="auto"/>
            <w:hideMark/>
          </w:tcPr>
          <w:p w14:paraId="3D51B7BC" w14:textId="77777777" w:rsidR="00AA3F1A" w:rsidRPr="00AA3F1A" w:rsidRDefault="00AA3F1A" w:rsidP="00AA3F1A">
            <w:pPr>
              <w:spacing w:after="160" w:line="259" w:lineRule="auto"/>
            </w:pPr>
            <w:r w:rsidRPr="00AA3F1A">
              <w:t>Urbanisation, housing deficit and changing urban lifestyles</w:t>
            </w:r>
          </w:p>
        </w:tc>
        <w:tc>
          <w:tcPr>
            <w:tcW w:w="0" w:type="auto"/>
            <w:hideMark/>
          </w:tcPr>
          <w:p w14:paraId="03027022" w14:textId="77777777" w:rsidR="00AA3F1A" w:rsidRPr="00AA3F1A" w:rsidRDefault="00AA3F1A" w:rsidP="00AA3F1A">
            <w:pPr>
              <w:spacing w:after="160" w:line="259" w:lineRule="auto"/>
            </w:pPr>
            <w:r w:rsidRPr="00AA3F1A">
              <w:t>Functional, modular and space-efficient products</w:t>
            </w:r>
          </w:p>
        </w:tc>
        <w:tc>
          <w:tcPr>
            <w:tcW w:w="0" w:type="auto"/>
            <w:hideMark/>
          </w:tcPr>
          <w:p w14:paraId="0F946ABF" w14:textId="77777777" w:rsidR="00AA3F1A" w:rsidRPr="00AA3F1A" w:rsidRDefault="00AA3F1A" w:rsidP="00AA3F1A">
            <w:pPr>
              <w:spacing w:after="160" w:line="259" w:lineRule="auto"/>
            </w:pPr>
            <w:r w:rsidRPr="00AA3F1A">
              <w:t>Price sensitivity and service expectations</w:t>
            </w:r>
          </w:p>
        </w:tc>
        <w:tc>
          <w:tcPr>
            <w:tcW w:w="0" w:type="auto"/>
            <w:hideMark/>
          </w:tcPr>
          <w:p w14:paraId="4BCFE32D" w14:textId="77777777" w:rsidR="00AA3F1A" w:rsidRPr="00AA3F1A" w:rsidRDefault="00AA3F1A" w:rsidP="00AA3F1A">
            <w:pPr>
              <w:spacing w:after="160" w:line="259" w:lineRule="auto"/>
            </w:pPr>
            <w:r w:rsidRPr="00AA3F1A">
              <w:t>Selective product/service adaptation</w:t>
            </w:r>
          </w:p>
        </w:tc>
      </w:tr>
      <w:tr w:rsidR="00AA3F1A" w:rsidRPr="00AA3F1A" w14:paraId="1B5D394B" w14:textId="77777777" w:rsidTr="00AA3F1A">
        <w:tc>
          <w:tcPr>
            <w:tcW w:w="0" w:type="auto"/>
            <w:hideMark/>
          </w:tcPr>
          <w:p w14:paraId="380850CF" w14:textId="77777777" w:rsidR="00AA3F1A" w:rsidRPr="00AA3F1A" w:rsidRDefault="00AA3F1A" w:rsidP="00AA3F1A">
            <w:pPr>
              <w:spacing w:after="160" w:line="259" w:lineRule="auto"/>
            </w:pPr>
            <w:r w:rsidRPr="00AA3F1A">
              <w:rPr>
                <w:b/>
                <w:bCs/>
              </w:rPr>
              <w:t>Overall</w:t>
            </w:r>
          </w:p>
        </w:tc>
        <w:tc>
          <w:tcPr>
            <w:tcW w:w="0" w:type="auto"/>
            <w:hideMark/>
          </w:tcPr>
          <w:p w14:paraId="3210DF15" w14:textId="77777777" w:rsidR="00AA3F1A" w:rsidRPr="00AA3F1A" w:rsidRDefault="00AA3F1A" w:rsidP="00AA3F1A">
            <w:pPr>
              <w:spacing w:after="160" w:line="259" w:lineRule="auto"/>
            </w:pPr>
            <w:r w:rsidRPr="00AA3F1A">
              <w:t>Opportunity exists but is conditional</w:t>
            </w:r>
          </w:p>
        </w:tc>
        <w:tc>
          <w:tcPr>
            <w:tcW w:w="0" w:type="auto"/>
            <w:hideMark/>
          </w:tcPr>
          <w:p w14:paraId="4C4AEB51" w14:textId="77777777" w:rsidR="00AA3F1A" w:rsidRPr="00AA3F1A" w:rsidRDefault="00AA3F1A" w:rsidP="00AA3F1A">
            <w:pPr>
              <w:spacing w:after="160" w:line="259" w:lineRule="auto"/>
            </w:pPr>
            <w:r w:rsidRPr="00AA3F1A">
              <w:t>Market testing justified</w:t>
            </w:r>
          </w:p>
        </w:tc>
        <w:tc>
          <w:tcPr>
            <w:tcW w:w="0" w:type="auto"/>
            <w:hideMark/>
          </w:tcPr>
          <w:p w14:paraId="71324F39" w14:textId="77777777" w:rsidR="00AA3F1A" w:rsidRPr="00AA3F1A" w:rsidRDefault="00AA3F1A" w:rsidP="00AA3F1A">
            <w:pPr>
              <w:spacing w:after="160" w:line="259" w:lineRule="auto"/>
            </w:pPr>
            <w:r w:rsidRPr="00AA3F1A">
              <w:t>Immediate high-resource commitment not justified</w:t>
            </w:r>
          </w:p>
        </w:tc>
        <w:tc>
          <w:tcPr>
            <w:tcW w:w="0" w:type="auto"/>
            <w:hideMark/>
          </w:tcPr>
          <w:p w14:paraId="321644E1" w14:textId="77777777" w:rsidR="00AA3F1A" w:rsidRPr="00AA3F1A" w:rsidRDefault="00AA3F1A" w:rsidP="00AA3F1A">
            <w:pPr>
              <w:spacing w:after="160" w:line="259" w:lineRule="auto"/>
            </w:pPr>
            <w:r w:rsidRPr="00AA3F1A">
              <w:t>Controlled, phased entry</w:t>
            </w:r>
          </w:p>
        </w:tc>
      </w:tr>
    </w:tbl>
    <w:p w14:paraId="41CFBC31" w14:textId="77777777" w:rsidR="00AA3F1A" w:rsidRDefault="00AA3F1A" w:rsidP="003A19C6"/>
    <w:p w14:paraId="0E44BE50" w14:textId="77777777" w:rsidR="003A19C6" w:rsidRDefault="003A19C6" w:rsidP="003A19C6"/>
    <w:p w14:paraId="7E45AFF1" w14:textId="77777777" w:rsidR="003A19C6" w:rsidRDefault="003A19C6" w:rsidP="00AA3F1A">
      <w:pPr>
        <w:pStyle w:val="Heading2"/>
      </w:pPr>
      <w:bookmarkStart w:id="10" w:name="_Toc237201121"/>
      <w:r>
        <w:t>3.5 Integrated Market Attractiveness</w:t>
      </w:r>
      <w:bookmarkEnd w:id="10"/>
      <w:r>
        <w:t xml:space="preserve"> </w:t>
      </w:r>
    </w:p>
    <w:p w14:paraId="527BA92F" w14:textId="77777777" w:rsidR="003A19C6" w:rsidRDefault="003A19C6" w:rsidP="003A19C6">
      <w:r>
        <w:t xml:space="preserve">The integrated assessment shows that Kenya is a moderate market, but not an immediate and high-return market for IKEA investments. Demographic and market size is good as the population is over 53 million and the urban population and lack of housing creates structural demand for functional household products (KNBS, 2026a; </w:t>
      </w:r>
      <w:r>
        <w:lastRenderedPageBreak/>
        <w:t>World Bank, 2022). Economic stability is positive but purchasing power is uneven and inflation may have a negative impact on discretionary expenditure (KNBS, 2026b; 2026c). Regulation is feasible and administrative, and infrastructure and import costs limit scalability across the country. The strategic judgement thus remains limited and strategically relevant, Kenya has enough demand side potential to warrant some market testing, but not enough to warrant big scale fixed investment at this time. IKEA must first test demand in urban Nairobi through digital, and the smaller, physical format first and only expand if the unit economics can support the affordability proposition in a Kenyan landed format.</w:t>
      </w:r>
    </w:p>
    <w:p w14:paraId="1FB72502" w14:textId="74852377" w:rsidR="00AA3F1A" w:rsidRPr="00AA3F1A" w:rsidRDefault="00AA3F1A" w:rsidP="00AA3F1A">
      <w:r w:rsidRPr="00AA3F1A">
        <w:t>Table 3.2: Weighted Market Attractiveness Matrix</w:t>
      </w:r>
    </w:p>
    <w:tbl>
      <w:tblPr>
        <w:tblStyle w:val="TableGrid"/>
        <w:tblW w:w="0" w:type="auto"/>
        <w:tblLook w:val="04A0" w:firstRow="1" w:lastRow="0" w:firstColumn="1" w:lastColumn="0" w:noHBand="0" w:noVBand="1"/>
      </w:tblPr>
      <w:tblGrid>
        <w:gridCol w:w="3144"/>
        <w:gridCol w:w="1012"/>
        <w:gridCol w:w="1226"/>
        <w:gridCol w:w="1589"/>
        <w:gridCol w:w="2045"/>
      </w:tblGrid>
      <w:tr w:rsidR="00AA3F1A" w:rsidRPr="00AA3F1A" w14:paraId="7F027DBA" w14:textId="77777777" w:rsidTr="00AA3F1A">
        <w:tc>
          <w:tcPr>
            <w:tcW w:w="0" w:type="auto"/>
            <w:hideMark/>
          </w:tcPr>
          <w:p w14:paraId="501374CC" w14:textId="77777777" w:rsidR="00AA3F1A" w:rsidRPr="00AA3F1A" w:rsidRDefault="00AA3F1A" w:rsidP="00AA3F1A">
            <w:pPr>
              <w:spacing w:after="160" w:line="259" w:lineRule="auto"/>
              <w:jc w:val="left"/>
              <w:rPr>
                <w:b/>
                <w:bCs/>
              </w:rPr>
            </w:pPr>
            <w:r w:rsidRPr="00AA3F1A">
              <w:rPr>
                <w:b/>
                <w:bCs/>
              </w:rPr>
              <w:t>Factor</w:t>
            </w:r>
          </w:p>
        </w:tc>
        <w:tc>
          <w:tcPr>
            <w:tcW w:w="0" w:type="auto"/>
            <w:hideMark/>
          </w:tcPr>
          <w:p w14:paraId="1574A35C" w14:textId="77777777" w:rsidR="00AA3F1A" w:rsidRPr="00AA3F1A" w:rsidRDefault="00AA3F1A" w:rsidP="00AA3F1A">
            <w:pPr>
              <w:spacing w:after="160" w:line="259" w:lineRule="auto"/>
              <w:jc w:val="left"/>
              <w:rPr>
                <w:b/>
                <w:bCs/>
              </w:rPr>
            </w:pPr>
            <w:r w:rsidRPr="00AA3F1A">
              <w:rPr>
                <w:b/>
                <w:bCs/>
              </w:rPr>
              <w:t>Weight</w:t>
            </w:r>
          </w:p>
        </w:tc>
        <w:tc>
          <w:tcPr>
            <w:tcW w:w="0" w:type="auto"/>
            <w:hideMark/>
          </w:tcPr>
          <w:p w14:paraId="36ABAD74" w14:textId="77777777" w:rsidR="00AA3F1A" w:rsidRPr="00AA3F1A" w:rsidRDefault="00AA3F1A" w:rsidP="00AA3F1A">
            <w:pPr>
              <w:spacing w:after="160" w:line="259" w:lineRule="auto"/>
              <w:jc w:val="left"/>
              <w:rPr>
                <w:b/>
                <w:bCs/>
              </w:rPr>
            </w:pPr>
            <w:r w:rsidRPr="00AA3F1A">
              <w:rPr>
                <w:b/>
                <w:bCs/>
              </w:rPr>
              <w:t>Rating (1–5)</w:t>
            </w:r>
          </w:p>
        </w:tc>
        <w:tc>
          <w:tcPr>
            <w:tcW w:w="0" w:type="auto"/>
            <w:hideMark/>
          </w:tcPr>
          <w:p w14:paraId="732A1B59" w14:textId="77777777" w:rsidR="00AA3F1A" w:rsidRPr="00AA3F1A" w:rsidRDefault="00AA3F1A" w:rsidP="00AA3F1A">
            <w:pPr>
              <w:spacing w:after="160" w:line="259" w:lineRule="auto"/>
              <w:jc w:val="left"/>
              <w:rPr>
                <w:b/>
                <w:bCs/>
              </w:rPr>
            </w:pPr>
            <w:r w:rsidRPr="00AA3F1A">
              <w:rPr>
                <w:b/>
                <w:bCs/>
              </w:rPr>
              <w:t>Weighted score</w:t>
            </w:r>
          </w:p>
        </w:tc>
        <w:tc>
          <w:tcPr>
            <w:tcW w:w="0" w:type="auto"/>
            <w:hideMark/>
          </w:tcPr>
          <w:p w14:paraId="316807DD" w14:textId="77777777" w:rsidR="00AA3F1A" w:rsidRPr="00AA3F1A" w:rsidRDefault="00AA3F1A" w:rsidP="00AA3F1A">
            <w:pPr>
              <w:spacing w:after="160" w:line="259" w:lineRule="auto"/>
              <w:jc w:val="left"/>
              <w:rPr>
                <w:b/>
                <w:bCs/>
              </w:rPr>
            </w:pPr>
            <w:r w:rsidRPr="00AA3F1A">
              <w:rPr>
                <w:b/>
                <w:bCs/>
              </w:rPr>
              <w:t>Assessment</w:t>
            </w:r>
          </w:p>
        </w:tc>
      </w:tr>
      <w:tr w:rsidR="00AA3F1A" w:rsidRPr="00AA3F1A" w14:paraId="2CAA59DC" w14:textId="77777777" w:rsidTr="00AA3F1A">
        <w:tc>
          <w:tcPr>
            <w:tcW w:w="0" w:type="auto"/>
            <w:hideMark/>
          </w:tcPr>
          <w:p w14:paraId="1D9E3D9C" w14:textId="77777777" w:rsidR="00AA3F1A" w:rsidRPr="00AA3F1A" w:rsidRDefault="00AA3F1A" w:rsidP="00AA3F1A">
            <w:pPr>
              <w:spacing w:after="160" w:line="259" w:lineRule="auto"/>
            </w:pPr>
            <w:r w:rsidRPr="00AA3F1A">
              <w:t>Market size</w:t>
            </w:r>
          </w:p>
        </w:tc>
        <w:tc>
          <w:tcPr>
            <w:tcW w:w="0" w:type="auto"/>
            <w:hideMark/>
          </w:tcPr>
          <w:p w14:paraId="5AAE5905" w14:textId="77777777" w:rsidR="00AA3F1A" w:rsidRPr="00AA3F1A" w:rsidRDefault="00AA3F1A" w:rsidP="00AA3F1A">
            <w:pPr>
              <w:spacing w:after="160" w:line="259" w:lineRule="auto"/>
            </w:pPr>
            <w:r w:rsidRPr="00AA3F1A">
              <w:t>20%</w:t>
            </w:r>
          </w:p>
        </w:tc>
        <w:tc>
          <w:tcPr>
            <w:tcW w:w="0" w:type="auto"/>
            <w:hideMark/>
          </w:tcPr>
          <w:p w14:paraId="6D99FC5D" w14:textId="77777777" w:rsidR="00AA3F1A" w:rsidRPr="00AA3F1A" w:rsidRDefault="00AA3F1A" w:rsidP="00AA3F1A">
            <w:pPr>
              <w:spacing w:after="160" w:line="259" w:lineRule="auto"/>
            </w:pPr>
            <w:r w:rsidRPr="00AA3F1A">
              <w:t>5</w:t>
            </w:r>
          </w:p>
        </w:tc>
        <w:tc>
          <w:tcPr>
            <w:tcW w:w="0" w:type="auto"/>
            <w:hideMark/>
          </w:tcPr>
          <w:p w14:paraId="47737D09" w14:textId="77777777" w:rsidR="00AA3F1A" w:rsidRPr="00AA3F1A" w:rsidRDefault="00AA3F1A" w:rsidP="00AA3F1A">
            <w:pPr>
              <w:spacing w:after="160" w:line="259" w:lineRule="auto"/>
            </w:pPr>
            <w:r w:rsidRPr="00AA3F1A">
              <w:t>1.00</w:t>
            </w:r>
          </w:p>
        </w:tc>
        <w:tc>
          <w:tcPr>
            <w:tcW w:w="0" w:type="auto"/>
            <w:hideMark/>
          </w:tcPr>
          <w:p w14:paraId="3490A8D9" w14:textId="77777777" w:rsidR="00AA3F1A" w:rsidRPr="00AA3F1A" w:rsidRDefault="00AA3F1A" w:rsidP="00AA3F1A">
            <w:pPr>
              <w:spacing w:after="160" w:line="259" w:lineRule="auto"/>
            </w:pPr>
            <w:r w:rsidRPr="00AA3F1A">
              <w:t>High</w:t>
            </w:r>
          </w:p>
        </w:tc>
      </w:tr>
      <w:tr w:rsidR="00AA3F1A" w:rsidRPr="00AA3F1A" w14:paraId="2FD4ECEE" w14:textId="77777777" w:rsidTr="00AA3F1A">
        <w:tc>
          <w:tcPr>
            <w:tcW w:w="0" w:type="auto"/>
            <w:hideMark/>
          </w:tcPr>
          <w:p w14:paraId="1E461C46" w14:textId="77777777" w:rsidR="00AA3F1A" w:rsidRPr="00AA3F1A" w:rsidRDefault="00AA3F1A" w:rsidP="00AA3F1A">
            <w:pPr>
              <w:spacing w:after="160" w:line="259" w:lineRule="auto"/>
            </w:pPr>
            <w:r w:rsidRPr="00AA3F1A">
              <w:t>Urbanisation/demographics</w:t>
            </w:r>
          </w:p>
        </w:tc>
        <w:tc>
          <w:tcPr>
            <w:tcW w:w="0" w:type="auto"/>
            <w:hideMark/>
          </w:tcPr>
          <w:p w14:paraId="02B76A9F" w14:textId="77777777" w:rsidR="00AA3F1A" w:rsidRPr="00AA3F1A" w:rsidRDefault="00AA3F1A" w:rsidP="00AA3F1A">
            <w:pPr>
              <w:spacing w:after="160" w:line="259" w:lineRule="auto"/>
            </w:pPr>
            <w:r w:rsidRPr="00AA3F1A">
              <w:t>15%</w:t>
            </w:r>
          </w:p>
        </w:tc>
        <w:tc>
          <w:tcPr>
            <w:tcW w:w="0" w:type="auto"/>
            <w:hideMark/>
          </w:tcPr>
          <w:p w14:paraId="51820A49" w14:textId="77777777" w:rsidR="00AA3F1A" w:rsidRPr="00AA3F1A" w:rsidRDefault="00AA3F1A" w:rsidP="00AA3F1A">
            <w:pPr>
              <w:spacing w:after="160" w:line="259" w:lineRule="auto"/>
            </w:pPr>
            <w:r w:rsidRPr="00AA3F1A">
              <w:t>5</w:t>
            </w:r>
          </w:p>
        </w:tc>
        <w:tc>
          <w:tcPr>
            <w:tcW w:w="0" w:type="auto"/>
            <w:hideMark/>
          </w:tcPr>
          <w:p w14:paraId="04D17907" w14:textId="77777777" w:rsidR="00AA3F1A" w:rsidRPr="00AA3F1A" w:rsidRDefault="00AA3F1A" w:rsidP="00AA3F1A">
            <w:pPr>
              <w:spacing w:after="160" w:line="259" w:lineRule="auto"/>
            </w:pPr>
            <w:r w:rsidRPr="00AA3F1A">
              <w:t>0.75</w:t>
            </w:r>
          </w:p>
        </w:tc>
        <w:tc>
          <w:tcPr>
            <w:tcW w:w="0" w:type="auto"/>
            <w:hideMark/>
          </w:tcPr>
          <w:p w14:paraId="731CB83D" w14:textId="77777777" w:rsidR="00AA3F1A" w:rsidRPr="00AA3F1A" w:rsidRDefault="00AA3F1A" w:rsidP="00AA3F1A">
            <w:pPr>
              <w:spacing w:after="160" w:line="259" w:lineRule="auto"/>
            </w:pPr>
            <w:r w:rsidRPr="00AA3F1A">
              <w:t>High</w:t>
            </w:r>
          </w:p>
        </w:tc>
      </w:tr>
      <w:tr w:rsidR="00AA3F1A" w:rsidRPr="00AA3F1A" w14:paraId="5CD7C7A9" w14:textId="77777777" w:rsidTr="00AA3F1A">
        <w:tc>
          <w:tcPr>
            <w:tcW w:w="0" w:type="auto"/>
            <w:hideMark/>
          </w:tcPr>
          <w:p w14:paraId="1692282D" w14:textId="77777777" w:rsidR="00AA3F1A" w:rsidRPr="00AA3F1A" w:rsidRDefault="00AA3F1A" w:rsidP="00AA3F1A">
            <w:pPr>
              <w:spacing w:after="160" w:line="259" w:lineRule="auto"/>
            </w:pPr>
            <w:r w:rsidRPr="00AA3F1A">
              <w:t>Purchasing power</w:t>
            </w:r>
          </w:p>
        </w:tc>
        <w:tc>
          <w:tcPr>
            <w:tcW w:w="0" w:type="auto"/>
            <w:hideMark/>
          </w:tcPr>
          <w:p w14:paraId="001C054B" w14:textId="77777777" w:rsidR="00AA3F1A" w:rsidRPr="00AA3F1A" w:rsidRDefault="00AA3F1A" w:rsidP="00AA3F1A">
            <w:pPr>
              <w:spacing w:after="160" w:line="259" w:lineRule="auto"/>
            </w:pPr>
            <w:r w:rsidRPr="00AA3F1A">
              <w:t>15%</w:t>
            </w:r>
          </w:p>
        </w:tc>
        <w:tc>
          <w:tcPr>
            <w:tcW w:w="0" w:type="auto"/>
            <w:hideMark/>
          </w:tcPr>
          <w:p w14:paraId="4E03B189" w14:textId="77777777" w:rsidR="00AA3F1A" w:rsidRPr="00AA3F1A" w:rsidRDefault="00AA3F1A" w:rsidP="00AA3F1A">
            <w:pPr>
              <w:spacing w:after="160" w:line="259" w:lineRule="auto"/>
            </w:pPr>
            <w:r w:rsidRPr="00AA3F1A">
              <w:t>3</w:t>
            </w:r>
          </w:p>
        </w:tc>
        <w:tc>
          <w:tcPr>
            <w:tcW w:w="0" w:type="auto"/>
            <w:hideMark/>
          </w:tcPr>
          <w:p w14:paraId="7EBEC3D0" w14:textId="77777777" w:rsidR="00AA3F1A" w:rsidRPr="00AA3F1A" w:rsidRDefault="00AA3F1A" w:rsidP="00AA3F1A">
            <w:pPr>
              <w:spacing w:after="160" w:line="259" w:lineRule="auto"/>
            </w:pPr>
            <w:r w:rsidRPr="00AA3F1A">
              <w:t>0.45</w:t>
            </w:r>
          </w:p>
        </w:tc>
        <w:tc>
          <w:tcPr>
            <w:tcW w:w="0" w:type="auto"/>
            <w:hideMark/>
          </w:tcPr>
          <w:p w14:paraId="776AF221" w14:textId="77777777" w:rsidR="00AA3F1A" w:rsidRPr="00AA3F1A" w:rsidRDefault="00AA3F1A" w:rsidP="00AA3F1A">
            <w:pPr>
              <w:spacing w:after="160" w:line="259" w:lineRule="auto"/>
            </w:pPr>
            <w:r w:rsidRPr="00AA3F1A">
              <w:t>Moderate</w:t>
            </w:r>
          </w:p>
        </w:tc>
      </w:tr>
      <w:tr w:rsidR="00AA3F1A" w:rsidRPr="00AA3F1A" w14:paraId="1D7AB15C" w14:textId="77777777" w:rsidTr="00AA3F1A">
        <w:tc>
          <w:tcPr>
            <w:tcW w:w="0" w:type="auto"/>
            <w:hideMark/>
          </w:tcPr>
          <w:p w14:paraId="5D1378FB" w14:textId="77777777" w:rsidR="00AA3F1A" w:rsidRPr="00AA3F1A" w:rsidRDefault="00AA3F1A" w:rsidP="00AA3F1A">
            <w:pPr>
              <w:spacing w:after="160" w:line="259" w:lineRule="auto"/>
            </w:pPr>
            <w:r w:rsidRPr="00AA3F1A">
              <w:t>Economic stability</w:t>
            </w:r>
          </w:p>
        </w:tc>
        <w:tc>
          <w:tcPr>
            <w:tcW w:w="0" w:type="auto"/>
            <w:hideMark/>
          </w:tcPr>
          <w:p w14:paraId="4F15262D" w14:textId="77777777" w:rsidR="00AA3F1A" w:rsidRPr="00AA3F1A" w:rsidRDefault="00AA3F1A" w:rsidP="00AA3F1A">
            <w:pPr>
              <w:spacing w:after="160" w:line="259" w:lineRule="auto"/>
            </w:pPr>
            <w:r w:rsidRPr="00AA3F1A">
              <w:t>15%</w:t>
            </w:r>
          </w:p>
        </w:tc>
        <w:tc>
          <w:tcPr>
            <w:tcW w:w="0" w:type="auto"/>
            <w:hideMark/>
          </w:tcPr>
          <w:p w14:paraId="796662E3" w14:textId="77777777" w:rsidR="00AA3F1A" w:rsidRPr="00AA3F1A" w:rsidRDefault="00AA3F1A" w:rsidP="00AA3F1A">
            <w:pPr>
              <w:spacing w:after="160" w:line="259" w:lineRule="auto"/>
            </w:pPr>
            <w:r w:rsidRPr="00AA3F1A">
              <w:t>3</w:t>
            </w:r>
          </w:p>
        </w:tc>
        <w:tc>
          <w:tcPr>
            <w:tcW w:w="0" w:type="auto"/>
            <w:hideMark/>
          </w:tcPr>
          <w:p w14:paraId="67EC96CC" w14:textId="77777777" w:rsidR="00AA3F1A" w:rsidRPr="00AA3F1A" w:rsidRDefault="00AA3F1A" w:rsidP="00AA3F1A">
            <w:pPr>
              <w:spacing w:after="160" w:line="259" w:lineRule="auto"/>
            </w:pPr>
            <w:r w:rsidRPr="00AA3F1A">
              <w:t>0.45</w:t>
            </w:r>
          </w:p>
        </w:tc>
        <w:tc>
          <w:tcPr>
            <w:tcW w:w="0" w:type="auto"/>
            <w:hideMark/>
          </w:tcPr>
          <w:p w14:paraId="7A620585" w14:textId="77777777" w:rsidR="00AA3F1A" w:rsidRPr="00AA3F1A" w:rsidRDefault="00AA3F1A" w:rsidP="00AA3F1A">
            <w:pPr>
              <w:spacing w:after="160" w:line="259" w:lineRule="auto"/>
            </w:pPr>
            <w:r w:rsidRPr="00AA3F1A">
              <w:t>Moderate</w:t>
            </w:r>
          </w:p>
        </w:tc>
      </w:tr>
      <w:tr w:rsidR="00AA3F1A" w:rsidRPr="00AA3F1A" w14:paraId="76FF74DA" w14:textId="77777777" w:rsidTr="00AA3F1A">
        <w:tc>
          <w:tcPr>
            <w:tcW w:w="0" w:type="auto"/>
            <w:hideMark/>
          </w:tcPr>
          <w:p w14:paraId="06F2DB96" w14:textId="77777777" w:rsidR="00AA3F1A" w:rsidRPr="00AA3F1A" w:rsidRDefault="00AA3F1A" w:rsidP="00AA3F1A">
            <w:pPr>
              <w:spacing w:after="160" w:line="259" w:lineRule="auto"/>
            </w:pPr>
            <w:r w:rsidRPr="00AA3F1A">
              <w:t>Housing/consumer demand</w:t>
            </w:r>
          </w:p>
        </w:tc>
        <w:tc>
          <w:tcPr>
            <w:tcW w:w="0" w:type="auto"/>
            <w:hideMark/>
          </w:tcPr>
          <w:p w14:paraId="2DDEAFB5" w14:textId="77777777" w:rsidR="00AA3F1A" w:rsidRPr="00AA3F1A" w:rsidRDefault="00AA3F1A" w:rsidP="00AA3F1A">
            <w:pPr>
              <w:spacing w:after="160" w:line="259" w:lineRule="auto"/>
            </w:pPr>
            <w:r w:rsidRPr="00AA3F1A">
              <w:t>10%</w:t>
            </w:r>
          </w:p>
        </w:tc>
        <w:tc>
          <w:tcPr>
            <w:tcW w:w="0" w:type="auto"/>
            <w:hideMark/>
          </w:tcPr>
          <w:p w14:paraId="53077EA8" w14:textId="77777777" w:rsidR="00AA3F1A" w:rsidRPr="00AA3F1A" w:rsidRDefault="00AA3F1A" w:rsidP="00AA3F1A">
            <w:pPr>
              <w:spacing w:after="160" w:line="259" w:lineRule="auto"/>
            </w:pPr>
            <w:r w:rsidRPr="00AA3F1A">
              <w:t>5</w:t>
            </w:r>
          </w:p>
        </w:tc>
        <w:tc>
          <w:tcPr>
            <w:tcW w:w="0" w:type="auto"/>
            <w:hideMark/>
          </w:tcPr>
          <w:p w14:paraId="6192CCF2" w14:textId="77777777" w:rsidR="00AA3F1A" w:rsidRPr="00AA3F1A" w:rsidRDefault="00AA3F1A" w:rsidP="00AA3F1A">
            <w:pPr>
              <w:spacing w:after="160" w:line="259" w:lineRule="auto"/>
            </w:pPr>
            <w:r w:rsidRPr="00AA3F1A">
              <w:t>0.50</w:t>
            </w:r>
          </w:p>
        </w:tc>
        <w:tc>
          <w:tcPr>
            <w:tcW w:w="0" w:type="auto"/>
            <w:hideMark/>
          </w:tcPr>
          <w:p w14:paraId="57CD388E" w14:textId="77777777" w:rsidR="00AA3F1A" w:rsidRPr="00AA3F1A" w:rsidRDefault="00AA3F1A" w:rsidP="00AA3F1A">
            <w:pPr>
              <w:spacing w:after="160" w:line="259" w:lineRule="auto"/>
            </w:pPr>
            <w:r w:rsidRPr="00AA3F1A">
              <w:t>High</w:t>
            </w:r>
          </w:p>
        </w:tc>
      </w:tr>
      <w:tr w:rsidR="00AA3F1A" w:rsidRPr="00AA3F1A" w14:paraId="01BE81D7" w14:textId="77777777" w:rsidTr="00AA3F1A">
        <w:tc>
          <w:tcPr>
            <w:tcW w:w="0" w:type="auto"/>
            <w:hideMark/>
          </w:tcPr>
          <w:p w14:paraId="4132C429" w14:textId="77777777" w:rsidR="00AA3F1A" w:rsidRPr="00AA3F1A" w:rsidRDefault="00AA3F1A" w:rsidP="00AA3F1A">
            <w:pPr>
              <w:spacing w:after="160" w:line="259" w:lineRule="auto"/>
            </w:pPr>
            <w:r w:rsidRPr="00AA3F1A">
              <w:t>Regulation</w:t>
            </w:r>
          </w:p>
        </w:tc>
        <w:tc>
          <w:tcPr>
            <w:tcW w:w="0" w:type="auto"/>
            <w:hideMark/>
          </w:tcPr>
          <w:p w14:paraId="539C2133" w14:textId="77777777" w:rsidR="00AA3F1A" w:rsidRPr="00AA3F1A" w:rsidRDefault="00AA3F1A" w:rsidP="00AA3F1A">
            <w:pPr>
              <w:spacing w:after="160" w:line="259" w:lineRule="auto"/>
            </w:pPr>
            <w:r w:rsidRPr="00AA3F1A">
              <w:t>10%</w:t>
            </w:r>
          </w:p>
        </w:tc>
        <w:tc>
          <w:tcPr>
            <w:tcW w:w="0" w:type="auto"/>
            <w:hideMark/>
          </w:tcPr>
          <w:p w14:paraId="27B2863C" w14:textId="77777777" w:rsidR="00AA3F1A" w:rsidRPr="00AA3F1A" w:rsidRDefault="00AA3F1A" w:rsidP="00AA3F1A">
            <w:pPr>
              <w:spacing w:after="160" w:line="259" w:lineRule="auto"/>
            </w:pPr>
            <w:r w:rsidRPr="00AA3F1A">
              <w:t>3</w:t>
            </w:r>
          </w:p>
        </w:tc>
        <w:tc>
          <w:tcPr>
            <w:tcW w:w="0" w:type="auto"/>
            <w:hideMark/>
          </w:tcPr>
          <w:p w14:paraId="06D46412" w14:textId="77777777" w:rsidR="00AA3F1A" w:rsidRPr="00AA3F1A" w:rsidRDefault="00AA3F1A" w:rsidP="00AA3F1A">
            <w:pPr>
              <w:spacing w:after="160" w:line="259" w:lineRule="auto"/>
            </w:pPr>
            <w:r w:rsidRPr="00AA3F1A">
              <w:t>0.30</w:t>
            </w:r>
          </w:p>
        </w:tc>
        <w:tc>
          <w:tcPr>
            <w:tcW w:w="0" w:type="auto"/>
            <w:hideMark/>
          </w:tcPr>
          <w:p w14:paraId="1D0FC9D4" w14:textId="77777777" w:rsidR="00AA3F1A" w:rsidRPr="00AA3F1A" w:rsidRDefault="00AA3F1A" w:rsidP="00AA3F1A">
            <w:pPr>
              <w:spacing w:after="160" w:line="259" w:lineRule="auto"/>
            </w:pPr>
            <w:r w:rsidRPr="00AA3F1A">
              <w:t>Moderate</w:t>
            </w:r>
          </w:p>
        </w:tc>
      </w:tr>
      <w:tr w:rsidR="00AA3F1A" w:rsidRPr="00AA3F1A" w14:paraId="154D6F1A" w14:textId="77777777" w:rsidTr="00AA3F1A">
        <w:tc>
          <w:tcPr>
            <w:tcW w:w="0" w:type="auto"/>
            <w:hideMark/>
          </w:tcPr>
          <w:p w14:paraId="0487D4F3" w14:textId="77777777" w:rsidR="00AA3F1A" w:rsidRPr="00AA3F1A" w:rsidRDefault="00AA3F1A" w:rsidP="00AA3F1A">
            <w:pPr>
              <w:spacing w:after="160" w:line="259" w:lineRule="auto"/>
            </w:pPr>
            <w:r w:rsidRPr="00AA3F1A">
              <w:t>Infrastructure/logistics</w:t>
            </w:r>
          </w:p>
        </w:tc>
        <w:tc>
          <w:tcPr>
            <w:tcW w:w="0" w:type="auto"/>
            <w:hideMark/>
          </w:tcPr>
          <w:p w14:paraId="6A011876" w14:textId="77777777" w:rsidR="00AA3F1A" w:rsidRPr="00AA3F1A" w:rsidRDefault="00AA3F1A" w:rsidP="00AA3F1A">
            <w:pPr>
              <w:spacing w:after="160" w:line="259" w:lineRule="auto"/>
            </w:pPr>
            <w:r w:rsidRPr="00AA3F1A">
              <w:t>10%</w:t>
            </w:r>
          </w:p>
        </w:tc>
        <w:tc>
          <w:tcPr>
            <w:tcW w:w="0" w:type="auto"/>
            <w:hideMark/>
          </w:tcPr>
          <w:p w14:paraId="471461D1" w14:textId="77777777" w:rsidR="00AA3F1A" w:rsidRPr="00AA3F1A" w:rsidRDefault="00AA3F1A" w:rsidP="00AA3F1A">
            <w:pPr>
              <w:spacing w:after="160" w:line="259" w:lineRule="auto"/>
            </w:pPr>
            <w:r w:rsidRPr="00AA3F1A">
              <w:t>3</w:t>
            </w:r>
          </w:p>
        </w:tc>
        <w:tc>
          <w:tcPr>
            <w:tcW w:w="0" w:type="auto"/>
            <w:hideMark/>
          </w:tcPr>
          <w:p w14:paraId="73F95C40" w14:textId="77777777" w:rsidR="00AA3F1A" w:rsidRPr="00AA3F1A" w:rsidRDefault="00AA3F1A" w:rsidP="00AA3F1A">
            <w:pPr>
              <w:spacing w:after="160" w:line="259" w:lineRule="auto"/>
            </w:pPr>
            <w:r w:rsidRPr="00AA3F1A">
              <w:t>0.30</w:t>
            </w:r>
          </w:p>
        </w:tc>
        <w:tc>
          <w:tcPr>
            <w:tcW w:w="0" w:type="auto"/>
            <w:hideMark/>
          </w:tcPr>
          <w:p w14:paraId="4054EE79" w14:textId="77777777" w:rsidR="00AA3F1A" w:rsidRPr="00AA3F1A" w:rsidRDefault="00AA3F1A" w:rsidP="00AA3F1A">
            <w:pPr>
              <w:spacing w:after="160" w:line="259" w:lineRule="auto"/>
            </w:pPr>
            <w:r w:rsidRPr="00AA3F1A">
              <w:t>Moderate</w:t>
            </w:r>
          </w:p>
        </w:tc>
      </w:tr>
      <w:tr w:rsidR="00AA3F1A" w:rsidRPr="00AA3F1A" w14:paraId="0CE9DFC3" w14:textId="77777777" w:rsidTr="00AA3F1A">
        <w:tc>
          <w:tcPr>
            <w:tcW w:w="0" w:type="auto"/>
            <w:hideMark/>
          </w:tcPr>
          <w:p w14:paraId="56ABF570" w14:textId="77777777" w:rsidR="00AA3F1A" w:rsidRPr="00AA3F1A" w:rsidRDefault="00AA3F1A" w:rsidP="00AA3F1A">
            <w:pPr>
              <w:spacing w:after="160" w:line="259" w:lineRule="auto"/>
            </w:pPr>
            <w:r w:rsidRPr="00AA3F1A">
              <w:t>Competition</w:t>
            </w:r>
          </w:p>
        </w:tc>
        <w:tc>
          <w:tcPr>
            <w:tcW w:w="0" w:type="auto"/>
            <w:hideMark/>
          </w:tcPr>
          <w:p w14:paraId="1DF39DFC" w14:textId="77777777" w:rsidR="00AA3F1A" w:rsidRPr="00AA3F1A" w:rsidRDefault="00AA3F1A" w:rsidP="00AA3F1A">
            <w:pPr>
              <w:spacing w:after="160" w:line="259" w:lineRule="auto"/>
            </w:pPr>
            <w:r w:rsidRPr="00AA3F1A">
              <w:t>5%</w:t>
            </w:r>
          </w:p>
        </w:tc>
        <w:tc>
          <w:tcPr>
            <w:tcW w:w="0" w:type="auto"/>
            <w:hideMark/>
          </w:tcPr>
          <w:p w14:paraId="26008D49" w14:textId="77777777" w:rsidR="00AA3F1A" w:rsidRPr="00AA3F1A" w:rsidRDefault="00AA3F1A" w:rsidP="00AA3F1A">
            <w:pPr>
              <w:spacing w:after="160" w:line="259" w:lineRule="auto"/>
            </w:pPr>
            <w:r w:rsidRPr="00AA3F1A">
              <w:t>3</w:t>
            </w:r>
          </w:p>
        </w:tc>
        <w:tc>
          <w:tcPr>
            <w:tcW w:w="0" w:type="auto"/>
            <w:hideMark/>
          </w:tcPr>
          <w:p w14:paraId="7E3900F5" w14:textId="77777777" w:rsidR="00AA3F1A" w:rsidRPr="00AA3F1A" w:rsidRDefault="00AA3F1A" w:rsidP="00AA3F1A">
            <w:pPr>
              <w:spacing w:after="160" w:line="259" w:lineRule="auto"/>
            </w:pPr>
            <w:r w:rsidRPr="00AA3F1A">
              <w:t>0.15</w:t>
            </w:r>
          </w:p>
        </w:tc>
        <w:tc>
          <w:tcPr>
            <w:tcW w:w="0" w:type="auto"/>
            <w:hideMark/>
          </w:tcPr>
          <w:p w14:paraId="6BE6B63B" w14:textId="77777777" w:rsidR="00AA3F1A" w:rsidRPr="00AA3F1A" w:rsidRDefault="00AA3F1A" w:rsidP="00AA3F1A">
            <w:pPr>
              <w:spacing w:after="160" w:line="259" w:lineRule="auto"/>
            </w:pPr>
            <w:r w:rsidRPr="00AA3F1A">
              <w:t>Moderate</w:t>
            </w:r>
          </w:p>
        </w:tc>
      </w:tr>
      <w:tr w:rsidR="00AA3F1A" w:rsidRPr="00AA3F1A" w14:paraId="2B1B8767" w14:textId="77777777" w:rsidTr="00AA3F1A">
        <w:tc>
          <w:tcPr>
            <w:tcW w:w="0" w:type="auto"/>
            <w:hideMark/>
          </w:tcPr>
          <w:p w14:paraId="0339E5BB" w14:textId="77777777" w:rsidR="00AA3F1A" w:rsidRPr="00AA3F1A" w:rsidRDefault="00AA3F1A" w:rsidP="00AA3F1A">
            <w:pPr>
              <w:spacing w:after="160" w:line="259" w:lineRule="auto"/>
            </w:pPr>
            <w:r w:rsidRPr="00AA3F1A">
              <w:rPr>
                <w:b/>
                <w:bCs/>
              </w:rPr>
              <w:t>Total</w:t>
            </w:r>
          </w:p>
        </w:tc>
        <w:tc>
          <w:tcPr>
            <w:tcW w:w="0" w:type="auto"/>
            <w:hideMark/>
          </w:tcPr>
          <w:p w14:paraId="5F2ED8A6" w14:textId="77777777" w:rsidR="00AA3F1A" w:rsidRPr="00AA3F1A" w:rsidRDefault="00AA3F1A" w:rsidP="00AA3F1A">
            <w:pPr>
              <w:spacing w:after="160" w:line="259" w:lineRule="auto"/>
            </w:pPr>
            <w:r w:rsidRPr="00AA3F1A">
              <w:rPr>
                <w:b/>
                <w:bCs/>
              </w:rPr>
              <w:t>100%</w:t>
            </w:r>
          </w:p>
        </w:tc>
        <w:tc>
          <w:tcPr>
            <w:tcW w:w="0" w:type="auto"/>
            <w:hideMark/>
          </w:tcPr>
          <w:p w14:paraId="233A4E79" w14:textId="77777777" w:rsidR="00AA3F1A" w:rsidRPr="00AA3F1A" w:rsidRDefault="00AA3F1A" w:rsidP="00AA3F1A">
            <w:pPr>
              <w:spacing w:after="160" w:line="259" w:lineRule="auto"/>
            </w:pPr>
            <w:r w:rsidRPr="00AA3F1A">
              <w:t>—</w:t>
            </w:r>
          </w:p>
        </w:tc>
        <w:tc>
          <w:tcPr>
            <w:tcW w:w="0" w:type="auto"/>
            <w:hideMark/>
          </w:tcPr>
          <w:p w14:paraId="0EE12D3C" w14:textId="77777777" w:rsidR="00AA3F1A" w:rsidRPr="00AA3F1A" w:rsidRDefault="00AA3F1A" w:rsidP="00AA3F1A">
            <w:pPr>
              <w:spacing w:after="160" w:line="259" w:lineRule="auto"/>
            </w:pPr>
            <w:r w:rsidRPr="00AA3F1A">
              <w:rPr>
                <w:b/>
                <w:bCs/>
              </w:rPr>
              <w:t>3.90/5.00</w:t>
            </w:r>
          </w:p>
        </w:tc>
        <w:tc>
          <w:tcPr>
            <w:tcW w:w="0" w:type="auto"/>
            <w:hideMark/>
          </w:tcPr>
          <w:p w14:paraId="6F910FE4" w14:textId="77777777" w:rsidR="00AA3F1A" w:rsidRPr="00AA3F1A" w:rsidRDefault="00AA3F1A" w:rsidP="00AA3F1A">
            <w:pPr>
              <w:spacing w:after="160" w:line="259" w:lineRule="auto"/>
            </w:pPr>
            <w:r w:rsidRPr="00AA3F1A">
              <w:rPr>
                <w:b/>
                <w:bCs/>
              </w:rPr>
              <w:t>Moderately attractive</w:t>
            </w:r>
          </w:p>
        </w:tc>
      </w:tr>
    </w:tbl>
    <w:p w14:paraId="404A7099" w14:textId="77777777" w:rsidR="00AA3F1A" w:rsidRDefault="00AA3F1A" w:rsidP="003A19C6"/>
    <w:p w14:paraId="00606034" w14:textId="77777777" w:rsidR="00A42F3F" w:rsidRDefault="00A42F3F" w:rsidP="00A42F3F">
      <w:pPr>
        <w:keepNext/>
        <w:jc w:val="center"/>
      </w:pPr>
      <w:r>
        <w:lastRenderedPageBreak/>
        <w:drawing>
          <wp:inline distT="0" distB="0" distL="0" distR="0" wp14:anchorId="0E18F749" wp14:editId="4B464C0D">
            <wp:extent cx="3160861" cy="2912533"/>
            <wp:effectExtent l="0" t="0" r="1905" b="2540"/>
            <wp:docPr id="1148864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86464" name="Picture 114886464"/>
                    <pic:cNvPicPr/>
                  </pic:nvPicPr>
                  <pic:blipFill rotWithShape="1">
                    <a:blip r:embed="rId13">
                      <a:extLst>
                        <a:ext uri="{28A0092B-C50C-407E-A947-70E740481C1C}">
                          <a14:useLocalDpi xmlns:a14="http://schemas.microsoft.com/office/drawing/2010/main" val="0"/>
                        </a:ext>
                      </a:extLst>
                    </a:blip>
                    <a:srcRect t="4646"/>
                    <a:stretch>
                      <a:fillRect/>
                    </a:stretch>
                  </pic:blipFill>
                  <pic:spPr bwMode="auto">
                    <a:xfrm>
                      <a:off x="0" y="0"/>
                      <a:ext cx="3161302" cy="2912940"/>
                    </a:xfrm>
                    <a:prstGeom prst="rect">
                      <a:avLst/>
                    </a:prstGeom>
                    <a:ln>
                      <a:noFill/>
                    </a:ln>
                    <a:extLst>
                      <a:ext uri="{53640926-AAD7-44D8-BBD7-CCE9431645EC}">
                        <a14:shadowObscured xmlns:a14="http://schemas.microsoft.com/office/drawing/2010/main"/>
                      </a:ext>
                    </a:extLst>
                  </pic:spPr>
                </pic:pic>
              </a:graphicData>
            </a:graphic>
          </wp:inline>
        </w:drawing>
      </w:r>
    </w:p>
    <w:p w14:paraId="6D165AFF" w14:textId="77777777" w:rsidR="003A19C6" w:rsidRDefault="003A19C6" w:rsidP="003A19C6"/>
    <w:p w14:paraId="0DADCA32" w14:textId="77777777" w:rsidR="003A19C6" w:rsidRDefault="003A19C6" w:rsidP="00AA3F1A">
      <w:pPr>
        <w:pStyle w:val="Heading2"/>
      </w:pPr>
      <w:bookmarkStart w:id="11" w:name="_Toc237201122"/>
      <w:r>
        <w:t>3.6 Dunning's OLI Framework</w:t>
      </w:r>
      <w:bookmarkEnd w:id="11"/>
      <w:r>
        <w:t xml:space="preserve"> </w:t>
      </w:r>
    </w:p>
    <w:p w14:paraId="5F32A6D2" w14:textId="77777777" w:rsidR="003A19C6" w:rsidRDefault="003A19C6" w:rsidP="003A19C6">
      <w:r>
        <w:t>Dunning's OLI paradigm implies that IKEA has very strong Ownership advantages: the IKEA brand, their proprietary designs, store knowledge, their buying power, their supply chain, and the IKEA concept. These can be transferred across markets but only as long as they are affordable.</w:t>
      </w:r>
    </w:p>
    <w:p w14:paraId="3536AB25" w14:textId="77777777" w:rsidR="003A19C6" w:rsidRDefault="003A19C6" w:rsidP="003A19C6">
      <w:r>
        <w:t>The Location advantages that Kenya has are population scale, urbanization, housing shortage, expansion in construction, and location in East Africa (KNBS, 2026a; World Bank, 2022). These benefits are balanced by such factors as unequal purchasing power, inflation, import taxes, transportation, and currency risk. The case for the location is thus a positive but non-binding one.</w:t>
      </w:r>
    </w:p>
    <w:p w14:paraId="0D5070A7" w14:textId="77777777" w:rsidR="003A19C6" w:rsidRDefault="003A19C6" w:rsidP="003A19C6">
      <w:r>
        <w:t>The rationale for internalisation is when IKEA needs control of the brand, product, customer experience, pricing logic, and proprietary knowledge of the products. Completing all market activities would, however, introduce increased local uncertainty. The IKEA Concept might be implemented in a partnership or franchise model and also gain local distribution, regulatory and consumer knowledge.</w:t>
      </w:r>
    </w:p>
    <w:p w14:paraId="61FE71B6" w14:textId="77777777" w:rsidR="003A19C6" w:rsidRDefault="003A19C6" w:rsidP="003A19C6">
      <w:r>
        <w:t>An issue with the sequencing is also identified through the OLI assessment. The stronger the ownership advantage, the more IKEA maintains standardisation, while location advantages will only be realised if affordability and distribution issues are overcome locally. Internalisation should thus be targeted. IKEA needs to be involved in brand governance, design integrity and customer experience while local operators can be involved in the warehouse, delivery and market development. This helps minimise resource usage commitments, but maintains capabilities that provide differentiation. Therefore the strategic fit is more about transfer of the IKEA system to be controlled, not just a replication of a foreign-market format. Overall, OLI is entry with a low commitment. This facilitates a gradual entry in partnership and limited initial funding.</w:t>
      </w:r>
    </w:p>
    <w:p w14:paraId="24A7F89C" w14:textId="77777777" w:rsidR="00A42F3F" w:rsidRDefault="00A42F3F" w:rsidP="00A42F3F">
      <w:pPr>
        <w:keepNext/>
        <w:jc w:val="center"/>
      </w:pPr>
      <w:r>
        <w:lastRenderedPageBreak/>
        <w:drawing>
          <wp:inline distT="0" distB="0" distL="0" distR="0" wp14:anchorId="22208560" wp14:editId="154953FD">
            <wp:extent cx="4106333" cy="3232882"/>
            <wp:effectExtent l="0" t="0" r="8890" b="5715"/>
            <wp:docPr id="13930820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082026" name="Picture 1393082026"/>
                    <pic:cNvPicPr/>
                  </pic:nvPicPr>
                  <pic:blipFill rotWithShape="1">
                    <a:blip r:embed="rId14">
                      <a:extLst>
                        <a:ext uri="{28A0092B-C50C-407E-A947-70E740481C1C}">
                          <a14:useLocalDpi xmlns:a14="http://schemas.microsoft.com/office/drawing/2010/main" val="0"/>
                        </a:ext>
                      </a:extLst>
                    </a:blip>
                    <a:srcRect t="7060"/>
                    <a:stretch>
                      <a:fillRect/>
                    </a:stretch>
                  </pic:blipFill>
                  <pic:spPr bwMode="auto">
                    <a:xfrm>
                      <a:off x="0" y="0"/>
                      <a:ext cx="4107614" cy="3233891"/>
                    </a:xfrm>
                    <a:prstGeom prst="rect">
                      <a:avLst/>
                    </a:prstGeom>
                    <a:ln>
                      <a:noFill/>
                    </a:ln>
                    <a:extLst>
                      <a:ext uri="{53640926-AAD7-44D8-BBD7-CCE9431645EC}">
                        <a14:shadowObscured xmlns:a14="http://schemas.microsoft.com/office/drawing/2010/main"/>
                      </a:ext>
                    </a:extLst>
                  </pic:spPr>
                </pic:pic>
              </a:graphicData>
            </a:graphic>
          </wp:inline>
        </w:drawing>
      </w:r>
    </w:p>
    <w:p w14:paraId="795D320C" w14:textId="136F3CD0" w:rsidR="003A19C6" w:rsidRDefault="00E33E0B" w:rsidP="00A42F3F">
      <w:pPr>
        <w:pStyle w:val="Caption"/>
        <w:jc w:val="center"/>
      </w:pPr>
      <w:r>
        <w:t>]</w:t>
      </w:r>
    </w:p>
    <w:p w14:paraId="491D3D59" w14:textId="77777777" w:rsidR="00A42F3F" w:rsidRDefault="00A42F3F" w:rsidP="003A19C6"/>
    <w:p w14:paraId="0755FBE3" w14:textId="77777777" w:rsidR="003A19C6" w:rsidRDefault="003A19C6" w:rsidP="00AA3F1A">
      <w:pPr>
        <w:pStyle w:val="Heading1"/>
      </w:pPr>
      <w:bookmarkStart w:id="12" w:name="_Toc237201123"/>
      <w:r>
        <w:t>4. Entry Mode Strategy and Strategic Synthesis</w:t>
      </w:r>
      <w:bookmarkEnd w:id="12"/>
      <w:r>
        <w:t xml:space="preserve"> </w:t>
      </w:r>
    </w:p>
    <w:p w14:paraId="08ACDAF5" w14:textId="77777777" w:rsidR="003A19C6" w:rsidRDefault="003A19C6" w:rsidP="00AA3F1A">
      <w:pPr>
        <w:pStyle w:val="Heading2"/>
      </w:pPr>
      <w:bookmarkStart w:id="13" w:name="_Toc237201124"/>
      <w:r>
        <w:t>4.1 Historical Entry Modes</w:t>
      </w:r>
      <w:bookmarkEnd w:id="13"/>
      <w:r>
        <w:t xml:space="preserve"> </w:t>
      </w:r>
    </w:p>
    <w:p w14:paraId="6A5891EA" w14:textId="77777777" w:rsidR="003A19C6" w:rsidRDefault="003A19C6" w:rsidP="003A19C6">
      <w:r>
        <w:t xml:space="preserve">The IKEA internationalization is structurally unique with the dominance of the retail entry mode franchising instead of holding a portfolio of wholly owned subsidiaries. IKEA is the franchisor of IKEA Concept; franchisees are granted rights to sell the IKEA Concept within permissioned territories (IKEA, 2025a). Each franchisee pays a 3 per cent of net sales annual fee, and provides its local market knowledge, while Inter IKEA keeps control of the concept, range and architecture of the brand (IKEA, 2025a). Such a setup eases the initial costs of going international and allows local entrepreneurial skills while keeping to the international standards. The model was found to be adaptable with evidence from Morocco; there was a lot of home visiting and customization of the service delivery since customers in Morocco were less likely to want to assemble themselves (IKEA, 2025b). In the past IKEA has therefore strived to combine sharing of resources with local responsiveness and a high level of conceptual control. The model is strategically scalable due to franchisees taking on significant market level operating functions with IKEA reaping fees and increased sales and economies of scale. </w:t>
      </w:r>
    </w:p>
    <w:p w14:paraId="301B589E" w14:textId="77777777" w:rsidR="00AA3F1A" w:rsidRDefault="00AA3F1A" w:rsidP="003A19C6"/>
    <w:p w14:paraId="62E29E97" w14:textId="77777777" w:rsidR="003A19C6" w:rsidRDefault="003A19C6" w:rsidP="00AA3F1A">
      <w:pPr>
        <w:pStyle w:val="Heading2"/>
      </w:pPr>
      <w:bookmarkStart w:id="14" w:name="_Toc237201125"/>
      <w:r>
        <w:t>4.2 Historical Mode versus Kenya</w:t>
      </w:r>
      <w:bookmarkEnd w:id="14"/>
      <w:r>
        <w:t xml:space="preserve"> </w:t>
      </w:r>
    </w:p>
    <w:p w14:paraId="2AEAE5DE" w14:textId="77777777" w:rsidR="003A19C6" w:rsidRDefault="003A19C6" w:rsidP="003A19C6">
      <w:r>
        <w:t xml:space="preserve">The market is relevant to the franchise model in Kenya because it has uncertainties in terms of information, infrastructure and affordability, as discussed in the PELC analysis. A knowledgeable franchisee may bring in expertise of Kenyan consumers’ </w:t>
      </w:r>
      <w:r>
        <w:lastRenderedPageBreak/>
        <w:t>tastes, property, regulatory, distribution and service requirements, thereby mitigating foreignness risks. But in Kenya, a control dilemma is also created. Relying too heavily on a partner can reduce consistency or increase costs for IKEA, which is based on effective sourcing, inventory management and customer experience. Therefore, it would be inadequate to copy the historical model. The franchise model should stay but with improved governance, governance performance and supply chain management and market testing regulations at the start of the franchise. This will allow flexibility while reducing reputational and operational risk.</w:t>
      </w:r>
    </w:p>
    <w:p w14:paraId="1AD5408A" w14:textId="77777777" w:rsidR="00AA3F1A" w:rsidRDefault="00AA3F1A" w:rsidP="003A19C6"/>
    <w:p w14:paraId="1081356A" w14:textId="6AF02C02" w:rsidR="003A19C6" w:rsidRDefault="003A19C6" w:rsidP="00AA3F1A">
      <w:pPr>
        <w:pStyle w:val="Heading2"/>
      </w:pPr>
      <w:bookmarkStart w:id="15" w:name="_Toc237201126"/>
      <w:r>
        <w:t>4.3 Alternative Entry Modes</w:t>
      </w:r>
      <w:bookmarkEnd w:id="15"/>
    </w:p>
    <w:p w14:paraId="47EAED16" w14:textId="77777777" w:rsidR="003A19C6" w:rsidRDefault="003A19C6" w:rsidP="003A19C6">
      <w:r>
        <w:t xml:space="preserve">Exporting would involve a relatively small investment and would put Kenyan demand to the test, but bulky furniture would be costly to transport and would result in limited control of the customer's experience. Licensing would also limit capital exposure to a lesser degree, but would provide less control over the IKEA brand, the quality of service and the IKEA concept. However, a joint venture would give more influence and local expertise, but would also need more capital and strategic issues due to different agendas. Acquisition might provide proven facilities, distribution network and customer information quickly, but at a high capital cost and with integration risk. The risk in Kenya’s political, economic and infrastructure sectors would also directly affect IKEA if this was a wholly owned subsidiary, as would be the case of maximising control over branding, pricing, sourcing and customer experience. So, franchising is the best first choice since it's a middle ground between control and commitment. But IKEA should not view all franchise agreements as the same: the Kenyan partner should have the financial strength, local market knowledge, and ability to set up and run IKEA retail outlets, which is what IKEA has been considering when assessing prospective franchise partners (Inter IKEA Group, 2025). </w:t>
      </w:r>
    </w:p>
    <w:p w14:paraId="3F49EBFA" w14:textId="1C0D0AEE" w:rsidR="00AA3F1A" w:rsidRPr="00AA3F1A" w:rsidRDefault="00AA3F1A" w:rsidP="00AA3F1A">
      <w:r w:rsidRPr="00AA3F1A">
        <w:t>Table 4.1: Entry Mode Comparison</w:t>
      </w:r>
    </w:p>
    <w:tbl>
      <w:tblPr>
        <w:tblStyle w:val="TableGrid"/>
        <w:tblW w:w="0" w:type="auto"/>
        <w:tblLook w:val="04A0" w:firstRow="1" w:lastRow="0" w:firstColumn="1" w:lastColumn="0" w:noHBand="0" w:noVBand="1"/>
      </w:tblPr>
      <w:tblGrid>
        <w:gridCol w:w="1360"/>
        <w:gridCol w:w="1274"/>
        <w:gridCol w:w="1385"/>
        <w:gridCol w:w="1151"/>
        <w:gridCol w:w="1237"/>
        <w:gridCol w:w="1360"/>
        <w:gridCol w:w="1249"/>
      </w:tblGrid>
      <w:tr w:rsidR="00AA3F1A" w:rsidRPr="00AA3F1A" w14:paraId="49712F51" w14:textId="77777777" w:rsidTr="00AA3F1A">
        <w:tc>
          <w:tcPr>
            <w:tcW w:w="0" w:type="auto"/>
            <w:hideMark/>
          </w:tcPr>
          <w:p w14:paraId="11EEB0C9" w14:textId="77777777" w:rsidR="00AA3F1A" w:rsidRPr="00AA3F1A" w:rsidRDefault="00AA3F1A" w:rsidP="00AA3F1A">
            <w:pPr>
              <w:spacing w:after="160" w:line="259" w:lineRule="auto"/>
              <w:jc w:val="left"/>
              <w:rPr>
                <w:b/>
                <w:bCs/>
              </w:rPr>
            </w:pPr>
            <w:r w:rsidRPr="00AA3F1A">
              <w:rPr>
                <w:b/>
                <w:bCs/>
              </w:rPr>
              <w:t>Entry mode</w:t>
            </w:r>
          </w:p>
        </w:tc>
        <w:tc>
          <w:tcPr>
            <w:tcW w:w="0" w:type="auto"/>
            <w:hideMark/>
          </w:tcPr>
          <w:p w14:paraId="0D00D621" w14:textId="77777777" w:rsidR="00AA3F1A" w:rsidRPr="00AA3F1A" w:rsidRDefault="00AA3F1A" w:rsidP="00AA3F1A">
            <w:pPr>
              <w:spacing w:after="160" w:line="259" w:lineRule="auto"/>
              <w:jc w:val="left"/>
              <w:rPr>
                <w:b/>
                <w:bCs/>
              </w:rPr>
            </w:pPr>
            <w:r w:rsidRPr="00AA3F1A">
              <w:rPr>
                <w:b/>
                <w:bCs/>
              </w:rPr>
              <w:t>Control</w:t>
            </w:r>
          </w:p>
        </w:tc>
        <w:tc>
          <w:tcPr>
            <w:tcW w:w="0" w:type="auto"/>
            <w:hideMark/>
          </w:tcPr>
          <w:p w14:paraId="742371EC" w14:textId="77777777" w:rsidR="00AA3F1A" w:rsidRPr="00AA3F1A" w:rsidRDefault="00AA3F1A" w:rsidP="00AA3F1A">
            <w:pPr>
              <w:spacing w:after="160" w:line="259" w:lineRule="auto"/>
              <w:jc w:val="left"/>
              <w:rPr>
                <w:b/>
                <w:bCs/>
              </w:rPr>
            </w:pPr>
            <w:r w:rsidRPr="00AA3F1A">
              <w:rPr>
                <w:b/>
                <w:bCs/>
              </w:rPr>
              <w:t>Investment</w:t>
            </w:r>
          </w:p>
        </w:tc>
        <w:tc>
          <w:tcPr>
            <w:tcW w:w="0" w:type="auto"/>
            <w:hideMark/>
          </w:tcPr>
          <w:p w14:paraId="0ED664F2" w14:textId="77777777" w:rsidR="00AA3F1A" w:rsidRPr="00AA3F1A" w:rsidRDefault="00AA3F1A" w:rsidP="00AA3F1A">
            <w:pPr>
              <w:spacing w:after="160" w:line="259" w:lineRule="auto"/>
              <w:jc w:val="left"/>
              <w:rPr>
                <w:b/>
                <w:bCs/>
              </w:rPr>
            </w:pPr>
            <w:r w:rsidRPr="00AA3F1A">
              <w:rPr>
                <w:b/>
                <w:bCs/>
              </w:rPr>
              <w:t>Risk</w:t>
            </w:r>
          </w:p>
        </w:tc>
        <w:tc>
          <w:tcPr>
            <w:tcW w:w="0" w:type="auto"/>
            <w:hideMark/>
          </w:tcPr>
          <w:p w14:paraId="51EB5548" w14:textId="77777777" w:rsidR="00AA3F1A" w:rsidRPr="00AA3F1A" w:rsidRDefault="00AA3F1A" w:rsidP="00AA3F1A">
            <w:pPr>
              <w:spacing w:after="160" w:line="259" w:lineRule="auto"/>
              <w:jc w:val="left"/>
              <w:rPr>
                <w:b/>
                <w:bCs/>
              </w:rPr>
            </w:pPr>
            <w:r w:rsidRPr="00AA3F1A">
              <w:rPr>
                <w:b/>
                <w:bCs/>
              </w:rPr>
              <w:t>Flexibility</w:t>
            </w:r>
          </w:p>
        </w:tc>
        <w:tc>
          <w:tcPr>
            <w:tcW w:w="0" w:type="auto"/>
            <w:hideMark/>
          </w:tcPr>
          <w:p w14:paraId="4C337BEE" w14:textId="77777777" w:rsidR="00AA3F1A" w:rsidRPr="00AA3F1A" w:rsidRDefault="00AA3F1A" w:rsidP="00AA3F1A">
            <w:pPr>
              <w:spacing w:after="160" w:line="259" w:lineRule="auto"/>
              <w:jc w:val="left"/>
              <w:rPr>
                <w:b/>
                <w:bCs/>
              </w:rPr>
            </w:pPr>
            <w:r w:rsidRPr="00AA3F1A">
              <w:rPr>
                <w:b/>
                <w:bCs/>
              </w:rPr>
              <w:t>Local knowledge</w:t>
            </w:r>
          </w:p>
        </w:tc>
        <w:tc>
          <w:tcPr>
            <w:tcW w:w="0" w:type="auto"/>
            <w:hideMark/>
          </w:tcPr>
          <w:p w14:paraId="6E262BF4" w14:textId="77777777" w:rsidR="00AA3F1A" w:rsidRPr="00AA3F1A" w:rsidRDefault="00AA3F1A" w:rsidP="00AA3F1A">
            <w:pPr>
              <w:spacing w:after="160" w:line="259" w:lineRule="auto"/>
              <w:jc w:val="left"/>
              <w:rPr>
                <w:b/>
                <w:bCs/>
              </w:rPr>
            </w:pPr>
            <w:r w:rsidRPr="00AA3F1A">
              <w:rPr>
                <w:b/>
                <w:bCs/>
              </w:rPr>
              <w:t>Kenya suitability</w:t>
            </w:r>
          </w:p>
        </w:tc>
      </w:tr>
      <w:tr w:rsidR="00AA3F1A" w:rsidRPr="00AA3F1A" w14:paraId="44C6AA0D" w14:textId="77777777" w:rsidTr="00AA3F1A">
        <w:tc>
          <w:tcPr>
            <w:tcW w:w="0" w:type="auto"/>
            <w:hideMark/>
          </w:tcPr>
          <w:p w14:paraId="1631240C" w14:textId="77777777" w:rsidR="00AA3F1A" w:rsidRPr="00AA3F1A" w:rsidRDefault="00AA3F1A" w:rsidP="00AA3F1A">
            <w:pPr>
              <w:spacing w:after="160" w:line="259" w:lineRule="auto"/>
            </w:pPr>
            <w:r w:rsidRPr="00AA3F1A">
              <w:t>Exporting</w:t>
            </w:r>
          </w:p>
        </w:tc>
        <w:tc>
          <w:tcPr>
            <w:tcW w:w="0" w:type="auto"/>
            <w:hideMark/>
          </w:tcPr>
          <w:p w14:paraId="7640B03B" w14:textId="77777777" w:rsidR="00AA3F1A" w:rsidRPr="00AA3F1A" w:rsidRDefault="00AA3F1A" w:rsidP="00AA3F1A">
            <w:pPr>
              <w:spacing w:after="160" w:line="259" w:lineRule="auto"/>
            </w:pPr>
            <w:r w:rsidRPr="00AA3F1A">
              <w:t>Low</w:t>
            </w:r>
          </w:p>
        </w:tc>
        <w:tc>
          <w:tcPr>
            <w:tcW w:w="0" w:type="auto"/>
            <w:hideMark/>
          </w:tcPr>
          <w:p w14:paraId="2AB5B967" w14:textId="77777777" w:rsidR="00AA3F1A" w:rsidRPr="00AA3F1A" w:rsidRDefault="00AA3F1A" w:rsidP="00AA3F1A">
            <w:pPr>
              <w:spacing w:after="160" w:line="259" w:lineRule="auto"/>
            </w:pPr>
            <w:r w:rsidRPr="00AA3F1A">
              <w:t>Low</w:t>
            </w:r>
          </w:p>
        </w:tc>
        <w:tc>
          <w:tcPr>
            <w:tcW w:w="0" w:type="auto"/>
            <w:hideMark/>
          </w:tcPr>
          <w:p w14:paraId="18966289" w14:textId="77777777" w:rsidR="00AA3F1A" w:rsidRPr="00AA3F1A" w:rsidRDefault="00AA3F1A" w:rsidP="00AA3F1A">
            <w:pPr>
              <w:spacing w:after="160" w:line="259" w:lineRule="auto"/>
            </w:pPr>
            <w:r w:rsidRPr="00AA3F1A">
              <w:t>Low</w:t>
            </w:r>
          </w:p>
        </w:tc>
        <w:tc>
          <w:tcPr>
            <w:tcW w:w="0" w:type="auto"/>
            <w:hideMark/>
          </w:tcPr>
          <w:p w14:paraId="5C4EEB7F" w14:textId="77777777" w:rsidR="00AA3F1A" w:rsidRPr="00AA3F1A" w:rsidRDefault="00AA3F1A" w:rsidP="00AA3F1A">
            <w:pPr>
              <w:spacing w:after="160" w:line="259" w:lineRule="auto"/>
            </w:pPr>
            <w:r w:rsidRPr="00AA3F1A">
              <w:t>High</w:t>
            </w:r>
          </w:p>
        </w:tc>
        <w:tc>
          <w:tcPr>
            <w:tcW w:w="0" w:type="auto"/>
            <w:hideMark/>
          </w:tcPr>
          <w:p w14:paraId="5AAD5D26" w14:textId="77777777" w:rsidR="00AA3F1A" w:rsidRPr="00AA3F1A" w:rsidRDefault="00AA3F1A" w:rsidP="00AA3F1A">
            <w:pPr>
              <w:spacing w:after="160" w:line="259" w:lineRule="auto"/>
            </w:pPr>
            <w:r w:rsidRPr="00AA3F1A">
              <w:t>Low</w:t>
            </w:r>
          </w:p>
        </w:tc>
        <w:tc>
          <w:tcPr>
            <w:tcW w:w="0" w:type="auto"/>
            <w:hideMark/>
          </w:tcPr>
          <w:p w14:paraId="47DB57DE" w14:textId="77777777" w:rsidR="00AA3F1A" w:rsidRPr="00AA3F1A" w:rsidRDefault="00AA3F1A" w:rsidP="00AA3F1A">
            <w:pPr>
              <w:spacing w:after="160" w:line="259" w:lineRule="auto"/>
            </w:pPr>
            <w:r w:rsidRPr="00AA3F1A">
              <w:t>Moderate</w:t>
            </w:r>
          </w:p>
        </w:tc>
      </w:tr>
      <w:tr w:rsidR="00AA3F1A" w:rsidRPr="00AA3F1A" w14:paraId="603AF9AF" w14:textId="77777777" w:rsidTr="00AA3F1A">
        <w:tc>
          <w:tcPr>
            <w:tcW w:w="0" w:type="auto"/>
            <w:hideMark/>
          </w:tcPr>
          <w:p w14:paraId="14769CBA" w14:textId="77777777" w:rsidR="00AA3F1A" w:rsidRPr="00AA3F1A" w:rsidRDefault="00AA3F1A" w:rsidP="00AA3F1A">
            <w:pPr>
              <w:spacing w:after="160" w:line="259" w:lineRule="auto"/>
            </w:pPr>
            <w:r w:rsidRPr="00AA3F1A">
              <w:t>Licensing</w:t>
            </w:r>
          </w:p>
        </w:tc>
        <w:tc>
          <w:tcPr>
            <w:tcW w:w="0" w:type="auto"/>
            <w:hideMark/>
          </w:tcPr>
          <w:p w14:paraId="2567438B" w14:textId="77777777" w:rsidR="00AA3F1A" w:rsidRPr="00AA3F1A" w:rsidRDefault="00AA3F1A" w:rsidP="00AA3F1A">
            <w:pPr>
              <w:spacing w:after="160" w:line="259" w:lineRule="auto"/>
            </w:pPr>
            <w:r w:rsidRPr="00AA3F1A">
              <w:t>Low</w:t>
            </w:r>
          </w:p>
        </w:tc>
        <w:tc>
          <w:tcPr>
            <w:tcW w:w="0" w:type="auto"/>
            <w:hideMark/>
          </w:tcPr>
          <w:p w14:paraId="0596F947" w14:textId="77777777" w:rsidR="00AA3F1A" w:rsidRPr="00AA3F1A" w:rsidRDefault="00AA3F1A" w:rsidP="00AA3F1A">
            <w:pPr>
              <w:spacing w:after="160" w:line="259" w:lineRule="auto"/>
            </w:pPr>
            <w:r w:rsidRPr="00AA3F1A">
              <w:t>Low</w:t>
            </w:r>
          </w:p>
        </w:tc>
        <w:tc>
          <w:tcPr>
            <w:tcW w:w="0" w:type="auto"/>
            <w:hideMark/>
          </w:tcPr>
          <w:p w14:paraId="0BE5BABD" w14:textId="77777777" w:rsidR="00AA3F1A" w:rsidRPr="00AA3F1A" w:rsidRDefault="00AA3F1A" w:rsidP="00AA3F1A">
            <w:pPr>
              <w:spacing w:after="160" w:line="259" w:lineRule="auto"/>
            </w:pPr>
            <w:r w:rsidRPr="00AA3F1A">
              <w:t>Moderate</w:t>
            </w:r>
          </w:p>
        </w:tc>
        <w:tc>
          <w:tcPr>
            <w:tcW w:w="0" w:type="auto"/>
            <w:hideMark/>
          </w:tcPr>
          <w:p w14:paraId="0739A301" w14:textId="77777777" w:rsidR="00AA3F1A" w:rsidRPr="00AA3F1A" w:rsidRDefault="00AA3F1A" w:rsidP="00AA3F1A">
            <w:pPr>
              <w:spacing w:after="160" w:line="259" w:lineRule="auto"/>
            </w:pPr>
            <w:r w:rsidRPr="00AA3F1A">
              <w:t>High</w:t>
            </w:r>
          </w:p>
        </w:tc>
        <w:tc>
          <w:tcPr>
            <w:tcW w:w="0" w:type="auto"/>
            <w:hideMark/>
          </w:tcPr>
          <w:p w14:paraId="492F15A2" w14:textId="77777777" w:rsidR="00AA3F1A" w:rsidRPr="00AA3F1A" w:rsidRDefault="00AA3F1A" w:rsidP="00AA3F1A">
            <w:pPr>
              <w:spacing w:after="160" w:line="259" w:lineRule="auto"/>
            </w:pPr>
            <w:r w:rsidRPr="00AA3F1A">
              <w:t>Moderate</w:t>
            </w:r>
          </w:p>
        </w:tc>
        <w:tc>
          <w:tcPr>
            <w:tcW w:w="0" w:type="auto"/>
            <w:hideMark/>
          </w:tcPr>
          <w:p w14:paraId="2E5DD180" w14:textId="77777777" w:rsidR="00AA3F1A" w:rsidRPr="00AA3F1A" w:rsidRDefault="00AA3F1A" w:rsidP="00AA3F1A">
            <w:pPr>
              <w:spacing w:after="160" w:line="259" w:lineRule="auto"/>
            </w:pPr>
            <w:r w:rsidRPr="00AA3F1A">
              <w:t>Moderate</w:t>
            </w:r>
          </w:p>
        </w:tc>
      </w:tr>
      <w:tr w:rsidR="00AA3F1A" w:rsidRPr="00AA3F1A" w14:paraId="0B6E684A" w14:textId="77777777" w:rsidTr="00AA3F1A">
        <w:tc>
          <w:tcPr>
            <w:tcW w:w="0" w:type="auto"/>
            <w:hideMark/>
          </w:tcPr>
          <w:p w14:paraId="518994C7" w14:textId="77777777" w:rsidR="00AA3F1A" w:rsidRPr="00AA3F1A" w:rsidRDefault="00AA3F1A" w:rsidP="00AA3F1A">
            <w:pPr>
              <w:spacing w:after="160" w:line="259" w:lineRule="auto"/>
            </w:pPr>
            <w:r w:rsidRPr="00AA3F1A">
              <w:t>Franchising</w:t>
            </w:r>
          </w:p>
        </w:tc>
        <w:tc>
          <w:tcPr>
            <w:tcW w:w="0" w:type="auto"/>
            <w:hideMark/>
          </w:tcPr>
          <w:p w14:paraId="261D66D8" w14:textId="77777777" w:rsidR="00AA3F1A" w:rsidRPr="00AA3F1A" w:rsidRDefault="00AA3F1A" w:rsidP="00AA3F1A">
            <w:pPr>
              <w:spacing w:after="160" w:line="259" w:lineRule="auto"/>
            </w:pPr>
            <w:r w:rsidRPr="00AA3F1A">
              <w:t>Moderate–High</w:t>
            </w:r>
          </w:p>
        </w:tc>
        <w:tc>
          <w:tcPr>
            <w:tcW w:w="0" w:type="auto"/>
            <w:hideMark/>
          </w:tcPr>
          <w:p w14:paraId="50FF2A0F" w14:textId="77777777" w:rsidR="00AA3F1A" w:rsidRPr="00AA3F1A" w:rsidRDefault="00AA3F1A" w:rsidP="00AA3F1A">
            <w:pPr>
              <w:spacing w:after="160" w:line="259" w:lineRule="auto"/>
            </w:pPr>
            <w:r w:rsidRPr="00AA3F1A">
              <w:t>Moderate</w:t>
            </w:r>
          </w:p>
        </w:tc>
        <w:tc>
          <w:tcPr>
            <w:tcW w:w="0" w:type="auto"/>
            <w:hideMark/>
          </w:tcPr>
          <w:p w14:paraId="67FD6720" w14:textId="77777777" w:rsidR="00AA3F1A" w:rsidRPr="00AA3F1A" w:rsidRDefault="00AA3F1A" w:rsidP="00AA3F1A">
            <w:pPr>
              <w:spacing w:after="160" w:line="259" w:lineRule="auto"/>
            </w:pPr>
            <w:r w:rsidRPr="00AA3F1A">
              <w:t>Moderate</w:t>
            </w:r>
          </w:p>
        </w:tc>
        <w:tc>
          <w:tcPr>
            <w:tcW w:w="0" w:type="auto"/>
            <w:hideMark/>
          </w:tcPr>
          <w:p w14:paraId="7F6A231E" w14:textId="77777777" w:rsidR="00AA3F1A" w:rsidRPr="00AA3F1A" w:rsidRDefault="00AA3F1A" w:rsidP="00AA3F1A">
            <w:pPr>
              <w:spacing w:after="160" w:line="259" w:lineRule="auto"/>
            </w:pPr>
            <w:r w:rsidRPr="00AA3F1A">
              <w:t>High</w:t>
            </w:r>
          </w:p>
        </w:tc>
        <w:tc>
          <w:tcPr>
            <w:tcW w:w="0" w:type="auto"/>
            <w:hideMark/>
          </w:tcPr>
          <w:p w14:paraId="25D236B4" w14:textId="77777777" w:rsidR="00AA3F1A" w:rsidRPr="00AA3F1A" w:rsidRDefault="00AA3F1A" w:rsidP="00AA3F1A">
            <w:pPr>
              <w:spacing w:after="160" w:line="259" w:lineRule="auto"/>
            </w:pPr>
            <w:r w:rsidRPr="00AA3F1A">
              <w:t>High</w:t>
            </w:r>
          </w:p>
        </w:tc>
        <w:tc>
          <w:tcPr>
            <w:tcW w:w="0" w:type="auto"/>
            <w:hideMark/>
          </w:tcPr>
          <w:p w14:paraId="0C895429" w14:textId="77777777" w:rsidR="00AA3F1A" w:rsidRPr="00AA3F1A" w:rsidRDefault="00AA3F1A" w:rsidP="00AA3F1A">
            <w:pPr>
              <w:spacing w:after="160" w:line="259" w:lineRule="auto"/>
            </w:pPr>
            <w:r w:rsidRPr="00AA3F1A">
              <w:t>High</w:t>
            </w:r>
          </w:p>
        </w:tc>
      </w:tr>
      <w:tr w:rsidR="00AA3F1A" w:rsidRPr="00AA3F1A" w14:paraId="7C1CBE06" w14:textId="77777777" w:rsidTr="00AA3F1A">
        <w:tc>
          <w:tcPr>
            <w:tcW w:w="0" w:type="auto"/>
            <w:hideMark/>
          </w:tcPr>
          <w:p w14:paraId="25A3859F" w14:textId="77777777" w:rsidR="00AA3F1A" w:rsidRPr="00AA3F1A" w:rsidRDefault="00AA3F1A" w:rsidP="00AA3F1A">
            <w:pPr>
              <w:spacing w:after="160" w:line="259" w:lineRule="auto"/>
            </w:pPr>
            <w:r w:rsidRPr="00AA3F1A">
              <w:t>Joint venture</w:t>
            </w:r>
          </w:p>
        </w:tc>
        <w:tc>
          <w:tcPr>
            <w:tcW w:w="0" w:type="auto"/>
            <w:hideMark/>
          </w:tcPr>
          <w:p w14:paraId="0D49FB15" w14:textId="77777777" w:rsidR="00AA3F1A" w:rsidRPr="00AA3F1A" w:rsidRDefault="00AA3F1A" w:rsidP="00AA3F1A">
            <w:pPr>
              <w:spacing w:after="160" w:line="259" w:lineRule="auto"/>
            </w:pPr>
            <w:r w:rsidRPr="00AA3F1A">
              <w:t>High</w:t>
            </w:r>
          </w:p>
        </w:tc>
        <w:tc>
          <w:tcPr>
            <w:tcW w:w="0" w:type="auto"/>
            <w:hideMark/>
          </w:tcPr>
          <w:p w14:paraId="6A3211B1" w14:textId="77777777" w:rsidR="00AA3F1A" w:rsidRPr="00AA3F1A" w:rsidRDefault="00AA3F1A" w:rsidP="00AA3F1A">
            <w:pPr>
              <w:spacing w:after="160" w:line="259" w:lineRule="auto"/>
            </w:pPr>
            <w:r w:rsidRPr="00AA3F1A">
              <w:t>Moderate–High</w:t>
            </w:r>
          </w:p>
        </w:tc>
        <w:tc>
          <w:tcPr>
            <w:tcW w:w="0" w:type="auto"/>
            <w:hideMark/>
          </w:tcPr>
          <w:p w14:paraId="1DDDB4EE" w14:textId="77777777" w:rsidR="00AA3F1A" w:rsidRPr="00AA3F1A" w:rsidRDefault="00AA3F1A" w:rsidP="00AA3F1A">
            <w:pPr>
              <w:spacing w:after="160" w:line="259" w:lineRule="auto"/>
            </w:pPr>
            <w:r w:rsidRPr="00AA3F1A">
              <w:t>Moderate</w:t>
            </w:r>
          </w:p>
        </w:tc>
        <w:tc>
          <w:tcPr>
            <w:tcW w:w="0" w:type="auto"/>
            <w:hideMark/>
          </w:tcPr>
          <w:p w14:paraId="5D72CB14" w14:textId="77777777" w:rsidR="00AA3F1A" w:rsidRPr="00AA3F1A" w:rsidRDefault="00AA3F1A" w:rsidP="00AA3F1A">
            <w:pPr>
              <w:spacing w:after="160" w:line="259" w:lineRule="auto"/>
            </w:pPr>
            <w:r w:rsidRPr="00AA3F1A">
              <w:t>Moderate</w:t>
            </w:r>
          </w:p>
        </w:tc>
        <w:tc>
          <w:tcPr>
            <w:tcW w:w="0" w:type="auto"/>
            <w:hideMark/>
          </w:tcPr>
          <w:p w14:paraId="17E59616" w14:textId="77777777" w:rsidR="00AA3F1A" w:rsidRPr="00AA3F1A" w:rsidRDefault="00AA3F1A" w:rsidP="00AA3F1A">
            <w:pPr>
              <w:spacing w:after="160" w:line="259" w:lineRule="auto"/>
            </w:pPr>
            <w:r w:rsidRPr="00AA3F1A">
              <w:t>High</w:t>
            </w:r>
          </w:p>
        </w:tc>
        <w:tc>
          <w:tcPr>
            <w:tcW w:w="0" w:type="auto"/>
            <w:hideMark/>
          </w:tcPr>
          <w:p w14:paraId="5DBB78F9" w14:textId="77777777" w:rsidR="00AA3F1A" w:rsidRPr="00AA3F1A" w:rsidRDefault="00AA3F1A" w:rsidP="00AA3F1A">
            <w:pPr>
              <w:spacing w:after="160" w:line="259" w:lineRule="auto"/>
            </w:pPr>
            <w:r w:rsidRPr="00AA3F1A">
              <w:t>High</w:t>
            </w:r>
          </w:p>
        </w:tc>
      </w:tr>
      <w:tr w:rsidR="00AA3F1A" w:rsidRPr="00AA3F1A" w14:paraId="5748EECE" w14:textId="77777777" w:rsidTr="00AA3F1A">
        <w:tc>
          <w:tcPr>
            <w:tcW w:w="0" w:type="auto"/>
            <w:hideMark/>
          </w:tcPr>
          <w:p w14:paraId="75B2D6A6" w14:textId="77777777" w:rsidR="00AA3F1A" w:rsidRPr="00AA3F1A" w:rsidRDefault="00AA3F1A" w:rsidP="00AA3F1A">
            <w:pPr>
              <w:spacing w:after="160" w:line="259" w:lineRule="auto"/>
            </w:pPr>
            <w:r w:rsidRPr="00AA3F1A">
              <w:t>Acquisition</w:t>
            </w:r>
          </w:p>
        </w:tc>
        <w:tc>
          <w:tcPr>
            <w:tcW w:w="0" w:type="auto"/>
            <w:hideMark/>
          </w:tcPr>
          <w:p w14:paraId="68E1A2DA" w14:textId="77777777" w:rsidR="00AA3F1A" w:rsidRPr="00AA3F1A" w:rsidRDefault="00AA3F1A" w:rsidP="00AA3F1A">
            <w:pPr>
              <w:spacing w:after="160" w:line="259" w:lineRule="auto"/>
            </w:pPr>
            <w:r w:rsidRPr="00AA3F1A">
              <w:t>High</w:t>
            </w:r>
          </w:p>
        </w:tc>
        <w:tc>
          <w:tcPr>
            <w:tcW w:w="0" w:type="auto"/>
            <w:hideMark/>
          </w:tcPr>
          <w:p w14:paraId="33316B79" w14:textId="77777777" w:rsidR="00AA3F1A" w:rsidRPr="00AA3F1A" w:rsidRDefault="00AA3F1A" w:rsidP="00AA3F1A">
            <w:pPr>
              <w:spacing w:after="160" w:line="259" w:lineRule="auto"/>
            </w:pPr>
            <w:r w:rsidRPr="00AA3F1A">
              <w:t>High</w:t>
            </w:r>
          </w:p>
        </w:tc>
        <w:tc>
          <w:tcPr>
            <w:tcW w:w="0" w:type="auto"/>
            <w:hideMark/>
          </w:tcPr>
          <w:p w14:paraId="09F4D87A" w14:textId="77777777" w:rsidR="00AA3F1A" w:rsidRPr="00AA3F1A" w:rsidRDefault="00AA3F1A" w:rsidP="00AA3F1A">
            <w:pPr>
              <w:spacing w:after="160" w:line="259" w:lineRule="auto"/>
            </w:pPr>
            <w:r w:rsidRPr="00AA3F1A">
              <w:t>High</w:t>
            </w:r>
          </w:p>
        </w:tc>
        <w:tc>
          <w:tcPr>
            <w:tcW w:w="0" w:type="auto"/>
            <w:hideMark/>
          </w:tcPr>
          <w:p w14:paraId="112179CB" w14:textId="77777777" w:rsidR="00AA3F1A" w:rsidRPr="00AA3F1A" w:rsidRDefault="00AA3F1A" w:rsidP="00AA3F1A">
            <w:pPr>
              <w:spacing w:after="160" w:line="259" w:lineRule="auto"/>
            </w:pPr>
            <w:r w:rsidRPr="00AA3F1A">
              <w:t>Low</w:t>
            </w:r>
          </w:p>
        </w:tc>
        <w:tc>
          <w:tcPr>
            <w:tcW w:w="0" w:type="auto"/>
            <w:hideMark/>
          </w:tcPr>
          <w:p w14:paraId="4C4A206F" w14:textId="77777777" w:rsidR="00AA3F1A" w:rsidRPr="00AA3F1A" w:rsidRDefault="00AA3F1A" w:rsidP="00AA3F1A">
            <w:pPr>
              <w:spacing w:after="160" w:line="259" w:lineRule="auto"/>
            </w:pPr>
            <w:r w:rsidRPr="00AA3F1A">
              <w:t>High</w:t>
            </w:r>
          </w:p>
        </w:tc>
        <w:tc>
          <w:tcPr>
            <w:tcW w:w="0" w:type="auto"/>
            <w:hideMark/>
          </w:tcPr>
          <w:p w14:paraId="52CB2B4C" w14:textId="77777777" w:rsidR="00AA3F1A" w:rsidRPr="00AA3F1A" w:rsidRDefault="00AA3F1A" w:rsidP="00AA3F1A">
            <w:pPr>
              <w:spacing w:after="160" w:line="259" w:lineRule="auto"/>
            </w:pPr>
            <w:r w:rsidRPr="00AA3F1A">
              <w:t>Moderate</w:t>
            </w:r>
          </w:p>
        </w:tc>
      </w:tr>
      <w:tr w:rsidR="00AA3F1A" w:rsidRPr="00AA3F1A" w14:paraId="3562400D" w14:textId="77777777" w:rsidTr="00AA3F1A">
        <w:tc>
          <w:tcPr>
            <w:tcW w:w="0" w:type="auto"/>
            <w:hideMark/>
          </w:tcPr>
          <w:p w14:paraId="23FE39C4" w14:textId="77777777" w:rsidR="00AA3F1A" w:rsidRPr="00AA3F1A" w:rsidRDefault="00AA3F1A" w:rsidP="00AA3F1A">
            <w:pPr>
              <w:spacing w:after="160" w:line="259" w:lineRule="auto"/>
            </w:pPr>
            <w:r w:rsidRPr="00AA3F1A">
              <w:lastRenderedPageBreak/>
              <w:t>Wholly owned subsidiary</w:t>
            </w:r>
          </w:p>
        </w:tc>
        <w:tc>
          <w:tcPr>
            <w:tcW w:w="0" w:type="auto"/>
            <w:hideMark/>
          </w:tcPr>
          <w:p w14:paraId="6AFAE161" w14:textId="77777777" w:rsidR="00AA3F1A" w:rsidRPr="00AA3F1A" w:rsidRDefault="00AA3F1A" w:rsidP="00AA3F1A">
            <w:pPr>
              <w:spacing w:after="160" w:line="259" w:lineRule="auto"/>
            </w:pPr>
            <w:r w:rsidRPr="00AA3F1A">
              <w:t>Very high</w:t>
            </w:r>
          </w:p>
        </w:tc>
        <w:tc>
          <w:tcPr>
            <w:tcW w:w="0" w:type="auto"/>
            <w:hideMark/>
          </w:tcPr>
          <w:p w14:paraId="35A52386" w14:textId="77777777" w:rsidR="00AA3F1A" w:rsidRPr="00AA3F1A" w:rsidRDefault="00AA3F1A" w:rsidP="00AA3F1A">
            <w:pPr>
              <w:spacing w:after="160" w:line="259" w:lineRule="auto"/>
            </w:pPr>
            <w:r w:rsidRPr="00AA3F1A">
              <w:t>Very high</w:t>
            </w:r>
          </w:p>
        </w:tc>
        <w:tc>
          <w:tcPr>
            <w:tcW w:w="0" w:type="auto"/>
            <w:hideMark/>
          </w:tcPr>
          <w:p w14:paraId="1B50AB11" w14:textId="77777777" w:rsidR="00AA3F1A" w:rsidRPr="00AA3F1A" w:rsidRDefault="00AA3F1A" w:rsidP="00AA3F1A">
            <w:pPr>
              <w:spacing w:after="160" w:line="259" w:lineRule="auto"/>
            </w:pPr>
            <w:r w:rsidRPr="00AA3F1A">
              <w:t>High</w:t>
            </w:r>
          </w:p>
        </w:tc>
        <w:tc>
          <w:tcPr>
            <w:tcW w:w="0" w:type="auto"/>
            <w:hideMark/>
          </w:tcPr>
          <w:p w14:paraId="00BF676C" w14:textId="77777777" w:rsidR="00AA3F1A" w:rsidRPr="00AA3F1A" w:rsidRDefault="00AA3F1A" w:rsidP="00AA3F1A">
            <w:pPr>
              <w:spacing w:after="160" w:line="259" w:lineRule="auto"/>
            </w:pPr>
            <w:r w:rsidRPr="00AA3F1A">
              <w:t>Low</w:t>
            </w:r>
          </w:p>
        </w:tc>
        <w:tc>
          <w:tcPr>
            <w:tcW w:w="0" w:type="auto"/>
            <w:hideMark/>
          </w:tcPr>
          <w:p w14:paraId="49EF4F35" w14:textId="77777777" w:rsidR="00AA3F1A" w:rsidRPr="00AA3F1A" w:rsidRDefault="00AA3F1A" w:rsidP="00AA3F1A">
            <w:pPr>
              <w:spacing w:after="160" w:line="259" w:lineRule="auto"/>
            </w:pPr>
            <w:r w:rsidRPr="00AA3F1A">
              <w:t>Low initially</w:t>
            </w:r>
          </w:p>
        </w:tc>
        <w:tc>
          <w:tcPr>
            <w:tcW w:w="0" w:type="auto"/>
            <w:hideMark/>
          </w:tcPr>
          <w:p w14:paraId="7CBE8E33" w14:textId="77777777" w:rsidR="00AA3F1A" w:rsidRPr="00AA3F1A" w:rsidRDefault="00AA3F1A" w:rsidP="00AA3F1A">
            <w:pPr>
              <w:spacing w:after="160" w:line="259" w:lineRule="auto"/>
            </w:pPr>
            <w:r w:rsidRPr="00AA3F1A">
              <w:t>Lower initially</w:t>
            </w:r>
          </w:p>
        </w:tc>
      </w:tr>
    </w:tbl>
    <w:p w14:paraId="28CFBB5A" w14:textId="77777777" w:rsidR="00AA3F1A" w:rsidRDefault="00AA3F1A" w:rsidP="003A19C6"/>
    <w:p w14:paraId="1A964D12" w14:textId="77777777" w:rsidR="003A19C6" w:rsidRDefault="003A19C6" w:rsidP="00AA3F1A">
      <w:pPr>
        <w:pStyle w:val="Heading2"/>
      </w:pPr>
      <w:bookmarkStart w:id="16" w:name="_Toc237201127"/>
      <w:r>
        <w:t>4.4 Recommended Entry Strategy</w:t>
      </w:r>
      <w:bookmarkEnd w:id="16"/>
      <w:r>
        <w:t xml:space="preserve"> </w:t>
      </w:r>
    </w:p>
    <w:p w14:paraId="4ADB5AEF" w14:textId="77777777" w:rsidR="00A42F3F" w:rsidRDefault="00A42F3F" w:rsidP="00A42F3F">
      <w:pPr>
        <w:keepNext/>
        <w:jc w:val="center"/>
      </w:pPr>
      <w:r>
        <w:drawing>
          <wp:inline distT="0" distB="0" distL="0" distR="0" wp14:anchorId="2C72ED45" wp14:editId="3CB3748B">
            <wp:extent cx="4211299" cy="3259666"/>
            <wp:effectExtent l="0" t="0" r="0" b="0"/>
            <wp:docPr id="19360726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072619" name="Picture 1936072619"/>
                    <pic:cNvPicPr/>
                  </pic:nvPicPr>
                  <pic:blipFill rotWithShape="1">
                    <a:blip r:embed="rId15">
                      <a:extLst>
                        <a:ext uri="{28A0092B-C50C-407E-A947-70E740481C1C}">
                          <a14:useLocalDpi xmlns:a14="http://schemas.microsoft.com/office/drawing/2010/main" val="0"/>
                        </a:ext>
                      </a:extLst>
                    </a:blip>
                    <a:srcRect t="6888"/>
                    <a:stretch>
                      <a:fillRect/>
                    </a:stretch>
                  </pic:blipFill>
                  <pic:spPr bwMode="auto">
                    <a:xfrm>
                      <a:off x="0" y="0"/>
                      <a:ext cx="4221627" cy="3267660"/>
                    </a:xfrm>
                    <a:prstGeom prst="rect">
                      <a:avLst/>
                    </a:prstGeom>
                    <a:ln>
                      <a:noFill/>
                    </a:ln>
                    <a:extLst>
                      <a:ext uri="{53640926-AAD7-44D8-BBD7-CCE9431645EC}">
                        <a14:shadowObscured xmlns:a14="http://schemas.microsoft.com/office/drawing/2010/main"/>
                      </a:ext>
                    </a:extLst>
                  </pic:spPr>
                </pic:pic>
              </a:graphicData>
            </a:graphic>
          </wp:inline>
        </w:drawing>
      </w:r>
    </w:p>
    <w:p w14:paraId="25DF4C18" w14:textId="77777777" w:rsidR="00E33E0B" w:rsidRDefault="00E33E0B" w:rsidP="003A19C6"/>
    <w:p w14:paraId="7A1CC963" w14:textId="2D7CC005" w:rsidR="003A19C6" w:rsidRDefault="003A19C6" w:rsidP="003A19C6">
      <w:r>
        <w:t>Entry is recommended to be through a phased and franchise approach with a good strategic partner in Kenya. Phase 1 should be a test of the market for digital products and a targeted consumer research to validate the demand and price sensitivity without big fixed investments.</w:t>
      </w:r>
      <w:r w:rsidR="00EF05B7" w:rsidRPr="00EF05B7">
        <w:t xml:space="preserve"> </w:t>
      </w:r>
      <w:r>
        <w:t>Phase 2 should introduce a smaller-scale showroom, planning studio or other point of contact in Nairobi with online ordering. In Phase 3, the goal is to establish local warehousing, delivery and assembly capacities. Phase 4 should be expanded to other major urban centres only after assurances of sustainable unit economics are obtained. The idea is aligned with IKEA's core business model but takes the right approach to the amount of risk and commitment for Kenyan uncertainty. It also establishes a logic of staged real options: If demand, margins and operational performance are validated, IKEA will be able to increase the investment rather than making a substantial, irreversible commitment when it enters. This is also a safeguard for IKEA's global Concept, without sacrificing the possibility for bounded local adaptation, thus initially making the proposed mode more resilient than full ownership or licensing alone.</w:t>
      </w:r>
    </w:p>
    <w:p w14:paraId="05C1DBF5" w14:textId="77777777" w:rsidR="00AA3F1A" w:rsidRDefault="00AA3F1A" w:rsidP="003A19C6"/>
    <w:p w14:paraId="3D66E090" w14:textId="0CADE1F3" w:rsidR="003A19C6" w:rsidRDefault="003A19C6" w:rsidP="00AA3F1A">
      <w:pPr>
        <w:pStyle w:val="Heading2"/>
      </w:pPr>
      <w:bookmarkStart w:id="17" w:name="_Toc237201128"/>
      <w:r>
        <w:t>4.5 Strategic Synthe</w:t>
      </w:r>
      <w:bookmarkEnd w:id="17"/>
    </w:p>
    <w:p w14:paraId="2EC1C90F" w14:textId="77777777" w:rsidR="003A19C6" w:rsidRDefault="003A19C6" w:rsidP="003A19C6">
      <w:r>
        <w:t xml:space="preserve">While the PELC analysis reveals the opportunities for meaningful demand and urbanisation, there are considerable affordability, logistics and regulatory risks. OLI </w:t>
      </w:r>
      <w:r>
        <w:lastRenderedPageBreak/>
        <w:t>substantiates positive IKEA ownership benefits, and Kenya has positive location benefits, but only conditionally. The initial balance of control, local knowledge, flexibility and resource commitment is best achieved through franchising. Thus, IKEA ought to be very careful in entering Kenya through a controlled franchise contract and gradually scale up its operations only when there is enough evidence of its business value.</w:t>
      </w:r>
    </w:p>
    <w:p w14:paraId="5B4B08A2" w14:textId="77777777" w:rsidR="003A19C6" w:rsidRDefault="003A19C6" w:rsidP="003A19C6"/>
    <w:p w14:paraId="689713ED" w14:textId="77777777" w:rsidR="003A19C6" w:rsidRDefault="003A19C6" w:rsidP="00AA3F1A">
      <w:pPr>
        <w:pStyle w:val="Heading1"/>
      </w:pPr>
      <w:bookmarkStart w:id="18" w:name="_Toc237201129"/>
      <w:r>
        <w:t>5. Gibbs Reflective Cycle</w:t>
      </w:r>
      <w:bookmarkEnd w:id="18"/>
      <w:r>
        <w:t xml:space="preserve"> </w:t>
      </w:r>
    </w:p>
    <w:p w14:paraId="06E46C94" w14:textId="77777777" w:rsidR="003A19C6" w:rsidRDefault="003A19C6" w:rsidP="00AA3F1A">
      <w:pPr>
        <w:pStyle w:val="Heading2"/>
      </w:pPr>
      <w:bookmarkStart w:id="19" w:name="_Toc237201130"/>
      <w:r>
        <w:t>5.1 Description</w:t>
      </w:r>
      <w:bookmarkEnd w:id="19"/>
      <w:r>
        <w:t xml:space="preserve"> </w:t>
      </w:r>
    </w:p>
    <w:p w14:paraId="04261873" w14:textId="77777777" w:rsidR="003A19C6" w:rsidRDefault="003A19C6" w:rsidP="003A19C6">
      <w:r>
        <w:t>I took a different angle in the assessment – I treated IKEA's planned entry into Kenya as an international strategic decision, and not just a country profile. I started by configuring IKEA globally and by choosing Bartlett and Ghoshal and Dunning's OLI paradigm to structure the analysis. Using academic articles as well as sources from the international organisations, government and the IKEA, I conducted research on the political, economic, legal and cultural conditions in Kenya. Then I looked at the different ways of entry and the different levels of risk, control, resource commitment and flexibility in order to formulate a phased recommendation. Lastly, I applied Gibbs' reflective cycle to analyze how my judgement has been shaped by the research process and the use of international-business theory throughout the course of the assignment.</w:t>
      </w:r>
    </w:p>
    <w:p w14:paraId="7050E4BD" w14:textId="77777777" w:rsidR="00AA3F1A" w:rsidRDefault="00AA3F1A" w:rsidP="003A19C6"/>
    <w:p w14:paraId="30FFCF8D" w14:textId="4374BBAE" w:rsidR="003A19C6" w:rsidRDefault="003A19C6" w:rsidP="00AA3F1A">
      <w:pPr>
        <w:pStyle w:val="Heading2"/>
      </w:pPr>
      <w:bookmarkStart w:id="20" w:name="_Toc237201131"/>
      <w:r>
        <w:t>5.2 Feelings</w:t>
      </w:r>
      <w:bookmarkEnd w:id="20"/>
    </w:p>
    <w:p w14:paraId="60CA30D5" w14:textId="77777777" w:rsidR="003A19C6" w:rsidRDefault="003A19C6" w:rsidP="003A19C6">
      <w:r>
        <w:t>In the beginning I saw Kenya just as a potential emerging market due to its population, urbanisation and growing retail market. I wasn't sure, though, if these signs would carry over to the demand for IKEA's proposition, which is based on the idea of affordability. I also struggled with the aspect of globalisation and the local adaptation. Using the frameworks gave me a sense of greater confidence due to the fact that they help me make sense of the evidence that I am presented with rather than making initial assumptions.</w:t>
      </w:r>
    </w:p>
    <w:p w14:paraId="47C048B3" w14:textId="77777777" w:rsidR="003A19C6" w:rsidRDefault="003A19C6" w:rsidP="003A19C6"/>
    <w:p w14:paraId="36B1D564" w14:textId="77777777" w:rsidR="003A19C6" w:rsidRDefault="003A19C6" w:rsidP="00AA3F1A">
      <w:pPr>
        <w:pStyle w:val="Heading2"/>
      </w:pPr>
      <w:bookmarkStart w:id="21" w:name="_Toc237201132"/>
      <w:r>
        <w:t>5.3 Evaluation</w:t>
      </w:r>
      <w:bookmarkEnd w:id="21"/>
      <w:r>
        <w:t xml:space="preserve"> </w:t>
      </w:r>
    </w:p>
    <w:p w14:paraId="5F54396A" w14:textId="77777777" w:rsidR="003A19C6" w:rsidRDefault="003A19C6" w:rsidP="003A19C6">
      <w:r>
        <w:t xml:space="preserve">Some of the following aspects of the process were successful. IKEA's corporate material was instrumental in IKEA's franchise structure, and Kenyan government and international-organisation sources were instrumental in offering evidence on regulation, inflation, trade and economic conditions. Academic literature kept the analysis from being totally factual. There were also some restrictions. Kenya-specific evidence on IKEA was limited as the company is not yet having a significant presence in the country. Some indicators were released at various time periods and measured various aspects of economic activity. I thus found that I had to separate evidence that was representative of Kenya from evidence that was going to support an IKEA-specific judgement. This enhanced the reliability of the recommendation. This necessitated to </w:t>
      </w:r>
      <w:r>
        <w:lastRenderedPageBreak/>
        <w:t>select a few sources for comparison, having to use the same evidence throughout the comparisons.</w:t>
      </w:r>
    </w:p>
    <w:p w14:paraId="3D2B7A6A" w14:textId="77777777" w:rsidR="003A19C6" w:rsidRDefault="003A19C6" w:rsidP="003A19C6"/>
    <w:p w14:paraId="4804055B" w14:textId="77777777" w:rsidR="003A19C6" w:rsidRDefault="003A19C6" w:rsidP="00AA3F1A">
      <w:pPr>
        <w:pStyle w:val="Heading2"/>
      </w:pPr>
      <w:bookmarkStart w:id="22" w:name="_Toc237201133"/>
      <w:r>
        <w:t>5.4 Analysis</w:t>
      </w:r>
      <w:bookmarkEnd w:id="22"/>
      <w:r>
        <w:t xml:space="preserve"> </w:t>
      </w:r>
    </w:p>
    <w:p w14:paraId="5D4E4D86" w14:textId="77777777" w:rsidR="003A19C6" w:rsidRDefault="003A19C6" w:rsidP="003A19C6">
      <w:r>
        <w:t>It was necessary to develop a strategy for interpreting the information, rather than simply describing it. At first, the argument for entry was the straightforward one of population growth and urbanisation. This view was turned on its head by Bartlett and Ghoshal, who argued that IKEA could not engage in local responsiveness without compromising the global efficiencies that are at the heart of its business. In the same way, OLI also found Kenya's location advantage to be dependent on IKEA's ownership capabilities and the cost of activities being internalized.</w:t>
      </w:r>
    </w:p>
    <w:p w14:paraId="2000E2E0" w14:textId="77777777" w:rsidR="003A19C6" w:rsidRDefault="003A19C6" w:rsidP="003A19C6">
      <w:r>
        <w:t>The study emphasized the need to differentiate between information sources before assuming that information is equally reliable. Conceptual explanations were found in academic literature while current economic and regulatory evidence was found in government and institutional sources. IKEA's sources in the company were helpful in gaining insights into IKEA's business model and are the company's point of view. This separation was of great value for me in triangulating evidence, and for avoiding presenting corporate claims as independent evaluations.</w:t>
      </w:r>
    </w:p>
    <w:p w14:paraId="5D0C7301" w14:textId="77777777" w:rsidR="003A19C6" w:rsidRDefault="003A19C6" w:rsidP="003A19C6">
      <w:r>
        <w:t>In Kenya, the combination of examples of economic growth and affordability constraints is possible. I chose not to pick a side, but instead considered both market growth and the uneven distribution of purchasing power as relevant: market growth is an opportunity, and the lack of equality in purchasing power is a limitation of the customer base that can be addressed. This resulted in a subtly nuanced conclusion that Kenya is a suitable country for controlled experimentation.</w:t>
      </w:r>
    </w:p>
    <w:p w14:paraId="41A4E014" w14:textId="77777777" w:rsidR="003A19C6" w:rsidRDefault="003A19C6" w:rsidP="003A19C6">
      <w:r>
        <w:t>Another change of mind was when I used to apply entry-mode theory. At first, franchising seemed like a no-brainer since it is IKEA's model "abroad. But a study of control, local knowledge, logistical constraints and risk revealed that the model was not to be replicated. A governed franchise relationship offers a better balance between the need to safeguard the concept of IKEA, and the need to bring local capabilities to the table in Kenya. International strategy, as illustrated in the exercise, is essentially a match-up exercise between the capabilities of the organisation and the strategic environment of the host country in the making of future strategic decisions.</w:t>
      </w:r>
    </w:p>
    <w:p w14:paraId="6D353CA0" w14:textId="77777777" w:rsidR="003A19C6" w:rsidRDefault="003A19C6" w:rsidP="003A19C6"/>
    <w:p w14:paraId="2E63AC67" w14:textId="77777777" w:rsidR="003A19C6" w:rsidRDefault="003A19C6" w:rsidP="00AA3F1A">
      <w:pPr>
        <w:pStyle w:val="Heading2"/>
      </w:pPr>
      <w:bookmarkStart w:id="23" w:name="_Toc237201134"/>
      <w:r>
        <w:t>5.5 Conclusion</w:t>
      </w:r>
      <w:bookmarkEnd w:id="23"/>
      <w:r>
        <w:t xml:space="preserve"> </w:t>
      </w:r>
    </w:p>
    <w:p w14:paraId="40D9C302" w14:textId="77777777" w:rsidR="003A19C6" w:rsidRDefault="003A19C6" w:rsidP="003A19C6">
      <w:r>
        <w:t>On a broader level, the assessment reinforced my view that there is more to consider that market attractiveness when making decisions about international expansion. The global capabilities of IKEA offer transferable benefits, but only if they can be adjusted to the local consumer behaviour, regulation, and infrastructure and purchasing power. I was able to relate environmental evidence to strategic decisions by using the concept of OLI and entry-mode analysis (Bartlett and Ghoshal). The principle was that a strong recommendation needs to express uncertainty and discuss how it is being addressed in the strategy and should not just be a list of opportunities and risks.</w:t>
      </w:r>
    </w:p>
    <w:p w14:paraId="7D1B0A86" w14:textId="77777777" w:rsidR="003A19C6" w:rsidRDefault="003A19C6" w:rsidP="003A19C6"/>
    <w:p w14:paraId="116FBEFA" w14:textId="77777777" w:rsidR="003A19C6" w:rsidRDefault="003A19C6" w:rsidP="00AA3F1A">
      <w:pPr>
        <w:pStyle w:val="Heading2"/>
      </w:pPr>
      <w:bookmarkStart w:id="24" w:name="_Toc237201135"/>
      <w:r>
        <w:t>5.6 Action Plan</w:t>
      </w:r>
      <w:bookmarkEnd w:id="24"/>
      <w:r>
        <w:t xml:space="preserve"> </w:t>
      </w:r>
    </w:p>
    <w:p w14:paraId="59D6A1A5" w14:textId="06FE3FE3" w:rsidR="00EF05B7" w:rsidRPr="00EF05B7" w:rsidRDefault="003A19C6" w:rsidP="003A19C6">
      <w:r>
        <w:t>For future evaluations, I would create a matrix of evidence first and then write my draft, attaching evidence and a framework to each claim. I might also start by considering strategic alternatives, instead of making a preliminary recommendation. Triangulation would be enhanced by a comparison of source dates, methods and institutional approaches. Lastly, I would engage in sensitivity analysis to see how sensitivity to inflation, exchange rates or affordability of consumer could affect the entry recommendation. It would help make future international-business decisions more evidence-led, transparent and robust.</w:t>
      </w:r>
    </w:p>
    <w:p w14:paraId="4A2B3587" w14:textId="77777777" w:rsidR="00EF05B7" w:rsidRDefault="00EF05B7"/>
    <w:p w14:paraId="63BE78FF" w14:textId="37E9D780" w:rsidR="00EF05B7" w:rsidRPr="00EF05B7" w:rsidRDefault="00EF05B7" w:rsidP="00AA3F1A">
      <w:pPr>
        <w:pStyle w:val="Heading1"/>
      </w:pPr>
      <w:bookmarkStart w:id="25" w:name="_Toc237201136"/>
      <w:r w:rsidRPr="00EF05B7">
        <w:t>6. Conclusion</w:t>
      </w:r>
      <w:bookmarkEnd w:id="25"/>
    </w:p>
    <w:p w14:paraId="527438EF" w14:textId="77777777" w:rsidR="003A19C6" w:rsidRDefault="003A19C6" w:rsidP="003A19C6">
      <w:r>
        <w:t>While Kenya looks like a potentially good market for IKEA, it is not a clearly good market for big investments for IKEA in the short-term period. The high population density, urbanisation and need for housing, in addition to the developing retail landscape provide a realistic demand opportunity for functional and space efficient home furnishings. This potential, however, is limited by imperfect purchasing power, inflation, exchange-rate exposure, import costs, logistics and regulatory complexity. The strategic opportunity is dependent on IKEA's ability to export its value proposition to all markets while not making its products too expensive at the local level.</w:t>
      </w:r>
    </w:p>
    <w:p w14:paraId="4FB8FE18" w14:textId="77777777" w:rsidR="003A19C6" w:rsidRDefault="003A19C6" w:rsidP="003A19C6">
      <w:r>
        <w:t>IKEA has a high level of ownership advantages, such as its global brand, designs that have been developed and patented, economies of scale, supply chain and IKEA Concept. Kenya also offers significant location benefits, most notably through urbanisation, population growth and building activity, as well as its geographic location in East Africa. However, the OLI analysis shows that these location advantages don't necessarily warrant large irreversible investments. In addition to brand protection, product standards and customer experience, internalisation is useful for IKEA's success in the market, and local capabilities for distribution, regulation and consumer knowledge are important.</w:t>
      </w:r>
    </w:p>
    <w:p w14:paraId="55302062" w14:textId="06F8AD53" w:rsidR="00EF05B7" w:rsidRDefault="003A19C6" w:rsidP="003A19C6">
      <w:r>
        <w:t>Phase entry with a strong Kenyan strategic partner and franchise is therefore supported by the analysis. A small-scale launch of the internet channel in the digital markets and a localized presence in Nairobi would help IKEA gauge demand level and price sensitivity to test the market, and reduce the capital risk. Further investments in further warehousing, delivery, assembly and other urban locations should be based on proven commercial viability. This is a strategy that is both responsive to the local context and connected to the global context, and minimises risk of committing too many resources in the short-term. In total, Kenya is an economically strategic place for IKEA to rely on but the success will be less about size than about IKEA's ability to maintain affordability, operational efficiency and brand consistency in the Kenyan context.</w:t>
      </w:r>
    </w:p>
    <w:p w14:paraId="25D9B441" w14:textId="77777777" w:rsidR="00A42F3F" w:rsidRDefault="00A42F3F" w:rsidP="003A19C6"/>
    <w:p w14:paraId="3D27B26E" w14:textId="77777777" w:rsidR="001D44E7" w:rsidRPr="001D44E7" w:rsidRDefault="001D44E7" w:rsidP="001D44E7">
      <w:pPr>
        <w:pStyle w:val="Heading1"/>
      </w:pPr>
      <w:bookmarkStart w:id="26" w:name="_Toc237201137"/>
      <w:r w:rsidRPr="001D44E7">
        <w:lastRenderedPageBreak/>
        <w:t>References</w:t>
      </w:r>
      <w:bookmarkEnd w:id="26"/>
    </w:p>
    <w:p w14:paraId="19D8B268" w14:textId="77777777" w:rsidR="00F9121B" w:rsidRDefault="00F9121B" w:rsidP="001D44E7">
      <w:r w:rsidRPr="00F9121B">
        <w:t>Bartlett, C. and Ghoshal, S., 2003. Managing across borders. </w:t>
      </w:r>
      <w:r w:rsidRPr="00F9121B">
        <w:rPr>
          <w:i/>
          <w:iCs/>
        </w:rPr>
        <w:t>Manager</w:t>
      </w:r>
      <w:r w:rsidRPr="00F9121B">
        <w:t>, p.24.</w:t>
      </w:r>
    </w:p>
    <w:p w14:paraId="7B8F1B8B" w14:textId="77777777" w:rsidR="00F9121B" w:rsidRDefault="00F9121B" w:rsidP="001D44E7">
      <w:r w:rsidRPr="00F9121B">
        <w:t>Dunning, J.H., 2015. The eclectic paradigm of international production: A restatement and some possible extensions. </w:t>
      </w:r>
      <w:r w:rsidRPr="00F9121B">
        <w:rPr>
          <w:i/>
          <w:iCs/>
        </w:rPr>
        <w:t>The eclectic paradigm: A framework for synthesizing and comparing theories of international business from different disciplines or perspectives</w:t>
      </w:r>
      <w:r w:rsidRPr="00F9121B">
        <w:t>, pp.50-84.</w:t>
      </w:r>
    </w:p>
    <w:p w14:paraId="522DAFF1" w14:textId="01FDAAD3" w:rsidR="001D44E7" w:rsidRPr="001D44E7" w:rsidRDefault="001D44E7" w:rsidP="001D44E7">
      <w:r w:rsidRPr="001D44E7">
        <w:t xml:space="preserve">Inter IKEA Group (2025) </w:t>
      </w:r>
      <w:r w:rsidRPr="001D44E7">
        <w:rPr>
          <w:i/>
          <w:iCs/>
        </w:rPr>
        <w:t>Our business in brief</w:t>
      </w:r>
      <w:r w:rsidRPr="001D44E7">
        <w:t>. Inter IKEA Group.</w:t>
      </w:r>
    </w:p>
    <w:p w14:paraId="3DC3A36B" w14:textId="77777777" w:rsidR="001D44E7" w:rsidRPr="001D44E7" w:rsidRDefault="001D44E7" w:rsidP="001D44E7">
      <w:r w:rsidRPr="001D44E7">
        <w:t xml:space="preserve">Inter IKEA Group (2025) </w:t>
      </w:r>
      <w:r w:rsidRPr="001D44E7">
        <w:rPr>
          <w:i/>
          <w:iCs/>
        </w:rPr>
        <w:t>The IKEA franchise system</w:t>
      </w:r>
      <w:r w:rsidRPr="001D44E7">
        <w:t>. Inter IKEA Group.</w:t>
      </w:r>
    </w:p>
    <w:p w14:paraId="156104CF" w14:textId="77777777" w:rsidR="001D44E7" w:rsidRPr="001D44E7" w:rsidRDefault="001D44E7" w:rsidP="001D44E7">
      <w:r w:rsidRPr="001D44E7">
        <w:t xml:space="preserve">Invest Kenya (2026) </w:t>
      </w:r>
      <w:r w:rsidRPr="001D44E7">
        <w:rPr>
          <w:i/>
          <w:iCs/>
        </w:rPr>
        <w:t>Register as an investor</w:t>
      </w:r>
      <w:r w:rsidRPr="001D44E7">
        <w:t>. Nairobi: Kenya Investment Authority.</w:t>
      </w:r>
    </w:p>
    <w:p w14:paraId="460230DF" w14:textId="77777777" w:rsidR="001D44E7" w:rsidRPr="001D44E7" w:rsidRDefault="001D44E7" w:rsidP="001D44E7">
      <w:r w:rsidRPr="001D44E7">
        <w:t xml:space="preserve">Kenya Law (2022a) </w:t>
      </w:r>
      <w:r w:rsidRPr="001D44E7">
        <w:rPr>
          <w:i/>
          <w:iCs/>
        </w:rPr>
        <w:t>Consumer Protection Act, 2012, Cap. 501</w:t>
      </w:r>
      <w:r w:rsidRPr="001D44E7">
        <w:t>. Nairobi: National Council for Law Reporting.</w:t>
      </w:r>
    </w:p>
    <w:p w14:paraId="5D19B347" w14:textId="77777777" w:rsidR="001D44E7" w:rsidRPr="001D44E7" w:rsidRDefault="001D44E7" w:rsidP="001D44E7">
      <w:r w:rsidRPr="001D44E7">
        <w:t xml:space="preserve">Kenya Law (2022b) </w:t>
      </w:r>
      <w:r w:rsidRPr="001D44E7">
        <w:rPr>
          <w:i/>
          <w:iCs/>
        </w:rPr>
        <w:t>Industrial Property Act, 2001, Cap. 509</w:t>
      </w:r>
      <w:r w:rsidRPr="001D44E7">
        <w:t>. Nairobi: National Council for Law Reporting.</w:t>
      </w:r>
    </w:p>
    <w:p w14:paraId="3DFF8395" w14:textId="77777777" w:rsidR="001D44E7" w:rsidRPr="001D44E7" w:rsidRDefault="001D44E7" w:rsidP="001D44E7">
      <w:r w:rsidRPr="001D44E7">
        <w:t xml:space="preserve">Kenya Law (2022c) </w:t>
      </w:r>
      <w:r w:rsidRPr="001D44E7">
        <w:rPr>
          <w:i/>
          <w:iCs/>
        </w:rPr>
        <w:t>Competition Act, 2010, Cap. 504</w:t>
      </w:r>
      <w:r w:rsidRPr="001D44E7">
        <w:t>. Nairobi: National Council for Law Reporting.</w:t>
      </w:r>
    </w:p>
    <w:p w14:paraId="0E67CE56" w14:textId="77777777" w:rsidR="001D44E7" w:rsidRPr="001D44E7" w:rsidRDefault="001D44E7" w:rsidP="001D44E7">
      <w:r w:rsidRPr="001D44E7">
        <w:t xml:space="preserve">Kenya Law (2023) </w:t>
      </w:r>
      <w:r w:rsidRPr="001D44E7">
        <w:rPr>
          <w:i/>
          <w:iCs/>
        </w:rPr>
        <w:t>Companies Act, 2015, Cap. 486</w:t>
      </w:r>
      <w:r w:rsidRPr="001D44E7">
        <w:t>. Nairobi: National Council for Law Reporting.</w:t>
      </w:r>
    </w:p>
    <w:p w14:paraId="3F637F9A" w14:textId="77777777" w:rsidR="001D44E7" w:rsidRPr="001D44E7" w:rsidRDefault="001D44E7" w:rsidP="001D44E7">
      <w:r w:rsidRPr="001D44E7">
        <w:t xml:space="preserve">Kenya Law (2024) </w:t>
      </w:r>
      <w:r w:rsidRPr="001D44E7">
        <w:rPr>
          <w:i/>
          <w:iCs/>
        </w:rPr>
        <w:t>Employment Act, 2007, Cap. 226</w:t>
      </w:r>
      <w:r w:rsidRPr="001D44E7">
        <w:t>. Nairobi: National Council for Law Reporting.</w:t>
      </w:r>
    </w:p>
    <w:p w14:paraId="6722FFEC" w14:textId="77777777" w:rsidR="001D44E7" w:rsidRPr="001D44E7" w:rsidRDefault="001D44E7" w:rsidP="001D44E7">
      <w:r w:rsidRPr="001D44E7">
        <w:t xml:space="preserve">Kenya National Bureau of Statistics (KNBS) (2026a) </w:t>
      </w:r>
      <w:r w:rsidRPr="001D44E7">
        <w:rPr>
          <w:i/>
          <w:iCs/>
        </w:rPr>
        <w:t>2026 Economic Survey</w:t>
      </w:r>
      <w:r w:rsidRPr="001D44E7">
        <w:t>. Nairobi: Kenya National Bureau of Statistics.</w:t>
      </w:r>
    </w:p>
    <w:p w14:paraId="44C0FDCA" w14:textId="77777777" w:rsidR="001D44E7" w:rsidRPr="001D44E7" w:rsidRDefault="001D44E7" w:rsidP="001D44E7">
      <w:r w:rsidRPr="001D44E7">
        <w:t xml:space="preserve">Kenya National Bureau of Statistics (KNBS) (2026b) </w:t>
      </w:r>
      <w:r w:rsidRPr="001D44E7">
        <w:rPr>
          <w:i/>
          <w:iCs/>
        </w:rPr>
        <w:t>Kenya Facts and Figures 2026</w:t>
      </w:r>
      <w:r w:rsidRPr="001D44E7">
        <w:t>. Nairobi: Kenya National Bureau of Statistics.</w:t>
      </w:r>
    </w:p>
    <w:p w14:paraId="3AD50E4B" w14:textId="77777777" w:rsidR="001D44E7" w:rsidRPr="001D44E7" w:rsidRDefault="001D44E7" w:rsidP="001D44E7">
      <w:r w:rsidRPr="001D44E7">
        <w:t xml:space="preserve">Kenya National Bureau of Statistics (KNBS) (2026c) </w:t>
      </w:r>
      <w:r w:rsidRPr="001D44E7">
        <w:rPr>
          <w:i/>
          <w:iCs/>
        </w:rPr>
        <w:t>Consumer Price Indices and Inflation Rates: April 2026</w:t>
      </w:r>
      <w:r w:rsidRPr="001D44E7">
        <w:t>. Nairobi: Kenya National Bureau of Statistics.</w:t>
      </w:r>
    </w:p>
    <w:p w14:paraId="1A9219E8" w14:textId="77777777" w:rsidR="001D44E7" w:rsidRPr="001D44E7" w:rsidRDefault="001D44E7" w:rsidP="001D44E7">
      <w:r w:rsidRPr="001D44E7">
        <w:t xml:space="preserve">Kenya Revenue Authority (KRA) (2025) </w:t>
      </w:r>
      <w:r w:rsidRPr="001D44E7">
        <w:rPr>
          <w:i/>
          <w:iCs/>
        </w:rPr>
        <w:t>Requirement for Mandatory Certificate of Origin on Imports into Kenya</w:t>
      </w:r>
      <w:r w:rsidRPr="001D44E7">
        <w:t>. Nairobi: Kenya Revenue Authority.</w:t>
      </w:r>
    </w:p>
    <w:p w14:paraId="71F897C5" w14:textId="77777777" w:rsidR="001D44E7" w:rsidRPr="001D44E7" w:rsidRDefault="001D44E7" w:rsidP="001D44E7">
      <w:r w:rsidRPr="001D44E7">
        <w:t xml:space="preserve">Kenya Revenue Authority (KRA) (2026a) </w:t>
      </w:r>
      <w:r w:rsidRPr="001D44E7">
        <w:rPr>
          <w:i/>
          <w:iCs/>
        </w:rPr>
        <w:t>Import Duties, Taxes and Customs Clearance</w:t>
      </w:r>
      <w:r w:rsidRPr="001D44E7">
        <w:t>. Nairobi: Kenya Revenue Authority.</w:t>
      </w:r>
    </w:p>
    <w:p w14:paraId="68E34D23" w14:textId="77777777" w:rsidR="001D44E7" w:rsidRPr="001D44E7" w:rsidRDefault="001D44E7" w:rsidP="001D44E7">
      <w:r w:rsidRPr="001D44E7">
        <w:t xml:space="preserve">World Bank (2022) </w:t>
      </w:r>
      <w:r w:rsidRPr="001D44E7">
        <w:rPr>
          <w:i/>
          <w:iCs/>
        </w:rPr>
        <w:t>Kenya Needs 2 Million More Low-Income Homes: Building Them Would Boost Its Economic Growth</w:t>
      </w:r>
      <w:r w:rsidRPr="001D44E7">
        <w:t>. Washington, DC: World Bank.</w:t>
      </w:r>
    </w:p>
    <w:p w14:paraId="73131932" w14:textId="77777777" w:rsidR="001D44E7" w:rsidRPr="001D44E7" w:rsidRDefault="001D44E7" w:rsidP="001D44E7">
      <w:r w:rsidRPr="001D44E7">
        <w:t xml:space="preserve">World Bank (2025a) </w:t>
      </w:r>
      <w:r w:rsidRPr="001D44E7">
        <w:rPr>
          <w:i/>
          <w:iCs/>
        </w:rPr>
        <w:t>Reforms Are Needed to Stem a Slow-Down in Kenya’s Economic Growth</w:t>
      </w:r>
      <w:r w:rsidRPr="001D44E7">
        <w:t>. Washington, DC: World Bank.</w:t>
      </w:r>
    </w:p>
    <w:p w14:paraId="3EBA7911" w14:textId="77777777" w:rsidR="001D44E7" w:rsidRPr="001D44E7" w:rsidRDefault="001D44E7" w:rsidP="001D44E7">
      <w:r w:rsidRPr="001D44E7">
        <w:t xml:space="preserve">World Bank (2025b) </w:t>
      </w:r>
      <w:r w:rsidRPr="001D44E7">
        <w:rPr>
          <w:i/>
          <w:iCs/>
        </w:rPr>
        <w:t>Despite Improvements, Kenya’s Fiscal Path Is Fragile Amid High Debt Vulnerabilities and Weak Revenue Growth</w:t>
      </w:r>
      <w:r w:rsidRPr="001D44E7">
        <w:t>. Washington, DC: World Bank.</w:t>
      </w:r>
    </w:p>
    <w:p w14:paraId="12C35C37" w14:textId="77777777" w:rsidR="001D44E7" w:rsidRPr="001D44E7" w:rsidRDefault="001D44E7" w:rsidP="001D44E7">
      <w:r w:rsidRPr="001D44E7">
        <w:lastRenderedPageBreak/>
        <w:t xml:space="preserve">World Bank (2025c) </w:t>
      </w:r>
      <w:r w:rsidRPr="001D44E7">
        <w:rPr>
          <w:i/>
          <w:iCs/>
        </w:rPr>
        <w:t>The Global Findex Database 2025: Connectivity and Financial Inclusion in the Digital Economy – Kenya</w:t>
      </w:r>
      <w:r w:rsidRPr="001D44E7">
        <w:t>. Washington, DC: World Bank.</w:t>
      </w:r>
    </w:p>
    <w:p w14:paraId="6BB5780E" w14:textId="77777777" w:rsidR="001D44E7" w:rsidRPr="001D44E7" w:rsidRDefault="001D44E7" w:rsidP="001D44E7">
      <w:r w:rsidRPr="001D44E7">
        <w:t xml:space="preserve">World Bank (2026a) </w:t>
      </w:r>
      <w:r w:rsidRPr="001D44E7">
        <w:rPr>
          <w:i/>
          <w:iCs/>
        </w:rPr>
        <w:t>Kenya Economic Update</w:t>
      </w:r>
      <w:r w:rsidRPr="001D44E7">
        <w:t>. Washington, DC: World Bank.</w:t>
      </w:r>
    </w:p>
    <w:p w14:paraId="2BCB9544" w14:textId="77777777" w:rsidR="001D44E7" w:rsidRPr="001D44E7" w:rsidRDefault="001D44E7" w:rsidP="001D44E7">
      <w:r w:rsidRPr="001D44E7">
        <w:t xml:space="preserve">IKEA (2025a) </w:t>
      </w:r>
      <w:r w:rsidRPr="001D44E7">
        <w:rPr>
          <w:i/>
          <w:iCs/>
        </w:rPr>
        <w:t>How We Work</w:t>
      </w:r>
      <w:r w:rsidRPr="001D44E7">
        <w:t>. IKEA Global.</w:t>
      </w:r>
    </w:p>
    <w:p w14:paraId="3C2A25FF" w14:textId="77777777" w:rsidR="001D44E7" w:rsidRPr="001D44E7" w:rsidRDefault="001D44E7" w:rsidP="001D44E7">
      <w:r w:rsidRPr="001D44E7">
        <w:t xml:space="preserve">IKEA (2025b) </w:t>
      </w:r>
      <w:r w:rsidRPr="001D44E7">
        <w:rPr>
          <w:i/>
          <w:iCs/>
        </w:rPr>
        <w:t>The IKEA Franchise System</w:t>
      </w:r>
      <w:r w:rsidRPr="001D44E7">
        <w:t>. IKEA Global.</w:t>
      </w:r>
    </w:p>
    <w:p w14:paraId="38008EBD" w14:textId="77777777" w:rsidR="001D44E7" w:rsidRPr="001D44E7" w:rsidRDefault="001D44E7" w:rsidP="001D44E7">
      <w:r w:rsidRPr="001D44E7">
        <w:t xml:space="preserve">IKEA (2025c) </w:t>
      </w:r>
      <w:r w:rsidRPr="001D44E7">
        <w:rPr>
          <w:i/>
          <w:iCs/>
        </w:rPr>
        <w:t>What’s It Like to Be an IKEA Franchisee?</w:t>
      </w:r>
      <w:r w:rsidRPr="001D44E7">
        <w:t xml:space="preserve"> IKEA Global.</w:t>
      </w:r>
    </w:p>
    <w:p w14:paraId="0870C01B" w14:textId="77777777" w:rsidR="001D44E7" w:rsidRPr="001D44E7" w:rsidRDefault="001D44E7" w:rsidP="001D44E7">
      <w:r w:rsidRPr="001D44E7">
        <w:t xml:space="preserve">IKEA (2025d) </w:t>
      </w:r>
      <w:r w:rsidRPr="001D44E7">
        <w:rPr>
          <w:i/>
          <w:iCs/>
        </w:rPr>
        <w:t>IKEA Retail Sales Figures for FY25</w:t>
      </w:r>
      <w:r w:rsidRPr="001D44E7">
        <w:t>. IKEA Global.</w:t>
      </w:r>
    </w:p>
    <w:p w14:paraId="08E8D5D4" w14:textId="77777777" w:rsidR="00A42F3F" w:rsidRDefault="00A42F3F" w:rsidP="003A19C6"/>
    <w:sectPr w:rsidR="00A42F3F" w:rsidSect="00A42F3F">
      <w:footerReference w:type="default" r:id="rId16"/>
      <w:footerReference w:type="first" r:id="rId17"/>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7B486F" w14:textId="77777777" w:rsidR="001B4443" w:rsidRDefault="001B4443" w:rsidP="00A42F3F">
      <w:pPr>
        <w:spacing w:after="0" w:line="240" w:lineRule="auto"/>
      </w:pPr>
      <w:r>
        <w:separator/>
      </w:r>
    </w:p>
  </w:endnote>
  <w:endnote w:type="continuationSeparator" w:id="0">
    <w:p w14:paraId="6385EA00" w14:textId="77777777" w:rsidR="001B4443" w:rsidRDefault="001B4443" w:rsidP="00A42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13899" w14:textId="3CABBF00" w:rsidR="00A42F3F" w:rsidRDefault="00A42F3F">
    <w:pPr>
      <w:pStyle w:val="Footer"/>
      <w:jc w:val="center"/>
    </w:pPr>
  </w:p>
  <w:p w14:paraId="62717606" w14:textId="77777777" w:rsidR="00A42F3F" w:rsidRDefault="00A42F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82059267"/>
      <w:docPartObj>
        <w:docPartGallery w:val="Page Numbers (Bottom of Page)"/>
        <w:docPartUnique/>
      </w:docPartObj>
    </w:sdtPr>
    <w:sdtEndPr>
      <w:rPr>
        <w:noProof/>
      </w:rPr>
    </w:sdtEndPr>
    <w:sdtContent>
      <w:p w14:paraId="4833E23F" w14:textId="77777777" w:rsidR="00A42F3F" w:rsidRDefault="00A42F3F">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097B7344" w14:textId="77777777" w:rsidR="00A42F3F" w:rsidRDefault="00A42F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871993241"/>
      <w:docPartObj>
        <w:docPartGallery w:val="Page Numbers (Bottom of Page)"/>
        <w:docPartUnique/>
      </w:docPartObj>
    </w:sdtPr>
    <w:sdtEndPr>
      <w:rPr>
        <w:noProof/>
      </w:rPr>
    </w:sdtEndPr>
    <w:sdtContent>
      <w:p w14:paraId="060CA1EF" w14:textId="630EC203" w:rsidR="00A42F3F" w:rsidRDefault="00A42F3F">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5544589A" w14:textId="77777777" w:rsidR="00A42F3F" w:rsidRDefault="00A42F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46F0C" w14:textId="77777777" w:rsidR="001B4443" w:rsidRDefault="001B4443" w:rsidP="00A42F3F">
      <w:pPr>
        <w:spacing w:after="0" w:line="240" w:lineRule="auto"/>
      </w:pPr>
      <w:r>
        <w:separator/>
      </w:r>
    </w:p>
  </w:footnote>
  <w:footnote w:type="continuationSeparator" w:id="0">
    <w:p w14:paraId="12907533" w14:textId="77777777" w:rsidR="001B4443" w:rsidRDefault="001B4443" w:rsidP="00A42F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33784"/>
    <w:multiLevelType w:val="hybridMultilevel"/>
    <w:tmpl w:val="03FC23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5676DF4"/>
    <w:multiLevelType w:val="multilevel"/>
    <w:tmpl w:val="BF90AD02"/>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135953951">
    <w:abstractNumId w:val="1"/>
    <w:lvlOverride w:ilvl="0">
      <w:startOverride w:val="1"/>
    </w:lvlOverride>
    <w:lvlOverride w:ilvl="1"/>
    <w:lvlOverride w:ilvl="2"/>
    <w:lvlOverride w:ilvl="3"/>
    <w:lvlOverride w:ilvl="4"/>
    <w:lvlOverride w:ilvl="5"/>
    <w:lvlOverride w:ilvl="6"/>
    <w:lvlOverride w:ilvl="7"/>
    <w:lvlOverride w:ilvl="8"/>
  </w:num>
  <w:num w:numId="2" w16cid:durableId="2130194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5B7"/>
    <w:rsid w:val="00013EDC"/>
    <w:rsid w:val="000832A0"/>
    <w:rsid w:val="000F283E"/>
    <w:rsid w:val="001B4443"/>
    <w:rsid w:val="001D44E7"/>
    <w:rsid w:val="001E7B54"/>
    <w:rsid w:val="002275A3"/>
    <w:rsid w:val="00334591"/>
    <w:rsid w:val="00387053"/>
    <w:rsid w:val="003A1142"/>
    <w:rsid w:val="003A19C6"/>
    <w:rsid w:val="004D3984"/>
    <w:rsid w:val="004E1A24"/>
    <w:rsid w:val="00512961"/>
    <w:rsid w:val="005164BA"/>
    <w:rsid w:val="006B01C2"/>
    <w:rsid w:val="006E7942"/>
    <w:rsid w:val="00721044"/>
    <w:rsid w:val="00740098"/>
    <w:rsid w:val="0074186B"/>
    <w:rsid w:val="00845BA7"/>
    <w:rsid w:val="009823C4"/>
    <w:rsid w:val="00A42F3F"/>
    <w:rsid w:val="00A955EC"/>
    <w:rsid w:val="00AA3F1A"/>
    <w:rsid w:val="00D91C68"/>
    <w:rsid w:val="00E16342"/>
    <w:rsid w:val="00E27655"/>
    <w:rsid w:val="00E33E0B"/>
    <w:rsid w:val="00E346C3"/>
    <w:rsid w:val="00ED41EF"/>
    <w:rsid w:val="00EF05B7"/>
    <w:rsid w:val="00F9121B"/>
    <w:rsid w:val="00FC692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8E220"/>
  <w15:chartTrackingRefBased/>
  <w15:docId w15:val="{3892A1D7-4F49-4955-8F1F-B6137F174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F1A"/>
    <w:pPr>
      <w:jc w:val="both"/>
    </w:pPr>
    <w:rPr>
      <w:rFonts w:ascii="Arial" w:hAnsi="Arial"/>
      <w:noProof/>
      <w:sz w:val="24"/>
    </w:rPr>
  </w:style>
  <w:style w:type="paragraph" w:styleId="Heading1">
    <w:name w:val="heading 1"/>
    <w:basedOn w:val="Normal"/>
    <w:next w:val="Normal"/>
    <w:link w:val="Heading1Char"/>
    <w:uiPriority w:val="9"/>
    <w:qFormat/>
    <w:rsid w:val="00AA3F1A"/>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AA3F1A"/>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EF05B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F05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F05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F05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05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05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05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3F1A"/>
    <w:rPr>
      <w:rFonts w:ascii="Arial" w:eastAsiaTheme="majorEastAsia" w:hAnsi="Arial" w:cstheme="majorBidi"/>
      <w:b/>
      <w:noProof/>
      <w:color w:val="000000" w:themeColor="text1"/>
      <w:sz w:val="32"/>
      <w:szCs w:val="40"/>
    </w:rPr>
  </w:style>
  <w:style w:type="character" w:customStyle="1" w:styleId="Heading2Char">
    <w:name w:val="Heading 2 Char"/>
    <w:basedOn w:val="DefaultParagraphFont"/>
    <w:link w:val="Heading2"/>
    <w:uiPriority w:val="9"/>
    <w:rsid w:val="00AA3F1A"/>
    <w:rPr>
      <w:rFonts w:ascii="Arial" w:eastAsiaTheme="majorEastAsia" w:hAnsi="Arial" w:cstheme="majorBidi"/>
      <w:b/>
      <w:noProof/>
      <w:color w:val="000000" w:themeColor="text1"/>
      <w:sz w:val="28"/>
      <w:szCs w:val="32"/>
    </w:rPr>
  </w:style>
  <w:style w:type="character" w:customStyle="1" w:styleId="Heading3Char">
    <w:name w:val="Heading 3 Char"/>
    <w:basedOn w:val="DefaultParagraphFont"/>
    <w:link w:val="Heading3"/>
    <w:uiPriority w:val="9"/>
    <w:semiHidden/>
    <w:rsid w:val="00EF05B7"/>
    <w:rPr>
      <w:rFonts w:eastAsiaTheme="majorEastAsia" w:cstheme="majorBidi"/>
      <w:noProof/>
      <w:color w:val="2F5496" w:themeColor="accent1" w:themeShade="BF"/>
      <w:sz w:val="28"/>
      <w:szCs w:val="28"/>
    </w:rPr>
  </w:style>
  <w:style w:type="character" w:customStyle="1" w:styleId="Heading4Char">
    <w:name w:val="Heading 4 Char"/>
    <w:basedOn w:val="DefaultParagraphFont"/>
    <w:link w:val="Heading4"/>
    <w:uiPriority w:val="9"/>
    <w:semiHidden/>
    <w:rsid w:val="00EF05B7"/>
    <w:rPr>
      <w:rFonts w:eastAsiaTheme="majorEastAsia" w:cstheme="majorBidi"/>
      <w:i/>
      <w:iCs/>
      <w:noProof/>
      <w:color w:val="2F5496" w:themeColor="accent1" w:themeShade="BF"/>
    </w:rPr>
  </w:style>
  <w:style w:type="character" w:customStyle="1" w:styleId="Heading5Char">
    <w:name w:val="Heading 5 Char"/>
    <w:basedOn w:val="DefaultParagraphFont"/>
    <w:link w:val="Heading5"/>
    <w:uiPriority w:val="9"/>
    <w:semiHidden/>
    <w:rsid w:val="00EF05B7"/>
    <w:rPr>
      <w:rFonts w:eastAsiaTheme="majorEastAsia" w:cstheme="majorBidi"/>
      <w:noProof/>
      <w:color w:val="2F5496" w:themeColor="accent1" w:themeShade="BF"/>
    </w:rPr>
  </w:style>
  <w:style w:type="character" w:customStyle="1" w:styleId="Heading6Char">
    <w:name w:val="Heading 6 Char"/>
    <w:basedOn w:val="DefaultParagraphFont"/>
    <w:link w:val="Heading6"/>
    <w:uiPriority w:val="9"/>
    <w:semiHidden/>
    <w:rsid w:val="00EF05B7"/>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EF05B7"/>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EF05B7"/>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EF05B7"/>
    <w:rPr>
      <w:rFonts w:eastAsiaTheme="majorEastAsia" w:cstheme="majorBidi"/>
      <w:noProof/>
      <w:color w:val="272727" w:themeColor="text1" w:themeTint="D8"/>
    </w:rPr>
  </w:style>
  <w:style w:type="paragraph" w:styleId="Title">
    <w:name w:val="Title"/>
    <w:basedOn w:val="Normal"/>
    <w:next w:val="Normal"/>
    <w:link w:val="TitleChar"/>
    <w:uiPriority w:val="10"/>
    <w:qFormat/>
    <w:rsid w:val="00EF05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5B7"/>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EF05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05B7"/>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EF05B7"/>
    <w:pPr>
      <w:spacing w:before="160"/>
      <w:jc w:val="center"/>
    </w:pPr>
    <w:rPr>
      <w:i/>
      <w:iCs/>
      <w:color w:val="404040" w:themeColor="text1" w:themeTint="BF"/>
    </w:rPr>
  </w:style>
  <w:style w:type="character" w:customStyle="1" w:styleId="QuoteChar">
    <w:name w:val="Quote Char"/>
    <w:basedOn w:val="DefaultParagraphFont"/>
    <w:link w:val="Quote"/>
    <w:uiPriority w:val="29"/>
    <w:rsid w:val="00EF05B7"/>
    <w:rPr>
      <w:i/>
      <w:iCs/>
      <w:noProof/>
      <w:color w:val="404040" w:themeColor="text1" w:themeTint="BF"/>
    </w:rPr>
  </w:style>
  <w:style w:type="paragraph" w:styleId="ListParagraph">
    <w:name w:val="List Paragraph"/>
    <w:basedOn w:val="Normal"/>
    <w:uiPriority w:val="34"/>
    <w:qFormat/>
    <w:rsid w:val="00EF05B7"/>
    <w:pPr>
      <w:ind w:left="720"/>
      <w:contextualSpacing/>
    </w:pPr>
  </w:style>
  <w:style w:type="character" w:styleId="IntenseEmphasis">
    <w:name w:val="Intense Emphasis"/>
    <w:basedOn w:val="DefaultParagraphFont"/>
    <w:uiPriority w:val="21"/>
    <w:qFormat/>
    <w:rsid w:val="00EF05B7"/>
    <w:rPr>
      <w:i/>
      <w:iCs/>
      <w:color w:val="2F5496" w:themeColor="accent1" w:themeShade="BF"/>
    </w:rPr>
  </w:style>
  <w:style w:type="paragraph" w:styleId="IntenseQuote">
    <w:name w:val="Intense Quote"/>
    <w:basedOn w:val="Normal"/>
    <w:next w:val="Normal"/>
    <w:link w:val="IntenseQuoteChar"/>
    <w:uiPriority w:val="30"/>
    <w:qFormat/>
    <w:rsid w:val="00EF05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F05B7"/>
    <w:rPr>
      <w:i/>
      <w:iCs/>
      <w:noProof/>
      <w:color w:val="2F5496" w:themeColor="accent1" w:themeShade="BF"/>
    </w:rPr>
  </w:style>
  <w:style w:type="character" w:styleId="IntenseReference">
    <w:name w:val="Intense Reference"/>
    <w:basedOn w:val="DefaultParagraphFont"/>
    <w:uiPriority w:val="32"/>
    <w:qFormat/>
    <w:rsid w:val="00EF05B7"/>
    <w:rPr>
      <w:b/>
      <w:bCs/>
      <w:smallCaps/>
      <w:color w:val="2F5496" w:themeColor="accent1" w:themeShade="BF"/>
      <w:spacing w:val="5"/>
    </w:rPr>
  </w:style>
  <w:style w:type="table" w:styleId="TableGrid">
    <w:name w:val="Table Grid"/>
    <w:basedOn w:val="TableNormal"/>
    <w:uiPriority w:val="39"/>
    <w:rsid w:val="00AA3F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42F3F"/>
    <w:pPr>
      <w:spacing w:before="240" w:after="0"/>
      <w:jc w:val="left"/>
      <w:outlineLvl w:val="9"/>
    </w:pPr>
    <w:rPr>
      <w:rFonts w:asciiTheme="majorHAnsi" w:hAnsiTheme="majorHAnsi"/>
      <w:b w:val="0"/>
      <w:noProof w:val="0"/>
      <w:color w:val="2F5496" w:themeColor="accent1" w:themeShade="BF"/>
      <w:kern w:val="0"/>
      <w:szCs w:val="32"/>
      <w:lang w:val="en-US"/>
      <w14:ligatures w14:val="none"/>
    </w:rPr>
  </w:style>
  <w:style w:type="paragraph" w:styleId="TOC1">
    <w:name w:val="toc 1"/>
    <w:basedOn w:val="Normal"/>
    <w:next w:val="Normal"/>
    <w:autoRedefine/>
    <w:uiPriority w:val="39"/>
    <w:unhideWhenUsed/>
    <w:rsid w:val="00A42F3F"/>
    <w:pPr>
      <w:spacing w:after="100"/>
    </w:pPr>
  </w:style>
  <w:style w:type="paragraph" w:styleId="TOC2">
    <w:name w:val="toc 2"/>
    <w:basedOn w:val="Normal"/>
    <w:next w:val="Normal"/>
    <w:autoRedefine/>
    <w:uiPriority w:val="39"/>
    <w:unhideWhenUsed/>
    <w:rsid w:val="00A42F3F"/>
    <w:pPr>
      <w:spacing w:after="100"/>
      <w:ind w:left="240"/>
    </w:pPr>
  </w:style>
  <w:style w:type="character" w:styleId="Hyperlink">
    <w:name w:val="Hyperlink"/>
    <w:basedOn w:val="DefaultParagraphFont"/>
    <w:uiPriority w:val="99"/>
    <w:unhideWhenUsed/>
    <w:rsid w:val="00A42F3F"/>
    <w:rPr>
      <w:color w:val="0563C1" w:themeColor="hyperlink"/>
      <w:u w:val="single"/>
    </w:rPr>
  </w:style>
  <w:style w:type="paragraph" w:styleId="Header">
    <w:name w:val="header"/>
    <w:basedOn w:val="Normal"/>
    <w:link w:val="HeaderChar"/>
    <w:uiPriority w:val="99"/>
    <w:unhideWhenUsed/>
    <w:rsid w:val="00A42F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2F3F"/>
    <w:rPr>
      <w:rFonts w:ascii="Arial" w:hAnsi="Arial"/>
      <w:noProof/>
      <w:sz w:val="24"/>
    </w:rPr>
  </w:style>
  <w:style w:type="paragraph" w:styleId="Footer">
    <w:name w:val="footer"/>
    <w:basedOn w:val="Normal"/>
    <w:link w:val="FooterChar"/>
    <w:uiPriority w:val="99"/>
    <w:unhideWhenUsed/>
    <w:rsid w:val="00A42F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2F3F"/>
    <w:rPr>
      <w:rFonts w:ascii="Arial" w:hAnsi="Arial"/>
      <w:noProof/>
      <w:sz w:val="24"/>
    </w:rPr>
  </w:style>
  <w:style w:type="paragraph" w:styleId="Caption">
    <w:name w:val="caption"/>
    <w:basedOn w:val="Normal"/>
    <w:next w:val="Normal"/>
    <w:uiPriority w:val="35"/>
    <w:unhideWhenUsed/>
    <w:qFormat/>
    <w:rsid w:val="00A42F3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034132D-683F-46B8-A877-8205A8BFE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6497</Words>
  <Characters>37034</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Neet Bajariya</dc:creator>
  <cp:keywords/>
  <dc:description/>
  <cp:lastModifiedBy>neet bajariya</cp:lastModifiedBy>
  <cp:revision>2</cp:revision>
  <dcterms:created xsi:type="dcterms:W3CDTF">2026-08-14T09:07:00Z</dcterms:created>
  <dcterms:modified xsi:type="dcterms:W3CDTF">2026-08-14T09:07:00Z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63a2ad2e-5ee9-42ef-8860-51b0c1e534a6</vt:lpwstr>
  </property>
</Properties>
</file>