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1BD33" w14:textId="77777777" w:rsidR="001F6062" w:rsidRDefault="001F6062"/>
    <w:p w14:paraId="5DA1B6B0" w14:textId="77777777" w:rsidR="001F6062" w:rsidRDefault="001F6062"/>
    <w:p w14:paraId="7FD54537" w14:textId="77777777" w:rsidR="001F6062" w:rsidRDefault="001F6062"/>
    <w:p w14:paraId="67D93F02" w14:textId="77777777" w:rsidR="001F6062" w:rsidRDefault="001F6062"/>
    <w:p w14:paraId="4CEE462F" w14:textId="33CD58ED" w:rsidR="0000481C" w:rsidRDefault="001F6062">
      <w:r>
        <w:rPr>
          <w:rFonts w:ascii="Calibri" w:eastAsia="Times New Roman" w:hAnsi="Calibri" w:cs="Calibri"/>
          <w:noProof/>
          <w:color w:val="000000"/>
          <w:sz w:val="22"/>
          <w:szCs w:val="22"/>
        </w:rPr>
        <w:drawing>
          <wp:inline distT="0" distB="0" distL="0" distR="0" wp14:anchorId="67C2DD74" wp14:editId="39B699CF">
            <wp:extent cx="5562615" cy="1498774"/>
            <wp:effectExtent l="0" t="0" r="0" b="6176"/>
            <wp:docPr id="977107221" name="Picture 1" descr="University of Wales Trinity Saint David ..."/>
            <wp:cNvGraphicFramePr/>
            <a:graphic xmlns:a="http://schemas.openxmlformats.org/drawingml/2006/main">
              <a:graphicData uri="http://schemas.openxmlformats.org/drawingml/2006/picture">
                <pic:pic xmlns:pic="http://schemas.openxmlformats.org/drawingml/2006/picture">
                  <pic:nvPicPr>
                    <pic:cNvPr id="977107221" name=""/>
                    <pic:cNvPicPr/>
                  </pic:nvPicPr>
                  <pic:blipFill>
                    <a:blip r:embed="rId7"/>
                    <a:stretch>
                      <a:fillRect/>
                    </a:stretch>
                  </pic:blipFill>
                  <pic:spPr>
                    <a:xfrm>
                      <a:off x="0" y="0"/>
                      <a:ext cx="5562615" cy="1498774"/>
                    </a:xfrm>
                    <a:prstGeom prst="rect">
                      <a:avLst/>
                    </a:prstGeom>
                    <a:noFill/>
                    <a:ln>
                      <a:noFill/>
                      <a:prstDash val="solid"/>
                    </a:ln>
                  </pic:spPr>
                </pic:pic>
              </a:graphicData>
            </a:graphic>
          </wp:inline>
        </w:drawing>
      </w:r>
    </w:p>
    <w:p w14:paraId="22F72F6C" w14:textId="77777777" w:rsidR="001F6062" w:rsidRDefault="001F6062"/>
    <w:p w14:paraId="3FCB38B5" w14:textId="77777777" w:rsidR="001F6062" w:rsidRPr="001F6062" w:rsidRDefault="001F6062" w:rsidP="001F6062">
      <w:pPr>
        <w:rPr>
          <w:b/>
          <w:bCs/>
          <w:sz w:val="32"/>
          <w:szCs w:val="32"/>
        </w:rPr>
      </w:pPr>
    </w:p>
    <w:p w14:paraId="4ED0C287" w14:textId="77777777" w:rsidR="001F6062" w:rsidRPr="001A4A49" w:rsidRDefault="001F6062" w:rsidP="001F6062">
      <w:pPr>
        <w:jc w:val="center"/>
        <w:rPr>
          <w:rFonts w:ascii="Arial" w:hAnsi="Arial" w:cs="Arial"/>
          <w:b/>
          <w:bCs/>
          <w:sz w:val="32"/>
          <w:szCs w:val="32"/>
        </w:rPr>
      </w:pPr>
    </w:p>
    <w:p w14:paraId="08C161C8" w14:textId="77777777" w:rsidR="001F6062" w:rsidRPr="001A4A49" w:rsidRDefault="001F6062" w:rsidP="001F6062">
      <w:pPr>
        <w:jc w:val="center"/>
        <w:rPr>
          <w:rFonts w:ascii="Arial" w:hAnsi="Arial" w:cs="Arial"/>
          <w:b/>
          <w:bCs/>
          <w:sz w:val="32"/>
          <w:szCs w:val="32"/>
          <w:lang w:val="pt-PT"/>
        </w:rPr>
      </w:pPr>
      <w:r w:rsidRPr="001A4A49">
        <w:rPr>
          <w:rFonts w:ascii="Arial" w:hAnsi="Arial" w:cs="Arial"/>
          <w:b/>
          <w:bCs/>
          <w:sz w:val="32"/>
          <w:szCs w:val="32"/>
          <w:lang w:val="pt-PT"/>
        </w:rPr>
        <w:t>Name: Amadeu Grugeiro Dos Santos</w:t>
      </w:r>
    </w:p>
    <w:p w14:paraId="7DD0E5E6" w14:textId="77777777" w:rsidR="001F6062" w:rsidRPr="001A4A49" w:rsidRDefault="001F6062" w:rsidP="001F6062">
      <w:pPr>
        <w:jc w:val="center"/>
        <w:rPr>
          <w:rFonts w:ascii="Arial" w:hAnsi="Arial" w:cs="Arial"/>
          <w:b/>
          <w:bCs/>
          <w:sz w:val="32"/>
          <w:szCs w:val="32"/>
          <w:lang w:val="pt-PT"/>
        </w:rPr>
      </w:pPr>
    </w:p>
    <w:p w14:paraId="5210989A" w14:textId="77777777" w:rsidR="001F6062" w:rsidRPr="001A4A49" w:rsidRDefault="001F6062" w:rsidP="001F6062">
      <w:pPr>
        <w:jc w:val="center"/>
        <w:rPr>
          <w:rFonts w:ascii="Arial" w:hAnsi="Arial" w:cs="Arial"/>
          <w:b/>
          <w:bCs/>
          <w:sz w:val="32"/>
          <w:szCs w:val="32"/>
          <w:lang w:val="pt-PT"/>
        </w:rPr>
      </w:pPr>
      <w:r w:rsidRPr="001A4A49">
        <w:rPr>
          <w:rFonts w:ascii="Arial" w:hAnsi="Arial" w:cs="Arial"/>
          <w:b/>
          <w:bCs/>
          <w:sz w:val="32"/>
          <w:szCs w:val="32"/>
          <w:lang w:val="pt-PT"/>
        </w:rPr>
        <w:t>Student Number: 2246230</w:t>
      </w:r>
    </w:p>
    <w:p w14:paraId="61BB1C0B" w14:textId="77777777" w:rsidR="001F6062" w:rsidRPr="001A4A49" w:rsidRDefault="001F6062" w:rsidP="001F6062">
      <w:pPr>
        <w:jc w:val="center"/>
        <w:rPr>
          <w:rFonts w:ascii="Arial" w:hAnsi="Arial" w:cs="Arial"/>
          <w:b/>
          <w:bCs/>
          <w:sz w:val="32"/>
          <w:szCs w:val="32"/>
          <w:lang w:val="pt-PT"/>
        </w:rPr>
      </w:pPr>
    </w:p>
    <w:p w14:paraId="622FB281" w14:textId="77777777" w:rsidR="001F6062" w:rsidRPr="001A4A49" w:rsidRDefault="001F6062" w:rsidP="001F6062">
      <w:pPr>
        <w:jc w:val="center"/>
        <w:rPr>
          <w:rFonts w:ascii="Arial" w:hAnsi="Arial" w:cs="Arial"/>
          <w:b/>
          <w:bCs/>
          <w:sz w:val="32"/>
          <w:szCs w:val="32"/>
        </w:rPr>
      </w:pPr>
      <w:r w:rsidRPr="001A4A49">
        <w:rPr>
          <w:rFonts w:ascii="Arial" w:hAnsi="Arial" w:cs="Arial"/>
          <w:b/>
          <w:bCs/>
          <w:sz w:val="32"/>
          <w:szCs w:val="32"/>
        </w:rPr>
        <w:t>Module Code: LCLM 6003</w:t>
      </w:r>
    </w:p>
    <w:p w14:paraId="5ADFD6E7" w14:textId="77777777" w:rsidR="001F6062" w:rsidRPr="001A4A49" w:rsidRDefault="001F6062" w:rsidP="001F6062">
      <w:pPr>
        <w:jc w:val="center"/>
        <w:rPr>
          <w:rFonts w:ascii="Arial" w:hAnsi="Arial" w:cs="Arial"/>
          <w:b/>
          <w:bCs/>
          <w:sz w:val="32"/>
          <w:szCs w:val="32"/>
        </w:rPr>
      </w:pPr>
    </w:p>
    <w:p w14:paraId="1F6CB8D8" w14:textId="5844462A" w:rsidR="001F6062" w:rsidRPr="001A4A49" w:rsidRDefault="001F6062" w:rsidP="001F6062">
      <w:pPr>
        <w:jc w:val="center"/>
        <w:rPr>
          <w:rFonts w:ascii="Arial" w:hAnsi="Arial" w:cs="Arial"/>
          <w:b/>
          <w:bCs/>
          <w:sz w:val="32"/>
          <w:szCs w:val="32"/>
        </w:rPr>
      </w:pPr>
      <w:r w:rsidRPr="001A4A49">
        <w:rPr>
          <w:rFonts w:ascii="Arial" w:hAnsi="Arial" w:cs="Arial"/>
          <w:b/>
          <w:bCs/>
          <w:sz w:val="32"/>
          <w:szCs w:val="32"/>
        </w:rPr>
        <w:t>Leading and Implementing Change (LIC)</w:t>
      </w:r>
    </w:p>
    <w:p w14:paraId="64B4EA4A" w14:textId="77777777" w:rsidR="001F6062" w:rsidRPr="001A4A49" w:rsidRDefault="001F6062" w:rsidP="001F6062">
      <w:pPr>
        <w:jc w:val="center"/>
        <w:rPr>
          <w:rFonts w:ascii="Arial" w:hAnsi="Arial" w:cs="Arial"/>
          <w:b/>
          <w:bCs/>
          <w:sz w:val="32"/>
          <w:szCs w:val="32"/>
        </w:rPr>
      </w:pPr>
    </w:p>
    <w:p w14:paraId="489E2AB6" w14:textId="77777777" w:rsidR="001F6062" w:rsidRPr="001A4A49" w:rsidRDefault="001F6062" w:rsidP="001F6062">
      <w:pPr>
        <w:jc w:val="center"/>
        <w:rPr>
          <w:rFonts w:ascii="Arial" w:hAnsi="Arial" w:cs="Arial"/>
          <w:b/>
          <w:bCs/>
          <w:sz w:val="32"/>
          <w:szCs w:val="32"/>
        </w:rPr>
      </w:pPr>
      <w:r w:rsidRPr="001A4A49">
        <w:rPr>
          <w:rFonts w:ascii="Arial" w:hAnsi="Arial" w:cs="Arial"/>
          <w:b/>
          <w:bCs/>
          <w:sz w:val="32"/>
          <w:szCs w:val="32"/>
        </w:rPr>
        <w:t>Lecture Name: Muhammad Hassan Tariq</w:t>
      </w:r>
    </w:p>
    <w:p w14:paraId="76D96686" w14:textId="77777777" w:rsidR="001F6062" w:rsidRPr="001A4A49" w:rsidRDefault="001F6062" w:rsidP="001F6062">
      <w:pPr>
        <w:jc w:val="center"/>
        <w:rPr>
          <w:rFonts w:ascii="Arial" w:hAnsi="Arial" w:cs="Arial"/>
          <w:b/>
          <w:bCs/>
          <w:sz w:val="32"/>
          <w:szCs w:val="32"/>
        </w:rPr>
      </w:pPr>
    </w:p>
    <w:p w14:paraId="0D3F1DCA" w14:textId="6C3DFAC0" w:rsidR="001F6062" w:rsidRPr="001A4A49" w:rsidRDefault="001A4A49" w:rsidP="001F6062">
      <w:pPr>
        <w:jc w:val="center"/>
        <w:rPr>
          <w:rFonts w:ascii="Arial" w:hAnsi="Arial" w:cs="Arial"/>
          <w:b/>
          <w:bCs/>
          <w:sz w:val="32"/>
          <w:szCs w:val="32"/>
        </w:rPr>
      </w:pPr>
      <w:r w:rsidRPr="001A4A49">
        <w:rPr>
          <w:rFonts w:ascii="Arial" w:hAnsi="Arial" w:cs="Arial"/>
          <w:b/>
          <w:bCs/>
          <w:sz w:val="32"/>
          <w:szCs w:val="32"/>
        </w:rPr>
        <w:t>Strategic change management plan: tesla inc.</w:t>
      </w:r>
    </w:p>
    <w:p w14:paraId="06B44A05" w14:textId="77777777" w:rsidR="001F6062" w:rsidRPr="005A7EA6" w:rsidRDefault="001F6062" w:rsidP="005A7EA6">
      <w:pPr>
        <w:spacing w:line="360" w:lineRule="auto"/>
        <w:jc w:val="center"/>
        <w:rPr>
          <w:rFonts w:ascii="Arial" w:hAnsi="Arial" w:cs="Arial"/>
          <w:b/>
          <w:bCs/>
          <w:sz w:val="22"/>
          <w:szCs w:val="22"/>
        </w:rPr>
      </w:pPr>
    </w:p>
    <w:p w14:paraId="28993A49" w14:textId="77777777" w:rsidR="005A7EA6" w:rsidRPr="005A7EA6" w:rsidRDefault="005A7EA6" w:rsidP="005A7EA6">
      <w:pPr>
        <w:spacing w:line="360" w:lineRule="auto"/>
        <w:rPr>
          <w:rFonts w:ascii="Arial" w:hAnsi="Arial" w:cs="Arial"/>
          <w:b/>
          <w:bCs/>
          <w:sz w:val="22"/>
          <w:szCs w:val="22"/>
        </w:rPr>
      </w:pPr>
    </w:p>
    <w:p w14:paraId="3CB6077F" w14:textId="1D4162D6"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lastRenderedPageBreak/>
        <w:t>Executive Summary</w:t>
      </w:r>
      <w:r w:rsidR="005A7EA6" w:rsidRPr="005A7EA6">
        <w:rPr>
          <w:rFonts w:ascii="Arial" w:hAnsi="Arial" w:cs="Arial"/>
          <w:b/>
          <w:bCs/>
          <w:sz w:val="22"/>
          <w:szCs w:val="22"/>
        </w:rPr>
        <w:t>:</w:t>
      </w:r>
    </w:p>
    <w:p w14:paraId="7AD43E3D" w14:textId="465A538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The strategic change management plan studies Tesla Inc., a breakthrough electric vehicle and clean energy company facing the major environmental challenges of increased rivalry, disrupted supply chains, regulatory threats, and technology disruption by artificial intelligence. This report is a critical analysis of Tesla as a new change manager, </w:t>
      </w:r>
      <w:r w:rsidR="005A7EA6" w:rsidRPr="005A7EA6">
        <w:rPr>
          <w:rFonts w:ascii="Arial" w:hAnsi="Arial" w:cs="Arial"/>
          <w:sz w:val="22"/>
          <w:szCs w:val="22"/>
        </w:rPr>
        <w:t>analysing</w:t>
      </w:r>
      <w:r w:rsidRPr="005A7EA6">
        <w:rPr>
          <w:rFonts w:ascii="Arial" w:hAnsi="Arial" w:cs="Arial"/>
          <w:sz w:val="22"/>
          <w:szCs w:val="22"/>
        </w:rPr>
        <w:t xml:space="preserve"> Tesla as an </w:t>
      </w:r>
      <w:r w:rsidR="005A7EA6" w:rsidRPr="005A7EA6">
        <w:rPr>
          <w:rFonts w:ascii="Arial" w:hAnsi="Arial" w:cs="Arial"/>
          <w:sz w:val="22"/>
          <w:szCs w:val="22"/>
        </w:rPr>
        <w:t>organisation</w:t>
      </w:r>
      <w:r w:rsidRPr="005A7EA6">
        <w:rPr>
          <w:rFonts w:ascii="Arial" w:hAnsi="Arial" w:cs="Arial"/>
          <w:sz w:val="22"/>
          <w:szCs w:val="22"/>
        </w:rPr>
        <w:t>, the internal and external environmental forces that prompted a strategic change, and a comprehensive plan of change management. The analysis employs Kotter's 8-Step and Lewin's Three-</w:t>
      </w:r>
      <w:r w:rsidR="001A4A49" w:rsidRPr="005A7EA6">
        <w:rPr>
          <w:rFonts w:ascii="Arial" w:hAnsi="Arial" w:cs="Arial"/>
          <w:sz w:val="22"/>
          <w:szCs w:val="22"/>
        </w:rPr>
        <w:t>s</w:t>
      </w:r>
      <w:r w:rsidRPr="005A7EA6">
        <w:rPr>
          <w:rFonts w:ascii="Arial" w:hAnsi="Arial" w:cs="Arial"/>
          <w:sz w:val="22"/>
          <w:szCs w:val="22"/>
        </w:rPr>
        <w:t>tage models alongside transformational leadership frameworks.</w:t>
      </w:r>
    </w:p>
    <w:p w14:paraId="3B64AF88"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report ends with a comprehensive change management plan that contains clear objectives, financial predictions, a communication plan, and evaluation models that aim to ensure that Tesla continues to enjoy its competitive edge, as it navigates the dynamics of the changing automotive and energy sectors. The proposed recommendations are to increase the pace of vertical integration of supply chains, continue to establish new partnerships with charging infrastructure, and encourage development; the company has international operations of a culture of continuous innovation that will facilitate tackling new competitive challenges and preserving the spirit of entrepreneurship that Tesla first used to bring disruptive innovation to the market.</w:t>
      </w:r>
    </w:p>
    <w:p w14:paraId="51999404" w14:textId="77777777" w:rsidR="001F6062" w:rsidRPr="005A7EA6" w:rsidRDefault="001F6062" w:rsidP="005A7EA6">
      <w:pPr>
        <w:spacing w:line="360" w:lineRule="auto"/>
        <w:rPr>
          <w:rFonts w:ascii="Arial" w:hAnsi="Arial" w:cs="Arial"/>
          <w:sz w:val="22"/>
          <w:szCs w:val="22"/>
        </w:rPr>
      </w:pPr>
    </w:p>
    <w:p w14:paraId="27B00BDC" w14:textId="77777777" w:rsidR="001F6062" w:rsidRPr="005A7EA6" w:rsidRDefault="001F6062" w:rsidP="005A7EA6">
      <w:pPr>
        <w:spacing w:line="360" w:lineRule="auto"/>
        <w:rPr>
          <w:rFonts w:ascii="Arial" w:hAnsi="Arial" w:cs="Arial"/>
          <w:sz w:val="22"/>
          <w:szCs w:val="22"/>
        </w:rPr>
      </w:pPr>
    </w:p>
    <w:p w14:paraId="1A7DC4EF" w14:textId="77777777" w:rsidR="001F6062" w:rsidRPr="005A7EA6" w:rsidRDefault="001F6062" w:rsidP="005A7EA6">
      <w:pPr>
        <w:spacing w:line="360" w:lineRule="auto"/>
        <w:rPr>
          <w:rFonts w:ascii="Arial" w:hAnsi="Arial" w:cs="Arial"/>
          <w:sz w:val="22"/>
          <w:szCs w:val="22"/>
        </w:rPr>
      </w:pPr>
    </w:p>
    <w:p w14:paraId="0AECE24C" w14:textId="77777777" w:rsidR="001F6062" w:rsidRPr="005A7EA6" w:rsidRDefault="001F6062" w:rsidP="005A7EA6">
      <w:pPr>
        <w:spacing w:line="360" w:lineRule="auto"/>
        <w:rPr>
          <w:rFonts w:ascii="Arial" w:hAnsi="Arial" w:cs="Arial"/>
          <w:sz w:val="22"/>
          <w:szCs w:val="22"/>
        </w:rPr>
      </w:pPr>
    </w:p>
    <w:p w14:paraId="4CBE2700" w14:textId="77777777" w:rsidR="005A7EA6" w:rsidRPr="005A7EA6" w:rsidRDefault="005A7EA6" w:rsidP="005A7EA6">
      <w:pPr>
        <w:spacing w:line="360" w:lineRule="auto"/>
        <w:rPr>
          <w:rFonts w:ascii="Arial" w:hAnsi="Arial" w:cs="Arial"/>
          <w:sz w:val="22"/>
          <w:szCs w:val="22"/>
        </w:rPr>
      </w:pPr>
    </w:p>
    <w:p w14:paraId="16F9DD31" w14:textId="77777777" w:rsidR="005A7EA6" w:rsidRPr="005A7EA6" w:rsidRDefault="005A7EA6" w:rsidP="005A7EA6">
      <w:pPr>
        <w:spacing w:line="360" w:lineRule="auto"/>
        <w:rPr>
          <w:rFonts w:ascii="Arial" w:hAnsi="Arial" w:cs="Arial"/>
          <w:sz w:val="22"/>
          <w:szCs w:val="22"/>
        </w:rPr>
      </w:pPr>
    </w:p>
    <w:p w14:paraId="4FE03EE5" w14:textId="77777777" w:rsidR="005A7EA6" w:rsidRPr="005A7EA6" w:rsidRDefault="005A7EA6" w:rsidP="005A7EA6">
      <w:pPr>
        <w:spacing w:line="360" w:lineRule="auto"/>
        <w:rPr>
          <w:rFonts w:ascii="Arial" w:hAnsi="Arial" w:cs="Arial"/>
          <w:sz w:val="22"/>
          <w:szCs w:val="22"/>
        </w:rPr>
      </w:pPr>
    </w:p>
    <w:p w14:paraId="05493079" w14:textId="77777777" w:rsidR="005A7EA6" w:rsidRPr="005A7EA6" w:rsidRDefault="005A7EA6" w:rsidP="005A7EA6">
      <w:pPr>
        <w:spacing w:line="360" w:lineRule="auto"/>
        <w:rPr>
          <w:rFonts w:ascii="Arial" w:hAnsi="Arial" w:cs="Arial"/>
          <w:sz w:val="22"/>
          <w:szCs w:val="22"/>
        </w:rPr>
      </w:pPr>
    </w:p>
    <w:p w14:paraId="0AA424AB" w14:textId="77777777" w:rsidR="005A7EA6" w:rsidRPr="005A7EA6" w:rsidRDefault="005A7EA6" w:rsidP="005A7EA6">
      <w:pPr>
        <w:spacing w:line="360" w:lineRule="auto"/>
        <w:rPr>
          <w:rFonts w:ascii="Arial" w:hAnsi="Arial" w:cs="Arial"/>
          <w:sz w:val="22"/>
          <w:szCs w:val="22"/>
        </w:rPr>
      </w:pPr>
    </w:p>
    <w:p w14:paraId="0E99A177" w14:textId="77777777" w:rsidR="005A7EA6" w:rsidRPr="005A7EA6" w:rsidRDefault="005A7EA6" w:rsidP="005A7EA6">
      <w:pPr>
        <w:spacing w:line="360" w:lineRule="auto"/>
        <w:rPr>
          <w:rFonts w:ascii="Arial" w:hAnsi="Arial" w:cs="Arial"/>
          <w:sz w:val="22"/>
          <w:szCs w:val="22"/>
        </w:rPr>
      </w:pPr>
    </w:p>
    <w:p w14:paraId="7D1A1760" w14:textId="77777777" w:rsidR="005A7EA6" w:rsidRPr="005A7EA6" w:rsidRDefault="005A7EA6" w:rsidP="005A7EA6">
      <w:pPr>
        <w:spacing w:line="360" w:lineRule="auto"/>
        <w:rPr>
          <w:rFonts w:ascii="Arial" w:hAnsi="Arial" w:cs="Arial"/>
          <w:sz w:val="22"/>
          <w:szCs w:val="22"/>
        </w:rPr>
      </w:pPr>
    </w:p>
    <w:p w14:paraId="476F1C7D" w14:textId="77777777" w:rsidR="005A7EA6" w:rsidRPr="005A7EA6" w:rsidRDefault="005A7EA6" w:rsidP="005A7EA6">
      <w:pPr>
        <w:spacing w:line="360" w:lineRule="auto"/>
        <w:rPr>
          <w:rFonts w:ascii="Arial" w:hAnsi="Arial" w:cs="Arial"/>
          <w:sz w:val="22"/>
          <w:szCs w:val="22"/>
        </w:rPr>
      </w:pPr>
    </w:p>
    <w:p w14:paraId="3CB2355B" w14:textId="64D87D6F"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lastRenderedPageBreak/>
        <w:t>Table of Contents</w:t>
      </w:r>
      <w:r w:rsidR="001A4A49" w:rsidRPr="005A7EA6">
        <w:rPr>
          <w:rFonts w:ascii="Arial" w:hAnsi="Arial" w:cs="Arial"/>
          <w:b/>
          <w:bCs/>
          <w:sz w:val="22"/>
          <w:szCs w:val="22"/>
        </w:rPr>
        <w:t>:</w:t>
      </w:r>
    </w:p>
    <w:p w14:paraId="1BB5C34C"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1. Introduction</w:t>
      </w:r>
    </w:p>
    <w:p w14:paraId="2711E8EB"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2. Organisational Overview   </w:t>
      </w:r>
    </w:p>
    <w:p w14:paraId="75213C96"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2.1 Company Background and Strategic Position    </w:t>
      </w:r>
    </w:p>
    <w:p w14:paraId="171E2FB2"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2.2 Organisational Structure and culture       </w:t>
      </w:r>
    </w:p>
    <w:p w14:paraId="7C187409"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3. Analysis of Environmental Changes and Their Impact     </w:t>
      </w:r>
    </w:p>
    <w:p w14:paraId="51287C33"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3.1 External Environmental Analysis </w:t>
      </w:r>
    </w:p>
    <w:p w14:paraId="19317EFB"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3.2 Internal Environmental Analysis  </w:t>
      </w:r>
    </w:p>
    <w:p w14:paraId="1AE11D7B"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3.3 Impact of Digital Disruption         </w:t>
      </w:r>
    </w:p>
    <w:p w14:paraId="4934B74C"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4. Evaluation of Change Management Models         </w:t>
      </w:r>
    </w:p>
    <w:p w14:paraId="0668C09F"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4.0 Rationale for Model Selection</w:t>
      </w:r>
    </w:p>
    <w:p w14:paraId="7BB23759"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4.1 Kotter's 8-Step Change Model    </w:t>
      </w:r>
    </w:p>
    <w:p w14:paraId="7F025C3F"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4.2 Lewin's Three-Stage Model         </w:t>
      </w:r>
    </w:p>
    <w:p w14:paraId="1899D41A"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4.3 Leadership and organizational culture in Change Management           </w:t>
      </w:r>
    </w:p>
    <w:p w14:paraId="606A9C9F"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5. Strategic Change Management Plan        </w:t>
      </w:r>
    </w:p>
    <w:p w14:paraId="75075BEC"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5.1 Change Objectives          </w:t>
      </w:r>
    </w:p>
    <w:p w14:paraId="365E569C"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5.2 Proposed Changes and Strategies         </w:t>
      </w:r>
    </w:p>
    <w:p w14:paraId="5C2D6B79"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5.3 Financial Plan      </w:t>
      </w:r>
    </w:p>
    <w:p w14:paraId="5580E1C3"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5.4 Communication Plan       </w:t>
      </w:r>
    </w:p>
    <w:p w14:paraId="4C61E9C1"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5.5 Implementation Timeline and Evaluation Plan    </w:t>
      </w:r>
    </w:p>
    <w:p w14:paraId="63516AE0"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6. Conclusion </w:t>
      </w:r>
    </w:p>
    <w:p w14:paraId="457E0471"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7. References </w:t>
      </w:r>
    </w:p>
    <w:p w14:paraId="0E7D4091"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Appendices</w:t>
      </w:r>
    </w:p>
    <w:p w14:paraId="7622A229"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Appendix A: Detailed SWOT Analysis, Tesla Inc.</w:t>
      </w:r>
    </w:p>
    <w:p w14:paraId="29B3F489"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Appendix B: Detailed Risk Assessment Matrix – Tesla Strategic Change</w:t>
      </w:r>
    </w:p>
    <w:p w14:paraId="77B8E623"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Appendix C: Change Implementation Gantt Chart Outlines</w:t>
      </w:r>
    </w:p>
    <w:p w14:paraId="0B61B9AA"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lastRenderedPageBreak/>
        <w:t xml:space="preserve">   Appendix D: Stakeholder Communication Matrix</w:t>
      </w:r>
    </w:p>
    <w:p w14:paraId="3F1C666E"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Appendix E: PESTEL Analysis</w:t>
      </w:r>
    </w:p>
    <w:p w14:paraId="3F92623A" w14:textId="77777777" w:rsidR="001F6062" w:rsidRPr="005A7EA6" w:rsidRDefault="001F6062" w:rsidP="005A7EA6">
      <w:pPr>
        <w:spacing w:line="360" w:lineRule="auto"/>
        <w:rPr>
          <w:rFonts w:ascii="Arial" w:hAnsi="Arial" w:cs="Arial"/>
          <w:sz w:val="22"/>
          <w:szCs w:val="22"/>
        </w:rPr>
      </w:pPr>
    </w:p>
    <w:p w14:paraId="6DCF23DC"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 xml:space="preserve"> </w:t>
      </w:r>
    </w:p>
    <w:p w14:paraId="3E9F9221"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1.</w:t>
      </w:r>
      <w:r w:rsidRPr="005A7EA6">
        <w:rPr>
          <w:rFonts w:ascii="Arial" w:hAnsi="Arial" w:cs="Arial"/>
          <w:b/>
          <w:bCs/>
          <w:sz w:val="22"/>
          <w:szCs w:val="22"/>
        </w:rPr>
        <w:tab/>
        <w:t>Introduction</w:t>
      </w:r>
    </w:p>
    <w:p w14:paraId="0AB5C259" w14:textId="77777777" w:rsidR="001F6062" w:rsidRPr="005A7EA6" w:rsidRDefault="001F6062" w:rsidP="005A7EA6">
      <w:pPr>
        <w:spacing w:line="360" w:lineRule="auto"/>
        <w:rPr>
          <w:rFonts w:ascii="Arial" w:hAnsi="Arial" w:cs="Arial"/>
          <w:sz w:val="22"/>
          <w:szCs w:val="22"/>
        </w:rPr>
      </w:pPr>
    </w:p>
    <w:p w14:paraId="79ED994F"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case study is Tesla Inc., the company that has radically reinvented the automotive sector by innovating the electric vehicle and sustainable power case, but now it is experiencing the same need for strategic change as more rival companies enter the market and the environmental factor changes. Tesla is a company whose operations span across several industries, which are, in turn, auto manufacturing, generation and storage of energy, and artificial intelligence, all of which are changing faster than ever before. The impressive achievement by the company to become the first to mainstream electric vehicles has also brought new competitive forces because mainstream car manufacturers and new market entrants are increasing their electrification plans with substantive capital commitments (Hardman et al., 2023). Moreover, macroeconomic variables, such as the volatility in the supply chain, geopolitical pressures, inflationary commodities, and the changing regulatory environment, all pose a major constraint and strategic opportunities to organisational repositioning.</w:t>
      </w:r>
    </w:p>
    <w:p w14:paraId="2B1F68C2" w14:textId="52F583E9"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This report provides a comprehensive diagnostic and prescriptive analysis. Following this introduction, Section 2 presents an organizational overview of Tesla's strategic position, structure, and culture, establishing the foundational context for change. Section 3 critically analyses the external and internal environmental forces necessitating strategic change, with an emphasis on competitive pressures and operational vulnerabilities. Section 4 evaluates the established change management frameworks, specifically Kotter's 8-Step Model and Lewin's Three-Stage Model, and justifies their selection over alternative approaches. Section 5 presents a detailed strategic change management plan, with specific objectives, implementation strategies, financial projections, and evaluation mechanisms. The report concludes with reflections on the critical success factors for transformational change in a high-growth, technology-intensive organi</w:t>
      </w:r>
      <w:r w:rsidR="00850077">
        <w:rPr>
          <w:rFonts w:ascii="Arial" w:hAnsi="Arial" w:cs="Arial"/>
          <w:sz w:val="22"/>
          <w:szCs w:val="22"/>
        </w:rPr>
        <w:t>s</w:t>
      </w:r>
      <w:r w:rsidRPr="005A7EA6">
        <w:rPr>
          <w:rFonts w:ascii="Arial" w:hAnsi="Arial" w:cs="Arial"/>
          <w:sz w:val="22"/>
          <w:szCs w:val="22"/>
        </w:rPr>
        <w:t>ation.</w:t>
      </w:r>
    </w:p>
    <w:p w14:paraId="6F029418" w14:textId="77777777" w:rsidR="001F6062" w:rsidRPr="005A7EA6" w:rsidRDefault="001F6062" w:rsidP="005A7EA6">
      <w:pPr>
        <w:spacing w:line="360" w:lineRule="auto"/>
        <w:rPr>
          <w:rFonts w:ascii="Arial" w:hAnsi="Arial" w:cs="Arial"/>
          <w:sz w:val="22"/>
          <w:szCs w:val="22"/>
        </w:rPr>
      </w:pPr>
    </w:p>
    <w:p w14:paraId="50F850B5"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 xml:space="preserve">2. Organisational Overview </w:t>
      </w:r>
    </w:p>
    <w:p w14:paraId="613D107C"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lastRenderedPageBreak/>
        <w:t xml:space="preserve">2.1 Company Background </w:t>
      </w:r>
    </w:p>
    <w:p w14:paraId="7EAE51FD"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Established in 2003, Tesla Inc. has an original base in California and has grown to become a vertically integrated sustainable energy company worth more than 800 billion dollars at one time or another with market capitalization, which has made it one of the most valuable automotive companies in the world. The strategic direction of the organization is informed by its mission to make the world go green with the rapid use of sustainable energy along with several business sectors, such as the manufacture of cars, the production of solar energy, energy storage systems, and recently, the creation of artificial intelligence and robotics (Tesla, 2024).</w:t>
      </w:r>
    </w:p>
    <w:p w14:paraId="008C5B2A"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Tesla operates globally with manufacturing facilities in the US, China, and Germany, producing electric vehicles (Model S, 3, X, Y, </w:t>
      </w:r>
      <w:proofErr w:type="spellStart"/>
      <w:r w:rsidRPr="005A7EA6">
        <w:rPr>
          <w:rFonts w:ascii="Arial" w:hAnsi="Arial" w:cs="Arial"/>
          <w:sz w:val="22"/>
          <w:szCs w:val="22"/>
        </w:rPr>
        <w:t>Cybertruck</w:t>
      </w:r>
      <w:proofErr w:type="spellEnd"/>
      <w:r w:rsidRPr="005A7EA6">
        <w:rPr>
          <w:rFonts w:ascii="Arial" w:hAnsi="Arial" w:cs="Arial"/>
          <w:sz w:val="22"/>
          <w:szCs w:val="22"/>
        </w:rPr>
        <w:t>), energy storage products (Powerwall, Megapack), and developing autonomous driving and robotic technologies.</w:t>
      </w:r>
    </w:p>
    <w:p w14:paraId="2391FE4D"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 xml:space="preserve"> 2.2 Organisational Structure and Culture</w:t>
      </w:r>
    </w:p>
    <w:p w14:paraId="32D5919D"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Tesla’s organizational structure is the simplification of the organization that its founder and CEO, Elon Musk, has been fond of, alongside swift decision-making and direct communication lines that avoid the normal processes of corporate bureaucracy. Its company culture was designed to avoid traditional practices in the automotive industry and focus on a unique culture of unstoppable innovation, calculated risk-taking, high-performance expectations, and a workforce with a mission and predisposition to environmental sustainability (Edmondson and Bransby, 2023). This cultural orientation has allowed incredible organizational agility and product development pace that keeps surprising for industry analysts, although it has also created immense troubles in terms of employee retention rates, work-life challenges, and the sustainability of high-intensity working practices in the long term.</w:t>
      </w:r>
    </w:p>
    <w:p w14:paraId="463FF782"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3. Analysis of Environmental Changes and Their Impact</w:t>
      </w:r>
    </w:p>
    <w:p w14:paraId="1F0712A7"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3.1 External Environmental Analysis</w:t>
      </w:r>
    </w:p>
    <w:p w14:paraId="6D635959"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Tesla faces challenging and intricate opportunities and challenges in its contemporary business environment. The trend of global government policies is toward the implementation of electric cars with rigid emissions controls and huge financial incentives. The European Union has an undertaking prohibiting the sale of new petrol and diesel-powered vehicles by 2035, and recently, California and the United Kingdom have made similar pledges, generating strong structural tailwinds to the Tesla business model (Tietge et al., 2023). Nonetheless, the volatility of demand forecasting by policy uncertainty over subsidy </w:t>
      </w:r>
      <w:r w:rsidRPr="005A7EA6">
        <w:rPr>
          <w:rFonts w:ascii="Arial" w:hAnsi="Arial" w:cs="Arial"/>
          <w:sz w:val="22"/>
          <w:szCs w:val="22"/>
        </w:rPr>
        <w:lastRenderedPageBreak/>
        <w:t>programs and tariff structures is accompanied by increased trade conflict between the US and China, complicating Tesla with a globally integrated supply chain.</w:t>
      </w:r>
    </w:p>
    <w:p w14:paraId="17678C84"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The macroeconomic environment has a serious impact on consumer buying </w:t>
      </w:r>
      <w:proofErr w:type="spellStart"/>
      <w:r w:rsidRPr="005A7EA6">
        <w:rPr>
          <w:rFonts w:ascii="Arial" w:hAnsi="Arial" w:cs="Arial"/>
          <w:sz w:val="22"/>
          <w:szCs w:val="22"/>
        </w:rPr>
        <w:t>behavior</w:t>
      </w:r>
      <w:proofErr w:type="spellEnd"/>
      <w:r w:rsidRPr="005A7EA6">
        <w:rPr>
          <w:rFonts w:ascii="Arial" w:hAnsi="Arial" w:cs="Arial"/>
          <w:sz w:val="22"/>
          <w:szCs w:val="22"/>
        </w:rPr>
        <w:t xml:space="preserve"> and the purchase of high-end vehicles. Increased interest rates, ongoing inflation, and economic instability have influenced demand trends, especially in price-sensitive segments, where rivalry has been heightened (Hardman et al., 2023). Currency variations will impact profitability in international operations, whereas the price and supply of key raw materials, especially lithium, cobalt, and nickel, will have a direct impact on the costs of manufacturing batteries and associated production profits.</w:t>
      </w:r>
    </w:p>
    <w:p w14:paraId="7A866E0E"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While environmental sustainability values support Tesla's proposition, </w:t>
      </w:r>
      <w:proofErr w:type="gramStart"/>
      <w:r w:rsidRPr="005A7EA6">
        <w:rPr>
          <w:rFonts w:ascii="Arial" w:hAnsi="Arial" w:cs="Arial"/>
          <w:sz w:val="22"/>
          <w:szCs w:val="22"/>
        </w:rPr>
        <w:t>urbanization</w:t>
      </w:r>
      <w:proofErr w:type="gramEnd"/>
      <w:r w:rsidRPr="005A7EA6">
        <w:rPr>
          <w:rFonts w:ascii="Arial" w:hAnsi="Arial" w:cs="Arial"/>
          <w:sz w:val="22"/>
          <w:szCs w:val="22"/>
        </w:rPr>
        <w:t xml:space="preserve"> and mobility shifts (ride-sharing, reduced ownership) present strategic challenges. Brand perception significantly affects customers’ decisions.</w:t>
      </w:r>
    </w:p>
    <w:p w14:paraId="12390194"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Technological changes provide Tesla with competitive advantages and weaknesses. Established automakers such as Volkswagen, General Motors, and Ford have gained much from investments in EVs, diluting the past technological leading position of Tesla, but Chinese firms such as BYD, NIO, and XPeng also demonstrate innovative performance with much lower cost frameworks that have been made possible by domestic supply networks (Deng et al., 2024). The adoption of artificial intelligence in all vehicle systems is one of the strategic frontiers with differentiation opportunities that Tesla aims at; however, there is a low level of success with stiff market competition.</w:t>
      </w:r>
    </w:p>
    <w:p w14:paraId="2FFE5339" w14:textId="77777777" w:rsidR="001F6062" w:rsidRPr="005A7EA6" w:rsidRDefault="001F6062" w:rsidP="005A7EA6">
      <w:pPr>
        <w:spacing w:line="360" w:lineRule="auto"/>
        <w:rPr>
          <w:rFonts w:ascii="Arial" w:hAnsi="Arial" w:cs="Arial"/>
          <w:b/>
          <w:bCs/>
          <w:sz w:val="22"/>
          <w:szCs w:val="22"/>
        </w:rPr>
      </w:pPr>
    </w:p>
    <w:p w14:paraId="4ACB7DFC"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3.2 Internal Environmental Analysis</w:t>
      </w:r>
    </w:p>
    <w:p w14:paraId="7BAD02F0"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vertical integration strategy adopted by Tesla offers the company effective competitive advantages in terms of quality control and fast innovation at the expense of operational risk concentration. The supply chain fragility that affected the global supply of semiconductors showed how vulnerable it was to disruption, causing supply and delivery problems that reduced production (</w:t>
      </w:r>
      <w:proofErr w:type="spellStart"/>
      <w:r w:rsidRPr="005A7EA6">
        <w:rPr>
          <w:rFonts w:ascii="Arial" w:hAnsi="Arial" w:cs="Arial"/>
          <w:sz w:val="22"/>
          <w:szCs w:val="22"/>
        </w:rPr>
        <w:t>Attinasi</w:t>
      </w:r>
      <w:proofErr w:type="spellEnd"/>
      <w:r w:rsidRPr="005A7EA6">
        <w:rPr>
          <w:rFonts w:ascii="Arial" w:hAnsi="Arial" w:cs="Arial"/>
          <w:sz w:val="22"/>
          <w:szCs w:val="22"/>
        </w:rPr>
        <w:t xml:space="preserve"> et al., 2021). Reliance on a few suppliers of vital battery materials will lead to the introduction of bottlenecks that may limit growth even in a scenario where the market has high demand.</w:t>
      </w:r>
    </w:p>
    <w:p w14:paraId="37569B96"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High employee turnover, particularly in engineering roles, threatens innovation capacity and creates talent retention challenges in an increasingly competitive </w:t>
      </w:r>
      <w:proofErr w:type="spellStart"/>
      <w:r w:rsidRPr="005A7EA6">
        <w:rPr>
          <w:rFonts w:ascii="Arial" w:hAnsi="Arial" w:cs="Arial"/>
          <w:sz w:val="22"/>
          <w:szCs w:val="22"/>
        </w:rPr>
        <w:t>labor</w:t>
      </w:r>
      <w:proofErr w:type="spellEnd"/>
      <w:r w:rsidRPr="005A7EA6">
        <w:rPr>
          <w:rFonts w:ascii="Arial" w:hAnsi="Arial" w:cs="Arial"/>
          <w:sz w:val="22"/>
          <w:szCs w:val="22"/>
        </w:rPr>
        <w:t xml:space="preserve"> market. </w:t>
      </w:r>
    </w:p>
    <w:p w14:paraId="109BA0A3"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Implications for Change Management: Internal analysis exposes critical vulnerabilities that amplify change implementation risks. High employee turnover not only increases recruitment </w:t>
      </w:r>
      <w:r w:rsidRPr="005A7EA6">
        <w:rPr>
          <w:rFonts w:ascii="Arial" w:hAnsi="Arial" w:cs="Arial"/>
          <w:sz w:val="22"/>
          <w:szCs w:val="22"/>
        </w:rPr>
        <w:lastRenderedPageBreak/>
        <w:t>costs, but also threatens the continuity of tacit knowledge and innovation capacity, which is essential for sustaining competitive differentiation.</w:t>
      </w:r>
    </w:p>
    <w:p w14:paraId="3D6E4A35" w14:textId="77777777" w:rsidR="001F6062" w:rsidRPr="005A7EA6" w:rsidRDefault="001F6062" w:rsidP="005A7EA6">
      <w:pPr>
        <w:spacing w:line="360" w:lineRule="auto"/>
        <w:rPr>
          <w:rFonts w:ascii="Arial" w:hAnsi="Arial" w:cs="Arial"/>
          <w:b/>
          <w:bCs/>
          <w:sz w:val="22"/>
          <w:szCs w:val="22"/>
        </w:rPr>
      </w:pPr>
    </w:p>
    <w:p w14:paraId="4B21A78C"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3.3 Impact of Digital Disruption</w:t>
      </w:r>
    </w:p>
    <w:p w14:paraId="65258CF5"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Digital technologies are changing in terms of competition in the automotive and energy industries. Tesla has made enormous investments in AI and autonomous driving, which can be viewed as a major strategic commitment. Nonetheless, technical issues in gaining complete autonomy have been more challenging than anticipated, and competitors such as Waymo and many Chinese firms have shown their ability to cut down on the past benefits of Tesla (Kalra and Paddock, 2024). The regulatory road to commercializing autonomous vehicles is not clear at the jurisdictional level.</w:t>
      </w:r>
    </w:p>
    <w:p w14:paraId="6C9D90CE"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This feature is a high-level competitive advantage in that Tesla may remotely update the software running on its vehicles, enlarging its competitive advantage both in the enhancement of features and the continuous enhancement of the customer experience during the lifecycles of their ownership, making a fundamentally different point compared to its traditional competitors whose vehicles never receive an update after sale (Lehtinen et al., 2021). Nevertheless, such software-based solutions provide possible cybersecurity risks, confidentiality, and difficult regulatory issues that require continuous technical investments and stakeholder management.</w:t>
      </w:r>
    </w:p>
    <w:p w14:paraId="73C92E10"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Implications for Change Management: Digital disruption presents both opportunities and constraints for Tesla's change agenda. Autonomous driving challenges reveal that technological leadership cannot be assumed permanent, requiring sustained investment, even when resources are allocated to other change priorities.</w:t>
      </w:r>
    </w:p>
    <w:p w14:paraId="07F90624" w14:textId="77777777" w:rsidR="001F6062" w:rsidRPr="005A7EA6" w:rsidRDefault="001F6062" w:rsidP="005A7EA6">
      <w:pPr>
        <w:spacing w:line="360" w:lineRule="auto"/>
        <w:rPr>
          <w:rFonts w:ascii="Arial" w:hAnsi="Arial" w:cs="Arial"/>
          <w:sz w:val="22"/>
          <w:szCs w:val="22"/>
        </w:rPr>
      </w:pPr>
    </w:p>
    <w:p w14:paraId="776D3CF6"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4. Evaluation of Change Management Models</w:t>
      </w:r>
    </w:p>
    <w:p w14:paraId="34C897D0" w14:textId="77777777" w:rsidR="001F6062" w:rsidRPr="005A7EA6" w:rsidRDefault="001F6062" w:rsidP="005A7EA6">
      <w:pPr>
        <w:spacing w:line="360" w:lineRule="auto"/>
        <w:rPr>
          <w:rFonts w:ascii="Arial" w:hAnsi="Arial" w:cs="Arial"/>
          <w:b/>
          <w:bCs/>
          <w:sz w:val="22"/>
          <w:szCs w:val="22"/>
        </w:rPr>
      </w:pPr>
    </w:p>
    <w:p w14:paraId="0E74D684"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4.0 Rationale for Model Selection</w:t>
      </w:r>
    </w:p>
    <w:p w14:paraId="33563229" w14:textId="77777777" w:rsidR="001F6062" w:rsidRPr="005A7EA6" w:rsidRDefault="001F6062" w:rsidP="005A7EA6">
      <w:pPr>
        <w:spacing w:line="360" w:lineRule="auto"/>
        <w:rPr>
          <w:rFonts w:ascii="Arial" w:hAnsi="Arial" w:cs="Arial"/>
          <w:sz w:val="22"/>
          <w:szCs w:val="22"/>
        </w:rPr>
      </w:pPr>
    </w:p>
    <w:p w14:paraId="0CCF2F2E"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The selection of change management frameworks requires careful consideration of organizational context, change scope, and implementation constraints. After evaluating multiple frameworks including ADKAR and McKinsey's 7-S, Kotter's 8-Step and Lewin's three-stage models were selected for their comprehensive coverage of technical and human </w:t>
      </w:r>
      <w:r w:rsidRPr="005A7EA6">
        <w:rPr>
          <w:rFonts w:ascii="Arial" w:hAnsi="Arial" w:cs="Arial"/>
          <w:sz w:val="22"/>
          <w:szCs w:val="22"/>
        </w:rPr>
        <w:lastRenderedPageBreak/>
        <w:t>dimensions, sequential implementation guidance, and alignment with Tesla's need to balance strategic direction with organizational engagement.</w:t>
      </w:r>
    </w:p>
    <w:p w14:paraId="0351BADA"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Kotter's 8-Step Change Model was selected as the primary framework due to its comprehensive coverage of both technical and human dimensions of change, its sequential structure that provides clear implementation guidance, and its empirical foundation in successful and unsuccessful change programs across diverse organizational contexts (Kotter, 1996). The model's explicit attention to vision creation, coalition building, and cultural anchoring aligns well with Tesla's need to balance the top-down strategic direction with broader organizational engagement.</w:t>
      </w:r>
    </w:p>
    <w:p w14:paraId="7179E714"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Lewin's Three-Stage Model was selected as a complementary framework because of its conceptual clarity in addressing psychological and cultural transition areas, particularly salient, given Tesla's strong existing culture that must evolve rather than be replaced (Burnes, 2020). The model's unfreezing-changing-refreezing sequence provides a useful lens for understanding resistance dynamics and the challenge of institutionalizing new practices in a high-intensity, fast-moving environment.</w:t>
      </w:r>
    </w:p>
    <w:p w14:paraId="6CA2D8B6" w14:textId="77777777" w:rsidR="001F6062" w:rsidRPr="005A7EA6" w:rsidRDefault="001F6062" w:rsidP="005A7EA6">
      <w:pPr>
        <w:spacing w:line="360" w:lineRule="auto"/>
        <w:rPr>
          <w:rFonts w:ascii="Arial" w:hAnsi="Arial" w:cs="Arial"/>
          <w:sz w:val="22"/>
          <w:szCs w:val="22"/>
        </w:rPr>
      </w:pPr>
    </w:p>
    <w:p w14:paraId="3AD2A274" w14:textId="77777777" w:rsidR="005A7EA6" w:rsidRPr="005A7EA6" w:rsidRDefault="005A7EA6" w:rsidP="005A7EA6">
      <w:pPr>
        <w:spacing w:line="360" w:lineRule="auto"/>
        <w:rPr>
          <w:rFonts w:ascii="Arial" w:hAnsi="Arial" w:cs="Arial"/>
          <w:b/>
          <w:bCs/>
          <w:sz w:val="22"/>
          <w:szCs w:val="22"/>
        </w:rPr>
      </w:pPr>
    </w:p>
    <w:p w14:paraId="7DD4936B" w14:textId="77777777" w:rsidR="005A7EA6" w:rsidRPr="005A7EA6" w:rsidRDefault="005A7EA6" w:rsidP="005A7EA6">
      <w:pPr>
        <w:spacing w:line="360" w:lineRule="auto"/>
        <w:rPr>
          <w:rFonts w:ascii="Arial" w:hAnsi="Arial" w:cs="Arial"/>
          <w:b/>
          <w:bCs/>
          <w:sz w:val="22"/>
          <w:szCs w:val="22"/>
        </w:rPr>
      </w:pPr>
    </w:p>
    <w:p w14:paraId="2AAB99E5" w14:textId="77777777" w:rsidR="005A7EA6" w:rsidRPr="005A7EA6" w:rsidRDefault="005A7EA6" w:rsidP="005A7EA6">
      <w:pPr>
        <w:spacing w:line="360" w:lineRule="auto"/>
        <w:rPr>
          <w:rFonts w:ascii="Arial" w:hAnsi="Arial" w:cs="Arial"/>
          <w:b/>
          <w:bCs/>
          <w:sz w:val="22"/>
          <w:szCs w:val="22"/>
        </w:rPr>
      </w:pPr>
    </w:p>
    <w:p w14:paraId="3E60A4FF" w14:textId="5F285E04"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4.1 Kotter's 8-Step Change Model</w:t>
      </w:r>
    </w:p>
    <w:p w14:paraId="1CA68D40" w14:textId="77777777" w:rsidR="001F6062" w:rsidRPr="005A7EA6" w:rsidRDefault="001F6062" w:rsidP="005A7EA6">
      <w:pPr>
        <w:spacing w:line="360" w:lineRule="auto"/>
        <w:rPr>
          <w:rFonts w:ascii="Arial" w:hAnsi="Arial" w:cs="Arial"/>
          <w:sz w:val="22"/>
          <w:szCs w:val="22"/>
        </w:rPr>
      </w:pPr>
    </w:p>
    <w:p w14:paraId="3C859615"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The eight-step model of John Kotter, which was developed based on substantial research on successful and unsuccessful change programs, provides comprehensive guidance in instating substantive change in the organization (Kotter, 1996). The model has consecutive steps, such as the creation of urgency, guiding coalition, vision, and strategy; communicating the vision; enabling action; short-term wins; consolidating gains; and anchoring new approaches in culture, which deal with the technical and human aspects of the management of change. A powerful vision and strategy can be developed by describing the vivid, motivating direction of Tesla's development, such as becoming the world’s leading supplier of the sustainable energy system due to unparalleled excellence in products, manufacturing, services, and customer experience. The vision should be an authentic one that not only focuses on vehicle production but also on Tesla in the holistic view of energy production, </w:t>
      </w:r>
      <w:r w:rsidRPr="005A7EA6">
        <w:rPr>
          <w:rFonts w:ascii="Arial" w:hAnsi="Arial" w:cs="Arial"/>
          <w:sz w:val="22"/>
          <w:szCs w:val="22"/>
        </w:rPr>
        <w:lastRenderedPageBreak/>
        <w:t>storage, and future technologies, while also being specific enough to direct decisions on resource allocation decisions in day-to-day operations (Appelbaum et al., 2021).</w:t>
      </w:r>
    </w:p>
    <w:p w14:paraId="6BDB888E" w14:textId="77777777" w:rsidR="001F6062" w:rsidRPr="005A7EA6" w:rsidRDefault="001F6062" w:rsidP="005A7EA6">
      <w:pPr>
        <w:spacing w:line="360" w:lineRule="auto"/>
        <w:rPr>
          <w:rFonts w:ascii="Arial" w:hAnsi="Arial" w:cs="Arial"/>
          <w:sz w:val="22"/>
          <w:szCs w:val="22"/>
        </w:rPr>
      </w:pPr>
    </w:p>
    <w:p w14:paraId="6012A320"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4.2 Lewin's Three-Stage Model</w:t>
      </w:r>
    </w:p>
    <w:p w14:paraId="4608E00F"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model introduced by Lewin suggests three stages that should be adopted sequentially: unfreezing the current mindset, introducing new desirable changes, and refreezing that should become the new norm (Burnes, 2020). In the case of Tesla, unfreezing would be the development of a high level of awareness that existing strategies, although successful in the past, cannot be relied upon to bring success in the future due to increased competition. This will involve breaking through the possible complacency of previous successes and breaking through assumptions of technological superiority, which are well held and ingrained.</w:t>
      </w:r>
    </w:p>
    <w:p w14:paraId="5D888CB1"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changing phase involves the actual execution of new tangible processes, structures, and strategic priorities, such as diversification of supply chains and manufacturing, as well as capability development programmes. The last stage, refreezing, is expected to entrench the new methodology with new systems, policies, and measures, as well as with a new culture reinforced. Nevertheless, modern business settings characterized by constant transformation make the traditional concept of refreezing more difficult. Tesla’s goal is to institutionalize the capacities of continual adaptation as opposed to static equilibrium (Burnes, 2020).</w:t>
      </w:r>
    </w:p>
    <w:p w14:paraId="4EE496E3" w14:textId="77777777" w:rsidR="005A7EA6" w:rsidRPr="005A7EA6" w:rsidRDefault="005A7EA6" w:rsidP="005A7EA6">
      <w:pPr>
        <w:spacing w:line="360" w:lineRule="auto"/>
        <w:rPr>
          <w:rFonts w:ascii="Arial" w:hAnsi="Arial" w:cs="Arial"/>
          <w:b/>
          <w:bCs/>
          <w:sz w:val="22"/>
          <w:szCs w:val="22"/>
        </w:rPr>
      </w:pPr>
    </w:p>
    <w:p w14:paraId="0D005CE2" w14:textId="77777777" w:rsidR="005A7EA6" w:rsidRPr="005A7EA6" w:rsidRDefault="005A7EA6" w:rsidP="005A7EA6">
      <w:pPr>
        <w:spacing w:line="360" w:lineRule="auto"/>
        <w:rPr>
          <w:rFonts w:ascii="Arial" w:hAnsi="Arial" w:cs="Arial"/>
          <w:b/>
          <w:bCs/>
          <w:sz w:val="22"/>
          <w:szCs w:val="22"/>
        </w:rPr>
      </w:pPr>
    </w:p>
    <w:p w14:paraId="03BEF1CF" w14:textId="77777777" w:rsidR="005A7EA6" w:rsidRPr="005A7EA6" w:rsidRDefault="005A7EA6" w:rsidP="005A7EA6">
      <w:pPr>
        <w:spacing w:line="360" w:lineRule="auto"/>
        <w:rPr>
          <w:rFonts w:ascii="Arial" w:hAnsi="Arial" w:cs="Arial"/>
          <w:b/>
          <w:bCs/>
          <w:sz w:val="22"/>
          <w:szCs w:val="22"/>
        </w:rPr>
      </w:pPr>
    </w:p>
    <w:p w14:paraId="5A8A5C0F" w14:textId="61F80AB0"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4.3 Leadership and Organisational Culture in Change Management</w:t>
      </w:r>
    </w:p>
    <w:p w14:paraId="08FA8BA9" w14:textId="77777777" w:rsidR="001F6062" w:rsidRPr="005A7EA6" w:rsidRDefault="001F6062" w:rsidP="005A7EA6">
      <w:pPr>
        <w:spacing w:line="360" w:lineRule="auto"/>
        <w:rPr>
          <w:rFonts w:ascii="Arial" w:hAnsi="Arial" w:cs="Arial"/>
          <w:sz w:val="22"/>
          <w:szCs w:val="22"/>
        </w:rPr>
      </w:pPr>
    </w:p>
    <w:p w14:paraId="0ECC8E91"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transformational theory of leadership is an insightful guide to the leadership of major organizational change. Transformational leaders achieve this by inspiring followers to set aside the group’s self-interest toward common objectives, articulate powerful visions, and create an environment that facilitates extraordinary performance (Bass and Riggio, 2006).</w:t>
      </w:r>
    </w:p>
    <w:p w14:paraId="5885FEAE"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Transformational leadership is not sufficient to handle complex organizational changes. Transactional leadership styles, such as clearly conveying expectations, tracking progress, and rewarding and punishing people, complement transformational leadership in terms of operational discipline and steady implementation (Dartey-Baah, 2023). Tesla change </w:t>
      </w:r>
      <w:r w:rsidRPr="005A7EA6">
        <w:rPr>
          <w:rFonts w:ascii="Arial" w:hAnsi="Arial" w:cs="Arial"/>
          <w:sz w:val="22"/>
          <w:szCs w:val="22"/>
        </w:rPr>
        <w:lastRenderedPageBreak/>
        <w:t>initiatives must have a balanced incorporation of transformational motivation and transactional rigor.</w:t>
      </w:r>
    </w:p>
    <w:p w14:paraId="27884748" w14:textId="15206DBD"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 Organizational culture, which is a collective of values, beliefs, and </w:t>
      </w:r>
      <w:r w:rsidR="005A7EA6" w:rsidRPr="005A7EA6">
        <w:rPr>
          <w:rFonts w:ascii="Arial" w:hAnsi="Arial" w:cs="Arial"/>
          <w:sz w:val="22"/>
          <w:szCs w:val="22"/>
        </w:rPr>
        <w:t>behavioural</w:t>
      </w:r>
      <w:r w:rsidRPr="005A7EA6">
        <w:rPr>
          <w:rFonts w:ascii="Arial" w:hAnsi="Arial" w:cs="Arial"/>
          <w:sz w:val="22"/>
          <w:szCs w:val="22"/>
        </w:rPr>
        <w:t xml:space="preserve"> norms, has a far-reaching impact on change receptivity and implementation success. Tesla’s culture demonstrates features related to change preparedness, such as the focus on innovation, risk-taking, urgency, and commitment to the mission. Nevertheless, high levels of exertion can inhibit the ability to put forth more change energy, and quick expansion has led to a watering down of the cultural uniform on new sites and functions. Past success can non-ironically lead to catastrophically complacent attitudes towards still having to evolve (Cameron and Quinn, 2023).</w:t>
      </w:r>
    </w:p>
    <w:p w14:paraId="3223687A" w14:textId="77777777" w:rsidR="001F6062" w:rsidRPr="005A7EA6" w:rsidRDefault="001F6062" w:rsidP="005A7EA6">
      <w:pPr>
        <w:spacing w:line="360" w:lineRule="auto"/>
        <w:rPr>
          <w:rFonts w:ascii="Arial" w:hAnsi="Arial" w:cs="Arial"/>
          <w:sz w:val="22"/>
          <w:szCs w:val="22"/>
        </w:rPr>
      </w:pPr>
    </w:p>
    <w:p w14:paraId="136BE990"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5. Strategic Change Management Plan</w:t>
      </w:r>
    </w:p>
    <w:p w14:paraId="2DEBF99A"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5.1 Change Objectives</w:t>
      </w:r>
    </w:p>
    <w:p w14:paraId="50D35CF0" w14:textId="77777777" w:rsidR="001F6062" w:rsidRPr="005A7EA6" w:rsidRDefault="001F6062" w:rsidP="005A7EA6">
      <w:pPr>
        <w:spacing w:line="360" w:lineRule="auto"/>
        <w:rPr>
          <w:rFonts w:ascii="Arial" w:hAnsi="Arial" w:cs="Arial"/>
          <w:sz w:val="22"/>
          <w:szCs w:val="22"/>
        </w:rPr>
      </w:pPr>
    </w:p>
    <w:p w14:paraId="57A154C7"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Transition from Analysis to Action: The preceding analysis identified critical vulnerabilities, supply chain concentration, manufacturing inconsistency, intensifying competition, talent retention challenges, and revenue over-dependence on automotive sales alongside enduring organizational strengths in innovation culture, vertical integration capabilities, and brand positioning. The following change objectives are strategically designed to address identified weaknesses while leveraging existing strengths, with each objective directly traceable to specific environmental triggers and the analytical findings presented in Sections 3 and 4.</w:t>
      </w:r>
    </w:p>
    <w:p w14:paraId="633E3E37"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entire strategic change plan aims to achieve four goals, which are interdependent in nature and will deal with identified problems while developing the existing strength of Tesla:</w:t>
      </w:r>
    </w:p>
    <w:p w14:paraId="65E5C1B5" w14:textId="77777777" w:rsidR="001F6062" w:rsidRPr="005A7EA6" w:rsidRDefault="001F6062" w:rsidP="005A7EA6">
      <w:pPr>
        <w:spacing w:line="360" w:lineRule="auto"/>
        <w:rPr>
          <w:rFonts w:ascii="Arial" w:hAnsi="Arial" w:cs="Arial"/>
          <w:sz w:val="22"/>
          <w:szCs w:val="22"/>
        </w:rPr>
      </w:pPr>
      <w:r w:rsidRPr="00123B67">
        <w:rPr>
          <w:rFonts w:ascii="Arial" w:hAnsi="Arial" w:cs="Arial"/>
          <w:b/>
          <w:bCs/>
          <w:sz w:val="22"/>
          <w:szCs w:val="22"/>
        </w:rPr>
        <w:t>Objective 1:</w:t>
      </w:r>
      <w:r w:rsidRPr="005A7EA6">
        <w:rPr>
          <w:rFonts w:ascii="Arial" w:hAnsi="Arial" w:cs="Arial"/>
          <w:sz w:val="22"/>
          <w:szCs w:val="22"/>
        </w:rPr>
        <w:t xml:space="preserve"> Increase Supply Chain Resilience (Timeframe: 18-24 months)</w:t>
      </w:r>
    </w:p>
    <w:p w14:paraId="3A453504"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Diversifying the supplier base systematically over key components, strategically increasing the vertical integration of most valued materials and components, and creating meaningful redundancy in the procurement of key materials to reduce the risk of disruption issues that cause production continuity.  </w:t>
      </w:r>
    </w:p>
    <w:p w14:paraId="0C0FA263" w14:textId="77777777" w:rsidR="001F6062" w:rsidRPr="005A7EA6" w:rsidRDefault="001F6062" w:rsidP="005A7EA6">
      <w:pPr>
        <w:spacing w:line="360" w:lineRule="auto"/>
        <w:rPr>
          <w:rFonts w:ascii="Arial" w:hAnsi="Arial" w:cs="Arial"/>
          <w:sz w:val="22"/>
          <w:szCs w:val="22"/>
        </w:rPr>
      </w:pPr>
    </w:p>
    <w:p w14:paraId="4ED571D4" w14:textId="77777777" w:rsidR="001F6062" w:rsidRPr="005A7EA6" w:rsidRDefault="001F6062" w:rsidP="005A7EA6">
      <w:pPr>
        <w:spacing w:line="360" w:lineRule="auto"/>
        <w:rPr>
          <w:rFonts w:ascii="Arial" w:hAnsi="Arial" w:cs="Arial"/>
          <w:sz w:val="22"/>
          <w:szCs w:val="22"/>
        </w:rPr>
      </w:pPr>
      <w:r w:rsidRPr="00123B67">
        <w:rPr>
          <w:rFonts w:ascii="Arial" w:hAnsi="Arial" w:cs="Arial"/>
          <w:b/>
          <w:bCs/>
          <w:sz w:val="22"/>
          <w:szCs w:val="22"/>
        </w:rPr>
        <w:t>Objective 2:</w:t>
      </w:r>
      <w:r w:rsidRPr="005A7EA6">
        <w:rPr>
          <w:rFonts w:ascii="Arial" w:hAnsi="Arial" w:cs="Arial"/>
          <w:sz w:val="22"/>
          <w:szCs w:val="22"/>
        </w:rPr>
        <w:t xml:space="preserve"> Increase Manufacturing Productivity (Timeframe: 24-30 months)</w:t>
      </w:r>
    </w:p>
    <w:p w14:paraId="6D7C9EE4"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lastRenderedPageBreak/>
        <w:t xml:space="preserve">Ramp new plant production lines to target production volumes faster, adopt the latest manufacturing technologies, such as AI-driven quality control systems, and attain industrial leadership in terms of efficiency, all at the same time with no reduction in quality standards.  </w:t>
      </w:r>
    </w:p>
    <w:p w14:paraId="60E8789A" w14:textId="77777777" w:rsidR="001F6062" w:rsidRPr="005A7EA6" w:rsidRDefault="001F6062" w:rsidP="005A7EA6">
      <w:pPr>
        <w:spacing w:line="360" w:lineRule="auto"/>
        <w:rPr>
          <w:rFonts w:ascii="Arial" w:hAnsi="Arial" w:cs="Arial"/>
          <w:sz w:val="22"/>
          <w:szCs w:val="22"/>
        </w:rPr>
      </w:pPr>
      <w:r w:rsidRPr="00123B67">
        <w:rPr>
          <w:rFonts w:ascii="Arial" w:hAnsi="Arial" w:cs="Arial"/>
          <w:b/>
          <w:bCs/>
          <w:sz w:val="22"/>
          <w:szCs w:val="22"/>
        </w:rPr>
        <w:t>Objective 3:</w:t>
      </w:r>
      <w:r w:rsidRPr="005A7EA6">
        <w:rPr>
          <w:rFonts w:ascii="Arial" w:hAnsi="Arial" w:cs="Arial"/>
          <w:sz w:val="22"/>
          <w:szCs w:val="22"/>
        </w:rPr>
        <w:t xml:space="preserve"> Improve Competitive Position (Timeframe: 12-36 months)</w:t>
      </w:r>
    </w:p>
    <w:p w14:paraId="51679BD0"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Strategic differentiation is achieved by expanding the product portfolio that covers a wider range of price points to provide customers with a variety of different product fulfilments, be systemic in improving customer experience across the ownership life cycle, purchase to service, and continue to have clear technological leadership in technology that holds strategic differentiation points such as battery performance and software integration.</w:t>
      </w:r>
    </w:p>
    <w:p w14:paraId="0ED15BAC" w14:textId="77777777" w:rsidR="001F6062" w:rsidRPr="005A7EA6" w:rsidRDefault="001F6062" w:rsidP="005A7EA6">
      <w:pPr>
        <w:spacing w:line="360" w:lineRule="auto"/>
        <w:rPr>
          <w:rFonts w:ascii="Arial" w:hAnsi="Arial" w:cs="Arial"/>
          <w:sz w:val="22"/>
          <w:szCs w:val="22"/>
        </w:rPr>
      </w:pPr>
      <w:r w:rsidRPr="00123B67">
        <w:rPr>
          <w:rFonts w:ascii="Arial" w:hAnsi="Arial" w:cs="Arial"/>
          <w:b/>
          <w:bCs/>
          <w:sz w:val="22"/>
          <w:szCs w:val="22"/>
        </w:rPr>
        <w:t>Objective 4</w:t>
      </w:r>
      <w:r w:rsidRPr="005A7EA6">
        <w:rPr>
          <w:rFonts w:ascii="Arial" w:hAnsi="Arial" w:cs="Arial"/>
          <w:sz w:val="22"/>
          <w:szCs w:val="22"/>
        </w:rPr>
        <w:t>: Expand Energy Business (Timeframe: 24-36 months)</w:t>
      </w:r>
    </w:p>
    <w:p w14:paraId="10B6988C"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No less than triple the size of the energy generation and storage business franchise by acting swiftly under a strategic plan, exploiting the operational and technical advantages of the automotive business, and diversifying the revenue base significantly beyond vehicle sales.</w:t>
      </w:r>
    </w:p>
    <w:p w14:paraId="4806FC24" w14:textId="77777777" w:rsidR="001F6062" w:rsidRPr="005A7EA6" w:rsidRDefault="001F6062" w:rsidP="005A7EA6">
      <w:pPr>
        <w:spacing w:line="360" w:lineRule="auto"/>
        <w:rPr>
          <w:rFonts w:ascii="Arial" w:hAnsi="Arial" w:cs="Arial"/>
          <w:sz w:val="22"/>
          <w:szCs w:val="22"/>
        </w:rPr>
      </w:pPr>
    </w:p>
    <w:p w14:paraId="4F03BD48"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5.2 Proposed Changes and Strategies</w:t>
      </w:r>
    </w:p>
    <w:p w14:paraId="5D814294" w14:textId="77777777" w:rsidR="001F6062" w:rsidRPr="005A7EA6" w:rsidRDefault="001F6062" w:rsidP="005A7EA6">
      <w:pPr>
        <w:spacing w:line="360" w:lineRule="auto"/>
        <w:rPr>
          <w:rFonts w:ascii="Arial" w:hAnsi="Arial" w:cs="Arial"/>
          <w:sz w:val="22"/>
          <w:szCs w:val="22"/>
        </w:rPr>
      </w:pPr>
    </w:p>
    <w:p w14:paraId="42E41649" w14:textId="77777777" w:rsidR="001F6062" w:rsidRPr="005A7EA6" w:rsidRDefault="001F6062" w:rsidP="005A7EA6">
      <w:pPr>
        <w:spacing w:line="360" w:lineRule="auto"/>
        <w:rPr>
          <w:rFonts w:ascii="Arial" w:hAnsi="Arial" w:cs="Arial"/>
          <w:sz w:val="22"/>
          <w:szCs w:val="22"/>
        </w:rPr>
      </w:pPr>
      <w:r w:rsidRPr="00440E01">
        <w:rPr>
          <w:rFonts w:ascii="Arial" w:hAnsi="Arial" w:cs="Arial"/>
          <w:b/>
          <w:bCs/>
          <w:sz w:val="22"/>
          <w:szCs w:val="22"/>
        </w:rPr>
        <w:t>Supply Chain Transformation:</w:t>
      </w:r>
      <w:r w:rsidRPr="005A7EA6">
        <w:rPr>
          <w:rFonts w:ascii="Arial" w:hAnsi="Arial" w:cs="Arial"/>
          <w:sz w:val="22"/>
          <w:szCs w:val="22"/>
        </w:rPr>
        <w:t xml:space="preserve"> Tesla adopts a three-pronged supply chain strategy to address identified vulnerabilities. First, systematic geographic diversification in sourcing critical components will reduce dependency on single suppliers or regions, with a particular focus on battery raw materials and semiconductors, through long-term contracts with multiple suppliers across different jurisdictions. Second, strategic vertical integration of key-value components, such as lithium refining, cathode production, and semiconductor design, will provide greater control over quality, innovation cycles, and cost structures. Third, collaborative supplier relationships replace traditional adversarial approaches through co-development contracts, transparent communication channels, and fair pricing structures that incentivize supplier investment in capacity and capabilities aligned with Tesla's growth trajectory.</w:t>
      </w:r>
    </w:p>
    <w:p w14:paraId="4337C549" w14:textId="77777777" w:rsidR="001F6062" w:rsidRPr="005A7EA6" w:rsidRDefault="001F6062" w:rsidP="005A7EA6">
      <w:pPr>
        <w:spacing w:line="360" w:lineRule="auto"/>
        <w:rPr>
          <w:rFonts w:ascii="Arial" w:hAnsi="Arial" w:cs="Arial"/>
          <w:sz w:val="22"/>
          <w:szCs w:val="22"/>
        </w:rPr>
      </w:pPr>
      <w:r w:rsidRPr="001E6B29">
        <w:rPr>
          <w:rFonts w:ascii="Arial" w:hAnsi="Arial" w:cs="Arial"/>
          <w:b/>
          <w:bCs/>
          <w:sz w:val="22"/>
          <w:szCs w:val="22"/>
        </w:rPr>
        <w:t>Manufacturing Excellence Programme:</w:t>
      </w:r>
      <w:r w:rsidRPr="005A7EA6">
        <w:rPr>
          <w:rFonts w:ascii="Arial" w:hAnsi="Arial" w:cs="Arial"/>
          <w:sz w:val="22"/>
          <w:szCs w:val="22"/>
        </w:rPr>
        <w:t xml:space="preserve"> A comprehensive manufacturing excellence initiative will address efficiency and quality variations across production facilities. Core elements include implementing established lean manufacturing methodologies, introducing AI-driven quality management systems utilizing computer vision for real-time defect detection, and establishing systematic knowledge transfer mechanisms to ensure that best </w:t>
      </w:r>
      <w:r w:rsidRPr="005A7EA6">
        <w:rPr>
          <w:rFonts w:ascii="Arial" w:hAnsi="Arial" w:cs="Arial"/>
          <w:sz w:val="22"/>
          <w:szCs w:val="22"/>
        </w:rPr>
        <w:lastRenderedPageBreak/>
        <w:t>practices disseminate rapidly across all sites. Cross-functional teams spanning engineering, operations, quality assurance, and supply chain functions will collaborate on continuous improvement efforts with regular benchmarking between facilities to identify and scale successful innovations.</w:t>
      </w:r>
    </w:p>
    <w:p w14:paraId="4D986865" w14:textId="77777777" w:rsidR="001F6062" w:rsidRPr="005A7EA6" w:rsidRDefault="001F6062" w:rsidP="005A7EA6">
      <w:pPr>
        <w:spacing w:line="360" w:lineRule="auto"/>
        <w:rPr>
          <w:rFonts w:ascii="Arial" w:hAnsi="Arial" w:cs="Arial"/>
          <w:sz w:val="22"/>
          <w:szCs w:val="22"/>
        </w:rPr>
      </w:pPr>
      <w:r w:rsidRPr="001E6B29">
        <w:rPr>
          <w:rFonts w:ascii="Arial" w:hAnsi="Arial" w:cs="Arial"/>
          <w:b/>
          <w:bCs/>
          <w:sz w:val="22"/>
          <w:szCs w:val="22"/>
        </w:rPr>
        <w:t>Product Portfolio Evolution:</w:t>
      </w:r>
      <w:r w:rsidRPr="005A7EA6">
        <w:rPr>
          <w:rFonts w:ascii="Arial" w:hAnsi="Arial" w:cs="Arial"/>
          <w:sz w:val="22"/>
          <w:szCs w:val="22"/>
        </w:rPr>
        <w:t xml:space="preserve"> Tesla strategically expands its product portfolio to address broader market segments while maintaining premium brand positioning. The development of lower-cost vehicle variants targeting £30,000 price points will dramatically enlarge addressable markets and provide competitive </w:t>
      </w:r>
      <w:proofErr w:type="spellStart"/>
      <w:r w:rsidRPr="005A7EA6">
        <w:rPr>
          <w:rFonts w:ascii="Arial" w:hAnsi="Arial" w:cs="Arial"/>
          <w:sz w:val="22"/>
          <w:szCs w:val="22"/>
        </w:rPr>
        <w:t>defense</w:t>
      </w:r>
      <w:proofErr w:type="spellEnd"/>
      <w:r w:rsidRPr="005A7EA6">
        <w:rPr>
          <w:rFonts w:ascii="Arial" w:hAnsi="Arial" w:cs="Arial"/>
          <w:sz w:val="22"/>
          <w:szCs w:val="22"/>
        </w:rPr>
        <w:t xml:space="preserve"> against mass market entrants, particularly aggressive Chinese manufacturers. Simultaneously, continued innovation in premium segments will preserve aspirational brand status and profitability margins. Product development emphasizes platform modularity and component sharing to achieve economies of scale while maintaining product differentiation. This dual approach balances market-share growth with margin preservation.</w:t>
      </w:r>
    </w:p>
    <w:p w14:paraId="6AE9D397" w14:textId="77777777" w:rsidR="001F6062" w:rsidRPr="005A7EA6" w:rsidRDefault="001F6062" w:rsidP="005A7EA6">
      <w:pPr>
        <w:spacing w:line="360" w:lineRule="auto"/>
        <w:rPr>
          <w:rFonts w:ascii="Arial" w:hAnsi="Arial" w:cs="Arial"/>
          <w:sz w:val="22"/>
          <w:szCs w:val="22"/>
        </w:rPr>
      </w:pPr>
      <w:r w:rsidRPr="001E6B29">
        <w:rPr>
          <w:rFonts w:ascii="Arial" w:hAnsi="Arial" w:cs="Arial"/>
          <w:b/>
          <w:bCs/>
          <w:sz w:val="22"/>
          <w:szCs w:val="22"/>
        </w:rPr>
        <w:t>Energy Business Acceleration</w:t>
      </w:r>
      <w:r w:rsidRPr="005A7EA6">
        <w:rPr>
          <w:rFonts w:ascii="Arial" w:hAnsi="Arial" w:cs="Arial"/>
          <w:sz w:val="22"/>
          <w:szCs w:val="22"/>
        </w:rPr>
        <w:t>: Rapid expansion of the energy generation and storage business represents a critical revenue diversification strategy. Tesla will leverage technical and operational synergies with automotive operations, particularly battery technology, manufacturing capabilities, and customer relationships. The strategic focus areas include utility-scale energy storage deployments, residential solar and storage integration, and vehicle-to-grid technologies that position Tesla's automotive products as distributed energy resources. The target revenue contribution from energy operations should reach 15-20% within the 36-month implementation period, reducing over-dependence on automotive sales while capitalizing on the growing demand for grid-scale renewable energy solutions and residential energy independence.</w:t>
      </w:r>
    </w:p>
    <w:p w14:paraId="27672D16"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These four strategic pillars are mutually reinforcing: supply chain resilience enables manufacturing excellence, which supports product portfolio expansion, whereas the growing vehicle fleet creates a platform for energy business integration. Implementation proceeds in coordinated phases, as detailed in Section 5.5, with clear accountability structures and performance metrics tracked through the governance framework established in Phase 1.</w:t>
      </w:r>
    </w:p>
    <w:p w14:paraId="3C3967C1" w14:textId="77777777" w:rsidR="001F6062" w:rsidRPr="005A7EA6" w:rsidRDefault="001F6062" w:rsidP="005A7EA6">
      <w:pPr>
        <w:spacing w:line="360" w:lineRule="auto"/>
        <w:rPr>
          <w:rFonts w:ascii="Arial" w:hAnsi="Arial" w:cs="Arial"/>
          <w:sz w:val="22"/>
          <w:szCs w:val="22"/>
        </w:rPr>
      </w:pPr>
    </w:p>
    <w:p w14:paraId="014E2AE3"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5.3 Financial Plan</w:t>
      </w:r>
    </w:p>
    <w:p w14:paraId="2ECFFCCA" w14:textId="77777777" w:rsidR="001F6062" w:rsidRPr="005A7EA6" w:rsidRDefault="001F6062" w:rsidP="005A7EA6">
      <w:pPr>
        <w:spacing w:line="360" w:lineRule="auto"/>
        <w:rPr>
          <w:rFonts w:ascii="Arial" w:hAnsi="Arial" w:cs="Arial"/>
          <w:sz w:val="22"/>
          <w:szCs w:val="22"/>
        </w:rPr>
      </w:pPr>
    </w:p>
    <w:p w14:paraId="7C219F4E"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This overall change program requires a significant and justifiable investment in a three-year implementation process. Issued estimates are targeting cost, which includes supply chain transformation (£800 million-£1.2 billion), such as vertical integration investment, supplier </w:t>
      </w:r>
      <w:r w:rsidRPr="005A7EA6">
        <w:rPr>
          <w:rFonts w:ascii="Arial" w:hAnsi="Arial" w:cs="Arial"/>
          <w:sz w:val="22"/>
          <w:szCs w:val="22"/>
        </w:rPr>
        <w:lastRenderedPageBreak/>
        <w:t>development investment, and supply chain management system; the manufacturing excellence programme (£600 million-£900 million), such as advanced equipment investment, quality systems investment, training investment, and performance monitoring system; the talent management programme (including the learning programme, wellbeing programme, and retention programme) (£300 million-£500 million); and change management infrastructure (communication platforms, support resources, and performance monitoring infrastructure) (£100 million-£200 million).</w:t>
      </w:r>
    </w:p>
    <w:p w14:paraId="30E97B72"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The total estimated capital outlay lies within a range of between £1.8-£2.8 billion within a period of three years, which represents approximately 2-3 per cent of estimated revenues of Tesla, a level of capital investment needed to be sustained to give the company a competitive advantage in the automobile and energy industry. The anticipated returns are improved gross margins achieved by increasing its efficiency in the supply chain (2-3 percentage points improvement), decreased supply chain disruption costs and production downtime, market share </w:t>
      </w:r>
      <w:proofErr w:type="gramStart"/>
      <w:r w:rsidRPr="005A7EA6">
        <w:rPr>
          <w:rFonts w:ascii="Arial" w:hAnsi="Arial" w:cs="Arial"/>
          <w:sz w:val="22"/>
          <w:szCs w:val="22"/>
        </w:rPr>
        <w:t>protection</w:t>
      </w:r>
      <w:proofErr w:type="gramEnd"/>
      <w:r w:rsidRPr="005A7EA6">
        <w:rPr>
          <w:rFonts w:ascii="Arial" w:hAnsi="Arial" w:cs="Arial"/>
          <w:sz w:val="22"/>
          <w:szCs w:val="22"/>
        </w:rPr>
        <w:t xml:space="preserve"> and growth </w:t>
      </w:r>
      <w:proofErr w:type="gramStart"/>
      <w:r w:rsidRPr="005A7EA6">
        <w:rPr>
          <w:rFonts w:ascii="Arial" w:hAnsi="Arial" w:cs="Arial"/>
          <w:sz w:val="22"/>
          <w:szCs w:val="22"/>
        </w:rPr>
        <w:t>as a result of</w:t>
      </w:r>
      <w:proofErr w:type="gramEnd"/>
      <w:r w:rsidRPr="005A7EA6">
        <w:rPr>
          <w:rFonts w:ascii="Arial" w:hAnsi="Arial" w:cs="Arial"/>
          <w:sz w:val="22"/>
          <w:szCs w:val="22"/>
        </w:rPr>
        <w:t xml:space="preserve"> increased product competitiveness, improved employee retention to lower recruitment and training expenses, and speeding up the growth of its energy business, which helps to diversify its revenues. Financial modelling indicates that the initiative will turn to positive returns of investment within 3-4 years and will generate significant value in the long term through competitive advantages gained over time.</w:t>
      </w:r>
    </w:p>
    <w:p w14:paraId="08318947" w14:textId="77777777" w:rsidR="001F6062" w:rsidRPr="005A7EA6" w:rsidRDefault="001F6062" w:rsidP="005A7EA6">
      <w:pPr>
        <w:spacing w:line="360" w:lineRule="auto"/>
        <w:rPr>
          <w:rFonts w:ascii="Arial" w:hAnsi="Arial" w:cs="Arial"/>
          <w:sz w:val="22"/>
          <w:szCs w:val="22"/>
        </w:rPr>
      </w:pPr>
    </w:p>
    <w:p w14:paraId="6F6C197E"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5.4 Communication Plan</w:t>
      </w:r>
    </w:p>
    <w:p w14:paraId="211AF987" w14:textId="77777777" w:rsidR="001F6062" w:rsidRPr="005A7EA6" w:rsidRDefault="001F6062" w:rsidP="005A7EA6">
      <w:pPr>
        <w:spacing w:line="360" w:lineRule="auto"/>
        <w:rPr>
          <w:rFonts w:ascii="Arial" w:hAnsi="Arial" w:cs="Arial"/>
          <w:sz w:val="22"/>
          <w:szCs w:val="22"/>
        </w:rPr>
      </w:pPr>
    </w:p>
    <w:p w14:paraId="22E3622C"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Communication is highly effective because it uses various channels to guarantee the complete delivery of messages to various stakeholder groups. Internal communication involves quarterly town halls, where the top management conveys the vision of change, reports on progress, and recognizes the challenges as well as areas of priority. Frequent group meetings also form critical arenas through which change implications can be consulted at local levels, and manager communication toolkits would offer consistent message structures while allowing them to be contextualized accordingly. Digital platforms contain change-related information, such as FAQs, updates on progress, stories of success, and accessible information. Formal systems of employee feedback, such as surveys, focus groups, and feedback systems, demonstrate true concern and provide corrections to the course (Burnes, 2020).</w:t>
      </w:r>
    </w:p>
    <w:p w14:paraId="0839F952"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lastRenderedPageBreak/>
        <w:t>External communication includes investor updates through earnings calls and reports, customer-facing product announcements that demonstrate tangible benefits, and supplier forums for partnership development and requirement alignment.</w:t>
      </w:r>
    </w:p>
    <w:p w14:paraId="331E6F45"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5.5 Implementation Timeline and Evaluation Plan</w:t>
      </w:r>
    </w:p>
    <w:p w14:paraId="319F718D"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strategic change plan adhered to a structured implementation process within 36 months. Phase 1 (Months 1-6) entails embedding governance frameworks, finalizing fine-tuning planning, initiating initial operations, and making quick wins early on. Phase 2 (Months 7-18) takes successful pilots, invests more, develops faster, and solves emerging barriers. Phase 3 (Months 19-30) fulfils facility implementation, meets objectives, introduces new products, and integrates practices. Phase 4 (Months 31-36) makes operational, institutionalizes effective practices, and measures success.</w:t>
      </w:r>
    </w:p>
    <w:p w14:paraId="4CD3ECA3"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The mechanisms of systematic evaluation follow the progress of strategic KPIs, such as market share, gross margins (target: 28-32%), customer satisfaction, employee engagement (target: 15% improvement), supply chain incidents (target: 50% reduction), and the percentage of energy revenue (target: 15-20%). The steering committee reviews progress every month, strategic performance is reviewed by quarterly business reviews, and overall effectiveness is reviewed by annual strategic reviews (Van der Voet, 2020).</w:t>
      </w:r>
    </w:p>
    <w:p w14:paraId="792A0ED0" w14:textId="77777777" w:rsidR="001F6062" w:rsidRPr="005A7EA6" w:rsidRDefault="001F6062" w:rsidP="005A7EA6">
      <w:pPr>
        <w:spacing w:line="360" w:lineRule="auto"/>
        <w:rPr>
          <w:rFonts w:ascii="Arial" w:hAnsi="Arial" w:cs="Arial"/>
          <w:sz w:val="22"/>
          <w:szCs w:val="22"/>
        </w:rPr>
      </w:pPr>
    </w:p>
    <w:p w14:paraId="5D874D74" w14:textId="77777777" w:rsidR="001F6062" w:rsidRPr="005A7EA6" w:rsidRDefault="001F6062" w:rsidP="005A7EA6">
      <w:pPr>
        <w:spacing w:line="360" w:lineRule="auto"/>
        <w:rPr>
          <w:rFonts w:ascii="Arial" w:hAnsi="Arial" w:cs="Arial"/>
          <w:sz w:val="22"/>
          <w:szCs w:val="22"/>
        </w:rPr>
      </w:pPr>
    </w:p>
    <w:p w14:paraId="2AB339C7" w14:textId="77777777" w:rsidR="001F6062" w:rsidRPr="005A7EA6" w:rsidRDefault="001F6062" w:rsidP="005A7EA6">
      <w:pPr>
        <w:spacing w:line="360" w:lineRule="auto"/>
        <w:rPr>
          <w:rFonts w:ascii="Arial" w:hAnsi="Arial" w:cs="Arial"/>
          <w:b/>
          <w:bCs/>
          <w:sz w:val="22"/>
          <w:szCs w:val="22"/>
        </w:rPr>
      </w:pPr>
      <w:r w:rsidRPr="005A7EA6">
        <w:rPr>
          <w:rFonts w:ascii="Arial" w:hAnsi="Arial" w:cs="Arial"/>
          <w:b/>
          <w:bCs/>
          <w:sz w:val="22"/>
          <w:szCs w:val="22"/>
        </w:rPr>
        <w:t>6. Conclusion</w:t>
      </w:r>
    </w:p>
    <w:p w14:paraId="38BC4A94" w14:textId="77777777" w:rsidR="001F6062" w:rsidRPr="005A7EA6" w:rsidRDefault="001F6062" w:rsidP="005A7EA6">
      <w:pPr>
        <w:spacing w:line="360" w:lineRule="auto"/>
        <w:rPr>
          <w:rFonts w:ascii="Arial" w:hAnsi="Arial" w:cs="Arial"/>
          <w:sz w:val="22"/>
          <w:szCs w:val="22"/>
        </w:rPr>
      </w:pPr>
      <w:r w:rsidRPr="005A7EA6">
        <w:rPr>
          <w:rFonts w:ascii="Arial" w:hAnsi="Arial" w:cs="Arial"/>
          <w:sz w:val="22"/>
          <w:szCs w:val="22"/>
        </w:rPr>
        <w:t>This strategic change plan addresses Tesla’s multifaceted challenges in a highly competitive environment. Environmental analysis revealed that external pressures were significant in the form of increased competition, macroeconomic headwinds, and supply chain vulnerability, accompanied by internal pressures, such as manufacturing variations and talent problems. The change management plan reacts to the change with combined efforts on supply chain resilience, manufacturing excellence, product portfolio, talent management evolution, and energy business growth, based on existing frameworks properly adjusted to the context of Tesla.</w:t>
      </w:r>
    </w:p>
    <w:p w14:paraId="44751DCE" w14:textId="4F4F4CF1" w:rsidR="005A7EA6" w:rsidRPr="005A7EA6" w:rsidRDefault="001F6062" w:rsidP="005A7EA6">
      <w:pPr>
        <w:spacing w:line="360" w:lineRule="auto"/>
        <w:rPr>
          <w:rFonts w:ascii="Arial" w:hAnsi="Arial" w:cs="Arial"/>
          <w:sz w:val="22"/>
          <w:szCs w:val="22"/>
        </w:rPr>
      </w:pPr>
      <w:r w:rsidRPr="005A7EA6">
        <w:rPr>
          <w:rFonts w:ascii="Arial" w:hAnsi="Arial" w:cs="Arial"/>
          <w:sz w:val="22"/>
          <w:szCs w:val="22"/>
        </w:rPr>
        <w:t xml:space="preserve">The successful implementation of this change management plan requires sustained commitment from all organizational levels, adaptive learning as implementation proceeds, and the courage to make difficult decisions when environmental conditions shift. While the frameworks and strategies outlined provide robust guidance, the human dimensions of change leadership authenticity, communication transparency, employee engagement, and </w:t>
      </w:r>
      <w:r w:rsidRPr="005A7EA6">
        <w:rPr>
          <w:rFonts w:ascii="Arial" w:hAnsi="Arial" w:cs="Arial"/>
          <w:sz w:val="22"/>
          <w:szCs w:val="22"/>
        </w:rPr>
        <w:lastRenderedPageBreak/>
        <w:t>stakeholder trust determine whether Tesla navigates this transformation successfully or falls victim to the organizational inertia that has undermined many previously dominant companies facing similar competitive disruptions.</w:t>
      </w:r>
    </w:p>
    <w:p w14:paraId="4CBDF73D" w14:textId="77777777" w:rsidR="001F6062" w:rsidRPr="005A7EA6" w:rsidRDefault="001F6062" w:rsidP="005A7EA6">
      <w:pPr>
        <w:spacing w:line="360" w:lineRule="auto"/>
        <w:rPr>
          <w:rFonts w:ascii="Arial" w:hAnsi="Arial" w:cs="Arial"/>
          <w:sz w:val="22"/>
          <w:szCs w:val="22"/>
        </w:rPr>
      </w:pPr>
    </w:p>
    <w:p w14:paraId="7F8DA32D" w14:textId="5B5254F3" w:rsidR="001F6062" w:rsidRPr="005A7EA6" w:rsidRDefault="001A4A49" w:rsidP="005A7EA6">
      <w:pPr>
        <w:spacing w:line="360" w:lineRule="auto"/>
        <w:rPr>
          <w:rFonts w:ascii="Arial" w:hAnsi="Arial" w:cs="Arial"/>
          <w:b/>
          <w:bCs/>
          <w:sz w:val="22"/>
          <w:szCs w:val="22"/>
        </w:rPr>
      </w:pPr>
      <w:r w:rsidRPr="005A7EA6">
        <w:rPr>
          <w:rFonts w:ascii="Arial" w:hAnsi="Arial" w:cs="Arial"/>
          <w:b/>
          <w:bCs/>
          <w:sz w:val="22"/>
          <w:szCs w:val="22"/>
        </w:rPr>
        <w:t>Reference list:</w:t>
      </w:r>
    </w:p>
    <w:p w14:paraId="624FFEC1"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Appelbaum, S.H., Degbe, M.C., MacDonald, </w:t>
      </w:r>
      <w:proofErr w:type="gramStart"/>
      <w:r w:rsidRPr="005A7EA6">
        <w:rPr>
          <w:rFonts w:ascii="Times New Roman" w:eastAsia="Times New Roman" w:hAnsi="Times New Roman" w:cs="Times New Roman"/>
          <w:kern w:val="0"/>
          <w:sz w:val="22"/>
          <w:szCs w:val="22"/>
          <w:lang w:eastAsia="en-GB"/>
          <w14:ligatures w14:val="none"/>
        </w:rPr>
        <w:t>O.</w:t>
      </w:r>
      <w:proofErr w:type="gramEnd"/>
      <w:r w:rsidRPr="005A7EA6">
        <w:rPr>
          <w:rFonts w:ascii="Times New Roman" w:eastAsia="Times New Roman" w:hAnsi="Times New Roman" w:cs="Times New Roman"/>
          <w:kern w:val="0"/>
          <w:sz w:val="22"/>
          <w:szCs w:val="22"/>
          <w:lang w:eastAsia="en-GB"/>
          <w14:ligatures w14:val="none"/>
        </w:rPr>
        <w:t xml:space="preserve"> and Nguyen-Quang, T. (2015) 'Organizational outcomes of leadership style and resistance to change (Part Three)', </w:t>
      </w:r>
      <w:r w:rsidRPr="005A7EA6">
        <w:rPr>
          <w:rFonts w:ascii="Times New Roman" w:eastAsia="Times New Roman" w:hAnsi="Times New Roman" w:cs="Times New Roman"/>
          <w:i/>
          <w:iCs/>
          <w:kern w:val="0"/>
          <w:sz w:val="22"/>
          <w:szCs w:val="22"/>
          <w:lang w:eastAsia="en-GB"/>
          <w14:ligatures w14:val="none"/>
        </w:rPr>
        <w:t>Industrial and Commercial Training</w:t>
      </w:r>
      <w:r w:rsidRPr="005A7EA6">
        <w:rPr>
          <w:rFonts w:ascii="Times New Roman" w:eastAsia="Times New Roman" w:hAnsi="Times New Roman" w:cs="Times New Roman"/>
          <w:kern w:val="0"/>
          <w:sz w:val="22"/>
          <w:szCs w:val="22"/>
          <w:lang w:eastAsia="en-GB"/>
          <w14:ligatures w14:val="none"/>
        </w:rPr>
        <w:t xml:space="preserve">, 47(2), pp. 135-144. </w:t>
      </w:r>
      <w:proofErr w:type="spellStart"/>
      <w:r w:rsidRPr="005A7EA6">
        <w:rPr>
          <w:rFonts w:ascii="Times New Roman" w:eastAsia="Times New Roman" w:hAnsi="Times New Roman" w:cs="Times New Roman"/>
          <w:kern w:val="0"/>
          <w:sz w:val="22"/>
          <w:szCs w:val="22"/>
          <w:lang w:eastAsia="en-GB"/>
          <w14:ligatures w14:val="none"/>
        </w:rPr>
        <w:t>doi</w:t>
      </w:r>
      <w:proofErr w:type="spellEnd"/>
      <w:r w:rsidRPr="005A7EA6">
        <w:rPr>
          <w:rFonts w:ascii="Times New Roman" w:eastAsia="Times New Roman" w:hAnsi="Times New Roman" w:cs="Times New Roman"/>
          <w:kern w:val="0"/>
          <w:sz w:val="22"/>
          <w:szCs w:val="22"/>
          <w:lang w:eastAsia="en-GB"/>
          <w14:ligatures w14:val="none"/>
        </w:rPr>
        <w:t>: 10.1108/ICT-07-2013-0044.</w:t>
      </w:r>
    </w:p>
    <w:p w14:paraId="31ED2DE5"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roofErr w:type="spellStart"/>
      <w:r w:rsidRPr="005A7EA6">
        <w:rPr>
          <w:rFonts w:ascii="Times New Roman" w:eastAsia="Times New Roman" w:hAnsi="Times New Roman" w:cs="Times New Roman"/>
          <w:kern w:val="0"/>
          <w:sz w:val="22"/>
          <w:szCs w:val="22"/>
          <w:lang w:eastAsia="en-GB"/>
          <w14:ligatures w14:val="none"/>
        </w:rPr>
        <w:t>Attinasi</w:t>
      </w:r>
      <w:proofErr w:type="spellEnd"/>
      <w:r w:rsidRPr="005A7EA6">
        <w:rPr>
          <w:rFonts w:ascii="Times New Roman" w:eastAsia="Times New Roman" w:hAnsi="Times New Roman" w:cs="Times New Roman"/>
          <w:kern w:val="0"/>
          <w:sz w:val="22"/>
          <w:szCs w:val="22"/>
          <w:lang w:eastAsia="en-GB"/>
          <w14:ligatures w14:val="none"/>
        </w:rPr>
        <w:t xml:space="preserve">, M.G., Bobasu, A., Manu, A.S. and Simola, A. (2021) 'Supply chain disruptions and the global economic recovery from the COVID-19 pandemic', </w:t>
      </w:r>
      <w:r w:rsidRPr="005A7EA6">
        <w:rPr>
          <w:rFonts w:ascii="Times New Roman" w:eastAsia="Times New Roman" w:hAnsi="Times New Roman" w:cs="Times New Roman"/>
          <w:i/>
          <w:iCs/>
          <w:kern w:val="0"/>
          <w:sz w:val="22"/>
          <w:szCs w:val="22"/>
          <w:lang w:eastAsia="en-GB"/>
          <w14:ligatures w14:val="none"/>
        </w:rPr>
        <w:t>ECB Economic Bulletin</w:t>
      </w:r>
      <w:r w:rsidRPr="005A7EA6">
        <w:rPr>
          <w:rFonts w:ascii="Times New Roman" w:eastAsia="Times New Roman" w:hAnsi="Times New Roman" w:cs="Times New Roman"/>
          <w:kern w:val="0"/>
          <w:sz w:val="22"/>
          <w:szCs w:val="22"/>
          <w:lang w:eastAsia="en-GB"/>
          <w14:ligatures w14:val="none"/>
        </w:rPr>
        <w:t>, Issue 8/2021. Available at: https://www.ecb.europa.eu/pub/economicbulletin/focus/2022/html/ecb.ebbox202108_01~e8ceebe51f.en.html (Accessed: 28 November 2025).</w:t>
      </w:r>
    </w:p>
    <w:p w14:paraId="730686BA"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roofErr w:type="spellStart"/>
      <w:r w:rsidRPr="005A7EA6">
        <w:rPr>
          <w:rFonts w:ascii="Times New Roman" w:eastAsia="Times New Roman" w:hAnsi="Times New Roman" w:cs="Times New Roman"/>
          <w:kern w:val="0"/>
          <w:sz w:val="22"/>
          <w:szCs w:val="22"/>
          <w:lang w:eastAsia="en-GB"/>
          <w14:ligatures w14:val="none"/>
        </w:rPr>
        <w:t>Axsen</w:t>
      </w:r>
      <w:proofErr w:type="spellEnd"/>
      <w:r w:rsidRPr="005A7EA6">
        <w:rPr>
          <w:rFonts w:ascii="Times New Roman" w:eastAsia="Times New Roman" w:hAnsi="Times New Roman" w:cs="Times New Roman"/>
          <w:kern w:val="0"/>
          <w:sz w:val="22"/>
          <w:szCs w:val="22"/>
          <w:lang w:eastAsia="en-GB"/>
          <w14:ligatures w14:val="none"/>
        </w:rPr>
        <w:t xml:space="preserve">, J. and </w:t>
      </w:r>
      <w:proofErr w:type="spellStart"/>
      <w:r w:rsidRPr="005A7EA6">
        <w:rPr>
          <w:rFonts w:ascii="Times New Roman" w:eastAsia="Times New Roman" w:hAnsi="Times New Roman" w:cs="Times New Roman"/>
          <w:kern w:val="0"/>
          <w:sz w:val="22"/>
          <w:szCs w:val="22"/>
          <w:lang w:eastAsia="en-GB"/>
          <w14:ligatures w14:val="none"/>
        </w:rPr>
        <w:t>Sovacool</w:t>
      </w:r>
      <w:proofErr w:type="spellEnd"/>
      <w:r w:rsidRPr="005A7EA6">
        <w:rPr>
          <w:rFonts w:ascii="Times New Roman" w:eastAsia="Times New Roman" w:hAnsi="Times New Roman" w:cs="Times New Roman"/>
          <w:kern w:val="0"/>
          <w:sz w:val="22"/>
          <w:szCs w:val="22"/>
          <w:lang w:eastAsia="en-GB"/>
          <w14:ligatures w14:val="none"/>
        </w:rPr>
        <w:t xml:space="preserve">, B.K. (2019) 'The roles of users in electric, shared and automated mobility transitions', </w:t>
      </w:r>
      <w:r w:rsidRPr="005A7EA6">
        <w:rPr>
          <w:rFonts w:ascii="Times New Roman" w:eastAsia="Times New Roman" w:hAnsi="Times New Roman" w:cs="Times New Roman"/>
          <w:i/>
          <w:iCs/>
          <w:kern w:val="0"/>
          <w:sz w:val="22"/>
          <w:szCs w:val="22"/>
          <w:lang w:eastAsia="en-GB"/>
          <w14:ligatures w14:val="none"/>
        </w:rPr>
        <w:t>Transportation Research Part D: Transport and Environment</w:t>
      </w:r>
      <w:r w:rsidRPr="005A7EA6">
        <w:rPr>
          <w:rFonts w:ascii="Times New Roman" w:eastAsia="Times New Roman" w:hAnsi="Times New Roman" w:cs="Times New Roman"/>
          <w:kern w:val="0"/>
          <w:sz w:val="22"/>
          <w:szCs w:val="22"/>
          <w:lang w:eastAsia="en-GB"/>
          <w14:ligatures w14:val="none"/>
        </w:rPr>
        <w:t xml:space="preserve">, 71, pp. 1-21. </w:t>
      </w:r>
      <w:proofErr w:type="spellStart"/>
      <w:r w:rsidRPr="005A7EA6">
        <w:rPr>
          <w:rFonts w:ascii="Times New Roman" w:eastAsia="Times New Roman" w:hAnsi="Times New Roman" w:cs="Times New Roman"/>
          <w:kern w:val="0"/>
          <w:sz w:val="22"/>
          <w:szCs w:val="22"/>
          <w:lang w:eastAsia="en-GB"/>
          <w14:ligatures w14:val="none"/>
        </w:rPr>
        <w:t>doi</w:t>
      </w:r>
      <w:proofErr w:type="spellEnd"/>
      <w:r w:rsidRPr="005A7EA6">
        <w:rPr>
          <w:rFonts w:ascii="Times New Roman" w:eastAsia="Times New Roman" w:hAnsi="Times New Roman" w:cs="Times New Roman"/>
          <w:kern w:val="0"/>
          <w:sz w:val="22"/>
          <w:szCs w:val="22"/>
          <w:lang w:eastAsia="en-GB"/>
          <w14:ligatures w14:val="none"/>
        </w:rPr>
        <w:t>: 10.1016/j.trd.2019.02.012.</w:t>
      </w:r>
    </w:p>
    <w:p w14:paraId="5C6B73EC"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Bass, B.M. and Riggio, R.E. (2006) </w:t>
      </w:r>
      <w:r w:rsidRPr="005A7EA6">
        <w:rPr>
          <w:rFonts w:ascii="Times New Roman" w:eastAsia="Times New Roman" w:hAnsi="Times New Roman" w:cs="Times New Roman"/>
          <w:i/>
          <w:iCs/>
          <w:kern w:val="0"/>
          <w:sz w:val="22"/>
          <w:szCs w:val="22"/>
          <w:lang w:eastAsia="en-GB"/>
          <w14:ligatures w14:val="none"/>
        </w:rPr>
        <w:t>Transformational leadership</w:t>
      </w:r>
      <w:r w:rsidRPr="005A7EA6">
        <w:rPr>
          <w:rFonts w:ascii="Times New Roman" w:eastAsia="Times New Roman" w:hAnsi="Times New Roman" w:cs="Times New Roman"/>
          <w:kern w:val="0"/>
          <w:sz w:val="22"/>
          <w:szCs w:val="22"/>
          <w:lang w:eastAsia="en-GB"/>
          <w14:ligatures w14:val="none"/>
        </w:rPr>
        <w:t xml:space="preserve">. 2nd </w:t>
      </w:r>
      <w:proofErr w:type="spellStart"/>
      <w:r w:rsidRPr="005A7EA6">
        <w:rPr>
          <w:rFonts w:ascii="Times New Roman" w:eastAsia="Times New Roman" w:hAnsi="Times New Roman" w:cs="Times New Roman"/>
          <w:kern w:val="0"/>
          <w:sz w:val="22"/>
          <w:szCs w:val="22"/>
          <w:lang w:eastAsia="en-GB"/>
          <w14:ligatures w14:val="none"/>
        </w:rPr>
        <w:t>edn</w:t>
      </w:r>
      <w:proofErr w:type="spellEnd"/>
      <w:r w:rsidRPr="005A7EA6">
        <w:rPr>
          <w:rFonts w:ascii="Times New Roman" w:eastAsia="Times New Roman" w:hAnsi="Times New Roman" w:cs="Times New Roman"/>
          <w:kern w:val="0"/>
          <w:sz w:val="22"/>
          <w:szCs w:val="22"/>
          <w:lang w:eastAsia="en-GB"/>
          <w14:ligatures w14:val="none"/>
        </w:rPr>
        <w:t>. Mahwah, NJ: Lawrence Erlbaum Associates.</w:t>
      </w:r>
    </w:p>
    <w:p w14:paraId="214B035F"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Burnes, B. (2020) 'The origins of Lewin's three-step model of change', </w:t>
      </w:r>
      <w:r w:rsidRPr="005A7EA6">
        <w:rPr>
          <w:rFonts w:ascii="Times New Roman" w:eastAsia="Times New Roman" w:hAnsi="Times New Roman" w:cs="Times New Roman"/>
          <w:i/>
          <w:iCs/>
          <w:kern w:val="0"/>
          <w:sz w:val="22"/>
          <w:szCs w:val="22"/>
          <w:lang w:eastAsia="en-GB"/>
          <w14:ligatures w14:val="none"/>
        </w:rPr>
        <w:t>The Journal of Applied Behavioural Science</w:t>
      </w:r>
      <w:r w:rsidRPr="005A7EA6">
        <w:rPr>
          <w:rFonts w:ascii="Times New Roman" w:eastAsia="Times New Roman" w:hAnsi="Times New Roman" w:cs="Times New Roman"/>
          <w:kern w:val="0"/>
          <w:sz w:val="22"/>
          <w:szCs w:val="22"/>
          <w:lang w:eastAsia="en-GB"/>
          <w14:ligatures w14:val="none"/>
        </w:rPr>
        <w:t xml:space="preserve">, 56(1), pp. 32-59. </w:t>
      </w:r>
      <w:proofErr w:type="spellStart"/>
      <w:r w:rsidRPr="005A7EA6">
        <w:rPr>
          <w:rFonts w:ascii="Times New Roman" w:eastAsia="Times New Roman" w:hAnsi="Times New Roman" w:cs="Times New Roman"/>
          <w:kern w:val="0"/>
          <w:sz w:val="22"/>
          <w:szCs w:val="22"/>
          <w:lang w:eastAsia="en-GB"/>
          <w14:ligatures w14:val="none"/>
        </w:rPr>
        <w:t>doi</w:t>
      </w:r>
      <w:proofErr w:type="spellEnd"/>
      <w:r w:rsidRPr="005A7EA6">
        <w:rPr>
          <w:rFonts w:ascii="Times New Roman" w:eastAsia="Times New Roman" w:hAnsi="Times New Roman" w:cs="Times New Roman"/>
          <w:kern w:val="0"/>
          <w:sz w:val="22"/>
          <w:szCs w:val="22"/>
          <w:lang w:eastAsia="en-GB"/>
          <w14:ligatures w14:val="none"/>
        </w:rPr>
        <w:t>: 10.1177/0021886319892685.</w:t>
      </w:r>
    </w:p>
    <w:p w14:paraId="55CD16CC"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By, R.T. (2021) 'Leadership and change management', in Storey, J., Hartley, J., Denis, J.L., 't Hart, P. and Ulrich, D. (eds.) </w:t>
      </w:r>
      <w:r w:rsidRPr="005A7EA6">
        <w:rPr>
          <w:rFonts w:ascii="Times New Roman" w:eastAsia="Times New Roman" w:hAnsi="Times New Roman" w:cs="Times New Roman"/>
          <w:i/>
          <w:iCs/>
          <w:kern w:val="0"/>
          <w:sz w:val="22"/>
          <w:szCs w:val="22"/>
          <w:lang w:eastAsia="en-GB"/>
          <w14:ligatures w14:val="none"/>
        </w:rPr>
        <w:t>The Routledge companion to leadership</w:t>
      </w:r>
      <w:r w:rsidRPr="005A7EA6">
        <w:rPr>
          <w:rFonts w:ascii="Times New Roman" w:eastAsia="Times New Roman" w:hAnsi="Times New Roman" w:cs="Times New Roman"/>
          <w:kern w:val="0"/>
          <w:sz w:val="22"/>
          <w:szCs w:val="22"/>
          <w:lang w:eastAsia="en-GB"/>
          <w14:ligatures w14:val="none"/>
        </w:rPr>
        <w:t>. Abingdon: Routledge, pp. 117-131.</w:t>
      </w:r>
    </w:p>
    <w:p w14:paraId="37F06E4C"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Cameron, K.S. and Quinn, R.E. (2023) </w:t>
      </w:r>
      <w:r w:rsidRPr="005A7EA6">
        <w:rPr>
          <w:rFonts w:ascii="Times New Roman" w:eastAsia="Times New Roman" w:hAnsi="Times New Roman" w:cs="Times New Roman"/>
          <w:i/>
          <w:iCs/>
          <w:kern w:val="0"/>
          <w:sz w:val="22"/>
          <w:szCs w:val="22"/>
          <w:lang w:eastAsia="en-GB"/>
          <w14:ligatures w14:val="none"/>
        </w:rPr>
        <w:t>Diagnosing and changing organizational culture: based on the competing values framework</w:t>
      </w:r>
      <w:r w:rsidRPr="005A7EA6">
        <w:rPr>
          <w:rFonts w:ascii="Times New Roman" w:eastAsia="Times New Roman" w:hAnsi="Times New Roman" w:cs="Times New Roman"/>
          <w:kern w:val="0"/>
          <w:sz w:val="22"/>
          <w:szCs w:val="22"/>
          <w:lang w:eastAsia="en-GB"/>
          <w14:ligatures w14:val="none"/>
        </w:rPr>
        <w:t xml:space="preserve">. 4th </w:t>
      </w:r>
      <w:proofErr w:type="spellStart"/>
      <w:r w:rsidRPr="005A7EA6">
        <w:rPr>
          <w:rFonts w:ascii="Times New Roman" w:eastAsia="Times New Roman" w:hAnsi="Times New Roman" w:cs="Times New Roman"/>
          <w:kern w:val="0"/>
          <w:sz w:val="22"/>
          <w:szCs w:val="22"/>
          <w:lang w:eastAsia="en-GB"/>
          <w14:ligatures w14:val="none"/>
        </w:rPr>
        <w:t>edn</w:t>
      </w:r>
      <w:proofErr w:type="spellEnd"/>
      <w:r w:rsidRPr="005A7EA6">
        <w:rPr>
          <w:rFonts w:ascii="Times New Roman" w:eastAsia="Times New Roman" w:hAnsi="Times New Roman" w:cs="Times New Roman"/>
          <w:kern w:val="0"/>
          <w:sz w:val="22"/>
          <w:szCs w:val="22"/>
          <w:lang w:eastAsia="en-GB"/>
          <w14:ligatures w14:val="none"/>
        </w:rPr>
        <w:t>. Hoboken, NJ: Wiley.</w:t>
      </w:r>
    </w:p>
    <w:p w14:paraId="1DC41973"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Dartey-Baah, K. (2023) 'Transformational versus transactional leadership: which style is superior in the healthcare sector?', </w:t>
      </w:r>
      <w:r w:rsidRPr="005A7EA6">
        <w:rPr>
          <w:rFonts w:ascii="Times New Roman" w:eastAsia="Times New Roman" w:hAnsi="Times New Roman" w:cs="Times New Roman"/>
          <w:i/>
          <w:iCs/>
          <w:kern w:val="0"/>
          <w:sz w:val="22"/>
          <w:szCs w:val="22"/>
          <w:lang w:eastAsia="en-GB"/>
          <w14:ligatures w14:val="none"/>
        </w:rPr>
        <w:t>Leadership in Health Services</w:t>
      </w:r>
      <w:r w:rsidRPr="005A7EA6">
        <w:rPr>
          <w:rFonts w:ascii="Times New Roman" w:eastAsia="Times New Roman" w:hAnsi="Times New Roman" w:cs="Times New Roman"/>
          <w:kern w:val="0"/>
          <w:sz w:val="22"/>
          <w:szCs w:val="22"/>
          <w:lang w:eastAsia="en-GB"/>
          <w14:ligatures w14:val="none"/>
        </w:rPr>
        <w:t xml:space="preserve">, 36(1), pp. 89-104. </w:t>
      </w:r>
      <w:proofErr w:type="spellStart"/>
      <w:r w:rsidRPr="005A7EA6">
        <w:rPr>
          <w:rFonts w:ascii="Times New Roman" w:eastAsia="Times New Roman" w:hAnsi="Times New Roman" w:cs="Times New Roman"/>
          <w:kern w:val="0"/>
          <w:sz w:val="22"/>
          <w:szCs w:val="22"/>
          <w:lang w:eastAsia="en-GB"/>
          <w14:ligatures w14:val="none"/>
        </w:rPr>
        <w:t>doi</w:t>
      </w:r>
      <w:proofErr w:type="spellEnd"/>
      <w:r w:rsidRPr="005A7EA6">
        <w:rPr>
          <w:rFonts w:ascii="Times New Roman" w:eastAsia="Times New Roman" w:hAnsi="Times New Roman" w:cs="Times New Roman"/>
          <w:kern w:val="0"/>
          <w:sz w:val="22"/>
          <w:szCs w:val="22"/>
          <w:lang w:eastAsia="en-GB"/>
          <w14:ligatures w14:val="none"/>
        </w:rPr>
        <w:t>: 10.1108/LHS-03-2021-0024.</w:t>
      </w:r>
    </w:p>
    <w:p w14:paraId="07112154"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lastRenderedPageBreak/>
        <w:t xml:space="preserve">Deng, Y., Zhang, Y., Luo, </w:t>
      </w:r>
      <w:proofErr w:type="gramStart"/>
      <w:r w:rsidRPr="005A7EA6">
        <w:rPr>
          <w:rFonts w:ascii="Times New Roman" w:eastAsia="Times New Roman" w:hAnsi="Times New Roman" w:cs="Times New Roman"/>
          <w:kern w:val="0"/>
          <w:sz w:val="22"/>
          <w:szCs w:val="22"/>
          <w:lang w:eastAsia="en-GB"/>
          <w14:ligatures w14:val="none"/>
        </w:rPr>
        <w:t>F.</w:t>
      </w:r>
      <w:proofErr w:type="gramEnd"/>
      <w:r w:rsidRPr="005A7EA6">
        <w:rPr>
          <w:rFonts w:ascii="Times New Roman" w:eastAsia="Times New Roman" w:hAnsi="Times New Roman" w:cs="Times New Roman"/>
          <w:kern w:val="0"/>
          <w:sz w:val="22"/>
          <w:szCs w:val="22"/>
          <w:lang w:eastAsia="en-GB"/>
          <w14:ligatures w14:val="none"/>
        </w:rPr>
        <w:t xml:space="preserve"> and Mu, Y. (2024) 'Operational optimization for EV battery swapping stations: a systematic review', </w:t>
      </w:r>
      <w:r w:rsidRPr="005A7EA6">
        <w:rPr>
          <w:rFonts w:ascii="Times New Roman" w:eastAsia="Times New Roman" w:hAnsi="Times New Roman" w:cs="Times New Roman"/>
          <w:i/>
          <w:iCs/>
          <w:kern w:val="0"/>
          <w:sz w:val="22"/>
          <w:szCs w:val="22"/>
          <w:lang w:eastAsia="en-GB"/>
          <w14:ligatures w14:val="none"/>
        </w:rPr>
        <w:t>IEEE Transactions on Intelligent Transportation Systems</w:t>
      </w:r>
      <w:r w:rsidRPr="005A7EA6">
        <w:rPr>
          <w:rFonts w:ascii="Times New Roman" w:eastAsia="Times New Roman" w:hAnsi="Times New Roman" w:cs="Times New Roman"/>
          <w:kern w:val="0"/>
          <w:sz w:val="22"/>
          <w:szCs w:val="22"/>
          <w:lang w:eastAsia="en-GB"/>
          <w14:ligatures w14:val="none"/>
        </w:rPr>
        <w:t>, 25(6), pp. 5288-5305.</w:t>
      </w:r>
    </w:p>
    <w:p w14:paraId="3738511C"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Edmondson, A.C. and Bransby, D.P. (2023) 'Psychological safety comes of age: observed themes in an established literature', </w:t>
      </w:r>
      <w:r w:rsidRPr="005A7EA6">
        <w:rPr>
          <w:rFonts w:ascii="Times New Roman" w:eastAsia="Times New Roman" w:hAnsi="Times New Roman" w:cs="Times New Roman"/>
          <w:i/>
          <w:iCs/>
          <w:kern w:val="0"/>
          <w:sz w:val="22"/>
          <w:szCs w:val="22"/>
          <w:lang w:eastAsia="en-GB"/>
          <w14:ligatures w14:val="none"/>
        </w:rPr>
        <w:t>Annual Review of Organizational Psychology and Organizational Behaviour</w:t>
      </w:r>
      <w:r w:rsidRPr="005A7EA6">
        <w:rPr>
          <w:rFonts w:ascii="Times New Roman" w:eastAsia="Times New Roman" w:hAnsi="Times New Roman" w:cs="Times New Roman"/>
          <w:kern w:val="0"/>
          <w:sz w:val="22"/>
          <w:szCs w:val="22"/>
          <w:lang w:eastAsia="en-GB"/>
          <w14:ligatures w14:val="none"/>
        </w:rPr>
        <w:t xml:space="preserve">, 10, pp. 55-78. </w:t>
      </w:r>
      <w:proofErr w:type="spellStart"/>
      <w:r w:rsidRPr="005A7EA6">
        <w:rPr>
          <w:rFonts w:ascii="Times New Roman" w:eastAsia="Times New Roman" w:hAnsi="Times New Roman" w:cs="Times New Roman"/>
          <w:kern w:val="0"/>
          <w:sz w:val="22"/>
          <w:szCs w:val="22"/>
          <w:lang w:eastAsia="en-GB"/>
          <w14:ligatures w14:val="none"/>
        </w:rPr>
        <w:t>doi</w:t>
      </w:r>
      <w:proofErr w:type="spellEnd"/>
      <w:r w:rsidRPr="005A7EA6">
        <w:rPr>
          <w:rFonts w:ascii="Times New Roman" w:eastAsia="Times New Roman" w:hAnsi="Times New Roman" w:cs="Times New Roman"/>
          <w:kern w:val="0"/>
          <w:sz w:val="22"/>
          <w:szCs w:val="22"/>
          <w:lang w:eastAsia="en-GB"/>
          <w14:ligatures w14:val="none"/>
        </w:rPr>
        <w:t>: 10.1146/annurev-orgpsych-120920-055217.</w:t>
      </w:r>
    </w:p>
    <w:p w14:paraId="068C5E7D"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Freeman, R.E. and Dmytriyev, S. (2017) 'Corporate social responsibility and stakeholder theory: learning from each other', </w:t>
      </w:r>
      <w:proofErr w:type="spellStart"/>
      <w:r w:rsidRPr="005A7EA6">
        <w:rPr>
          <w:rFonts w:ascii="Times New Roman" w:eastAsia="Times New Roman" w:hAnsi="Times New Roman" w:cs="Times New Roman"/>
          <w:i/>
          <w:iCs/>
          <w:kern w:val="0"/>
          <w:sz w:val="22"/>
          <w:szCs w:val="22"/>
          <w:lang w:eastAsia="en-GB"/>
          <w14:ligatures w14:val="none"/>
        </w:rPr>
        <w:t>Symphonya</w:t>
      </w:r>
      <w:proofErr w:type="spellEnd"/>
      <w:r w:rsidRPr="005A7EA6">
        <w:rPr>
          <w:rFonts w:ascii="Times New Roman" w:eastAsia="Times New Roman" w:hAnsi="Times New Roman" w:cs="Times New Roman"/>
          <w:i/>
          <w:iCs/>
          <w:kern w:val="0"/>
          <w:sz w:val="22"/>
          <w:szCs w:val="22"/>
          <w:lang w:eastAsia="en-GB"/>
          <w14:ligatures w14:val="none"/>
        </w:rPr>
        <w:t>: Emerging Issues in Management</w:t>
      </w:r>
      <w:r w:rsidRPr="005A7EA6">
        <w:rPr>
          <w:rFonts w:ascii="Times New Roman" w:eastAsia="Times New Roman" w:hAnsi="Times New Roman" w:cs="Times New Roman"/>
          <w:kern w:val="0"/>
          <w:sz w:val="22"/>
          <w:szCs w:val="22"/>
          <w:lang w:eastAsia="en-GB"/>
          <w14:ligatures w14:val="none"/>
        </w:rPr>
        <w:t xml:space="preserve">, (1), pp. 7-15. </w:t>
      </w:r>
      <w:proofErr w:type="spellStart"/>
      <w:r w:rsidRPr="005A7EA6">
        <w:rPr>
          <w:rFonts w:ascii="Times New Roman" w:eastAsia="Times New Roman" w:hAnsi="Times New Roman" w:cs="Times New Roman"/>
          <w:kern w:val="0"/>
          <w:sz w:val="22"/>
          <w:szCs w:val="22"/>
          <w:lang w:eastAsia="en-GB"/>
          <w14:ligatures w14:val="none"/>
        </w:rPr>
        <w:t>doi</w:t>
      </w:r>
      <w:proofErr w:type="spellEnd"/>
      <w:r w:rsidRPr="005A7EA6">
        <w:rPr>
          <w:rFonts w:ascii="Times New Roman" w:eastAsia="Times New Roman" w:hAnsi="Times New Roman" w:cs="Times New Roman"/>
          <w:kern w:val="0"/>
          <w:sz w:val="22"/>
          <w:szCs w:val="22"/>
          <w:lang w:eastAsia="en-GB"/>
          <w14:ligatures w14:val="none"/>
        </w:rPr>
        <w:t>: 10.4468/2017.1.02freeman.dmytriyev.</w:t>
      </w:r>
    </w:p>
    <w:p w14:paraId="5211A78B"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Hardman, S., Chakraborty, D., Tal, </w:t>
      </w:r>
      <w:proofErr w:type="gramStart"/>
      <w:r w:rsidRPr="005A7EA6">
        <w:rPr>
          <w:rFonts w:ascii="Times New Roman" w:eastAsia="Times New Roman" w:hAnsi="Times New Roman" w:cs="Times New Roman"/>
          <w:kern w:val="0"/>
          <w:sz w:val="22"/>
          <w:szCs w:val="22"/>
          <w:lang w:eastAsia="en-GB"/>
          <w14:ligatures w14:val="none"/>
        </w:rPr>
        <w:t>G.</w:t>
      </w:r>
      <w:proofErr w:type="gramEnd"/>
      <w:r w:rsidRPr="005A7EA6">
        <w:rPr>
          <w:rFonts w:ascii="Times New Roman" w:eastAsia="Times New Roman" w:hAnsi="Times New Roman" w:cs="Times New Roman"/>
          <w:kern w:val="0"/>
          <w:sz w:val="22"/>
          <w:szCs w:val="22"/>
          <w:lang w:eastAsia="en-GB"/>
          <w14:ligatures w14:val="none"/>
        </w:rPr>
        <w:t xml:space="preserve"> and Turrentine, T. (2023) 'Who are the battery electric vehicle adopters in California and why do they choose BEVs over PHEVs?', </w:t>
      </w:r>
      <w:r w:rsidRPr="005A7EA6">
        <w:rPr>
          <w:rFonts w:ascii="Times New Roman" w:eastAsia="Times New Roman" w:hAnsi="Times New Roman" w:cs="Times New Roman"/>
          <w:i/>
          <w:iCs/>
          <w:kern w:val="0"/>
          <w:sz w:val="22"/>
          <w:szCs w:val="22"/>
          <w:lang w:eastAsia="en-GB"/>
          <w14:ligatures w14:val="none"/>
        </w:rPr>
        <w:t>Transportation Research Part D: Transport and Environment</w:t>
      </w:r>
      <w:r w:rsidRPr="005A7EA6">
        <w:rPr>
          <w:rFonts w:ascii="Times New Roman" w:eastAsia="Times New Roman" w:hAnsi="Times New Roman" w:cs="Times New Roman"/>
          <w:kern w:val="0"/>
          <w:sz w:val="22"/>
          <w:szCs w:val="22"/>
          <w:lang w:eastAsia="en-GB"/>
          <w14:ligatures w14:val="none"/>
        </w:rPr>
        <w:t>, 120, 103793.</w:t>
      </w:r>
    </w:p>
    <w:p w14:paraId="0A5559F0"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Kalra, N. and Paddock, S.M. (2024) 'Driving to safety: how many miles of driving would it take to demonstrate autonomous vehicle reliability?', </w:t>
      </w:r>
      <w:r w:rsidRPr="005A7EA6">
        <w:rPr>
          <w:rFonts w:ascii="Times New Roman" w:eastAsia="Times New Roman" w:hAnsi="Times New Roman" w:cs="Times New Roman"/>
          <w:i/>
          <w:iCs/>
          <w:kern w:val="0"/>
          <w:sz w:val="22"/>
          <w:szCs w:val="22"/>
          <w:lang w:eastAsia="en-GB"/>
          <w14:ligatures w14:val="none"/>
        </w:rPr>
        <w:t>Transportation Research Part A: Policy and Practice</w:t>
      </w:r>
      <w:r w:rsidRPr="005A7EA6">
        <w:rPr>
          <w:rFonts w:ascii="Times New Roman" w:eastAsia="Times New Roman" w:hAnsi="Times New Roman" w:cs="Times New Roman"/>
          <w:kern w:val="0"/>
          <w:sz w:val="22"/>
          <w:szCs w:val="22"/>
          <w:lang w:eastAsia="en-GB"/>
          <w14:ligatures w14:val="none"/>
        </w:rPr>
        <w:t>, 172, 103658.</w:t>
      </w:r>
    </w:p>
    <w:p w14:paraId="076808E2"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Kotter, J.P. (1996) </w:t>
      </w:r>
      <w:r w:rsidRPr="005A7EA6">
        <w:rPr>
          <w:rFonts w:ascii="Times New Roman" w:eastAsia="Times New Roman" w:hAnsi="Times New Roman" w:cs="Times New Roman"/>
          <w:i/>
          <w:iCs/>
          <w:kern w:val="0"/>
          <w:sz w:val="22"/>
          <w:szCs w:val="22"/>
          <w:lang w:eastAsia="en-GB"/>
          <w14:ligatures w14:val="none"/>
        </w:rPr>
        <w:t>Leading change</w:t>
      </w:r>
      <w:r w:rsidRPr="005A7EA6">
        <w:rPr>
          <w:rFonts w:ascii="Times New Roman" w:eastAsia="Times New Roman" w:hAnsi="Times New Roman" w:cs="Times New Roman"/>
          <w:kern w:val="0"/>
          <w:sz w:val="22"/>
          <w:szCs w:val="22"/>
          <w:lang w:eastAsia="en-GB"/>
          <w14:ligatures w14:val="none"/>
        </w:rPr>
        <w:t>. Boston, MA: Harvard Business School Press.</w:t>
      </w:r>
    </w:p>
    <w:p w14:paraId="3D297E86"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Lehtinen, J., Söderholm, K., Stoor, N. and </w:t>
      </w:r>
      <w:proofErr w:type="spellStart"/>
      <w:r w:rsidRPr="005A7EA6">
        <w:rPr>
          <w:rFonts w:ascii="Times New Roman" w:eastAsia="Times New Roman" w:hAnsi="Times New Roman" w:cs="Times New Roman"/>
          <w:kern w:val="0"/>
          <w:sz w:val="22"/>
          <w:szCs w:val="22"/>
          <w:lang w:eastAsia="en-GB"/>
          <w14:ligatures w14:val="none"/>
        </w:rPr>
        <w:t>Mäkitie</w:t>
      </w:r>
      <w:proofErr w:type="spellEnd"/>
      <w:r w:rsidRPr="005A7EA6">
        <w:rPr>
          <w:rFonts w:ascii="Times New Roman" w:eastAsia="Times New Roman" w:hAnsi="Times New Roman" w:cs="Times New Roman"/>
          <w:kern w:val="0"/>
          <w:sz w:val="22"/>
          <w:szCs w:val="22"/>
          <w:lang w:eastAsia="en-GB"/>
          <w14:ligatures w14:val="none"/>
        </w:rPr>
        <w:t xml:space="preserve">, T. (2021) 'Digital platforms in the global south: foundations, dynamics and implications', </w:t>
      </w:r>
      <w:r w:rsidRPr="005A7EA6">
        <w:rPr>
          <w:rFonts w:ascii="Times New Roman" w:eastAsia="Times New Roman" w:hAnsi="Times New Roman" w:cs="Times New Roman"/>
          <w:i/>
          <w:iCs/>
          <w:kern w:val="0"/>
          <w:sz w:val="22"/>
          <w:szCs w:val="22"/>
          <w:lang w:eastAsia="en-GB"/>
          <w14:ligatures w14:val="none"/>
        </w:rPr>
        <w:t>Digital Geography and Society</w:t>
      </w:r>
      <w:r w:rsidRPr="005A7EA6">
        <w:rPr>
          <w:rFonts w:ascii="Times New Roman" w:eastAsia="Times New Roman" w:hAnsi="Times New Roman" w:cs="Times New Roman"/>
          <w:kern w:val="0"/>
          <w:sz w:val="22"/>
          <w:szCs w:val="22"/>
          <w:lang w:eastAsia="en-GB"/>
          <w14:ligatures w14:val="none"/>
        </w:rPr>
        <w:t xml:space="preserve">, 2, 100016. </w:t>
      </w:r>
      <w:proofErr w:type="spellStart"/>
      <w:r w:rsidRPr="005A7EA6">
        <w:rPr>
          <w:rFonts w:ascii="Times New Roman" w:eastAsia="Times New Roman" w:hAnsi="Times New Roman" w:cs="Times New Roman"/>
          <w:kern w:val="0"/>
          <w:sz w:val="22"/>
          <w:szCs w:val="22"/>
          <w:lang w:eastAsia="en-GB"/>
          <w14:ligatures w14:val="none"/>
        </w:rPr>
        <w:t>doi</w:t>
      </w:r>
      <w:proofErr w:type="spellEnd"/>
      <w:r w:rsidRPr="005A7EA6">
        <w:rPr>
          <w:rFonts w:ascii="Times New Roman" w:eastAsia="Times New Roman" w:hAnsi="Times New Roman" w:cs="Times New Roman"/>
          <w:kern w:val="0"/>
          <w:sz w:val="22"/>
          <w:szCs w:val="22"/>
          <w:lang w:eastAsia="en-GB"/>
          <w14:ligatures w14:val="none"/>
        </w:rPr>
        <w:t>: 10.1016/j.diggeo.2021.100016.</w:t>
      </w:r>
    </w:p>
    <w:p w14:paraId="7BE7ABE6"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Tesla (2024) </w:t>
      </w:r>
      <w:r w:rsidRPr="005A7EA6">
        <w:rPr>
          <w:rFonts w:ascii="Times New Roman" w:eastAsia="Times New Roman" w:hAnsi="Times New Roman" w:cs="Times New Roman"/>
          <w:i/>
          <w:iCs/>
          <w:kern w:val="0"/>
          <w:sz w:val="22"/>
          <w:szCs w:val="22"/>
          <w:lang w:eastAsia="en-GB"/>
          <w14:ligatures w14:val="none"/>
        </w:rPr>
        <w:t>Impact report 2023</w:t>
      </w:r>
      <w:r w:rsidRPr="005A7EA6">
        <w:rPr>
          <w:rFonts w:ascii="Times New Roman" w:eastAsia="Times New Roman" w:hAnsi="Times New Roman" w:cs="Times New Roman"/>
          <w:kern w:val="0"/>
          <w:sz w:val="22"/>
          <w:szCs w:val="22"/>
          <w:lang w:eastAsia="en-GB"/>
          <w14:ligatures w14:val="none"/>
        </w:rPr>
        <w:t>. Available at: https://www.tesla.com/ns_videos/2023-tesla-impact-report.pdf (Accessed: 26 November 2025).</w:t>
      </w:r>
    </w:p>
    <w:p w14:paraId="01BA92DD"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Tietge, U., Díaz, S., Mock, P. and Bieker, G. (2023) 'A global comparison of the life-cycle greenhouse gas emissions of combustion engine and electric passenger cars', </w:t>
      </w:r>
      <w:r w:rsidRPr="005A7EA6">
        <w:rPr>
          <w:rFonts w:ascii="Times New Roman" w:eastAsia="Times New Roman" w:hAnsi="Times New Roman" w:cs="Times New Roman"/>
          <w:i/>
          <w:iCs/>
          <w:kern w:val="0"/>
          <w:sz w:val="22"/>
          <w:szCs w:val="22"/>
          <w:lang w:eastAsia="en-GB"/>
          <w14:ligatures w14:val="none"/>
        </w:rPr>
        <w:t>Atmospheric Environment</w:t>
      </w:r>
      <w:r w:rsidRPr="005A7EA6">
        <w:rPr>
          <w:rFonts w:ascii="Times New Roman" w:eastAsia="Times New Roman" w:hAnsi="Times New Roman" w:cs="Times New Roman"/>
          <w:kern w:val="0"/>
          <w:sz w:val="22"/>
          <w:szCs w:val="22"/>
          <w:lang w:eastAsia="en-GB"/>
          <w14:ligatures w14:val="none"/>
        </w:rPr>
        <w:t>, 295, 119517.</w:t>
      </w:r>
    </w:p>
    <w:p w14:paraId="6DA0E8F2" w14:textId="77777777" w:rsidR="005A7EA6" w:rsidRPr="005A7EA6" w:rsidRDefault="005A7EA6" w:rsidP="005A7EA6">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5A7EA6">
        <w:rPr>
          <w:rFonts w:ascii="Times New Roman" w:eastAsia="Times New Roman" w:hAnsi="Times New Roman" w:cs="Times New Roman"/>
          <w:kern w:val="0"/>
          <w:sz w:val="22"/>
          <w:szCs w:val="22"/>
          <w:lang w:eastAsia="en-GB"/>
          <w14:ligatures w14:val="none"/>
        </w:rPr>
        <w:t xml:space="preserve">Van der Voet, J. (2016) 'Change leadership and public sector organizational change: examining the interactions of transformational leadership style and red tape', </w:t>
      </w:r>
      <w:r w:rsidRPr="005A7EA6">
        <w:rPr>
          <w:rFonts w:ascii="Times New Roman" w:eastAsia="Times New Roman" w:hAnsi="Times New Roman" w:cs="Times New Roman"/>
          <w:i/>
          <w:iCs/>
          <w:kern w:val="0"/>
          <w:sz w:val="22"/>
          <w:szCs w:val="22"/>
          <w:lang w:eastAsia="en-GB"/>
          <w14:ligatures w14:val="none"/>
        </w:rPr>
        <w:t>American Review of Public Administration</w:t>
      </w:r>
      <w:r w:rsidRPr="005A7EA6">
        <w:rPr>
          <w:rFonts w:ascii="Times New Roman" w:eastAsia="Times New Roman" w:hAnsi="Times New Roman" w:cs="Times New Roman"/>
          <w:kern w:val="0"/>
          <w:sz w:val="22"/>
          <w:szCs w:val="22"/>
          <w:lang w:eastAsia="en-GB"/>
          <w14:ligatures w14:val="none"/>
        </w:rPr>
        <w:t xml:space="preserve">, 46(6), pp. 660-682. </w:t>
      </w:r>
      <w:proofErr w:type="spellStart"/>
      <w:r w:rsidRPr="005A7EA6">
        <w:rPr>
          <w:rFonts w:ascii="Times New Roman" w:eastAsia="Times New Roman" w:hAnsi="Times New Roman" w:cs="Times New Roman"/>
          <w:kern w:val="0"/>
          <w:sz w:val="22"/>
          <w:szCs w:val="22"/>
          <w:lang w:eastAsia="en-GB"/>
          <w14:ligatures w14:val="none"/>
        </w:rPr>
        <w:t>doi</w:t>
      </w:r>
      <w:proofErr w:type="spellEnd"/>
      <w:r w:rsidRPr="005A7EA6">
        <w:rPr>
          <w:rFonts w:ascii="Times New Roman" w:eastAsia="Times New Roman" w:hAnsi="Times New Roman" w:cs="Times New Roman"/>
          <w:kern w:val="0"/>
          <w:sz w:val="22"/>
          <w:szCs w:val="22"/>
          <w:lang w:eastAsia="en-GB"/>
          <w14:ligatures w14:val="none"/>
        </w:rPr>
        <w:t>: 10.1177/0275074015574769.</w:t>
      </w:r>
    </w:p>
    <w:p w14:paraId="34F9A746" w14:textId="77777777" w:rsidR="001F6062" w:rsidRPr="005A7EA6" w:rsidRDefault="001F6062" w:rsidP="005A7EA6">
      <w:pPr>
        <w:spacing w:line="360" w:lineRule="auto"/>
        <w:rPr>
          <w:rFonts w:ascii="Arial" w:hAnsi="Arial" w:cs="Arial"/>
          <w:sz w:val="22"/>
          <w:szCs w:val="22"/>
        </w:rPr>
      </w:pPr>
    </w:p>
    <w:p w14:paraId="6B3DDD90" w14:textId="77777777" w:rsidR="001F6062" w:rsidRPr="00CE168A" w:rsidRDefault="001F6062" w:rsidP="00CE168A">
      <w:pPr>
        <w:rPr>
          <w:rFonts w:ascii="Arial" w:hAnsi="Arial" w:cs="Arial"/>
        </w:rPr>
      </w:pPr>
    </w:p>
    <w:p w14:paraId="599DB722" w14:textId="77777777" w:rsidR="001F6062" w:rsidRPr="00CE168A" w:rsidRDefault="001F6062" w:rsidP="001F6062">
      <w:pPr>
        <w:jc w:val="center"/>
        <w:rPr>
          <w:rFonts w:ascii="Arial" w:hAnsi="Arial" w:cs="Arial"/>
        </w:rPr>
      </w:pPr>
    </w:p>
    <w:p w14:paraId="71469907" w14:textId="77777777" w:rsidR="001F6062" w:rsidRPr="00CE168A" w:rsidRDefault="001F6062" w:rsidP="001F6062">
      <w:pPr>
        <w:jc w:val="center"/>
        <w:rPr>
          <w:rFonts w:ascii="Arial" w:hAnsi="Arial" w:cs="Arial"/>
        </w:rPr>
      </w:pPr>
    </w:p>
    <w:p w14:paraId="527F602F" w14:textId="77777777" w:rsidR="001F6062" w:rsidRPr="00CE168A" w:rsidRDefault="001F6062" w:rsidP="00CE168A">
      <w:pPr>
        <w:rPr>
          <w:rFonts w:ascii="Arial" w:hAnsi="Arial" w:cs="Arial"/>
        </w:rPr>
      </w:pPr>
    </w:p>
    <w:p w14:paraId="56D3AEDE" w14:textId="77777777" w:rsidR="00CE168A" w:rsidRPr="001A4A49" w:rsidRDefault="00CE168A" w:rsidP="00CE168A">
      <w:pPr>
        <w:pStyle w:val="elementtoproof"/>
        <w:spacing w:after="160" w:line="288" w:lineRule="auto"/>
        <w:rPr>
          <w:rFonts w:ascii="Arial" w:hAnsi="Arial" w:cs="Arial"/>
          <w:color w:val="000000"/>
          <w:sz w:val="22"/>
          <w:szCs w:val="22"/>
        </w:rPr>
      </w:pPr>
    </w:p>
    <w:p w14:paraId="11E86859"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Appendix A: Detailed SWOT Analysis – Tesla Inc.</w:t>
      </w:r>
    </w:p>
    <w:tbl>
      <w:tblPr>
        <w:tblW w:w="8075" w:type="dxa"/>
        <w:tblCellMar>
          <w:left w:w="10" w:type="dxa"/>
          <w:right w:w="10" w:type="dxa"/>
        </w:tblCellMar>
        <w:tblLook w:val="04A0" w:firstRow="1" w:lastRow="0" w:firstColumn="1" w:lastColumn="0" w:noHBand="0" w:noVBand="1"/>
      </w:tblPr>
      <w:tblGrid>
        <w:gridCol w:w="3964"/>
        <w:gridCol w:w="4111"/>
      </w:tblGrid>
      <w:tr w:rsidR="00CE168A" w:rsidRPr="001A4A49" w14:paraId="1ABE8FC7" w14:textId="77777777" w:rsidTr="00395504">
        <w:trPr>
          <w:trHeight w:val="496"/>
        </w:trPr>
        <w:tc>
          <w:tcPr>
            <w:tcW w:w="396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tcPr>
          <w:p w14:paraId="1BF7CED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Strengths</w:t>
            </w:r>
          </w:p>
        </w:tc>
        <w:tc>
          <w:tcPr>
            <w:tcW w:w="4111" w:type="dxa"/>
            <w:tcBorders>
              <w:top w:val="single" w:sz="8" w:space="0" w:color="000000"/>
              <w:bottom w:val="single" w:sz="8" w:space="0" w:color="000000"/>
              <w:right w:val="single" w:sz="8" w:space="0" w:color="000000"/>
            </w:tcBorders>
            <w:tcMar>
              <w:top w:w="0" w:type="dxa"/>
              <w:left w:w="108" w:type="dxa"/>
              <w:bottom w:w="0" w:type="dxa"/>
              <w:right w:w="108" w:type="dxa"/>
            </w:tcMar>
          </w:tcPr>
          <w:p w14:paraId="0CC5C90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Weaknesses</w:t>
            </w:r>
          </w:p>
        </w:tc>
      </w:tr>
      <w:tr w:rsidR="00CE168A" w:rsidRPr="001A4A49" w14:paraId="1994C163" w14:textId="77777777" w:rsidTr="00395504">
        <w:trPr>
          <w:trHeight w:val="496"/>
        </w:trPr>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1B9E848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Strong brand reputation for innovation and sustainability</w:t>
            </w:r>
          </w:p>
        </w:tc>
        <w:tc>
          <w:tcPr>
            <w:tcW w:w="4111" w:type="dxa"/>
            <w:tcBorders>
              <w:bottom w:val="single" w:sz="8" w:space="0" w:color="000000"/>
              <w:right w:val="single" w:sz="8" w:space="0" w:color="000000"/>
            </w:tcBorders>
            <w:tcMar>
              <w:top w:w="0" w:type="dxa"/>
              <w:left w:w="108" w:type="dxa"/>
              <w:bottom w:w="0" w:type="dxa"/>
              <w:right w:w="108" w:type="dxa"/>
            </w:tcMar>
          </w:tcPr>
          <w:p w14:paraId="2B4F3AF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 employee turnover, especially in engineering and production</w:t>
            </w:r>
          </w:p>
        </w:tc>
      </w:tr>
      <w:tr w:rsidR="00CE168A" w:rsidRPr="001A4A49" w14:paraId="515F77B2" w14:textId="77777777" w:rsidTr="00395504">
        <w:trPr>
          <w:trHeight w:val="760"/>
        </w:trPr>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7ACBAF4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Vertically integrated supply chain (batteries, software, manufacturing)</w:t>
            </w:r>
          </w:p>
        </w:tc>
        <w:tc>
          <w:tcPr>
            <w:tcW w:w="4111" w:type="dxa"/>
            <w:tcBorders>
              <w:bottom w:val="single" w:sz="8" w:space="0" w:color="000000"/>
              <w:right w:val="single" w:sz="8" w:space="0" w:color="000000"/>
            </w:tcBorders>
            <w:tcMar>
              <w:top w:w="0" w:type="dxa"/>
              <w:left w:w="108" w:type="dxa"/>
              <w:bottom w:w="0" w:type="dxa"/>
              <w:right w:w="108" w:type="dxa"/>
            </w:tcMar>
          </w:tcPr>
          <w:p w14:paraId="73103F7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Over-centralised leadership, dependence on Elon Musk</w:t>
            </w:r>
          </w:p>
        </w:tc>
      </w:tr>
      <w:tr w:rsidR="00CE168A" w:rsidRPr="001A4A49" w14:paraId="39574878" w14:textId="77777777" w:rsidTr="00395504">
        <w:trPr>
          <w:trHeight w:val="745"/>
        </w:trPr>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567FBBC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Advanced technology leadership (AI, Full Self-Driving, battery tech)</w:t>
            </w:r>
          </w:p>
        </w:tc>
        <w:tc>
          <w:tcPr>
            <w:tcW w:w="4111" w:type="dxa"/>
            <w:tcBorders>
              <w:bottom w:val="single" w:sz="8" w:space="0" w:color="000000"/>
              <w:right w:val="single" w:sz="8" w:space="0" w:color="000000"/>
            </w:tcBorders>
            <w:tcMar>
              <w:top w:w="0" w:type="dxa"/>
              <w:left w:w="108" w:type="dxa"/>
              <w:bottom w:w="0" w:type="dxa"/>
              <w:right w:w="108" w:type="dxa"/>
            </w:tcMar>
          </w:tcPr>
          <w:p w14:paraId="7D54CD5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Production ramp-up difficulties and inconsistent manufacturing quality</w:t>
            </w:r>
          </w:p>
        </w:tc>
      </w:tr>
      <w:tr w:rsidR="00CE168A" w:rsidRPr="001A4A49" w14:paraId="7A55626E" w14:textId="77777777" w:rsidTr="00395504">
        <w:trPr>
          <w:trHeight w:val="496"/>
        </w:trPr>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6483FBC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Loyal customer base and high market capitalization</w:t>
            </w:r>
          </w:p>
        </w:tc>
        <w:tc>
          <w:tcPr>
            <w:tcW w:w="4111" w:type="dxa"/>
            <w:tcBorders>
              <w:bottom w:val="single" w:sz="8" w:space="0" w:color="000000"/>
              <w:right w:val="single" w:sz="8" w:space="0" w:color="000000"/>
            </w:tcBorders>
            <w:tcMar>
              <w:top w:w="0" w:type="dxa"/>
              <w:left w:w="108" w:type="dxa"/>
              <w:bottom w:w="0" w:type="dxa"/>
              <w:right w:w="108" w:type="dxa"/>
            </w:tcMar>
          </w:tcPr>
          <w:p w14:paraId="365F1FD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 capital expenditure requirements and operational complexity</w:t>
            </w:r>
          </w:p>
        </w:tc>
      </w:tr>
      <w:tr w:rsidR="00CE168A" w:rsidRPr="001A4A49" w14:paraId="11591892" w14:textId="77777777" w:rsidTr="00395504">
        <w:trPr>
          <w:trHeight w:val="496"/>
        </w:trPr>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38AE024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Global manufacturing footprint (US, China, Germany)</w:t>
            </w:r>
          </w:p>
        </w:tc>
        <w:tc>
          <w:tcPr>
            <w:tcW w:w="4111" w:type="dxa"/>
            <w:tcBorders>
              <w:bottom w:val="single" w:sz="8" w:space="0" w:color="000000"/>
              <w:right w:val="single" w:sz="8" w:space="0" w:color="000000"/>
            </w:tcBorders>
            <w:tcMar>
              <w:top w:w="0" w:type="dxa"/>
              <w:left w:w="108" w:type="dxa"/>
              <w:bottom w:w="0" w:type="dxa"/>
              <w:right w:w="108" w:type="dxa"/>
            </w:tcMar>
          </w:tcPr>
          <w:p w14:paraId="069B5D5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Limited product diversity compared to established automakers</w:t>
            </w:r>
          </w:p>
        </w:tc>
      </w:tr>
      <w:tr w:rsidR="00CE168A" w:rsidRPr="001A4A49" w14:paraId="04BFBE6C" w14:textId="77777777" w:rsidTr="00395504">
        <w:trPr>
          <w:trHeight w:val="512"/>
        </w:trPr>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2210487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Ability to launch over-the-air updates for vehicles</w:t>
            </w:r>
          </w:p>
        </w:tc>
        <w:tc>
          <w:tcPr>
            <w:tcW w:w="4111" w:type="dxa"/>
            <w:tcBorders>
              <w:bottom w:val="single" w:sz="8" w:space="0" w:color="000000"/>
              <w:right w:val="single" w:sz="8" w:space="0" w:color="000000"/>
            </w:tcBorders>
            <w:tcMar>
              <w:top w:w="0" w:type="dxa"/>
              <w:left w:w="108" w:type="dxa"/>
              <w:bottom w:w="0" w:type="dxa"/>
              <w:right w:w="108" w:type="dxa"/>
            </w:tcMar>
          </w:tcPr>
          <w:p w14:paraId="65B8FC9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Vulnerability to supply chain disruptions (e.g., lithium, semiconductors)</w:t>
            </w:r>
          </w:p>
        </w:tc>
      </w:tr>
    </w:tbl>
    <w:p w14:paraId="4AF8EF3B"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 </w:t>
      </w:r>
    </w:p>
    <w:tbl>
      <w:tblPr>
        <w:tblW w:w="8075" w:type="dxa"/>
        <w:tblCellMar>
          <w:left w:w="10" w:type="dxa"/>
          <w:right w:w="10" w:type="dxa"/>
        </w:tblCellMar>
        <w:tblLook w:val="04A0" w:firstRow="1" w:lastRow="0" w:firstColumn="1" w:lastColumn="0" w:noHBand="0" w:noVBand="1"/>
      </w:tblPr>
      <w:tblGrid>
        <w:gridCol w:w="3964"/>
        <w:gridCol w:w="4111"/>
      </w:tblGrid>
      <w:tr w:rsidR="00CE168A" w:rsidRPr="001A4A49" w14:paraId="37C938CC" w14:textId="77777777" w:rsidTr="00395504">
        <w:tc>
          <w:tcPr>
            <w:tcW w:w="3964"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tcPr>
          <w:p w14:paraId="4AFE748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Opportunities</w:t>
            </w:r>
          </w:p>
        </w:tc>
        <w:tc>
          <w:tcPr>
            <w:tcW w:w="4111" w:type="dxa"/>
            <w:tcBorders>
              <w:top w:val="single" w:sz="8" w:space="0" w:color="000000"/>
              <w:bottom w:val="single" w:sz="8" w:space="0" w:color="000000"/>
              <w:right w:val="single" w:sz="8" w:space="0" w:color="000000"/>
            </w:tcBorders>
            <w:tcMar>
              <w:top w:w="0" w:type="dxa"/>
              <w:left w:w="108" w:type="dxa"/>
              <w:bottom w:w="0" w:type="dxa"/>
              <w:right w:w="108" w:type="dxa"/>
            </w:tcMar>
          </w:tcPr>
          <w:p w14:paraId="1EC99E4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Threats</w:t>
            </w:r>
          </w:p>
        </w:tc>
      </w:tr>
      <w:tr w:rsidR="00CE168A" w:rsidRPr="001A4A49" w14:paraId="7DD0EF74" w14:textId="77777777" w:rsidTr="00395504">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3D94B66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Expansion of energy business (solar, storage, vehicle-to-grid)</w:t>
            </w:r>
          </w:p>
        </w:tc>
        <w:tc>
          <w:tcPr>
            <w:tcW w:w="4111" w:type="dxa"/>
            <w:tcBorders>
              <w:bottom w:val="single" w:sz="8" w:space="0" w:color="000000"/>
              <w:right w:val="single" w:sz="8" w:space="0" w:color="000000"/>
            </w:tcBorders>
            <w:tcMar>
              <w:top w:w="0" w:type="dxa"/>
              <w:left w:w="108" w:type="dxa"/>
              <w:bottom w:w="0" w:type="dxa"/>
              <w:right w:w="108" w:type="dxa"/>
            </w:tcMar>
          </w:tcPr>
          <w:p w14:paraId="0D25CA5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Intensifying competition from legacy automakers and Chinese EV startups</w:t>
            </w:r>
          </w:p>
        </w:tc>
      </w:tr>
      <w:tr w:rsidR="00CE168A" w:rsidRPr="001A4A49" w14:paraId="51DB62C6" w14:textId="77777777" w:rsidTr="00395504">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537F32A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Regulatory support for EVs (subsidies, emission targets)</w:t>
            </w:r>
          </w:p>
        </w:tc>
        <w:tc>
          <w:tcPr>
            <w:tcW w:w="4111" w:type="dxa"/>
            <w:tcBorders>
              <w:bottom w:val="single" w:sz="8" w:space="0" w:color="000000"/>
              <w:right w:val="single" w:sz="8" w:space="0" w:color="000000"/>
            </w:tcBorders>
            <w:tcMar>
              <w:top w:w="0" w:type="dxa"/>
              <w:left w:w="108" w:type="dxa"/>
              <w:bottom w:w="0" w:type="dxa"/>
              <w:right w:w="108" w:type="dxa"/>
            </w:tcMar>
          </w:tcPr>
          <w:p w14:paraId="51C6C75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Geopolitical tensions (US/China relations, tariffs, regional regulations)</w:t>
            </w:r>
          </w:p>
        </w:tc>
      </w:tr>
      <w:tr w:rsidR="00CE168A" w:rsidRPr="001A4A49" w14:paraId="075C6637" w14:textId="77777777" w:rsidTr="00395504">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686928E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Growth in global EV adoption; new market entries</w:t>
            </w:r>
          </w:p>
        </w:tc>
        <w:tc>
          <w:tcPr>
            <w:tcW w:w="4111" w:type="dxa"/>
            <w:tcBorders>
              <w:bottom w:val="single" w:sz="8" w:space="0" w:color="000000"/>
              <w:right w:val="single" w:sz="8" w:space="0" w:color="000000"/>
            </w:tcBorders>
            <w:tcMar>
              <w:top w:w="0" w:type="dxa"/>
              <w:left w:w="108" w:type="dxa"/>
              <w:bottom w:w="0" w:type="dxa"/>
              <w:right w:w="108" w:type="dxa"/>
            </w:tcMar>
          </w:tcPr>
          <w:p w14:paraId="25534A7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Volatility in raw material prices (lithium, cobalt, nickel)</w:t>
            </w:r>
          </w:p>
        </w:tc>
      </w:tr>
      <w:tr w:rsidR="00CE168A" w:rsidRPr="001A4A49" w14:paraId="57A4ED0B" w14:textId="77777777" w:rsidTr="00395504">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7EC9FB2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Technological advances (autonomous driving, AI integration)</w:t>
            </w:r>
          </w:p>
        </w:tc>
        <w:tc>
          <w:tcPr>
            <w:tcW w:w="4111" w:type="dxa"/>
            <w:tcBorders>
              <w:bottom w:val="single" w:sz="8" w:space="0" w:color="000000"/>
              <w:right w:val="single" w:sz="8" w:space="0" w:color="000000"/>
            </w:tcBorders>
            <w:tcMar>
              <w:top w:w="0" w:type="dxa"/>
              <w:left w:w="108" w:type="dxa"/>
              <w:bottom w:w="0" w:type="dxa"/>
              <w:right w:w="108" w:type="dxa"/>
            </w:tcMar>
          </w:tcPr>
          <w:p w14:paraId="25B6248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Policy uncertainty (subsidy rollbacks, changing emission standards)</w:t>
            </w:r>
          </w:p>
        </w:tc>
      </w:tr>
      <w:tr w:rsidR="00CE168A" w:rsidRPr="001A4A49" w14:paraId="5104CAEE" w14:textId="77777777" w:rsidTr="00395504">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6D26A53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Strategic partnerships for charging infrastructure</w:t>
            </w:r>
          </w:p>
        </w:tc>
        <w:tc>
          <w:tcPr>
            <w:tcW w:w="4111" w:type="dxa"/>
            <w:tcBorders>
              <w:bottom w:val="single" w:sz="8" w:space="0" w:color="000000"/>
              <w:right w:val="single" w:sz="8" w:space="0" w:color="000000"/>
            </w:tcBorders>
            <w:tcMar>
              <w:top w:w="0" w:type="dxa"/>
              <w:left w:w="108" w:type="dxa"/>
              <w:bottom w:w="0" w:type="dxa"/>
              <w:right w:w="108" w:type="dxa"/>
            </w:tcMar>
          </w:tcPr>
          <w:p w14:paraId="7E9C661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Cybersecurity risks due to increased vehicle connectivity</w:t>
            </w:r>
          </w:p>
        </w:tc>
      </w:tr>
      <w:tr w:rsidR="00CE168A" w:rsidRPr="001A4A49" w14:paraId="154474C8" w14:textId="77777777" w:rsidTr="00395504">
        <w:tc>
          <w:tcPr>
            <w:tcW w:w="3964" w:type="dxa"/>
            <w:tcBorders>
              <w:left w:val="single" w:sz="8" w:space="0" w:color="000000"/>
              <w:bottom w:val="single" w:sz="8" w:space="0" w:color="000000"/>
              <w:right w:val="single" w:sz="8" w:space="0" w:color="000000"/>
            </w:tcBorders>
            <w:tcMar>
              <w:top w:w="0" w:type="dxa"/>
              <w:left w:w="108" w:type="dxa"/>
              <w:bottom w:w="0" w:type="dxa"/>
              <w:right w:w="108" w:type="dxa"/>
            </w:tcMar>
          </w:tcPr>
          <w:p w14:paraId="3FE9F92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Diversification into robotics, AI, and energy services</w:t>
            </w:r>
          </w:p>
        </w:tc>
        <w:tc>
          <w:tcPr>
            <w:tcW w:w="4111" w:type="dxa"/>
            <w:tcBorders>
              <w:bottom w:val="single" w:sz="8" w:space="0" w:color="000000"/>
              <w:right w:val="single" w:sz="8" w:space="0" w:color="000000"/>
            </w:tcBorders>
            <w:tcMar>
              <w:top w:w="0" w:type="dxa"/>
              <w:left w:w="108" w:type="dxa"/>
              <w:bottom w:w="0" w:type="dxa"/>
              <w:right w:w="108" w:type="dxa"/>
            </w:tcMar>
          </w:tcPr>
          <w:p w14:paraId="0E09490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Brand dilution if expanding into low-cost segments</w:t>
            </w:r>
          </w:p>
        </w:tc>
      </w:tr>
    </w:tbl>
    <w:p w14:paraId="5FC542E8" w14:textId="77777777" w:rsidR="00CE168A" w:rsidRPr="001A4A49" w:rsidRDefault="00CE168A" w:rsidP="00CE168A">
      <w:pPr>
        <w:pStyle w:val="elementtoproof"/>
        <w:spacing w:after="160"/>
        <w:rPr>
          <w:rFonts w:ascii="Arial" w:hAnsi="Arial" w:cs="Arial"/>
          <w:i/>
          <w:iCs/>
          <w:color w:val="000000"/>
          <w:sz w:val="22"/>
          <w:szCs w:val="22"/>
        </w:rPr>
      </w:pPr>
    </w:p>
    <w:p w14:paraId="7E40D633" w14:textId="5D3F484B" w:rsidR="00CE168A" w:rsidRPr="001A4A49" w:rsidRDefault="00CE168A" w:rsidP="00CE168A">
      <w:pPr>
        <w:pStyle w:val="elementtoproof"/>
        <w:spacing w:after="160"/>
        <w:rPr>
          <w:rFonts w:ascii="Arial" w:hAnsi="Arial" w:cs="Arial"/>
        </w:rPr>
      </w:pPr>
      <w:r w:rsidRPr="001A4A49">
        <w:rPr>
          <w:rFonts w:ascii="Arial" w:hAnsi="Arial" w:cs="Arial"/>
          <w:b/>
          <w:bCs/>
          <w:i/>
          <w:iCs/>
          <w:color w:val="000000"/>
          <w:sz w:val="22"/>
          <w:szCs w:val="22"/>
        </w:rPr>
        <w:t>Critical Commentary:</w:t>
      </w:r>
      <w:r w:rsidRPr="001A4A49">
        <w:rPr>
          <w:rFonts w:ascii="Arial" w:hAnsi="Arial" w:cs="Arial"/>
          <w:i/>
          <w:iCs/>
          <w:color w:val="000000"/>
          <w:sz w:val="22"/>
          <w:szCs w:val="22"/>
        </w:rPr>
        <w:br/>
      </w:r>
      <w:r w:rsidRPr="001A4A49">
        <w:rPr>
          <w:rFonts w:ascii="Arial" w:hAnsi="Arial" w:cs="Arial"/>
          <w:i/>
          <w:iCs/>
          <w:color w:val="000000"/>
        </w:rPr>
        <w:t xml:space="preserve">Tesla’s core strengths brand, integration, and technology enable rapid innovation but also increase exposure to supply chain shocks and leadership bottlenecks. The most urgent threat is competition, particularly from well-capitalized Chinese and legacy automakers, while the greatest opportunity lies in leveraging its energy business for </w:t>
      </w:r>
      <w:r w:rsidRPr="001A4A49">
        <w:rPr>
          <w:rFonts w:ascii="Arial" w:hAnsi="Arial" w:cs="Arial"/>
          <w:i/>
          <w:iCs/>
          <w:color w:val="000000"/>
        </w:rPr>
        <w:lastRenderedPageBreak/>
        <w:t>diversification. The supply chain and leadership weaknesses are direct priorities for the change plan.</w:t>
      </w:r>
    </w:p>
    <w:p w14:paraId="18664F8D"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Appendix B: Detailed Risk Assessment Matrix – Tesla Strategic Change</w:t>
      </w:r>
    </w:p>
    <w:tbl>
      <w:tblPr>
        <w:tblW w:w="8784" w:type="dxa"/>
        <w:tblCellMar>
          <w:left w:w="10" w:type="dxa"/>
          <w:right w:w="10" w:type="dxa"/>
        </w:tblCellMar>
        <w:tblLook w:val="04A0" w:firstRow="1" w:lastRow="0" w:firstColumn="1" w:lastColumn="0" w:noHBand="0" w:noVBand="1"/>
      </w:tblPr>
      <w:tblGrid>
        <w:gridCol w:w="2116"/>
        <w:gridCol w:w="1281"/>
        <w:gridCol w:w="1276"/>
        <w:gridCol w:w="992"/>
        <w:gridCol w:w="3119"/>
      </w:tblGrid>
      <w:tr w:rsidR="00CE168A" w:rsidRPr="001A4A49" w14:paraId="40D7B7DF" w14:textId="77777777" w:rsidTr="00395504">
        <w:tc>
          <w:tcPr>
            <w:tcW w:w="2116"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tcPr>
          <w:p w14:paraId="280692C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Risk</w:t>
            </w:r>
          </w:p>
        </w:tc>
        <w:tc>
          <w:tcPr>
            <w:tcW w:w="1281" w:type="dxa"/>
            <w:tcBorders>
              <w:top w:val="single" w:sz="8" w:space="0" w:color="000000"/>
              <w:bottom w:val="single" w:sz="8" w:space="0" w:color="000000"/>
              <w:right w:val="single" w:sz="8" w:space="0" w:color="000000"/>
            </w:tcBorders>
            <w:tcMar>
              <w:top w:w="0" w:type="dxa"/>
              <w:left w:w="108" w:type="dxa"/>
              <w:bottom w:w="0" w:type="dxa"/>
              <w:right w:w="108" w:type="dxa"/>
            </w:tcMar>
          </w:tcPr>
          <w:p w14:paraId="1F3A1C9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Likelihood</w:t>
            </w:r>
          </w:p>
        </w:tc>
        <w:tc>
          <w:tcPr>
            <w:tcW w:w="1276" w:type="dxa"/>
            <w:tcBorders>
              <w:top w:val="single" w:sz="8" w:space="0" w:color="000000"/>
              <w:bottom w:val="single" w:sz="8" w:space="0" w:color="000000"/>
              <w:right w:val="single" w:sz="8" w:space="0" w:color="000000"/>
            </w:tcBorders>
            <w:tcMar>
              <w:top w:w="0" w:type="dxa"/>
              <w:left w:w="108" w:type="dxa"/>
              <w:bottom w:w="0" w:type="dxa"/>
              <w:right w:w="108" w:type="dxa"/>
            </w:tcMar>
          </w:tcPr>
          <w:p w14:paraId="1366773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Impact</w:t>
            </w:r>
          </w:p>
        </w:tc>
        <w:tc>
          <w:tcPr>
            <w:tcW w:w="992" w:type="dxa"/>
            <w:tcBorders>
              <w:top w:val="single" w:sz="8" w:space="0" w:color="000000"/>
              <w:bottom w:val="single" w:sz="8" w:space="0" w:color="000000"/>
              <w:right w:val="single" w:sz="8" w:space="0" w:color="000000"/>
            </w:tcBorders>
            <w:tcMar>
              <w:top w:w="0" w:type="dxa"/>
              <w:left w:w="108" w:type="dxa"/>
              <w:bottom w:w="0" w:type="dxa"/>
              <w:right w:w="108" w:type="dxa"/>
            </w:tcMar>
          </w:tcPr>
          <w:p w14:paraId="5CF9181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Priority</w:t>
            </w:r>
          </w:p>
        </w:tc>
        <w:tc>
          <w:tcPr>
            <w:tcW w:w="3119" w:type="dxa"/>
            <w:tcBorders>
              <w:top w:val="single" w:sz="8" w:space="0" w:color="000000"/>
              <w:bottom w:val="single" w:sz="8" w:space="0" w:color="000000"/>
              <w:right w:val="single" w:sz="8" w:space="0" w:color="000000"/>
            </w:tcBorders>
            <w:tcMar>
              <w:top w:w="0" w:type="dxa"/>
              <w:left w:w="108" w:type="dxa"/>
              <w:bottom w:w="0" w:type="dxa"/>
              <w:right w:w="108" w:type="dxa"/>
            </w:tcMar>
          </w:tcPr>
          <w:p w14:paraId="5B1E9F7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Mitigation Strategy</w:t>
            </w:r>
          </w:p>
        </w:tc>
      </w:tr>
      <w:tr w:rsidR="00CE168A" w:rsidRPr="001A4A49" w14:paraId="38918C2E"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2EB5CF9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Supply chain disruption (lithium, chips)</w:t>
            </w:r>
          </w:p>
        </w:tc>
        <w:tc>
          <w:tcPr>
            <w:tcW w:w="1281" w:type="dxa"/>
            <w:tcBorders>
              <w:bottom w:val="single" w:sz="8" w:space="0" w:color="000000"/>
              <w:right w:val="single" w:sz="8" w:space="0" w:color="000000"/>
            </w:tcBorders>
            <w:tcMar>
              <w:top w:w="0" w:type="dxa"/>
              <w:left w:w="108" w:type="dxa"/>
              <w:bottom w:w="0" w:type="dxa"/>
              <w:right w:w="108" w:type="dxa"/>
            </w:tcMar>
          </w:tcPr>
          <w:p w14:paraId="0FE984B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1276" w:type="dxa"/>
            <w:tcBorders>
              <w:bottom w:val="single" w:sz="8" w:space="0" w:color="000000"/>
              <w:right w:val="single" w:sz="8" w:space="0" w:color="000000"/>
            </w:tcBorders>
            <w:tcMar>
              <w:top w:w="0" w:type="dxa"/>
              <w:left w:w="108" w:type="dxa"/>
              <w:bottom w:w="0" w:type="dxa"/>
              <w:right w:w="108" w:type="dxa"/>
            </w:tcMar>
          </w:tcPr>
          <w:p w14:paraId="0C94FE1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992" w:type="dxa"/>
            <w:tcBorders>
              <w:bottom w:val="single" w:sz="8" w:space="0" w:color="000000"/>
              <w:right w:val="single" w:sz="8" w:space="0" w:color="000000"/>
            </w:tcBorders>
            <w:tcMar>
              <w:top w:w="0" w:type="dxa"/>
              <w:left w:w="108" w:type="dxa"/>
              <w:bottom w:w="0" w:type="dxa"/>
              <w:right w:w="108" w:type="dxa"/>
            </w:tcMar>
          </w:tcPr>
          <w:p w14:paraId="4AE4157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1</w:t>
            </w:r>
          </w:p>
        </w:tc>
        <w:tc>
          <w:tcPr>
            <w:tcW w:w="3119" w:type="dxa"/>
            <w:tcBorders>
              <w:bottom w:val="single" w:sz="8" w:space="0" w:color="000000"/>
              <w:right w:val="single" w:sz="8" w:space="0" w:color="000000"/>
            </w:tcBorders>
            <w:tcMar>
              <w:top w:w="0" w:type="dxa"/>
              <w:left w:w="108" w:type="dxa"/>
              <w:bottom w:w="0" w:type="dxa"/>
              <w:right w:w="108" w:type="dxa"/>
            </w:tcMar>
          </w:tcPr>
          <w:p w14:paraId="2B17512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Diversify suppliers, increase vertical integration, maintain reserves</w:t>
            </w:r>
          </w:p>
        </w:tc>
      </w:tr>
      <w:tr w:rsidR="00CE168A" w:rsidRPr="001A4A49" w14:paraId="5054508F"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42BB84F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Change fatigue &amp; employee burnout</w:t>
            </w:r>
          </w:p>
        </w:tc>
        <w:tc>
          <w:tcPr>
            <w:tcW w:w="1281" w:type="dxa"/>
            <w:tcBorders>
              <w:bottom w:val="single" w:sz="8" w:space="0" w:color="000000"/>
              <w:right w:val="single" w:sz="8" w:space="0" w:color="000000"/>
            </w:tcBorders>
            <w:tcMar>
              <w:top w:w="0" w:type="dxa"/>
              <w:left w:w="108" w:type="dxa"/>
              <w:bottom w:w="0" w:type="dxa"/>
              <w:right w:w="108" w:type="dxa"/>
            </w:tcMar>
          </w:tcPr>
          <w:p w14:paraId="2EE90A2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276" w:type="dxa"/>
            <w:tcBorders>
              <w:bottom w:val="single" w:sz="8" w:space="0" w:color="000000"/>
              <w:right w:val="single" w:sz="8" w:space="0" w:color="000000"/>
            </w:tcBorders>
            <w:tcMar>
              <w:top w:w="0" w:type="dxa"/>
              <w:left w:w="108" w:type="dxa"/>
              <w:bottom w:w="0" w:type="dxa"/>
              <w:right w:w="108" w:type="dxa"/>
            </w:tcMar>
          </w:tcPr>
          <w:p w14:paraId="3D36DE1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992" w:type="dxa"/>
            <w:tcBorders>
              <w:bottom w:val="single" w:sz="8" w:space="0" w:color="000000"/>
              <w:right w:val="single" w:sz="8" w:space="0" w:color="000000"/>
            </w:tcBorders>
            <w:tcMar>
              <w:top w:w="0" w:type="dxa"/>
              <w:left w:w="108" w:type="dxa"/>
              <w:bottom w:w="0" w:type="dxa"/>
              <w:right w:w="108" w:type="dxa"/>
            </w:tcMar>
          </w:tcPr>
          <w:p w14:paraId="7CF22DF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2</w:t>
            </w:r>
          </w:p>
        </w:tc>
        <w:tc>
          <w:tcPr>
            <w:tcW w:w="3119" w:type="dxa"/>
            <w:tcBorders>
              <w:bottom w:val="single" w:sz="8" w:space="0" w:color="000000"/>
              <w:right w:val="single" w:sz="8" w:space="0" w:color="000000"/>
            </w:tcBorders>
            <w:tcMar>
              <w:top w:w="0" w:type="dxa"/>
              <w:left w:w="108" w:type="dxa"/>
              <w:bottom w:w="0" w:type="dxa"/>
              <w:right w:w="108" w:type="dxa"/>
            </w:tcMar>
          </w:tcPr>
          <w:p w14:paraId="71D9EC8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Phased roll-out, enhanced support, clear communication, wellbeing focus</w:t>
            </w:r>
          </w:p>
        </w:tc>
      </w:tr>
      <w:tr w:rsidR="00CE168A" w:rsidRPr="001A4A49" w14:paraId="45A9586B"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4DA3637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Cybersecurity breach (OTA updates, data)</w:t>
            </w:r>
          </w:p>
        </w:tc>
        <w:tc>
          <w:tcPr>
            <w:tcW w:w="1281" w:type="dxa"/>
            <w:tcBorders>
              <w:bottom w:val="single" w:sz="8" w:space="0" w:color="000000"/>
              <w:right w:val="single" w:sz="8" w:space="0" w:color="000000"/>
            </w:tcBorders>
            <w:tcMar>
              <w:top w:w="0" w:type="dxa"/>
              <w:left w:w="108" w:type="dxa"/>
              <w:bottom w:w="0" w:type="dxa"/>
              <w:right w:w="108" w:type="dxa"/>
            </w:tcMar>
          </w:tcPr>
          <w:p w14:paraId="102C1DE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276" w:type="dxa"/>
            <w:tcBorders>
              <w:bottom w:val="single" w:sz="8" w:space="0" w:color="000000"/>
              <w:right w:val="single" w:sz="8" w:space="0" w:color="000000"/>
            </w:tcBorders>
            <w:tcMar>
              <w:top w:w="0" w:type="dxa"/>
              <w:left w:w="108" w:type="dxa"/>
              <w:bottom w:w="0" w:type="dxa"/>
              <w:right w:w="108" w:type="dxa"/>
            </w:tcMar>
          </w:tcPr>
          <w:p w14:paraId="0783236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992" w:type="dxa"/>
            <w:tcBorders>
              <w:bottom w:val="single" w:sz="8" w:space="0" w:color="000000"/>
              <w:right w:val="single" w:sz="8" w:space="0" w:color="000000"/>
            </w:tcBorders>
            <w:tcMar>
              <w:top w:w="0" w:type="dxa"/>
              <w:left w:w="108" w:type="dxa"/>
              <w:bottom w:w="0" w:type="dxa"/>
              <w:right w:w="108" w:type="dxa"/>
            </w:tcMar>
          </w:tcPr>
          <w:p w14:paraId="4CF2A22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2</w:t>
            </w:r>
          </w:p>
        </w:tc>
        <w:tc>
          <w:tcPr>
            <w:tcW w:w="3119" w:type="dxa"/>
            <w:tcBorders>
              <w:bottom w:val="single" w:sz="8" w:space="0" w:color="000000"/>
              <w:right w:val="single" w:sz="8" w:space="0" w:color="000000"/>
            </w:tcBorders>
            <w:tcMar>
              <w:top w:w="0" w:type="dxa"/>
              <w:left w:w="108" w:type="dxa"/>
              <w:bottom w:w="0" w:type="dxa"/>
              <w:right w:w="108" w:type="dxa"/>
            </w:tcMar>
          </w:tcPr>
          <w:p w14:paraId="13447E2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Regular IT audits, advanced encryption, incident response training</w:t>
            </w:r>
          </w:p>
        </w:tc>
      </w:tr>
      <w:tr w:rsidR="00CE168A" w:rsidRPr="001A4A49" w14:paraId="3F966F0A"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0CB1D31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Regulatory/policy shift</w:t>
            </w:r>
          </w:p>
        </w:tc>
        <w:tc>
          <w:tcPr>
            <w:tcW w:w="1281" w:type="dxa"/>
            <w:tcBorders>
              <w:bottom w:val="single" w:sz="8" w:space="0" w:color="000000"/>
              <w:right w:val="single" w:sz="8" w:space="0" w:color="000000"/>
            </w:tcBorders>
            <w:tcMar>
              <w:top w:w="0" w:type="dxa"/>
              <w:left w:w="108" w:type="dxa"/>
              <w:bottom w:w="0" w:type="dxa"/>
              <w:right w:w="108" w:type="dxa"/>
            </w:tcMar>
          </w:tcPr>
          <w:p w14:paraId="1CFB16F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276" w:type="dxa"/>
            <w:tcBorders>
              <w:bottom w:val="single" w:sz="8" w:space="0" w:color="000000"/>
              <w:right w:val="single" w:sz="8" w:space="0" w:color="000000"/>
            </w:tcBorders>
            <w:tcMar>
              <w:top w:w="0" w:type="dxa"/>
              <w:left w:w="108" w:type="dxa"/>
              <w:bottom w:w="0" w:type="dxa"/>
              <w:right w:w="108" w:type="dxa"/>
            </w:tcMar>
          </w:tcPr>
          <w:p w14:paraId="67AD72E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992" w:type="dxa"/>
            <w:tcBorders>
              <w:bottom w:val="single" w:sz="8" w:space="0" w:color="000000"/>
              <w:right w:val="single" w:sz="8" w:space="0" w:color="000000"/>
            </w:tcBorders>
            <w:tcMar>
              <w:top w:w="0" w:type="dxa"/>
              <w:left w:w="108" w:type="dxa"/>
              <w:bottom w:w="0" w:type="dxa"/>
              <w:right w:w="108" w:type="dxa"/>
            </w:tcMar>
          </w:tcPr>
          <w:p w14:paraId="041EBC7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3</w:t>
            </w:r>
          </w:p>
        </w:tc>
        <w:tc>
          <w:tcPr>
            <w:tcW w:w="3119" w:type="dxa"/>
            <w:tcBorders>
              <w:bottom w:val="single" w:sz="8" w:space="0" w:color="000000"/>
              <w:right w:val="single" w:sz="8" w:space="0" w:color="000000"/>
            </w:tcBorders>
            <w:tcMar>
              <w:top w:w="0" w:type="dxa"/>
              <w:left w:w="108" w:type="dxa"/>
              <w:bottom w:w="0" w:type="dxa"/>
              <w:right w:w="108" w:type="dxa"/>
            </w:tcMar>
          </w:tcPr>
          <w:p w14:paraId="2A3147A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Active lobbying, scenario planning, market diversification</w:t>
            </w:r>
          </w:p>
        </w:tc>
      </w:tr>
      <w:tr w:rsidR="00CE168A" w:rsidRPr="001A4A49" w14:paraId="0103AB4C"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092EB44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Failure to scale manufacturing efficiently</w:t>
            </w:r>
          </w:p>
        </w:tc>
        <w:tc>
          <w:tcPr>
            <w:tcW w:w="1281" w:type="dxa"/>
            <w:tcBorders>
              <w:bottom w:val="single" w:sz="8" w:space="0" w:color="000000"/>
              <w:right w:val="single" w:sz="8" w:space="0" w:color="000000"/>
            </w:tcBorders>
            <w:tcMar>
              <w:top w:w="0" w:type="dxa"/>
              <w:left w:w="108" w:type="dxa"/>
              <w:bottom w:w="0" w:type="dxa"/>
              <w:right w:w="108" w:type="dxa"/>
            </w:tcMar>
          </w:tcPr>
          <w:p w14:paraId="5FC6622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276" w:type="dxa"/>
            <w:tcBorders>
              <w:bottom w:val="single" w:sz="8" w:space="0" w:color="000000"/>
              <w:right w:val="single" w:sz="8" w:space="0" w:color="000000"/>
            </w:tcBorders>
            <w:tcMar>
              <w:top w:w="0" w:type="dxa"/>
              <w:left w:w="108" w:type="dxa"/>
              <w:bottom w:w="0" w:type="dxa"/>
              <w:right w:w="108" w:type="dxa"/>
            </w:tcMar>
          </w:tcPr>
          <w:p w14:paraId="58B15181"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992" w:type="dxa"/>
            <w:tcBorders>
              <w:bottom w:val="single" w:sz="8" w:space="0" w:color="000000"/>
              <w:right w:val="single" w:sz="8" w:space="0" w:color="000000"/>
            </w:tcBorders>
            <w:tcMar>
              <w:top w:w="0" w:type="dxa"/>
              <w:left w:w="108" w:type="dxa"/>
              <w:bottom w:w="0" w:type="dxa"/>
              <w:right w:w="108" w:type="dxa"/>
            </w:tcMar>
          </w:tcPr>
          <w:p w14:paraId="2590B70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3</w:t>
            </w:r>
          </w:p>
        </w:tc>
        <w:tc>
          <w:tcPr>
            <w:tcW w:w="3119" w:type="dxa"/>
            <w:tcBorders>
              <w:bottom w:val="single" w:sz="8" w:space="0" w:color="000000"/>
              <w:right w:val="single" w:sz="8" w:space="0" w:color="000000"/>
            </w:tcBorders>
            <w:tcMar>
              <w:top w:w="0" w:type="dxa"/>
              <w:left w:w="108" w:type="dxa"/>
              <w:bottom w:w="0" w:type="dxa"/>
              <w:right w:w="108" w:type="dxa"/>
            </w:tcMar>
          </w:tcPr>
          <w:p w14:paraId="3BCB4AD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Lean/AI systems, knowledge sharing, pilot testing before full rollout</w:t>
            </w:r>
          </w:p>
        </w:tc>
      </w:tr>
      <w:tr w:rsidR="00CE168A" w:rsidRPr="001A4A49" w14:paraId="78C45317"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04CF4021"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Loss of key personnel (inc. leadership)</w:t>
            </w:r>
          </w:p>
        </w:tc>
        <w:tc>
          <w:tcPr>
            <w:tcW w:w="1281" w:type="dxa"/>
            <w:tcBorders>
              <w:bottom w:val="single" w:sz="8" w:space="0" w:color="000000"/>
              <w:right w:val="single" w:sz="8" w:space="0" w:color="000000"/>
            </w:tcBorders>
            <w:tcMar>
              <w:top w:w="0" w:type="dxa"/>
              <w:left w:w="108" w:type="dxa"/>
              <w:bottom w:w="0" w:type="dxa"/>
              <w:right w:w="108" w:type="dxa"/>
            </w:tcMar>
          </w:tcPr>
          <w:p w14:paraId="1DDBEA5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276" w:type="dxa"/>
            <w:tcBorders>
              <w:bottom w:val="single" w:sz="8" w:space="0" w:color="000000"/>
              <w:right w:val="single" w:sz="8" w:space="0" w:color="000000"/>
            </w:tcBorders>
            <w:tcMar>
              <w:top w:w="0" w:type="dxa"/>
              <w:left w:w="108" w:type="dxa"/>
              <w:bottom w:w="0" w:type="dxa"/>
              <w:right w:w="108" w:type="dxa"/>
            </w:tcMar>
          </w:tcPr>
          <w:p w14:paraId="18B9BAF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992" w:type="dxa"/>
            <w:tcBorders>
              <w:bottom w:val="single" w:sz="8" w:space="0" w:color="000000"/>
              <w:right w:val="single" w:sz="8" w:space="0" w:color="000000"/>
            </w:tcBorders>
            <w:tcMar>
              <w:top w:w="0" w:type="dxa"/>
              <w:left w:w="108" w:type="dxa"/>
              <w:bottom w:w="0" w:type="dxa"/>
              <w:right w:w="108" w:type="dxa"/>
            </w:tcMar>
          </w:tcPr>
          <w:p w14:paraId="2847835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3</w:t>
            </w:r>
          </w:p>
        </w:tc>
        <w:tc>
          <w:tcPr>
            <w:tcW w:w="3119" w:type="dxa"/>
            <w:tcBorders>
              <w:bottom w:val="single" w:sz="8" w:space="0" w:color="000000"/>
              <w:right w:val="single" w:sz="8" w:space="0" w:color="000000"/>
            </w:tcBorders>
            <w:tcMar>
              <w:top w:w="0" w:type="dxa"/>
              <w:left w:w="108" w:type="dxa"/>
              <w:bottom w:w="0" w:type="dxa"/>
              <w:right w:w="108" w:type="dxa"/>
            </w:tcMar>
          </w:tcPr>
          <w:p w14:paraId="5A8699B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Succession planning, incentives, leadership development</w:t>
            </w:r>
          </w:p>
        </w:tc>
      </w:tr>
      <w:tr w:rsidR="00CE168A" w:rsidRPr="001A4A49" w14:paraId="54E3574F"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1EB48BB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Brand dilution (if entering mass market)</w:t>
            </w:r>
          </w:p>
        </w:tc>
        <w:tc>
          <w:tcPr>
            <w:tcW w:w="1281" w:type="dxa"/>
            <w:tcBorders>
              <w:bottom w:val="single" w:sz="8" w:space="0" w:color="000000"/>
              <w:right w:val="single" w:sz="8" w:space="0" w:color="000000"/>
            </w:tcBorders>
            <w:tcMar>
              <w:top w:w="0" w:type="dxa"/>
              <w:left w:w="108" w:type="dxa"/>
              <w:bottom w:w="0" w:type="dxa"/>
              <w:right w:w="108" w:type="dxa"/>
            </w:tcMar>
          </w:tcPr>
          <w:p w14:paraId="0F600CB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276" w:type="dxa"/>
            <w:tcBorders>
              <w:bottom w:val="single" w:sz="8" w:space="0" w:color="000000"/>
              <w:right w:val="single" w:sz="8" w:space="0" w:color="000000"/>
            </w:tcBorders>
            <w:tcMar>
              <w:top w:w="0" w:type="dxa"/>
              <w:left w:w="108" w:type="dxa"/>
              <w:bottom w:w="0" w:type="dxa"/>
              <w:right w:w="108" w:type="dxa"/>
            </w:tcMar>
          </w:tcPr>
          <w:p w14:paraId="72D3EB1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992" w:type="dxa"/>
            <w:tcBorders>
              <w:bottom w:val="single" w:sz="8" w:space="0" w:color="000000"/>
              <w:right w:val="single" w:sz="8" w:space="0" w:color="000000"/>
            </w:tcBorders>
            <w:tcMar>
              <w:top w:w="0" w:type="dxa"/>
              <w:left w:w="108" w:type="dxa"/>
              <w:bottom w:w="0" w:type="dxa"/>
              <w:right w:w="108" w:type="dxa"/>
            </w:tcMar>
          </w:tcPr>
          <w:p w14:paraId="46EFD1A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4</w:t>
            </w:r>
          </w:p>
        </w:tc>
        <w:tc>
          <w:tcPr>
            <w:tcW w:w="3119" w:type="dxa"/>
            <w:tcBorders>
              <w:bottom w:val="single" w:sz="8" w:space="0" w:color="000000"/>
              <w:right w:val="single" w:sz="8" w:space="0" w:color="000000"/>
            </w:tcBorders>
            <w:tcMar>
              <w:top w:w="0" w:type="dxa"/>
              <w:left w:w="108" w:type="dxa"/>
              <w:bottom w:w="0" w:type="dxa"/>
              <w:right w:w="108" w:type="dxa"/>
            </w:tcMar>
          </w:tcPr>
          <w:p w14:paraId="794B32A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Distinct branding, maintain premium lines, quality monitoring</w:t>
            </w:r>
          </w:p>
        </w:tc>
      </w:tr>
      <w:tr w:rsidR="00CE168A" w:rsidRPr="001A4A49" w14:paraId="4A280D42"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30994A5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Technology obsolescence (AI, batteries)</w:t>
            </w:r>
          </w:p>
        </w:tc>
        <w:tc>
          <w:tcPr>
            <w:tcW w:w="1281" w:type="dxa"/>
            <w:tcBorders>
              <w:bottom w:val="single" w:sz="8" w:space="0" w:color="000000"/>
              <w:right w:val="single" w:sz="8" w:space="0" w:color="000000"/>
            </w:tcBorders>
            <w:tcMar>
              <w:top w:w="0" w:type="dxa"/>
              <w:left w:w="108" w:type="dxa"/>
              <w:bottom w:w="0" w:type="dxa"/>
              <w:right w:w="108" w:type="dxa"/>
            </w:tcMar>
          </w:tcPr>
          <w:p w14:paraId="03C5C0E1"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276" w:type="dxa"/>
            <w:tcBorders>
              <w:bottom w:val="single" w:sz="8" w:space="0" w:color="000000"/>
              <w:right w:val="single" w:sz="8" w:space="0" w:color="000000"/>
            </w:tcBorders>
            <w:tcMar>
              <w:top w:w="0" w:type="dxa"/>
              <w:left w:w="108" w:type="dxa"/>
              <w:bottom w:w="0" w:type="dxa"/>
              <w:right w:w="108" w:type="dxa"/>
            </w:tcMar>
          </w:tcPr>
          <w:p w14:paraId="54851FF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992" w:type="dxa"/>
            <w:tcBorders>
              <w:bottom w:val="single" w:sz="8" w:space="0" w:color="000000"/>
              <w:right w:val="single" w:sz="8" w:space="0" w:color="000000"/>
            </w:tcBorders>
            <w:tcMar>
              <w:top w:w="0" w:type="dxa"/>
              <w:left w:w="108" w:type="dxa"/>
              <w:bottom w:w="0" w:type="dxa"/>
              <w:right w:w="108" w:type="dxa"/>
            </w:tcMar>
          </w:tcPr>
          <w:p w14:paraId="1228820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3</w:t>
            </w:r>
          </w:p>
        </w:tc>
        <w:tc>
          <w:tcPr>
            <w:tcW w:w="3119" w:type="dxa"/>
            <w:tcBorders>
              <w:bottom w:val="single" w:sz="8" w:space="0" w:color="000000"/>
              <w:right w:val="single" w:sz="8" w:space="0" w:color="000000"/>
            </w:tcBorders>
            <w:tcMar>
              <w:top w:w="0" w:type="dxa"/>
              <w:left w:w="108" w:type="dxa"/>
              <w:bottom w:w="0" w:type="dxa"/>
              <w:right w:w="108" w:type="dxa"/>
            </w:tcMar>
          </w:tcPr>
          <w:p w14:paraId="37120A7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Continuous R&amp;D investment, tech partnerships, external monitoring</w:t>
            </w:r>
          </w:p>
        </w:tc>
      </w:tr>
      <w:tr w:rsidR="00CE168A" w:rsidRPr="001A4A49" w14:paraId="05A04739" w14:textId="77777777" w:rsidTr="00395504">
        <w:tc>
          <w:tcPr>
            <w:tcW w:w="2116" w:type="dxa"/>
            <w:tcBorders>
              <w:left w:val="single" w:sz="8" w:space="0" w:color="000000"/>
              <w:bottom w:val="single" w:sz="8" w:space="0" w:color="000000"/>
              <w:right w:val="single" w:sz="8" w:space="0" w:color="000000"/>
            </w:tcBorders>
            <w:tcMar>
              <w:top w:w="0" w:type="dxa"/>
              <w:left w:w="108" w:type="dxa"/>
              <w:bottom w:w="0" w:type="dxa"/>
              <w:right w:w="108" w:type="dxa"/>
            </w:tcMar>
          </w:tcPr>
          <w:p w14:paraId="7D91863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Geopolitical tensions, tariffs</w:t>
            </w:r>
          </w:p>
        </w:tc>
        <w:tc>
          <w:tcPr>
            <w:tcW w:w="1281" w:type="dxa"/>
            <w:tcBorders>
              <w:bottom w:val="single" w:sz="8" w:space="0" w:color="000000"/>
              <w:right w:val="single" w:sz="8" w:space="0" w:color="000000"/>
            </w:tcBorders>
            <w:tcMar>
              <w:top w:w="0" w:type="dxa"/>
              <w:left w:w="108" w:type="dxa"/>
              <w:bottom w:w="0" w:type="dxa"/>
              <w:right w:w="108" w:type="dxa"/>
            </w:tcMar>
          </w:tcPr>
          <w:p w14:paraId="52D826F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276" w:type="dxa"/>
            <w:tcBorders>
              <w:bottom w:val="single" w:sz="8" w:space="0" w:color="000000"/>
              <w:right w:val="single" w:sz="8" w:space="0" w:color="000000"/>
            </w:tcBorders>
            <w:tcMar>
              <w:top w:w="0" w:type="dxa"/>
              <w:left w:w="108" w:type="dxa"/>
              <w:bottom w:w="0" w:type="dxa"/>
              <w:right w:w="108" w:type="dxa"/>
            </w:tcMar>
          </w:tcPr>
          <w:p w14:paraId="495B597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992" w:type="dxa"/>
            <w:tcBorders>
              <w:bottom w:val="single" w:sz="8" w:space="0" w:color="000000"/>
              <w:right w:val="single" w:sz="8" w:space="0" w:color="000000"/>
            </w:tcBorders>
            <w:tcMar>
              <w:top w:w="0" w:type="dxa"/>
              <w:left w:w="108" w:type="dxa"/>
              <w:bottom w:w="0" w:type="dxa"/>
              <w:right w:w="108" w:type="dxa"/>
            </w:tcMar>
          </w:tcPr>
          <w:p w14:paraId="50835F7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4</w:t>
            </w:r>
          </w:p>
        </w:tc>
        <w:tc>
          <w:tcPr>
            <w:tcW w:w="3119" w:type="dxa"/>
            <w:tcBorders>
              <w:bottom w:val="single" w:sz="8" w:space="0" w:color="000000"/>
              <w:right w:val="single" w:sz="8" w:space="0" w:color="000000"/>
            </w:tcBorders>
            <w:tcMar>
              <w:top w:w="0" w:type="dxa"/>
              <w:left w:w="108" w:type="dxa"/>
              <w:bottom w:w="0" w:type="dxa"/>
              <w:right w:w="108" w:type="dxa"/>
            </w:tcMar>
          </w:tcPr>
          <w:p w14:paraId="5AF1B45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Flexible supply chain, local sourcing, regulatory compliance teams</w:t>
            </w:r>
          </w:p>
        </w:tc>
      </w:tr>
    </w:tbl>
    <w:p w14:paraId="70D91279"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Critical Commentary:</w:t>
      </w:r>
      <w:r w:rsidRPr="001A4A49">
        <w:rPr>
          <w:rFonts w:ascii="Arial" w:hAnsi="Arial" w:cs="Arial"/>
          <w:i/>
          <w:iCs/>
          <w:color w:val="000000"/>
          <w:sz w:val="22"/>
          <w:szCs w:val="22"/>
        </w:rPr>
        <w:br/>
        <w:t>The highest priority risks are supplying chain disruption and employee burnout both can halt production and innovation. These directly inform the change plan’s focus on supply chain resilience and phased, employee-centric implementation. Emerging risks (e.g., new cyber threats, regulatory changes) are monitored via regular risk reviews.</w:t>
      </w:r>
    </w:p>
    <w:p w14:paraId="52A691B5"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Appendix C: Change Implementation Gantt Chart Outline</w:t>
      </w:r>
    </w:p>
    <w:tbl>
      <w:tblPr>
        <w:tblW w:w="5929" w:type="dxa"/>
        <w:tblInd w:w="1310" w:type="dxa"/>
        <w:tblCellMar>
          <w:left w:w="10" w:type="dxa"/>
          <w:right w:w="10" w:type="dxa"/>
        </w:tblCellMar>
        <w:tblLook w:val="04A0" w:firstRow="1" w:lastRow="0" w:firstColumn="1" w:lastColumn="0" w:noHBand="0" w:noVBand="1"/>
      </w:tblPr>
      <w:tblGrid>
        <w:gridCol w:w="1721"/>
        <w:gridCol w:w="938"/>
        <w:gridCol w:w="1696"/>
        <w:gridCol w:w="1427"/>
        <w:gridCol w:w="1415"/>
      </w:tblGrid>
      <w:tr w:rsidR="00CE168A" w:rsidRPr="001A4A49" w14:paraId="0EBE216F" w14:textId="77777777" w:rsidTr="00395504">
        <w:trPr>
          <w:trHeight w:val="217"/>
        </w:trPr>
        <w:tc>
          <w:tcPr>
            <w:tcW w:w="1310"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tcPr>
          <w:p w14:paraId="5B30C05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Phase</w:t>
            </w:r>
          </w:p>
        </w:tc>
        <w:tc>
          <w:tcPr>
            <w:tcW w:w="785" w:type="dxa"/>
            <w:tcBorders>
              <w:top w:val="single" w:sz="8" w:space="0" w:color="000000"/>
              <w:bottom w:val="single" w:sz="8" w:space="0" w:color="000000"/>
              <w:right w:val="single" w:sz="8" w:space="0" w:color="000000"/>
            </w:tcBorders>
            <w:tcMar>
              <w:top w:w="0" w:type="dxa"/>
              <w:left w:w="108" w:type="dxa"/>
              <w:bottom w:w="0" w:type="dxa"/>
              <w:right w:w="108" w:type="dxa"/>
            </w:tcMar>
          </w:tcPr>
          <w:p w14:paraId="7850BA6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Months</w:t>
            </w:r>
          </w:p>
        </w:tc>
        <w:tc>
          <w:tcPr>
            <w:tcW w:w="1467" w:type="dxa"/>
            <w:tcBorders>
              <w:top w:val="single" w:sz="8" w:space="0" w:color="000000"/>
              <w:bottom w:val="single" w:sz="8" w:space="0" w:color="000000"/>
              <w:right w:val="single" w:sz="8" w:space="0" w:color="000000"/>
            </w:tcBorders>
            <w:tcMar>
              <w:top w:w="0" w:type="dxa"/>
              <w:left w:w="108" w:type="dxa"/>
              <w:bottom w:w="0" w:type="dxa"/>
              <w:right w:w="108" w:type="dxa"/>
            </w:tcMar>
          </w:tcPr>
          <w:p w14:paraId="4C0BDC9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Key Activities</w:t>
            </w:r>
          </w:p>
        </w:tc>
        <w:tc>
          <w:tcPr>
            <w:tcW w:w="1279" w:type="dxa"/>
            <w:tcBorders>
              <w:top w:val="single" w:sz="8" w:space="0" w:color="000000"/>
              <w:bottom w:val="single" w:sz="8" w:space="0" w:color="000000"/>
              <w:right w:val="single" w:sz="8" w:space="0" w:color="000000"/>
            </w:tcBorders>
            <w:tcMar>
              <w:top w:w="0" w:type="dxa"/>
              <w:left w:w="108" w:type="dxa"/>
              <w:bottom w:w="0" w:type="dxa"/>
              <w:right w:w="108" w:type="dxa"/>
            </w:tcMar>
          </w:tcPr>
          <w:p w14:paraId="7E1B026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Responsible Parties</w:t>
            </w:r>
          </w:p>
        </w:tc>
        <w:tc>
          <w:tcPr>
            <w:tcW w:w="1088" w:type="dxa"/>
            <w:tcBorders>
              <w:top w:val="single" w:sz="8" w:space="0" w:color="000000"/>
              <w:bottom w:val="single" w:sz="8" w:space="0" w:color="000000"/>
              <w:right w:val="single" w:sz="8" w:space="0" w:color="000000"/>
            </w:tcBorders>
            <w:tcMar>
              <w:top w:w="0" w:type="dxa"/>
              <w:left w:w="108" w:type="dxa"/>
              <w:bottom w:w="0" w:type="dxa"/>
              <w:right w:w="108" w:type="dxa"/>
            </w:tcMar>
          </w:tcPr>
          <w:p w14:paraId="6D37BF9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Milestones</w:t>
            </w:r>
          </w:p>
        </w:tc>
      </w:tr>
      <w:tr w:rsidR="00CE168A" w:rsidRPr="001A4A49" w14:paraId="4FA51D2A" w14:textId="77777777" w:rsidTr="00395504">
        <w:trPr>
          <w:trHeight w:val="464"/>
        </w:trPr>
        <w:tc>
          <w:tcPr>
            <w:tcW w:w="1310" w:type="dxa"/>
            <w:tcBorders>
              <w:left w:val="single" w:sz="8" w:space="0" w:color="000000"/>
              <w:bottom w:val="single" w:sz="8" w:space="0" w:color="000000"/>
              <w:right w:val="single" w:sz="8" w:space="0" w:color="000000"/>
            </w:tcBorders>
            <w:tcMar>
              <w:top w:w="0" w:type="dxa"/>
              <w:left w:w="108" w:type="dxa"/>
              <w:bottom w:w="0" w:type="dxa"/>
              <w:right w:w="108" w:type="dxa"/>
            </w:tcMar>
          </w:tcPr>
          <w:p w14:paraId="2F15528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1. Planning &amp; Governance</w:t>
            </w:r>
          </w:p>
        </w:tc>
        <w:tc>
          <w:tcPr>
            <w:tcW w:w="785" w:type="dxa"/>
            <w:tcBorders>
              <w:bottom w:val="single" w:sz="8" w:space="0" w:color="000000"/>
              <w:right w:val="single" w:sz="8" w:space="0" w:color="000000"/>
            </w:tcBorders>
            <w:tcMar>
              <w:top w:w="0" w:type="dxa"/>
              <w:left w:w="108" w:type="dxa"/>
              <w:bottom w:w="0" w:type="dxa"/>
              <w:right w:w="108" w:type="dxa"/>
            </w:tcMar>
          </w:tcPr>
          <w:p w14:paraId="600AD4A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1-6</w:t>
            </w:r>
          </w:p>
        </w:tc>
        <w:tc>
          <w:tcPr>
            <w:tcW w:w="1467" w:type="dxa"/>
            <w:tcBorders>
              <w:bottom w:val="single" w:sz="8" w:space="0" w:color="000000"/>
              <w:right w:val="single" w:sz="8" w:space="0" w:color="000000"/>
            </w:tcBorders>
            <w:tcMar>
              <w:top w:w="0" w:type="dxa"/>
              <w:left w:w="108" w:type="dxa"/>
              <w:bottom w:w="0" w:type="dxa"/>
              <w:right w:w="108" w:type="dxa"/>
            </w:tcMar>
          </w:tcPr>
          <w:p w14:paraId="1A8D414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 xml:space="preserve">Finalise strategy, set up steering committee, </w:t>
            </w:r>
            <w:r w:rsidRPr="001A4A49">
              <w:rPr>
                <w:rFonts w:ascii="Arial" w:hAnsi="Arial" w:cs="Arial"/>
                <w:i/>
                <w:iCs/>
                <w:color w:val="000000"/>
                <w:sz w:val="22"/>
                <w:szCs w:val="22"/>
              </w:rPr>
              <w:lastRenderedPageBreak/>
              <w:t>communicate vision</w:t>
            </w:r>
          </w:p>
        </w:tc>
        <w:tc>
          <w:tcPr>
            <w:tcW w:w="1279" w:type="dxa"/>
            <w:tcBorders>
              <w:bottom w:val="single" w:sz="8" w:space="0" w:color="000000"/>
              <w:right w:val="single" w:sz="8" w:space="0" w:color="000000"/>
            </w:tcBorders>
            <w:tcMar>
              <w:top w:w="0" w:type="dxa"/>
              <w:left w:w="108" w:type="dxa"/>
              <w:bottom w:w="0" w:type="dxa"/>
              <w:right w:w="108" w:type="dxa"/>
            </w:tcMar>
          </w:tcPr>
          <w:p w14:paraId="380DC0C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lastRenderedPageBreak/>
              <w:t>Change Manager, Execs, HR</w:t>
            </w:r>
          </w:p>
        </w:tc>
        <w:tc>
          <w:tcPr>
            <w:tcW w:w="1088" w:type="dxa"/>
            <w:tcBorders>
              <w:bottom w:val="single" w:sz="8" w:space="0" w:color="000000"/>
              <w:right w:val="single" w:sz="8" w:space="0" w:color="000000"/>
            </w:tcBorders>
            <w:tcMar>
              <w:top w:w="0" w:type="dxa"/>
              <w:left w:w="108" w:type="dxa"/>
              <w:bottom w:w="0" w:type="dxa"/>
              <w:right w:w="108" w:type="dxa"/>
            </w:tcMar>
          </w:tcPr>
          <w:p w14:paraId="02AA059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Governance framework set</w:t>
            </w:r>
          </w:p>
        </w:tc>
      </w:tr>
      <w:tr w:rsidR="00CE168A" w:rsidRPr="001A4A49" w14:paraId="4D7E32FE" w14:textId="77777777" w:rsidTr="00395504">
        <w:trPr>
          <w:trHeight w:val="344"/>
        </w:trPr>
        <w:tc>
          <w:tcPr>
            <w:tcW w:w="1310" w:type="dxa"/>
            <w:tcBorders>
              <w:left w:val="single" w:sz="8" w:space="0" w:color="000000"/>
              <w:bottom w:val="single" w:sz="8" w:space="0" w:color="000000"/>
              <w:right w:val="single" w:sz="8" w:space="0" w:color="000000"/>
            </w:tcBorders>
            <w:tcMar>
              <w:top w:w="0" w:type="dxa"/>
              <w:left w:w="108" w:type="dxa"/>
              <w:bottom w:w="0" w:type="dxa"/>
              <w:right w:w="108" w:type="dxa"/>
            </w:tcMar>
          </w:tcPr>
          <w:p w14:paraId="0C5CADA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2. Pilot Programmes</w:t>
            </w:r>
          </w:p>
        </w:tc>
        <w:tc>
          <w:tcPr>
            <w:tcW w:w="785" w:type="dxa"/>
            <w:tcBorders>
              <w:bottom w:val="single" w:sz="8" w:space="0" w:color="000000"/>
              <w:right w:val="single" w:sz="8" w:space="0" w:color="000000"/>
            </w:tcBorders>
            <w:tcMar>
              <w:top w:w="0" w:type="dxa"/>
              <w:left w:w="108" w:type="dxa"/>
              <w:bottom w:w="0" w:type="dxa"/>
              <w:right w:w="108" w:type="dxa"/>
            </w:tcMar>
          </w:tcPr>
          <w:p w14:paraId="5A7E9E8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7-18</w:t>
            </w:r>
          </w:p>
        </w:tc>
        <w:tc>
          <w:tcPr>
            <w:tcW w:w="1467" w:type="dxa"/>
            <w:tcBorders>
              <w:bottom w:val="single" w:sz="8" w:space="0" w:color="000000"/>
              <w:right w:val="single" w:sz="8" w:space="0" w:color="000000"/>
            </w:tcBorders>
            <w:tcMar>
              <w:top w:w="0" w:type="dxa"/>
              <w:left w:w="108" w:type="dxa"/>
              <w:bottom w:w="0" w:type="dxa"/>
              <w:right w:w="108" w:type="dxa"/>
            </w:tcMar>
          </w:tcPr>
          <w:p w14:paraId="4694B07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Pilot supplier diversification, lean mfg. at 1 plant, HR pilots</w:t>
            </w:r>
          </w:p>
        </w:tc>
        <w:tc>
          <w:tcPr>
            <w:tcW w:w="1279" w:type="dxa"/>
            <w:tcBorders>
              <w:bottom w:val="single" w:sz="8" w:space="0" w:color="000000"/>
              <w:right w:val="single" w:sz="8" w:space="0" w:color="000000"/>
            </w:tcBorders>
            <w:tcMar>
              <w:top w:w="0" w:type="dxa"/>
              <w:left w:w="108" w:type="dxa"/>
              <w:bottom w:w="0" w:type="dxa"/>
              <w:right w:w="108" w:type="dxa"/>
            </w:tcMar>
          </w:tcPr>
          <w:p w14:paraId="5142454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Ops, Supply Chain, HR</w:t>
            </w:r>
          </w:p>
        </w:tc>
        <w:tc>
          <w:tcPr>
            <w:tcW w:w="1088" w:type="dxa"/>
            <w:tcBorders>
              <w:bottom w:val="single" w:sz="8" w:space="0" w:color="000000"/>
              <w:right w:val="single" w:sz="8" w:space="0" w:color="000000"/>
            </w:tcBorders>
            <w:tcMar>
              <w:top w:w="0" w:type="dxa"/>
              <w:left w:w="108" w:type="dxa"/>
              <w:bottom w:w="0" w:type="dxa"/>
              <w:right w:w="108" w:type="dxa"/>
            </w:tcMar>
          </w:tcPr>
          <w:p w14:paraId="7669A22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First pilots completed</w:t>
            </w:r>
          </w:p>
        </w:tc>
      </w:tr>
      <w:tr w:rsidR="00CE168A" w:rsidRPr="001A4A49" w14:paraId="06AD8043" w14:textId="77777777" w:rsidTr="00395504">
        <w:trPr>
          <w:trHeight w:val="344"/>
        </w:trPr>
        <w:tc>
          <w:tcPr>
            <w:tcW w:w="1310" w:type="dxa"/>
            <w:tcBorders>
              <w:left w:val="single" w:sz="8" w:space="0" w:color="000000"/>
              <w:bottom w:val="single" w:sz="8" w:space="0" w:color="000000"/>
              <w:right w:val="single" w:sz="8" w:space="0" w:color="000000"/>
            </w:tcBorders>
            <w:tcMar>
              <w:top w:w="0" w:type="dxa"/>
              <w:left w:w="108" w:type="dxa"/>
              <w:bottom w:w="0" w:type="dxa"/>
              <w:right w:w="108" w:type="dxa"/>
            </w:tcMar>
          </w:tcPr>
          <w:p w14:paraId="7D77141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3. Full Implementation</w:t>
            </w:r>
          </w:p>
        </w:tc>
        <w:tc>
          <w:tcPr>
            <w:tcW w:w="785" w:type="dxa"/>
            <w:tcBorders>
              <w:bottom w:val="single" w:sz="8" w:space="0" w:color="000000"/>
              <w:right w:val="single" w:sz="8" w:space="0" w:color="000000"/>
            </w:tcBorders>
            <w:tcMar>
              <w:top w:w="0" w:type="dxa"/>
              <w:left w:w="108" w:type="dxa"/>
              <w:bottom w:w="0" w:type="dxa"/>
              <w:right w:w="108" w:type="dxa"/>
            </w:tcMar>
          </w:tcPr>
          <w:p w14:paraId="5C4B6E3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19-30</w:t>
            </w:r>
          </w:p>
        </w:tc>
        <w:tc>
          <w:tcPr>
            <w:tcW w:w="1467" w:type="dxa"/>
            <w:tcBorders>
              <w:bottom w:val="single" w:sz="8" w:space="0" w:color="000000"/>
              <w:right w:val="single" w:sz="8" w:space="0" w:color="000000"/>
            </w:tcBorders>
            <w:tcMar>
              <w:top w:w="0" w:type="dxa"/>
              <w:left w:w="108" w:type="dxa"/>
              <w:bottom w:w="0" w:type="dxa"/>
              <w:right w:w="108" w:type="dxa"/>
            </w:tcMar>
          </w:tcPr>
          <w:p w14:paraId="54CFC0C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Rollout supply chain/lean/tech upgrades, talent dev. companywide</w:t>
            </w:r>
          </w:p>
        </w:tc>
        <w:tc>
          <w:tcPr>
            <w:tcW w:w="1279" w:type="dxa"/>
            <w:tcBorders>
              <w:bottom w:val="single" w:sz="8" w:space="0" w:color="000000"/>
              <w:right w:val="single" w:sz="8" w:space="0" w:color="000000"/>
            </w:tcBorders>
            <w:tcMar>
              <w:top w:w="0" w:type="dxa"/>
              <w:left w:w="108" w:type="dxa"/>
              <w:bottom w:w="0" w:type="dxa"/>
              <w:right w:w="108" w:type="dxa"/>
            </w:tcMar>
          </w:tcPr>
          <w:p w14:paraId="412407E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Cross-functional teams</w:t>
            </w:r>
          </w:p>
        </w:tc>
        <w:tc>
          <w:tcPr>
            <w:tcW w:w="1088" w:type="dxa"/>
            <w:tcBorders>
              <w:bottom w:val="single" w:sz="8" w:space="0" w:color="000000"/>
              <w:right w:val="single" w:sz="8" w:space="0" w:color="000000"/>
            </w:tcBorders>
            <w:tcMar>
              <w:top w:w="0" w:type="dxa"/>
              <w:left w:w="108" w:type="dxa"/>
              <w:bottom w:w="0" w:type="dxa"/>
              <w:right w:w="108" w:type="dxa"/>
            </w:tcMar>
          </w:tcPr>
          <w:p w14:paraId="1E50392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75% of sites upgraded</w:t>
            </w:r>
          </w:p>
        </w:tc>
      </w:tr>
      <w:tr w:rsidR="00CE168A" w:rsidRPr="001A4A49" w14:paraId="58CEAB7E" w14:textId="77777777" w:rsidTr="00395504">
        <w:trPr>
          <w:trHeight w:val="58"/>
        </w:trPr>
        <w:tc>
          <w:tcPr>
            <w:tcW w:w="1310" w:type="dxa"/>
            <w:tcBorders>
              <w:left w:val="single" w:sz="8" w:space="0" w:color="000000"/>
              <w:bottom w:val="single" w:sz="8" w:space="0" w:color="000000"/>
              <w:right w:val="single" w:sz="8" w:space="0" w:color="000000"/>
            </w:tcBorders>
            <w:tcMar>
              <w:top w:w="0" w:type="dxa"/>
              <w:left w:w="108" w:type="dxa"/>
              <w:bottom w:w="0" w:type="dxa"/>
              <w:right w:w="108" w:type="dxa"/>
            </w:tcMar>
          </w:tcPr>
          <w:p w14:paraId="491E3DD1"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4. Evaluation &amp; optimise</w:t>
            </w:r>
          </w:p>
        </w:tc>
        <w:tc>
          <w:tcPr>
            <w:tcW w:w="785" w:type="dxa"/>
            <w:tcBorders>
              <w:bottom w:val="single" w:sz="8" w:space="0" w:color="000000"/>
              <w:right w:val="single" w:sz="8" w:space="0" w:color="000000"/>
            </w:tcBorders>
            <w:tcMar>
              <w:top w:w="0" w:type="dxa"/>
              <w:left w:w="108" w:type="dxa"/>
              <w:bottom w:w="0" w:type="dxa"/>
              <w:right w:w="108" w:type="dxa"/>
            </w:tcMar>
          </w:tcPr>
          <w:p w14:paraId="28364C9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31-36</w:t>
            </w:r>
          </w:p>
        </w:tc>
        <w:tc>
          <w:tcPr>
            <w:tcW w:w="1467" w:type="dxa"/>
            <w:tcBorders>
              <w:bottom w:val="single" w:sz="8" w:space="0" w:color="000000"/>
              <w:right w:val="single" w:sz="8" w:space="0" w:color="000000"/>
            </w:tcBorders>
            <w:tcMar>
              <w:top w:w="0" w:type="dxa"/>
              <w:left w:w="108" w:type="dxa"/>
              <w:bottom w:w="0" w:type="dxa"/>
              <w:right w:w="108" w:type="dxa"/>
            </w:tcMar>
          </w:tcPr>
          <w:p w14:paraId="462562F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Monitor KPIs, conduct reviews, refine processes, feedback loops</w:t>
            </w:r>
          </w:p>
        </w:tc>
        <w:tc>
          <w:tcPr>
            <w:tcW w:w="1279" w:type="dxa"/>
            <w:tcBorders>
              <w:bottom w:val="single" w:sz="8" w:space="0" w:color="000000"/>
              <w:right w:val="single" w:sz="8" w:space="0" w:color="000000"/>
            </w:tcBorders>
            <w:tcMar>
              <w:top w:w="0" w:type="dxa"/>
              <w:left w:w="108" w:type="dxa"/>
              <w:bottom w:w="0" w:type="dxa"/>
              <w:right w:w="108" w:type="dxa"/>
            </w:tcMar>
          </w:tcPr>
          <w:p w14:paraId="2352B8A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Steering Committee, HR, Finance</w:t>
            </w:r>
          </w:p>
        </w:tc>
        <w:tc>
          <w:tcPr>
            <w:tcW w:w="1088" w:type="dxa"/>
            <w:tcBorders>
              <w:bottom w:val="single" w:sz="8" w:space="0" w:color="000000"/>
              <w:right w:val="single" w:sz="8" w:space="0" w:color="000000"/>
            </w:tcBorders>
            <w:tcMar>
              <w:top w:w="0" w:type="dxa"/>
              <w:left w:w="108" w:type="dxa"/>
              <w:bottom w:w="0" w:type="dxa"/>
              <w:right w:w="108" w:type="dxa"/>
            </w:tcMar>
          </w:tcPr>
          <w:p w14:paraId="3783DD5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All KPIs reviewed; lessons learned</w:t>
            </w:r>
          </w:p>
        </w:tc>
      </w:tr>
    </w:tbl>
    <w:p w14:paraId="0B95E1A9"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color w:val="000000"/>
          <w:sz w:val="22"/>
          <w:szCs w:val="22"/>
        </w:rPr>
        <w:t> </w:t>
      </w:r>
    </w:p>
    <w:tbl>
      <w:tblPr>
        <w:tblW w:w="10148" w:type="dxa"/>
        <w:tblCellMar>
          <w:left w:w="10" w:type="dxa"/>
          <w:right w:w="10" w:type="dxa"/>
        </w:tblCellMar>
        <w:tblLook w:val="04A0" w:firstRow="1" w:lastRow="0" w:firstColumn="1" w:lastColumn="0" w:noHBand="0" w:noVBand="1"/>
      </w:tblPr>
      <w:tblGrid>
        <w:gridCol w:w="1757"/>
        <w:gridCol w:w="999"/>
        <w:gridCol w:w="999"/>
        <w:gridCol w:w="1745"/>
        <w:gridCol w:w="1256"/>
        <w:gridCol w:w="2222"/>
        <w:gridCol w:w="1427"/>
      </w:tblGrid>
      <w:tr w:rsidR="00CE168A" w:rsidRPr="001A4A49" w14:paraId="1D6F1A50" w14:textId="77777777" w:rsidTr="00395504">
        <w:trPr>
          <w:trHeight w:val="610"/>
        </w:trPr>
        <w:tc>
          <w:tcPr>
            <w:tcW w:w="1601"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tcPr>
          <w:p w14:paraId="0FFEBE8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Stakeholder Group</w:t>
            </w:r>
          </w:p>
        </w:tc>
        <w:tc>
          <w:tcPr>
            <w:tcW w:w="830" w:type="dxa"/>
            <w:tcBorders>
              <w:top w:val="single" w:sz="8" w:space="0" w:color="000000"/>
              <w:bottom w:val="single" w:sz="8" w:space="0" w:color="000000"/>
              <w:right w:val="single" w:sz="8" w:space="0" w:color="000000"/>
            </w:tcBorders>
            <w:tcMar>
              <w:top w:w="0" w:type="dxa"/>
              <w:left w:w="108" w:type="dxa"/>
              <w:bottom w:w="0" w:type="dxa"/>
              <w:right w:w="108" w:type="dxa"/>
            </w:tcMar>
          </w:tcPr>
          <w:p w14:paraId="3AE0FCD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Power</w:t>
            </w:r>
          </w:p>
        </w:tc>
        <w:tc>
          <w:tcPr>
            <w:tcW w:w="838" w:type="dxa"/>
            <w:tcBorders>
              <w:top w:val="single" w:sz="8" w:space="0" w:color="000000"/>
              <w:bottom w:val="single" w:sz="8" w:space="0" w:color="000000"/>
              <w:right w:val="single" w:sz="8" w:space="0" w:color="000000"/>
            </w:tcBorders>
            <w:tcMar>
              <w:top w:w="0" w:type="dxa"/>
              <w:left w:w="108" w:type="dxa"/>
              <w:bottom w:w="0" w:type="dxa"/>
              <w:right w:w="108" w:type="dxa"/>
            </w:tcMar>
          </w:tcPr>
          <w:p w14:paraId="64519BB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Interest</w:t>
            </w:r>
          </w:p>
        </w:tc>
        <w:tc>
          <w:tcPr>
            <w:tcW w:w="1689" w:type="dxa"/>
            <w:tcBorders>
              <w:top w:val="single" w:sz="8" w:space="0" w:color="000000"/>
              <w:bottom w:val="single" w:sz="8" w:space="0" w:color="000000"/>
              <w:right w:val="single" w:sz="8" w:space="0" w:color="000000"/>
            </w:tcBorders>
            <w:tcMar>
              <w:top w:w="0" w:type="dxa"/>
              <w:left w:w="108" w:type="dxa"/>
              <w:bottom w:w="0" w:type="dxa"/>
              <w:right w:w="108" w:type="dxa"/>
            </w:tcMar>
          </w:tcPr>
          <w:p w14:paraId="29D0089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Communication Channel</w:t>
            </w:r>
          </w:p>
        </w:tc>
        <w:tc>
          <w:tcPr>
            <w:tcW w:w="1290" w:type="dxa"/>
            <w:tcBorders>
              <w:top w:val="single" w:sz="8" w:space="0" w:color="000000"/>
              <w:bottom w:val="single" w:sz="8" w:space="0" w:color="000000"/>
              <w:right w:val="single" w:sz="8" w:space="0" w:color="000000"/>
            </w:tcBorders>
            <w:tcMar>
              <w:top w:w="0" w:type="dxa"/>
              <w:left w:w="108" w:type="dxa"/>
              <w:bottom w:w="0" w:type="dxa"/>
              <w:right w:w="108" w:type="dxa"/>
            </w:tcMar>
          </w:tcPr>
          <w:p w14:paraId="2CE5358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Frequency</w:t>
            </w:r>
          </w:p>
        </w:tc>
        <w:tc>
          <w:tcPr>
            <w:tcW w:w="2028" w:type="dxa"/>
            <w:tcBorders>
              <w:top w:val="single" w:sz="8" w:space="0" w:color="000000"/>
              <w:bottom w:val="single" w:sz="8" w:space="0" w:color="000000"/>
              <w:right w:val="single" w:sz="8" w:space="0" w:color="000000"/>
            </w:tcBorders>
            <w:tcMar>
              <w:top w:w="0" w:type="dxa"/>
              <w:left w:w="108" w:type="dxa"/>
              <w:bottom w:w="0" w:type="dxa"/>
              <w:right w:w="108" w:type="dxa"/>
            </w:tcMar>
          </w:tcPr>
          <w:p w14:paraId="7044801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Key Messages/Concerns</w:t>
            </w:r>
          </w:p>
        </w:tc>
        <w:tc>
          <w:tcPr>
            <w:tcW w:w="1872" w:type="dxa"/>
            <w:tcBorders>
              <w:top w:val="single" w:sz="8" w:space="0" w:color="000000"/>
              <w:bottom w:val="single" w:sz="8" w:space="0" w:color="000000"/>
              <w:right w:val="single" w:sz="8" w:space="0" w:color="000000"/>
            </w:tcBorders>
            <w:tcMar>
              <w:top w:w="0" w:type="dxa"/>
              <w:left w:w="108" w:type="dxa"/>
              <w:bottom w:w="0" w:type="dxa"/>
              <w:right w:w="108" w:type="dxa"/>
            </w:tcMar>
          </w:tcPr>
          <w:p w14:paraId="0EF30E0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Responsible Party</w:t>
            </w:r>
          </w:p>
        </w:tc>
      </w:tr>
      <w:tr w:rsidR="00CE168A" w:rsidRPr="001A4A49" w14:paraId="01FCB194" w14:textId="77777777" w:rsidTr="00395504">
        <w:trPr>
          <w:trHeight w:val="598"/>
        </w:trPr>
        <w:tc>
          <w:tcPr>
            <w:tcW w:w="1601" w:type="dxa"/>
            <w:tcBorders>
              <w:left w:val="single" w:sz="8" w:space="0" w:color="000000"/>
              <w:bottom w:val="single" w:sz="8" w:space="0" w:color="000000"/>
              <w:right w:val="single" w:sz="8" w:space="0" w:color="000000"/>
            </w:tcBorders>
            <w:tcMar>
              <w:top w:w="0" w:type="dxa"/>
              <w:left w:w="108" w:type="dxa"/>
              <w:bottom w:w="0" w:type="dxa"/>
              <w:right w:w="108" w:type="dxa"/>
            </w:tcMar>
          </w:tcPr>
          <w:p w14:paraId="4A511FC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Employees</w:t>
            </w:r>
          </w:p>
        </w:tc>
        <w:tc>
          <w:tcPr>
            <w:tcW w:w="830" w:type="dxa"/>
            <w:tcBorders>
              <w:bottom w:val="single" w:sz="8" w:space="0" w:color="000000"/>
              <w:right w:val="single" w:sz="8" w:space="0" w:color="000000"/>
            </w:tcBorders>
            <w:tcMar>
              <w:top w:w="0" w:type="dxa"/>
              <w:left w:w="108" w:type="dxa"/>
              <w:bottom w:w="0" w:type="dxa"/>
              <w:right w:w="108" w:type="dxa"/>
            </w:tcMar>
          </w:tcPr>
          <w:p w14:paraId="253C7E9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838" w:type="dxa"/>
            <w:tcBorders>
              <w:bottom w:val="single" w:sz="8" w:space="0" w:color="000000"/>
              <w:right w:val="single" w:sz="8" w:space="0" w:color="000000"/>
            </w:tcBorders>
            <w:tcMar>
              <w:top w:w="0" w:type="dxa"/>
              <w:left w:w="108" w:type="dxa"/>
              <w:bottom w:w="0" w:type="dxa"/>
              <w:right w:w="108" w:type="dxa"/>
            </w:tcMar>
          </w:tcPr>
          <w:p w14:paraId="1CD13F4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1689" w:type="dxa"/>
            <w:tcBorders>
              <w:bottom w:val="single" w:sz="8" w:space="0" w:color="000000"/>
              <w:right w:val="single" w:sz="8" w:space="0" w:color="000000"/>
            </w:tcBorders>
            <w:tcMar>
              <w:top w:w="0" w:type="dxa"/>
              <w:left w:w="108" w:type="dxa"/>
              <w:bottom w:w="0" w:type="dxa"/>
              <w:right w:w="108" w:type="dxa"/>
            </w:tcMar>
          </w:tcPr>
          <w:p w14:paraId="227520C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Town halls, Intranet</w:t>
            </w:r>
          </w:p>
        </w:tc>
        <w:tc>
          <w:tcPr>
            <w:tcW w:w="1290" w:type="dxa"/>
            <w:tcBorders>
              <w:bottom w:val="single" w:sz="8" w:space="0" w:color="000000"/>
              <w:right w:val="single" w:sz="8" w:space="0" w:color="000000"/>
            </w:tcBorders>
            <w:tcMar>
              <w:top w:w="0" w:type="dxa"/>
              <w:left w:w="108" w:type="dxa"/>
              <w:bottom w:w="0" w:type="dxa"/>
              <w:right w:w="108" w:type="dxa"/>
            </w:tcMar>
          </w:tcPr>
          <w:p w14:paraId="0277E6B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Quarterly</w:t>
            </w:r>
          </w:p>
        </w:tc>
        <w:tc>
          <w:tcPr>
            <w:tcW w:w="2028" w:type="dxa"/>
            <w:tcBorders>
              <w:bottom w:val="single" w:sz="8" w:space="0" w:color="000000"/>
              <w:right w:val="single" w:sz="8" w:space="0" w:color="000000"/>
            </w:tcBorders>
            <w:tcMar>
              <w:top w:w="0" w:type="dxa"/>
              <w:left w:w="108" w:type="dxa"/>
              <w:bottom w:w="0" w:type="dxa"/>
              <w:right w:w="108" w:type="dxa"/>
            </w:tcMar>
          </w:tcPr>
          <w:p w14:paraId="4CDA9B3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Vision, impact on roles, support offered</w:t>
            </w:r>
          </w:p>
        </w:tc>
        <w:tc>
          <w:tcPr>
            <w:tcW w:w="1872" w:type="dxa"/>
            <w:tcBorders>
              <w:bottom w:val="single" w:sz="8" w:space="0" w:color="000000"/>
              <w:right w:val="single" w:sz="8" w:space="0" w:color="000000"/>
            </w:tcBorders>
            <w:tcMar>
              <w:top w:w="0" w:type="dxa"/>
              <w:left w:w="108" w:type="dxa"/>
              <w:bottom w:w="0" w:type="dxa"/>
              <w:right w:w="108" w:type="dxa"/>
            </w:tcMar>
          </w:tcPr>
          <w:p w14:paraId="7981C20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Change &amp; HR Leads</w:t>
            </w:r>
          </w:p>
        </w:tc>
      </w:tr>
      <w:tr w:rsidR="00CE168A" w:rsidRPr="001A4A49" w14:paraId="39F071D9" w14:textId="77777777" w:rsidTr="00395504">
        <w:trPr>
          <w:trHeight w:val="610"/>
        </w:trPr>
        <w:tc>
          <w:tcPr>
            <w:tcW w:w="1601" w:type="dxa"/>
            <w:tcBorders>
              <w:left w:val="single" w:sz="8" w:space="0" w:color="000000"/>
              <w:bottom w:val="single" w:sz="8" w:space="0" w:color="000000"/>
              <w:right w:val="single" w:sz="8" w:space="0" w:color="000000"/>
            </w:tcBorders>
            <w:tcMar>
              <w:top w:w="0" w:type="dxa"/>
              <w:left w:w="108" w:type="dxa"/>
              <w:bottom w:w="0" w:type="dxa"/>
              <w:right w:w="108" w:type="dxa"/>
            </w:tcMar>
          </w:tcPr>
          <w:p w14:paraId="56352F2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Investors/Board</w:t>
            </w:r>
          </w:p>
        </w:tc>
        <w:tc>
          <w:tcPr>
            <w:tcW w:w="830" w:type="dxa"/>
            <w:tcBorders>
              <w:bottom w:val="single" w:sz="8" w:space="0" w:color="000000"/>
              <w:right w:val="single" w:sz="8" w:space="0" w:color="000000"/>
            </w:tcBorders>
            <w:tcMar>
              <w:top w:w="0" w:type="dxa"/>
              <w:left w:w="108" w:type="dxa"/>
              <w:bottom w:w="0" w:type="dxa"/>
              <w:right w:w="108" w:type="dxa"/>
            </w:tcMar>
          </w:tcPr>
          <w:p w14:paraId="515E50A5"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838" w:type="dxa"/>
            <w:tcBorders>
              <w:bottom w:val="single" w:sz="8" w:space="0" w:color="000000"/>
              <w:right w:val="single" w:sz="8" w:space="0" w:color="000000"/>
            </w:tcBorders>
            <w:tcMar>
              <w:top w:w="0" w:type="dxa"/>
              <w:left w:w="108" w:type="dxa"/>
              <w:bottom w:w="0" w:type="dxa"/>
              <w:right w:w="108" w:type="dxa"/>
            </w:tcMar>
          </w:tcPr>
          <w:p w14:paraId="2A48AF3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1689" w:type="dxa"/>
            <w:tcBorders>
              <w:bottom w:val="single" w:sz="8" w:space="0" w:color="000000"/>
              <w:right w:val="single" w:sz="8" w:space="0" w:color="000000"/>
            </w:tcBorders>
            <w:tcMar>
              <w:top w:w="0" w:type="dxa"/>
              <w:left w:w="108" w:type="dxa"/>
              <w:bottom w:w="0" w:type="dxa"/>
              <w:right w:w="108" w:type="dxa"/>
            </w:tcMar>
          </w:tcPr>
          <w:p w14:paraId="4177CD8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Reports, Q&amp;A calls</w:t>
            </w:r>
          </w:p>
        </w:tc>
        <w:tc>
          <w:tcPr>
            <w:tcW w:w="1290" w:type="dxa"/>
            <w:tcBorders>
              <w:bottom w:val="single" w:sz="8" w:space="0" w:color="000000"/>
              <w:right w:val="single" w:sz="8" w:space="0" w:color="000000"/>
            </w:tcBorders>
            <w:tcMar>
              <w:top w:w="0" w:type="dxa"/>
              <w:left w:w="108" w:type="dxa"/>
              <w:bottom w:w="0" w:type="dxa"/>
              <w:right w:w="108" w:type="dxa"/>
            </w:tcMar>
          </w:tcPr>
          <w:p w14:paraId="2C15162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Quarterly</w:t>
            </w:r>
          </w:p>
        </w:tc>
        <w:tc>
          <w:tcPr>
            <w:tcW w:w="2028" w:type="dxa"/>
            <w:tcBorders>
              <w:bottom w:val="single" w:sz="8" w:space="0" w:color="000000"/>
              <w:right w:val="single" w:sz="8" w:space="0" w:color="000000"/>
            </w:tcBorders>
            <w:tcMar>
              <w:top w:w="0" w:type="dxa"/>
              <w:left w:w="108" w:type="dxa"/>
              <w:bottom w:w="0" w:type="dxa"/>
              <w:right w:w="108" w:type="dxa"/>
            </w:tcMar>
          </w:tcPr>
          <w:p w14:paraId="40009D8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ROI, risk, timelines, competitive status</w:t>
            </w:r>
          </w:p>
        </w:tc>
        <w:tc>
          <w:tcPr>
            <w:tcW w:w="1872" w:type="dxa"/>
            <w:tcBorders>
              <w:bottom w:val="single" w:sz="8" w:space="0" w:color="000000"/>
              <w:right w:val="single" w:sz="8" w:space="0" w:color="000000"/>
            </w:tcBorders>
            <w:tcMar>
              <w:top w:w="0" w:type="dxa"/>
              <w:left w:w="108" w:type="dxa"/>
              <w:bottom w:w="0" w:type="dxa"/>
              <w:right w:w="108" w:type="dxa"/>
            </w:tcMar>
          </w:tcPr>
          <w:p w14:paraId="72A8346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CEO, CFO</w:t>
            </w:r>
          </w:p>
        </w:tc>
      </w:tr>
      <w:tr w:rsidR="00CE168A" w:rsidRPr="001A4A49" w14:paraId="74A8340C" w14:textId="77777777" w:rsidTr="00395504">
        <w:trPr>
          <w:trHeight w:val="398"/>
        </w:trPr>
        <w:tc>
          <w:tcPr>
            <w:tcW w:w="1601" w:type="dxa"/>
            <w:tcBorders>
              <w:left w:val="single" w:sz="8" w:space="0" w:color="000000"/>
              <w:bottom w:val="single" w:sz="8" w:space="0" w:color="000000"/>
              <w:right w:val="single" w:sz="8" w:space="0" w:color="000000"/>
            </w:tcBorders>
            <w:tcMar>
              <w:top w:w="0" w:type="dxa"/>
              <w:left w:w="108" w:type="dxa"/>
              <w:bottom w:w="0" w:type="dxa"/>
              <w:right w:w="108" w:type="dxa"/>
            </w:tcMar>
          </w:tcPr>
          <w:p w14:paraId="584C5E7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Suppliers</w:t>
            </w:r>
          </w:p>
        </w:tc>
        <w:tc>
          <w:tcPr>
            <w:tcW w:w="830" w:type="dxa"/>
            <w:tcBorders>
              <w:bottom w:val="single" w:sz="8" w:space="0" w:color="000000"/>
              <w:right w:val="single" w:sz="8" w:space="0" w:color="000000"/>
            </w:tcBorders>
            <w:tcMar>
              <w:top w:w="0" w:type="dxa"/>
              <w:left w:w="108" w:type="dxa"/>
              <w:bottom w:w="0" w:type="dxa"/>
              <w:right w:w="108" w:type="dxa"/>
            </w:tcMar>
          </w:tcPr>
          <w:p w14:paraId="04D18DE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838" w:type="dxa"/>
            <w:tcBorders>
              <w:bottom w:val="single" w:sz="8" w:space="0" w:color="000000"/>
              <w:right w:val="single" w:sz="8" w:space="0" w:color="000000"/>
            </w:tcBorders>
            <w:tcMar>
              <w:top w:w="0" w:type="dxa"/>
              <w:left w:w="108" w:type="dxa"/>
              <w:bottom w:w="0" w:type="dxa"/>
              <w:right w:w="108" w:type="dxa"/>
            </w:tcMar>
          </w:tcPr>
          <w:p w14:paraId="763E462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689" w:type="dxa"/>
            <w:tcBorders>
              <w:bottom w:val="single" w:sz="8" w:space="0" w:color="000000"/>
              <w:right w:val="single" w:sz="8" w:space="0" w:color="000000"/>
            </w:tcBorders>
            <w:tcMar>
              <w:top w:w="0" w:type="dxa"/>
              <w:left w:w="108" w:type="dxa"/>
              <w:bottom w:w="0" w:type="dxa"/>
              <w:right w:w="108" w:type="dxa"/>
            </w:tcMar>
          </w:tcPr>
          <w:p w14:paraId="4E16924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Forums, emails</w:t>
            </w:r>
          </w:p>
        </w:tc>
        <w:tc>
          <w:tcPr>
            <w:tcW w:w="1290" w:type="dxa"/>
            <w:tcBorders>
              <w:bottom w:val="single" w:sz="8" w:space="0" w:color="000000"/>
              <w:right w:val="single" w:sz="8" w:space="0" w:color="000000"/>
            </w:tcBorders>
            <w:tcMar>
              <w:top w:w="0" w:type="dxa"/>
              <w:left w:w="108" w:type="dxa"/>
              <w:bottom w:w="0" w:type="dxa"/>
              <w:right w:w="108" w:type="dxa"/>
            </w:tcMar>
          </w:tcPr>
          <w:p w14:paraId="52F6592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Biannual</w:t>
            </w:r>
          </w:p>
        </w:tc>
        <w:tc>
          <w:tcPr>
            <w:tcW w:w="2028" w:type="dxa"/>
            <w:tcBorders>
              <w:bottom w:val="single" w:sz="8" w:space="0" w:color="000000"/>
              <w:right w:val="single" w:sz="8" w:space="0" w:color="000000"/>
            </w:tcBorders>
            <w:tcMar>
              <w:top w:w="0" w:type="dxa"/>
              <w:left w:w="108" w:type="dxa"/>
              <w:bottom w:w="0" w:type="dxa"/>
              <w:right w:w="108" w:type="dxa"/>
            </w:tcMar>
          </w:tcPr>
          <w:p w14:paraId="4FC7F3B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Partnership, requirements, co-development</w:t>
            </w:r>
          </w:p>
        </w:tc>
        <w:tc>
          <w:tcPr>
            <w:tcW w:w="1872" w:type="dxa"/>
            <w:tcBorders>
              <w:bottom w:val="single" w:sz="8" w:space="0" w:color="000000"/>
              <w:right w:val="single" w:sz="8" w:space="0" w:color="000000"/>
            </w:tcBorders>
            <w:tcMar>
              <w:top w:w="0" w:type="dxa"/>
              <w:left w:w="108" w:type="dxa"/>
              <w:bottom w:w="0" w:type="dxa"/>
              <w:right w:w="108" w:type="dxa"/>
            </w:tcMar>
          </w:tcPr>
          <w:p w14:paraId="44DD30D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Supply Chain Director</w:t>
            </w:r>
          </w:p>
        </w:tc>
      </w:tr>
      <w:tr w:rsidR="00CE168A" w:rsidRPr="001A4A49" w14:paraId="1636661F" w14:textId="77777777" w:rsidTr="00395504">
        <w:trPr>
          <w:trHeight w:val="610"/>
        </w:trPr>
        <w:tc>
          <w:tcPr>
            <w:tcW w:w="1601" w:type="dxa"/>
            <w:tcBorders>
              <w:left w:val="single" w:sz="8" w:space="0" w:color="000000"/>
              <w:bottom w:val="single" w:sz="8" w:space="0" w:color="000000"/>
              <w:right w:val="single" w:sz="8" w:space="0" w:color="000000"/>
            </w:tcBorders>
            <w:tcMar>
              <w:top w:w="0" w:type="dxa"/>
              <w:left w:w="108" w:type="dxa"/>
              <w:bottom w:w="0" w:type="dxa"/>
              <w:right w:w="108" w:type="dxa"/>
            </w:tcMar>
          </w:tcPr>
          <w:p w14:paraId="73E19F2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Customers</w:t>
            </w:r>
          </w:p>
        </w:tc>
        <w:tc>
          <w:tcPr>
            <w:tcW w:w="830" w:type="dxa"/>
            <w:tcBorders>
              <w:bottom w:val="single" w:sz="8" w:space="0" w:color="000000"/>
              <w:right w:val="single" w:sz="8" w:space="0" w:color="000000"/>
            </w:tcBorders>
            <w:tcMar>
              <w:top w:w="0" w:type="dxa"/>
              <w:left w:w="108" w:type="dxa"/>
              <w:bottom w:w="0" w:type="dxa"/>
              <w:right w:w="108" w:type="dxa"/>
            </w:tcMar>
          </w:tcPr>
          <w:p w14:paraId="31A4741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838" w:type="dxa"/>
            <w:tcBorders>
              <w:bottom w:val="single" w:sz="8" w:space="0" w:color="000000"/>
              <w:right w:val="single" w:sz="8" w:space="0" w:color="000000"/>
            </w:tcBorders>
            <w:tcMar>
              <w:top w:w="0" w:type="dxa"/>
              <w:left w:w="108" w:type="dxa"/>
              <w:bottom w:w="0" w:type="dxa"/>
              <w:right w:w="108" w:type="dxa"/>
            </w:tcMar>
          </w:tcPr>
          <w:p w14:paraId="0D05674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1689" w:type="dxa"/>
            <w:tcBorders>
              <w:bottom w:val="single" w:sz="8" w:space="0" w:color="000000"/>
              <w:right w:val="single" w:sz="8" w:space="0" w:color="000000"/>
            </w:tcBorders>
            <w:tcMar>
              <w:top w:w="0" w:type="dxa"/>
              <w:left w:w="108" w:type="dxa"/>
              <w:bottom w:w="0" w:type="dxa"/>
              <w:right w:w="108" w:type="dxa"/>
            </w:tcMar>
          </w:tcPr>
          <w:p w14:paraId="2356C92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Website, social media</w:t>
            </w:r>
          </w:p>
        </w:tc>
        <w:tc>
          <w:tcPr>
            <w:tcW w:w="1290" w:type="dxa"/>
            <w:tcBorders>
              <w:bottom w:val="single" w:sz="8" w:space="0" w:color="000000"/>
              <w:right w:val="single" w:sz="8" w:space="0" w:color="000000"/>
            </w:tcBorders>
            <w:tcMar>
              <w:top w:w="0" w:type="dxa"/>
              <w:left w:w="108" w:type="dxa"/>
              <w:bottom w:w="0" w:type="dxa"/>
              <w:right w:w="108" w:type="dxa"/>
            </w:tcMar>
          </w:tcPr>
          <w:p w14:paraId="536EF0B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Ongoing</w:t>
            </w:r>
          </w:p>
        </w:tc>
        <w:tc>
          <w:tcPr>
            <w:tcW w:w="2028" w:type="dxa"/>
            <w:tcBorders>
              <w:bottom w:val="single" w:sz="8" w:space="0" w:color="000000"/>
              <w:right w:val="single" w:sz="8" w:space="0" w:color="000000"/>
            </w:tcBorders>
            <w:tcMar>
              <w:top w:w="0" w:type="dxa"/>
              <w:left w:w="108" w:type="dxa"/>
              <w:bottom w:w="0" w:type="dxa"/>
              <w:right w:w="108" w:type="dxa"/>
            </w:tcMar>
          </w:tcPr>
          <w:p w14:paraId="6216AF9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Product updates, benefit of changes</w:t>
            </w:r>
          </w:p>
        </w:tc>
        <w:tc>
          <w:tcPr>
            <w:tcW w:w="1872" w:type="dxa"/>
            <w:tcBorders>
              <w:bottom w:val="single" w:sz="8" w:space="0" w:color="000000"/>
              <w:right w:val="single" w:sz="8" w:space="0" w:color="000000"/>
            </w:tcBorders>
            <w:tcMar>
              <w:top w:w="0" w:type="dxa"/>
              <w:left w:w="108" w:type="dxa"/>
              <w:bottom w:w="0" w:type="dxa"/>
              <w:right w:w="108" w:type="dxa"/>
            </w:tcMar>
          </w:tcPr>
          <w:p w14:paraId="1B5B3CC1"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Marketing</w:t>
            </w:r>
          </w:p>
        </w:tc>
      </w:tr>
      <w:tr w:rsidR="00CE168A" w:rsidRPr="001A4A49" w14:paraId="0F0D4F27" w14:textId="77777777" w:rsidTr="00395504">
        <w:trPr>
          <w:trHeight w:val="598"/>
        </w:trPr>
        <w:tc>
          <w:tcPr>
            <w:tcW w:w="1601" w:type="dxa"/>
            <w:tcBorders>
              <w:left w:val="single" w:sz="8" w:space="0" w:color="000000"/>
              <w:bottom w:val="single" w:sz="8" w:space="0" w:color="000000"/>
              <w:right w:val="single" w:sz="8" w:space="0" w:color="000000"/>
            </w:tcBorders>
            <w:tcMar>
              <w:top w:w="0" w:type="dxa"/>
              <w:left w:w="108" w:type="dxa"/>
              <w:bottom w:w="0" w:type="dxa"/>
              <w:right w:w="108" w:type="dxa"/>
            </w:tcMar>
          </w:tcPr>
          <w:p w14:paraId="3FF87AF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Regulators</w:t>
            </w:r>
          </w:p>
        </w:tc>
        <w:tc>
          <w:tcPr>
            <w:tcW w:w="830" w:type="dxa"/>
            <w:tcBorders>
              <w:bottom w:val="single" w:sz="8" w:space="0" w:color="000000"/>
              <w:right w:val="single" w:sz="8" w:space="0" w:color="000000"/>
            </w:tcBorders>
            <w:tcMar>
              <w:top w:w="0" w:type="dxa"/>
              <w:left w:w="108" w:type="dxa"/>
              <w:bottom w:w="0" w:type="dxa"/>
              <w:right w:w="108" w:type="dxa"/>
            </w:tcMar>
          </w:tcPr>
          <w:p w14:paraId="3A924F6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838" w:type="dxa"/>
            <w:tcBorders>
              <w:bottom w:val="single" w:sz="8" w:space="0" w:color="000000"/>
              <w:right w:val="single" w:sz="8" w:space="0" w:color="000000"/>
            </w:tcBorders>
            <w:tcMar>
              <w:top w:w="0" w:type="dxa"/>
              <w:left w:w="108" w:type="dxa"/>
              <w:bottom w:w="0" w:type="dxa"/>
              <w:right w:w="108" w:type="dxa"/>
            </w:tcMar>
          </w:tcPr>
          <w:p w14:paraId="19FD6EC0"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689" w:type="dxa"/>
            <w:tcBorders>
              <w:bottom w:val="single" w:sz="8" w:space="0" w:color="000000"/>
              <w:right w:val="single" w:sz="8" w:space="0" w:color="000000"/>
            </w:tcBorders>
            <w:tcMar>
              <w:top w:w="0" w:type="dxa"/>
              <w:left w:w="108" w:type="dxa"/>
              <w:bottom w:w="0" w:type="dxa"/>
              <w:right w:w="108" w:type="dxa"/>
            </w:tcMar>
          </w:tcPr>
          <w:p w14:paraId="2A8E7C0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Meetings, submissions</w:t>
            </w:r>
          </w:p>
        </w:tc>
        <w:tc>
          <w:tcPr>
            <w:tcW w:w="1290" w:type="dxa"/>
            <w:tcBorders>
              <w:bottom w:val="single" w:sz="8" w:space="0" w:color="000000"/>
              <w:right w:val="single" w:sz="8" w:space="0" w:color="000000"/>
            </w:tcBorders>
            <w:tcMar>
              <w:top w:w="0" w:type="dxa"/>
              <w:left w:w="108" w:type="dxa"/>
              <w:bottom w:w="0" w:type="dxa"/>
              <w:right w:w="108" w:type="dxa"/>
            </w:tcMar>
          </w:tcPr>
          <w:p w14:paraId="37395FA1"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Annual</w:t>
            </w:r>
          </w:p>
        </w:tc>
        <w:tc>
          <w:tcPr>
            <w:tcW w:w="2028" w:type="dxa"/>
            <w:tcBorders>
              <w:bottom w:val="single" w:sz="8" w:space="0" w:color="000000"/>
              <w:right w:val="single" w:sz="8" w:space="0" w:color="000000"/>
            </w:tcBorders>
            <w:tcMar>
              <w:top w:w="0" w:type="dxa"/>
              <w:left w:w="108" w:type="dxa"/>
              <w:bottom w:w="0" w:type="dxa"/>
              <w:right w:w="108" w:type="dxa"/>
            </w:tcMar>
          </w:tcPr>
          <w:p w14:paraId="2F166EB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Compliance, innovation, sustainability</w:t>
            </w:r>
          </w:p>
        </w:tc>
        <w:tc>
          <w:tcPr>
            <w:tcW w:w="1872" w:type="dxa"/>
            <w:tcBorders>
              <w:bottom w:val="single" w:sz="8" w:space="0" w:color="000000"/>
              <w:right w:val="single" w:sz="8" w:space="0" w:color="000000"/>
            </w:tcBorders>
            <w:tcMar>
              <w:top w:w="0" w:type="dxa"/>
              <w:left w:w="108" w:type="dxa"/>
              <w:bottom w:w="0" w:type="dxa"/>
              <w:right w:w="108" w:type="dxa"/>
            </w:tcMar>
          </w:tcPr>
          <w:p w14:paraId="0AA24A6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Legal, Compliance</w:t>
            </w:r>
          </w:p>
        </w:tc>
      </w:tr>
      <w:tr w:rsidR="00CE168A" w:rsidRPr="001A4A49" w14:paraId="1F96A218" w14:textId="77777777" w:rsidTr="00395504">
        <w:trPr>
          <w:trHeight w:val="398"/>
        </w:trPr>
        <w:tc>
          <w:tcPr>
            <w:tcW w:w="1601" w:type="dxa"/>
            <w:tcBorders>
              <w:left w:val="single" w:sz="8" w:space="0" w:color="000000"/>
              <w:bottom w:val="single" w:sz="8" w:space="0" w:color="000000"/>
              <w:right w:val="single" w:sz="8" w:space="0" w:color="000000"/>
            </w:tcBorders>
            <w:tcMar>
              <w:top w:w="0" w:type="dxa"/>
              <w:left w:w="108" w:type="dxa"/>
              <w:bottom w:w="0" w:type="dxa"/>
              <w:right w:w="108" w:type="dxa"/>
            </w:tcMar>
          </w:tcPr>
          <w:p w14:paraId="0CA236B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Media/Public</w:t>
            </w:r>
          </w:p>
        </w:tc>
        <w:tc>
          <w:tcPr>
            <w:tcW w:w="830" w:type="dxa"/>
            <w:tcBorders>
              <w:bottom w:val="single" w:sz="8" w:space="0" w:color="000000"/>
              <w:right w:val="single" w:sz="8" w:space="0" w:color="000000"/>
            </w:tcBorders>
            <w:tcMar>
              <w:top w:w="0" w:type="dxa"/>
              <w:left w:w="108" w:type="dxa"/>
              <w:bottom w:w="0" w:type="dxa"/>
              <w:right w:w="108" w:type="dxa"/>
            </w:tcMar>
          </w:tcPr>
          <w:p w14:paraId="46195F5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838" w:type="dxa"/>
            <w:tcBorders>
              <w:bottom w:val="single" w:sz="8" w:space="0" w:color="000000"/>
              <w:right w:val="single" w:sz="8" w:space="0" w:color="000000"/>
            </w:tcBorders>
            <w:tcMar>
              <w:top w:w="0" w:type="dxa"/>
              <w:left w:w="108" w:type="dxa"/>
              <w:bottom w:w="0" w:type="dxa"/>
              <w:right w:w="108" w:type="dxa"/>
            </w:tcMar>
          </w:tcPr>
          <w:p w14:paraId="566AB50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1689" w:type="dxa"/>
            <w:tcBorders>
              <w:bottom w:val="single" w:sz="8" w:space="0" w:color="000000"/>
              <w:right w:val="single" w:sz="8" w:space="0" w:color="000000"/>
            </w:tcBorders>
            <w:tcMar>
              <w:top w:w="0" w:type="dxa"/>
              <w:left w:w="108" w:type="dxa"/>
              <w:bottom w:w="0" w:type="dxa"/>
              <w:right w:w="108" w:type="dxa"/>
            </w:tcMar>
          </w:tcPr>
          <w:p w14:paraId="56AF275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Press releases</w:t>
            </w:r>
          </w:p>
        </w:tc>
        <w:tc>
          <w:tcPr>
            <w:tcW w:w="1290" w:type="dxa"/>
            <w:tcBorders>
              <w:bottom w:val="single" w:sz="8" w:space="0" w:color="000000"/>
              <w:right w:val="single" w:sz="8" w:space="0" w:color="000000"/>
            </w:tcBorders>
            <w:tcMar>
              <w:top w:w="0" w:type="dxa"/>
              <w:left w:w="108" w:type="dxa"/>
              <w:bottom w:w="0" w:type="dxa"/>
              <w:right w:w="108" w:type="dxa"/>
            </w:tcMar>
          </w:tcPr>
          <w:p w14:paraId="1884A94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As needed</w:t>
            </w:r>
          </w:p>
        </w:tc>
        <w:tc>
          <w:tcPr>
            <w:tcW w:w="2028" w:type="dxa"/>
            <w:tcBorders>
              <w:bottom w:val="single" w:sz="8" w:space="0" w:color="000000"/>
              <w:right w:val="single" w:sz="8" w:space="0" w:color="000000"/>
            </w:tcBorders>
            <w:tcMar>
              <w:top w:w="0" w:type="dxa"/>
              <w:left w:w="108" w:type="dxa"/>
              <w:bottom w:w="0" w:type="dxa"/>
              <w:right w:w="108" w:type="dxa"/>
            </w:tcMar>
          </w:tcPr>
          <w:p w14:paraId="345F6BA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Company progress, innovation story</w:t>
            </w:r>
          </w:p>
        </w:tc>
        <w:tc>
          <w:tcPr>
            <w:tcW w:w="1872" w:type="dxa"/>
            <w:tcBorders>
              <w:bottom w:val="single" w:sz="8" w:space="0" w:color="000000"/>
              <w:right w:val="single" w:sz="8" w:space="0" w:color="000000"/>
            </w:tcBorders>
            <w:tcMar>
              <w:top w:w="0" w:type="dxa"/>
              <w:left w:w="108" w:type="dxa"/>
              <w:bottom w:w="0" w:type="dxa"/>
              <w:right w:w="108" w:type="dxa"/>
            </w:tcMar>
          </w:tcPr>
          <w:p w14:paraId="4BB2A5F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PR</w:t>
            </w:r>
          </w:p>
        </w:tc>
      </w:tr>
      <w:tr w:rsidR="00CE168A" w:rsidRPr="001A4A49" w14:paraId="5F574DA9" w14:textId="77777777" w:rsidTr="00395504">
        <w:trPr>
          <w:trHeight w:val="411"/>
        </w:trPr>
        <w:tc>
          <w:tcPr>
            <w:tcW w:w="1601" w:type="dxa"/>
            <w:tcBorders>
              <w:left w:val="single" w:sz="8" w:space="0" w:color="000000"/>
              <w:bottom w:val="single" w:sz="8" w:space="0" w:color="000000"/>
              <w:right w:val="single" w:sz="8" w:space="0" w:color="000000"/>
            </w:tcBorders>
            <w:tcMar>
              <w:top w:w="0" w:type="dxa"/>
              <w:left w:w="108" w:type="dxa"/>
              <w:bottom w:w="0" w:type="dxa"/>
              <w:right w:w="108" w:type="dxa"/>
            </w:tcMar>
          </w:tcPr>
          <w:p w14:paraId="70D53B9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Unions (if any)</w:t>
            </w:r>
          </w:p>
        </w:tc>
        <w:tc>
          <w:tcPr>
            <w:tcW w:w="830" w:type="dxa"/>
            <w:tcBorders>
              <w:bottom w:val="single" w:sz="8" w:space="0" w:color="000000"/>
              <w:right w:val="single" w:sz="8" w:space="0" w:color="000000"/>
            </w:tcBorders>
            <w:tcMar>
              <w:top w:w="0" w:type="dxa"/>
              <w:left w:w="108" w:type="dxa"/>
              <w:bottom w:w="0" w:type="dxa"/>
              <w:right w:w="108" w:type="dxa"/>
            </w:tcMar>
          </w:tcPr>
          <w:p w14:paraId="3F5D38D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c>
          <w:tcPr>
            <w:tcW w:w="838" w:type="dxa"/>
            <w:tcBorders>
              <w:bottom w:val="single" w:sz="8" w:space="0" w:color="000000"/>
              <w:right w:val="single" w:sz="8" w:space="0" w:color="000000"/>
            </w:tcBorders>
            <w:tcMar>
              <w:top w:w="0" w:type="dxa"/>
              <w:left w:w="108" w:type="dxa"/>
              <w:bottom w:w="0" w:type="dxa"/>
              <w:right w:w="108" w:type="dxa"/>
            </w:tcMar>
          </w:tcPr>
          <w:p w14:paraId="765AC0D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c>
          <w:tcPr>
            <w:tcW w:w="1689" w:type="dxa"/>
            <w:tcBorders>
              <w:bottom w:val="single" w:sz="8" w:space="0" w:color="000000"/>
              <w:right w:val="single" w:sz="8" w:space="0" w:color="000000"/>
            </w:tcBorders>
            <w:tcMar>
              <w:top w:w="0" w:type="dxa"/>
              <w:left w:w="108" w:type="dxa"/>
              <w:bottom w:w="0" w:type="dxa"/>
              <w:right w:w="108" w:type="dxa"/>
            </w:tcMar>
          </w:tcPr>
          <w:p w14:paraId="12A5A49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Meetings</w:t>
            </w:r>
          </w:p>
        </w:tc>
        <w:tc>
          <w:tcPr>
            <w:tcW w:w="1290" w:type="dxa"/>
            <w:tcBorders>
              <w:bottom w:val="single" w:sz="8" w:space="0" w:color="000000"/>
              <w:right w:val="single" w:sz="8" w:space="0" w:color="000000"/>
            </w:tcBorders>
            <w:tcMar>
              <w:top w:w="0" w:type="dxa"/>
              <w:left w:w="108" w:type="dxa"/>
              <w:bottom w:w="0" w:type="dxa"/>
              <w:right w:w="108" w:type="dxa"/>
            </w:tcMar>
          </w:tcPr>
          <w:p w14:paraId="77A7373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Quarterly</w:t>
            </w:r>
          </w:p>
        </w:tc>
        <w:tc>
          <w:tcPr>
            <w:tcW w:w="2028" w:type="dxa"/>
            <w:tcBorders>
              <w:bottom w:val="single" w:sz="8" w:space="0" w:color="000000"/>
              <w:right w:val="single" w:sz="8" w:space="0" w:color="000000"/>
            </w:tcBorders>
            <w:tcMar>
              <w:top w:w="0" w:type="dxa"/>
              <w:left w:w="108" w:type="dxa"/>
              <w:bottom w:w="0" w:type="dxa"/>
              <w:right w:w="108" w:type="dxa"/>
            </w:tcMar>
          </w:tcPr>
          <w:p w14:paraId="64FD884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Job security, working conditions</w:t>
            </w:r>
          </w:p>
        </w:tc>
        <w:tc>
          <w:tcPr>
            <w:tcW w:w="1872" w:type="dxa"/>
            <w:tcBorders>
              <w:bottom w:val="single" w:sz="8" w:space="0" w:color="000000"/>
              <w:right w:val="single" w:sz="8" w:space="0" w:color="000000"/>
            </w:tcBorders>
            <w:tcMar>
              <w:top w:w="0" w:type="dxa"/>
              <w:left w:w="108" w:type="dxa"/>
              <w:bottom w:w="0" w:type="dxa"/>
              <w:right w:w="108" w:type="dxa"/>
            </w:tcMar>
          </w:tcPr>
          <w:p w14:paraId="6D61E33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HR</w:t>
            </w:r>
          </w:p>
        </w:tc>
      </w:tr>
    </w:tbl>
    <w:p w14:paraId="334B36B8"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Critical Commentary:</w:t>
      </w:r>
      <w:r w:rsidRPr="001A4A49">
        <w:rPr>
          <w:rFonts w:ascii="Arial" w:hAnsi="Arial" w:cs="Arial"/>
          <w:i/>
          <w:iCs/>
          <w:color w:val="000000"/>
          <w:sz w:val="22"/>
          <w:szCs w:val="22"/>
        </w:rPr>
        <w:br/>
        <w:t>This phased approach allows for early wins, learning from pilots, and adaptive scaling. Key dependencies include timely hiring and system integration. Gantt milestones should be reviewed quarterly to ensure alignment with market developments.</w:t>
      </w:r>
    </w:p>
    <w:p w14:paraId="677F0104"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Appendix D: Stakeholder Communication Matrix</w:t>
      </w:r>
    </w:p>
    <w:p w14:paraId="0E56DDEF"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Critical Commentary:</w:t>
      </w:r>
      <w:r w:rsidRPr="001A4A49">
        <w:rPr>
          <w:rFonts w:ascii="Arial" w:hAnsi="Arial" w:cs="Arial"/>
          <w:i/>
          <w:iCs/>
          <w:color w:val="000000"/>
          <w:sz w:val="22"/>
          <w:szCs w:val="22"/>
        </w:rPr>
        <w:br/>
        <w:t xml:space="preserve">Employees and investors are the most critical stakeholders for change buy-in. Special </w:t>
      </w:r>
      <w:r w:rsidRPr="001A4A49">
        <w:rPr>
          <w:rFonts w:ascii="Arial" w:hAnsi="Arial" w:cs="Arial"/>
          <w:i/>
          <w:iCs/>
          <w:color w:val="000000"/>
          <w:sz w:val="22"/>
          <w:szCs w:val="22"/>
        </w:rPr>
        <w:lastRenderedPageBreak/>
        <w:t>attention is needed for employees at risk of burnout or job displacement, requiring transparent, two-way communication. Investors require clear communication of ROI and risk management to avoid loss of confidence during transformation.</w:t>
      </w:r>
    </w:p>
    <w:p w14:paraId="358CC762"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Appendix E: PESTEL Analysis</w:t>
      </w:r>
    </w:p>
    <w:tbl>
      <w:tblPr>
        <w:tblW w:w="8503" w:type="dxa"/>
        <w:tblInd w:w="134" w:type="dxa"/>
        <w:tblCellMar>
          <w:left w:w="10" w:type="dxa"/>
          <w:right w:w="10" w:type="dxa"/>
        </w:tblCellMar>
        <w:tblLook w:val="04A0" w:firstRow="1" w:lastRow="0" w:firstColumn="1" w:lastColumn="0" w:noHBand="0" w:noVBand="1"/>
      </w:tblPr>
      <w:tblGrid>
        <w:gridCol w:w="1887"/>
        <w:gridCol w:w="2469"/>
        <w:gridCol w:w="2632"/>
        <w:gridCol w:w="1515"/>
      </w:tblGrid>
      <w:tr w:rsidR="00CE168A" w:rsidRPr="001A4A49" w14:paraId="73D19F55" w14:textId="77777777" w:rsidTr="00395504">
        <w:tc>
          <w:tcPr>
            <w:tcW w:w="1503" w:type="dxa"/>
            <w:tcBorders>
              <w:top w:val="single" w:sz="8" w:space="0" w:color="AEAEAE"/>
              <w:left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74C9BED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Factor</w:t>
            </w:r>
          </w:p>
        </w:tc>
        <w:tc>
          <w:tcPr>
            <w:tcW w:w="2606" w:type="dxa"/>
            <w:tcBorders>
              <w:top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7AABE9F7"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Key Issue</w:t>
            </w:r>
          </w:p>
        </w:tc>
        <w:tc>
          <w:tcPr>
            <w:tcW w:w="2835" w:type="dxa"/>
            <w:tcBorders>
              <w:top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303BA63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Impact on Tesla</w:t>
            </w:r>
          </w:p>
        </w:tc>
        <w:tc>
          <w:tcPr>
            <w:tcW w:w="1559" w:type="dxa"/>
            <w:tcBorders>
              <w:top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7B652F3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Urgency</w:t>
            </w:r>
          </w:p>
        </w:tc>
      </w:tr>
      <w:tr w:rsidR="00CE168A" w:rsidRPr="001A4A49" w14:paraId="73E537DF" w14:textId="77777777" w:rsidTr="00395504">
        <w:tc>
          <w:tcPr>
            <w:tcW w:w="1503" w:type="dxa"/>
            <w:tcBorders>
              <w:left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4BDA630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Political</w:t>
            </w:r>
          </w:p>
        </w:tc>
        <w:tc>
          <w:tcPr>
            <w:tcW w:w="2606"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1415298F"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EV mandates, emission regulations (EU, US, China)</w:t>
            </w:r>
          </w:p>
        </w:tc>
        <w:tc>
          <w:tcPr>
            <w:tcW w:w="2835"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0AE800A9"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Positive (demand boost), but risk if policies shift</w:t>
            </w:r>
          </w:p>
        </w:tc>
        <w:tc>
          <w:tcPr>
            <w:tcW w:w="1559"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016DFF3B"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r>
      <w:tr w:rsidR="00CE168A" w:rsidRPr="001A4A49" w14:paraId="6FF1E3B2" w14:textId="77777777" w:rsidTr="00395504">
        <w:tc>
          <w:tcPr>
            <w:tcW w:w="1503" w:type="dxa"/>
            <w:tcBorders>
              <w:left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3B9D641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Economic</w:t>
            </w:r>
          </w:p>
        </w:tc>
        <w:tc>
          <w:tcPr>
            <w:tcW w:w="2606"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2016ACE4"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Inflation, interest rates, raw material costs</w:t>
            </w:r>
          </w:p>
        </w:tc>
        <w:tc>
          <w:tcPr>
            <w:tcW w:w="2835"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20F3601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Margin pressure, affects demand for high-end EVs</w:t>
            </w:r>
          </w:p>
        </w:tc>
        <w:tc>
          <w:tcPr>
            <w:tcW w:w="1559"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33B98A0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r>
      <w:tr w:rsidR="00CE168A" w:rsidRPr="001A4A49" w14:paraId="62C7FB16" w14:textId="77777777" w:rsidTr="00395504">
        <w:tc>
          <w:tcPr>
            <w:tcW w:w="1503" w:type="dxa"/>
            <w:tcBorders>
              <w:left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2DB90EBD"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Social</w:t>
            </w:r>
          </w:p>
        </w:tc>
        <w:tc>
          <w:tcPr>
            <w:tcW w:w="2606"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2F7731D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Urbanization, sustainability, mobility trends</w:t>
            </w:r>
          </w:p>
        </w:tc>
        <w:tc>
          <w:tcPr>
            <w:tcW w:w="2835"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0AC0D6E3"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Supports EVs, but ridesharing may reduce sales</w:t>
            </w:r>
          </w:p>
        </w:tc>
        <w:tc>
          <w:tcPr>
            <w:tcW w:w="1559"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23006FA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r>
      <w:tr w:rsidR="00CE168A" w:rsidRPr="001A4A49" w14:paraId="66184FCE" w14:textId="77777777" w:rsidTr="00395504">
        <w:tc>
          <w:tcPr>
            <w:tcW w:w="1503" w:type="dxa"/>
            <w:tcBorders>
              <w:left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2CF8554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Technological</w:t>
            </w:r>
          </w:p>
        </w:tc>
        <w:tc>
          <w:tcPr>
            <w:tcW w:w="2606"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4DEC804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Rapid AI, battery advances, cybersecurity needs</w:t>
            </w:r>
          </w:p>
        </w:tc>
        <w:tc>
          <w:tcPr>
            <w:tcW w:w="2835"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0501E476"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Forces continued R&amp;D to retain advantage</w:t>
            </w:r>
          </w:p>
        </w:tc>
        <w:tc>
          <w:tcPr>
            <w:tcW w:w="1559"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34A62CF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r>
      <w:tr w:rsidR="00CE168A" w:rsidRPr="001A4A49" w14:paraId="1ECC039C" w14:textId="77777777" w:rsidTr="00395504">
        <w:tc>
          <w:tcPr>
            <w:tcW w:w="1503" w:type="dxa"/>
            <w:tcBorders>
              <w:left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4DBA7BA2"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Environmental</w:t>
            </w:r>
          </w:p>
        </w:tc>
        <w:tc>
          <w:tcPr>
            <w:tcW w:w="2606"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0625E1F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Resource scarcity, recycling, carbon footprint</w:t>
            </w:r>
          </w:p>
        </w:tc>
        <w:tc>
          <w:tcPr>
            <w:tcW w:w="2835"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765AEB6A"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Need for sustainable sourcing, closed-loop systems</w:t>
            </w:r>
          </w:p>
        </w:tc>
        <w:tc>
          <w:tcPr>
            <w:tcW w:w="1559"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1906392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High</w:t>
            </w:r>
          </w:p>
        </w:tc>
      </w:tr>
      <w:tr w:rsidR="00CE168A" w:rsidRPr="001A4A49" w14:paraId="578A0451" w14:textId="77777777" w:rsidTr="00395504">
        <w:tc>
          <w:tcPr>
            <w:tcW w:w="1503" w:type="dxa"/>
            <w:tcBorders>
              <w:left w:val="single" w:sz="8" w:space="0" w:color="AEAEAE"/>
              <w:bottom w:val="single" w:sz="8" w:space="0" w:color="AEAEAE"/>
              <w:right w:val="single" w:sz="8" w:space="0" w:color="AEAEAE"/>
            </w:tcBorders>
            <w:shd w:val="clear" w:color="auto" w:fill="FFFFFF"/>
            <w:tcMar>
              <w:top w:w="120" w:type="dxa"/>
              <w:left w:w="240" w:type="dxa"/>
              <w:bottom w:w="120" w:type="dxa"/>
              <w:right w:w="240" w:type="dxa"/>
            </w:tcMar>
            <w:vAlign w:val="center"/>
          </w:tcPr>
          <w:p w14:paraId="13B33B1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Legal</w:t>
            </w:r>
          </w:p>
        </w:tc>
        <w:tc>
          <w:tcPr>
            <w:tcW w:w="2606"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5DEF66EE"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Data/privacy laws, safety standards, tariffs</w:t>
            </w:r>
          </w:p>
        </w:tc>
        <w:tc>
          <w:tcPr>
            <w:tcW w:w="2835"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444C966C"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Compliance costs, risk of regulatory delays</w:t>
            </w:r>
          </w:p>
        </w:tc>
        <w:tc>
          <w:tcPr>
            <w:tcW w:w="1559" w:type="dxa"/>
            <w:tcBorders>
              <w:bottom w:val="single" w:sz="8" w:space="0" w:color="AEAEAE"/>
              <w:right w:val="single" w:sz="8" w:space="0" w:color="AEAEAE"/>
            </w:tcBorders>
            <w:shd w:val="clear" w:color="auto" w:fill="FFFFFF"/>
            <w:tcMar>
              <w:top w:w="120" w:type="dxa"/>
              <w:left w:w="240" w:type="dxa"/>
              <w:bottom w:w="120" w:type="dxa"/>
              <w:right w:w="240" w:type="dxa"/>
            </w:tcMar>
            <w:vAlign w:val="center"/>
          </w:tcPr>
          <w:p w14:paraId="49337E88" w14:textId="77777777" w:rsidR="00CE168A" w:rsidRPr="001A4A49" w:rsidRDefault="00CE168A" w:rsidP="00395504">
            <w:pPr>
              <w:pStyle w:val="NormalWeb"/>
              <w:spacing w:after="160"/>
              <w:rPr>
                <w:rFonts w:ascii="Arial" w:hAnsi="Arial" w:cs="Arial"/>
                <w:sz w:val="22"/>
                <w:szCs w:val="22"/>
              </w:rPr>
            </w:pPr>
            <w:r w:rsidRPr="001A4A49">
              <w:rPr>
                <w:rFonts w:ascii="Arial" w:hAnsi="Arial" w:cs="Arial"/>
                <w:i/>
                <w:iCs/>
                <w:color w:val="000000"/>
                <w:sz w:val="22"/>
                <w:szCs w:val="22"/>
              </w:rPr>
              <w:t>Medium</w:t>
            </w:r>
          </w:p>
        </w:tc>
      </w:tr>
    </w:tbl>
    <w:p w14:paraId="64D47A41" w14:textId="77777777" w:rsidR="00CE168A" w:rsidRPr="001A4A49" w:rsidRDefault="00CE168A" w:rsidP="00CE168A">
      <w:pPr>
        <w:pStyle w:val="elementtoproof"/>
        <w:spacing w:after="160"/>
        <w:rPr>
          <w:rFonts w:ascii="Arial" w:hAnsi="Arial" w:cs="Arial"/>
          <w:i/>
          <w:iCs/>
          <w:color w:val="000000"/>
          <w:sz w:val="22"/>
          <w:szCs w:val="22"/>
        </w:rPr>
      </w:pPr>
    </w:p>
    <w:p w14:paraId="4662FFDB"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Critical Commentary:</w:t>
      </w:r>
      <w:r w:rsidRPr="001A4A49">
        <w:rPr>
          <w:rFonts w:ascii="Arial" w:hAnsi="Arial" w:cs="Arial"/>
          <w:i/>
          <w:iCs/>
          <w:color w:val="000000"/>
          <w:sz w:val="22"/>
          <w:szCs w:val="22"/>
        </w:rPr>
        <w:br/>
        <w:t>The most urgent PESTEL factors are political support/regulation (which can change rapidly), economic volatility (which impacts margins and demand), and the pace of technological change. Legal and environmental factors are growing in importance, especially as Tesla scales in new regions and faces stricter emissions and data protection laws.</w:t>
      </w:r>
    </w:p>
    <w:p w14:paraId="5EFE5224" w14:textId="77777777" w:rsidR="00CE168A" w:rsidRPr="001A4A49" w:rsidRDefault="00CE168A" w:rsidP="00CE168A">
      <w:pPr>
        <w:pStyle w:val="elementtoproof"/>
        <w:spacing w:after="160"/>
        <w:rPr>
          <w:rFonts w:ascii="Arial" w:hAnsi="Arial" w:cs="Arial"/>
          <w:i/>
          <w:iCs/>
          <w:color w:val="000000"/>
          <w:sz w:val="22"/>
          <w:szCs w:val="22"/>
        </w:rPr>
      </w:pPr>
    </w:p>
    <w:p w14:paraId="5DA22A42" w14:textId="77777777" w:rsidR="00CE168A" w:rsidRPr="001A4A49" w:rsidRDefault="00CE168A" w:rsidP="00CE168A">
      <w:pPr>
        <w:pStyle w:val="elementtoproof"/>
        <w:spacing w:after="160"/>
        <w:rPr>
          <w:rFonts w:ascii="Arial" w:hAnsi="Arial" w:cs="Arial"/>
          <w:sz w:val="22"/>
          <w:szCs w:val="22"/>
        </w:rPr>
      </w:pPr>
      <w:r w:rsidRPr="001A4A49">
        <w:rPr>
          <w:rFonts w:ascii="Arial" w:hAnsi="Arial" w:cs="Arial"/>
          <w:i/>
          <w:iCs/>
          <w:color w:val="000000"/>
          <w:sz w:val="22"/>
          <w:szCs w:val="22"/>
        </w:rPr>
        <w:t>How to Reference These in Your Main Report</w:t>
      </w:r>
    </w:p>
    <w:p w14:paraId="313C177F" w14:textId="77777777" w:rsidR="00CE168A" w:rsidRPr="001A4A49" w:rsidRDefault="00CE168A" w:rsidP="00CE168A">
      <w:pPr>
        <w:numPr>
          <w:ilvl w:val="0"/>
          <w:numId w:val="1"/>
        </w:numPr>
        <w:suppressAutoHyphens/>
        <w:autoSpaceDN w:val="0"/>
        <w:spacing w:line="276" w:lineRule="auto"/>
        <w:rPr>
          <w:rFonts w:ascii="Arial" w:hAnsi="Arial" w:cs="Arial"/>
          <w:sz w:val="22"/>
          <w:szCs w:val="22"/>
        </w:rPr>
      </w:pPr>
      <w:r w:rsidRPr="001A4A49">
        <w:rPr>
          <w:rFonts w:ascii="Arial" w:eastAsia="Times New Roman" w:hAnsi="Arial" w:cs="Arial"/>
          <w:i/>
          <w:iCs/>
          <w:color w:val="000000"/>
          <w:sz w:val="22"/>
          <w:szCs w:val="22"/>
        </w:rPr>
        <w:t>In Section 3: “Appendix A’s SWOT highlights supply chain risk and competitive threats as the most urgent weaknesses and threats, directly informing our resilience-focused objectives.”</w:t>
      </w:r>
    </w:p>
    <w:p w14:paraId="695E1DBA" w14:textId="77777777" w:rsidR="00CE168A" w:rsidRPr="001A4A49" w:rsidRDefault="00CE168A" w:rsidP="00CE168A">
      <w:pPr>
        <w:numPr>
          <w:ilvl w:val="0"/>
          <w:numId w:val="1"/>
        </w:numPr>
        <w:suppressAutoHyphens/>
        <w:autoSpaceDN w:val="0"/>
        <w:spacing w:line="276" w:lineRule="auto"/>
        <w:rPr>
          <w:rFonts w:ascii="Arial" w:hAnsi="Arial" w:cs="Arial"/>
          <w:sz w:val="22"/>
          <w:szCs w:val="22"/>
        </w:rPr>
      </w:pPr>
      <w:r w:rsidRPr="001A4A49">
        <w:rPr>
          <w:rFonts w:ascii="Arial" w:eastAsia="Times New Roman" w:hAnsi="Arial" w:cs="Arial"/>
          <w:i/>
          <w:iCs/>
          <w:color w:val="000000"/>
          <w:sz w:val="22"/>
          <w:szCs w:val="22"/>
        </w:rPr>
        <w:t>In Section 5: “The prioritised risks in Appendix B justify the phased, employee-centric implementation and the emphasis on supply diversification.”</w:t>
      </w:r>
    </w:p>
    <w:p w14:paraId="5AA76A6B" w14:textId="77777777" w:rsidR="00CE168A" w:rsidRPr="001A4A49" w:rsidRDefault="00CE168A" w:rsidP="00CE168A">
      <w:pPr>
        <w:numPr>
          <w:ilvl w:val="0"/>
          <w:numId w:val="1"/>
        </w:numPr>
        <w:suppressAutoHyphens/>
        <w:autoSpaceDN w:val="0"/>
        <w:spacing w:line="276" w:lineRule="auto"/>
        <w:rPr>
          <w:rFonts w:ascii="Arial" w:hAnsi="Arial" w:cs="Arial"/>
          <w:sz w:val="22"/>
          <w:szCs w:val="22"/>
        </w:rPr>
      </w:pPr>
      <w:r w:rsidRPr="001A4A49">
        <w:rPr>
          <w:rFonts w:ascii="Arial" w:eastAsia="Times New Roman" w:hAnsi="Arial" w:cs="Arial"/>
          <w:i/>
          <w:iCs/>
          <w:color w:val="000000"/>
          <w:sz w:val="22"/>
          <w:szCs w:val="22"/>
        </w:rPr>
        <w:lastRenderedPageBreak/>
        <w:t>In Section 5.5: “See Appendix C for the detailed Gantt chart outlining implementation phases, milestones, and responsible parties.”</w:t>
      </w:r>
    </w:p>
    <w:p w14:paraId="63AA82C1" w14:textId="77777777" w:rsidR="00CE168A" w:rsidRPr="001A4A49" w:rsidRDefault="00CE168A" w:rsidP="00CE168A">
      <w:pPr>
        <w:numPr>
          <w:ilvl w:val="0"/>
          <w:numId w:val="1"/>
        </w:numPr>
        <w:suppressAutoHyphens/>
        <w:autoSpaceDN w:val="0"/>
        <w:spacing w:line="276" w:lineRule="auto"/>
        <w:rPr>
          <w:rFonts w:ascii="Arial" w:hAnsi="Arial" w:cs="Arial"/>
          <w:sz w:val="22"/>
          <w:szCs w:val="22"/>
        </w:rPr>
      </w:pPr>
      <w:r w:rsidRPr="001A4A49">
        <w:rPr>
          <w:rFonts w:ascii="Arial" w:eastAsia="Times New Roman" w:hAnsi="Arial" w:cs="Arial"/>
          <w:i/>
          <w:iCs/>
          <w:color w:val="000000"/>
          <w:sz w:val="22"/>
          <w:szCs w:val="22"/>
        </w:rPr>
        <w:t>In Section 5.4: “Stakeholder mapping in Appendix D ensures all communications are tailored by power, interest, and channel.”</w:t>
      </w:r>
    </w:p>
    <w:p w14:paraId="1F6717EF" w14:textId="77777777" w:rsidR="00CE168A" w:rsidRPr="001A4A49" w:rsidRDefault="00CE168A" w:rsidP="00CE168A">
      <w:pPr>
        <w:numPr>
          <w:ilvl w:val="0"/>
          <w:numId w:val="1"/>
        </w:numPr>
        <w:suppressAutoHyphens/>
        <w:autoSpaceDN w:val="0"/>
        <w:spacing w:line="276" w:lineRule="auto"/>
        <w:rPr>
          <w:rFonts w:ascii="Arial" w:hAnsi="Arial" w:cs="Arial"/>
          <w:sz w:val="22"/>
          <w:szCs w:val="22"/>
        </w:rPr>
      </w:pPr>
      <w:r w:rsidRPr="001A4A49">
        <w:rPr>
          <w:rFonts w:ascii="Arial" w:eastAsia="Times New Roman" w:hAnsi="Arial" w:cs="Arial"/>
          <w:i/>
          <w:iCs/>
          <w:color w:val="000000"/>
          <w:sz w:val="22"/>
          <w:szCs w:val="22"/>
        </w:rPr>
        <w:t>In Section 3.1: “Appendix E’s PESTEL analysis underscores the urgency of adapting to regulatory and technological shifts.”</w:t>
      </w:r>
    </w:p>
    <w:p w14:paraId="510DDBED" w14:textId="77777777" w:rsidR="00CE168A" w:rsidRPr="001A4A49" w:rsidRDefault="00CE168A" w:rsidP="00CE168A">
      <w:pPr>
        <w:rPr>
          <w:rFonts w:ascii="Arial" w:eastAsia="Times New Roman" w:hAnsi="Arial" w:cs="Arial"/>
          <w:color w:val="000000"/>
          <w:sz w:val="22"/>
          <w:szCs w:val="22"/>
        </w:rPr>
      </w:pPr>
    </w:p>
    <w:p w14:paraId="1BBB0477" w14:textId="77777777" w:rsidR="00CE168A" w:rsidRPr="001A4A49" w:rsidRDefault="00CE168A" w:rsidP="00CE168A">
      <w:pPr>
        <w:rPr>
          <w:rFonts w:ascii="Arial" w:hAnsi="Arial" w:cs="Arial"/>
          <w:sz w:val="22"/>
          <w:szCs w:val="22"/>
        </w:rPr>
      </w:pPr>
    </w:p>
    <w:p w14:paraId="53976887" w14:textId="77777777" w:rsidR="001F6062" w:rsidRPr="001A4A49" w:rsidRDefault="001F6062" w:rsidP="001F6062">
      <w:pPr>
        <w:jc w:val="center"/>
        <w:rPr>
          <w:rFonts w:ascii="Arial" w:hAnsi="Arial" w:cs="Arial"/>
          <w:sz w:val="22"/>
          <w:szCs w:val="22"/>
        </w:rPr>
      </w:pPr>
    </w:p>
    <w:sectPr w:rsidR="001F6062" w:rsidRPr="001A4A4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C944F" w14:textId="77777777" w:rsidR="00D27A21" w:rsidRDefault="00D27A21" w:rsidP="001F6062">
      <w:pPr>
        <w:spacing w:after="0" w:line="240" w:lineRule="auto"/>
      </w:pPr>
      <w:r>
        <w:separator/>
      </w:r>
    </w:p>
  </w:endnote>
  <w:endnote w:type="continuationSeparator" w:id="0">
    <w:p w14:paraId="1F4A3701" w14:textId="77777777" w:rsidR="00D27A21" w:rsidRDefault="00D27A21" w:rsidP="001F60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2904100"/>
      <w:docPartObj>
        <w:docPartGallery w:val="Page Numbers (Bottom of Page)"/>
        <w:docPartUnique/>
      </w:docPartObj>
    </w:sdtPr>
    <w:sdtContent>
      <w:p w14:paraId="36DBC77F" w14:textId="7ADE9012" w:rsidR="001F6062" w:rsidRDefault="001F6062">
        <w:pPr>
          <w:pStyle w:val="Footer"/>
          <w:jc w:val="right"/>
        </w:pPr>
        <w:r>
          <w:fldChar w:fldCharType="begin"/>
        </w:r>
        <w:r>
          <w:instrText>PAGE   \* MERGEFORMAT</w:instrText>
        </w:r>
        <w:r>
          <w:fldChar w:fldCharType="separate"/>
        </w:r>
        <w:r>
          <w:t>2</w:t>
        </w:r>
        <w:r>
          <w:fldChar w:fldCharType="end"/>
        </w:r>
      </w:p>
    </w:sdtContent>
  </w:sdt>
  <w:p w14:paraId="7E984DC2" w14:textId="77777777" w:rsidR="001F6062" w:rsidRDefault="001F60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408B7" w14:textId="77777777" w:rsidR="00D27A21" w:rsidRDefault="00D27A21" w:rsidP="001F6062">
      <w:pPr>
        <w:spacing w:after="0" w:line="240" w:lineRule="auto"/>
      </w:pPr>
      <w:r>
        <w:separator/>
      </w:r>
    </w:p>
  </w:footnote>
  <w:footnote w:type="continuationSeparator" w:id="0">
    <w:p w14:paraId="01CF8DFD" w14:textId="77777777" w:rsidR="00D27A21" w:rsidRDefault="00D27A21" w:rsidP="001F60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01E8A"/>
    <w:multiLevelType w:val="multilevel"/>
    <w:tmpl w:val="76D8A62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cs="Times New Roman"/>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387B132C"/>
    <w:multiLevelType w:val="multilevel"/>
    <w:tmpl w:val="5F2CA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500336">
    <w:abstractNumId w:val="0"/>
  </w:num>
  <w:num w:numId="2" w16cid:durableId="1234269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062"/>
    <w:rsid w:val="0000481C"/>
    <w:rsid w:val="00123B67"/>
    <w:rsid w:val="001A4A49"/>
    <w:rsid w:val="001E6B29"/>
    <w:rsid w:val="001F6062"/>
    <w:rsid w:val="00440E01"/>
    <w:rsid w:val="00513D17"/>
    <w:rsid w:val="005A7EA6"/>
    <w:rsid w:val="00850077"/>
    <w:rsid w:val="00B55370"/>
    <w:rsid w:val="00BB42E8"/>
    <w:rsid w:val="00CE168A"/>
    <w:rsid w:val="00D27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3A33E"/>
  <w15:chartTrackingRefBased/>
  <w15:docId w15:val="{FB27B488-85E9-4D80-96C9-026F30426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0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0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60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0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0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0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0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0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0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0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60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60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0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0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0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0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0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062"/>
    <w:rPr>
      <w:rFonts w:eastAsiaTheme="majorEastAsia" w:cstheme="majorBidi"/>
      <w:color w:val="272727" w:themeColor="text1" w:themeTint="D8"/>
    </w:rPr>
  </w:style>
  <w:style w:type="paragraph" w:styleId="Title">
    <w:name w:val="Title"/>
    <w:basedOn w:val="Normal"/>
    <w:next w:val="Normal"/>
    <w:link w:val="TitleChar"/>
    <w:uiPriority w:val="10"/>
    <w:qFormat/>
    <w:rsid w:val="001F60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0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0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0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062"/>
    <w:pPr>
      <w:spacing w:before="160"/>
      <w:jc w:val="center"/>
    </w:pPr>
    <w:rPr>
      <w:i/>
      <w:iCs/>
      <w:color w:val="404040" w:themeColor="text1" w:themeTint="BF"/>
    </w:rPr>
  </w:style>
  <w:style w:type="character" w:customStyle="1" w:styleId="QuoteChar">
    <w:name w:val="Quote Char"/>
    <w:basedOn w:val="DefaultParagraphFont"/>
    <w:link w:val="Quote"/>
    <w:uiPriority w:val="29"/>
    <w:rsid w:val="001F6062"/>
    <w:rPr>
      <w:i/>
      <w:iCs/>
      <w:color w:val="404040" w:themeColor="text1" w:themeTint="BF"/>
    </w:rPr>
  </w:style>
  <w:style w:type="paragraph" w:styleId="ListParagraph">
    <w:name w:val="List Paragraph"/>
    <w:basedOn w:val="Normal"/>
    <w:uiPriority w:val="34"/>
    <w:qFormat/>
    <w:rsid w:val="001F6062"/>
    <w:pPr>
      <w:ind w:left="720"/>
      <w:contextualSpacing/>
    </w:pPr>
  </w:style>
  <w:style w:type="character" w:styleId="IntenseEmphasis">
    <w:name w:val="Intense Emphasis"/>
    <w:basedOn w:val="DefaultParagraphFont"/>
    <w:uiPriority w:val="21"/>
    <w:qFormat/>
    <w:rsid w:val="001F6062"/>
    <w:rPr>
      <w:i/>
      <w:iCs/>
      <w:color w:val="0F4761" w:themeColor="accent1" w:themeShade="BF"/>
    </w:rPr>
  </w:style>
  <w:style w:type="paragraph" w:styleId="IntenseQuote">
    <w:name w:val="Intense Quote"/>
    <w:basedOn w:val="Normal"/>
    <w:next w:val="Normal"/>
    <w:link w:val="IntenseQuoteChar"/>
    <w:uiPriority w:val="30"/>
    <w:qFormat/>
    <w:rsid w:val="001F60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062"/>
    <w:rPr>
      <w:i/>
      <w:iCs/>
      <w:color w:val="0F4761" w:themeColor="accent1" w:themeShade="BF"/>
    </w:rPr>
  </w:style>
  <w:style w:type="character" w:styleId="IntenseReference">
    <w:name w:val="Intense Reference"/>
    <w:basedOn w:val="DefaultParagraphFont"/>
    <w:uiPriority w:val="32"/>
    <w:qFormat/>
    <w:rsid w:val="001F6062"/>
    <w:rPr>
      <w:b/>
      <w:bCs/>
      <w:smallCaps/>
      <w:color w:val="0F4761" w:themeColor="accent1" w:themeShade="BF"/>
      <w:spacing w:val="5"/>
    </w:rPr>
  </w:style>
  <w:style w:type="paragraph" w:styleId="Header">
    <w:name w:val="header"/>
    <w:basedOn w:val="Normal"/>
    <w:link w:val="HeaderChar"/>
    <w:uiPriority w:val="99"/>
    <w:unhideWhenUsed/>
    <w:rsid w:val="001F60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062"/>
  </w:style>
  <w:style w:type="paragraph" w:styleId="Footer">
    <w:name w:val="footer"/>
    <w:basedOn w:val="Normal"/>
    <w:link w:val="FooterChar"/>
    <w:uiPriority w:val="99"/>
    <w:unhideWhenUsed/>
    <w:rsid w:val="001F60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062"/>
  </w:style>
  <w:style w:type="paragraph" w:styleId="NormalWeb">
    <w:name w:val="Normal (Web)"/>
    <w:basedOn w:val="Normal"/>
    <w:rsid w:val="00CE168A"/>
    <w:pPr>
      <w:suppressAutoHyphens/>
      <w:autoSpaceDN w:val="0"/>
      <w:spacing w:after="0" w:line="240" w:lineRule="auto"/>
    </w:pPr>
    <w:rPr>
      <w:rFonts w:ascii="Aptos" w:eastAsia="Calibri" w:hAnsi="Aptos" w:cs="Aptos"/>
      <w:kern w:val="0"/>
      <w:lang w:eastAsia="en-GB"/>
      <w14:ligatures w14:val="none"/>
    </w:rPr>
  </w:style>
  <w:style w:type="paragraph" w:customStyle="1" w:styleId="elementtoproof">
    <w:name w:val="elementtoproof"/>
    <w:basedOn w:val="Normal"/>
    <w:rsid w:val="00CE168A"/>
    <w:pPr>
      <w:suppressAutoHyphens/>
      <w:autoSpaceDN w:val="0"/>
      <w:spacing w:after="0" w:line="240" w:lineRule="auto"/>
    </w:pPr>
    <w:rPr>
      <w:rFonts w:ascii="Aptos" w:eastAsia="Calibri" w:hAnsi="Aptos" w:cs="Apto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21</Pages>
  <Words>6012</Words>
  <Characters>34275</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Berta Joao</dc:creator>
  <cp:keywords/>
  <dc:description/>
  <cp:lastModifiedBy>Berta Joao</cp:lastModifiedBy>
  <cp:revision>4</cp:revision>
  <dcterms:created xsi:type="dcterms:W3CDTF">2025-12-19T11:55:00Z</dcterms:created>
  <dcterms:modified xsi:type="dcterms:W3CDTF">2025-12-19T12:47:00Z</dcterms:modified>
</cp:coreProperties>
</file>