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0000001" w14:textId="77777777" w:rsidR="00491862" w:rsidRDefault="006717FC">
      <w:pPr>
        <w:pStyle w:val="Title"/>
        <w:spacing w:line="480" w:lineRule="auto"/>
        <w:jc w:val="center"/>
        <w:rPr>
          <w:rFonts w:ascii="Times New Roman" w:eastAsia="Times New Roman" w:hAnsi="Times New Roman" w:cs="Times New Roman"/>
        </w:rPr>
      </w:pPr>
      <w:bookmarkStart w:id="0" w:name="_oa0s2st6mezb" w:colFirst="0" w:colLast="0"/>
      <w:bookmarkEnd w:id="0"/>
      <w:r>
        <w:rPr>
          <w:rFonts w:ascii="Times New Roman" w:eastAsia="Times New Roman" w:hAnsi="Times New Roman" w:cs="Times New Roman"/>
        </w:rPr>
        <w:t>t-Test</w:t>
      </w:r>
    </w:p>
    <w:p w14:paraId="00000002" w14:textId="08658FD6" w:rsidR="00491862" w:rsidRDefault="005154BE">
      <w:pPr>
        <w:shd w:val="clear" w:color="auto" w:fill="FFFFFF"/>
        <w:spacing w:after="42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006717FC">
        <w:rPr>
          <w:rFonts w:ascii="Times New Roman" w:eastAsia="Times New Roman" w:hAnsi="Times New Roman" w:cs="Times New Roman"/>
          <w:sz w:val="24"/>
          <w:szCs w:val="24"/>
        </w:rPr>
        <w:t>T-test is one type of inferential statistic used to determine whether the means of groups are significantly different, based on certain characteristics of the groups. Usually, when a given set of data follows a normal distribution and has unknown variances</w:t>
      </w:r>
      <w:r w:rsidR="006717FC">
        <w:rPr>
          <w:rFonts w:ascii="Times New Roman" w:eastAsia="Times New Roman" w:hAnsi="Times New Roman" w:cs="Times New Roman"/>
          <w:sz w:val="24"/>
          <w:szCs w:val="24"/>
        </w:rPr>
        <w:t xml:space="preserve">, like in the case of 100 flips of a coin, this method is used. To test an assumption that </w:t>
      </w:r>
      <w:r>
        <w:rPr>
          <w:rFonts w:ascii="Times New Roman" w:eastAsia="Times New Roman" w:hAnsi="Times New Roman" w:cs="Times New Roman"/>
          <w:sz w:val="24"/>
          <w:szCs w:val="24"/>
        </w:rPr>
        <w:t>applies</w:t>
      </w:r>
      <w:r w:rsidR="006717FC">
        <w:rPr>
          <w:rFonts w:ascii="Times New Roman" w:eastAsia="Times New Roman" w:hAnsi="Times New Roman" w:cs="Times New Roman"/>
          <w:sz w:val="24"/>
          <w:szCs w:val="24"/>
        </w:rPr>
        <w:t xml:space="preserve"> to a population, a t-test is used as a hypothesis testing tool. To determine the significance of a t-test, we </w:t>
      </w:r>
      <w:proofErr w:type="gramStart"/>
      <w:r w:rsidR="006717FC">
        <w:rPr>
          <w:rFonts w:ascii="Times New Roman" w:eastAsia="Times New Roman" w:hAnsi="Times New Roman" w:cs="Times New Roman"/>
          <w:sz w:val="24"/>
          <w:szCs w:val="24"/>
        </w:rPr>
        <w:t>take into account</w:t>
      </w:r>
      <w:proofErr w:type="gramEnd"/>
      <w:r w:rsidR="006717FC">
        <w:rPr>
          <w:rFonts w:ascii="Times New Roman" w:eastAsia="Times New Roman" w:hAnsi="Times New Roman" w:cs="Times New Roman"/>
          <w:sz w:val="24"/>
          <w:szCs w:val="24"/>
        </w:rPr>
        <w:t xml:space="preserve"> the t-statistic, the t-</w:t>
      </w:r>
      <w:r w:rsidR="006717FC">
        <w:rPr>
          <w:rFonts w:ascii="Times New Roman" w:eastAsia="Times New Roman" w:hAnsi="Times New Roman" w:cs="Times New Roman"/>
          <w:sz w:val="24"/>
          <w:szCs w:val="24"/>
        </w:rPr>
        <w:t>distribution values, and the degrees of freedom. An analysis of variance must be used when there are three or more means in a test.</w:t>
      </w:r>
    </w:p>
    <w:p w14:paraId="00000003" w14:textId="0B7A1409" w:rsidR="00491862" w:rsidRDefault="006717FC">
      <w:pPr>
        <w:shd w:val="clear" w:color="auto" w:fill="FFFFFF"/>
        <w:spacing w:after="42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interpretation of </w:t>
      </w:r>
      <w:r>
        <w:rPr>
          <w:rFonts w:ascii="Times New Roman" w:eastAsia="Times New Roman" w:hAnsi="Times New Roman" w:cs="Times New Roman"/>
          <w:sz w:val="24"/>
          <w:szCs w:val="24"/>
        </w:rPr>
        <w:t xml:space="preserve">observation is </w:t>
      </w:r>
      <w:r w:rsidR="005154BE">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 hypothesis (plural hypothesis). Definitions vary according to the subject. Hypothe</w:t>
      </w:r>
      <w:r>
        <w:rPr>
          <w:rFonts w:ascii="Times New Roman" w:eastAsia="Times New Roman" w:hAnsi="Times New Roman" w:cs="Times New Roman"/>
          <w:sz w:val="24"/>
          <w:szCs w:val="24"/>
        </w:rPr>
        <w:t xml:space="preserve">ses are an important component of scientific research. Experimentally tested predictions or explanations are hypotheses or explanations supported by data. A scientific hypothesis may be rejected by observations and experiments, but it can never be proved. </w:t>
      </w:r>
      <w:r>
        <w:rPr>
          <w:rFonts w:ascii="Times New Roman" w:eastAsia="Times New Roman" w:hAnsi="Times New Roman" w:cs="Times New Roman"/>
          <w:sz w:val="24"/>
          <w:szCs w:val="24"/>
        </w:rPr>
        <w:t xml:space="preserve">Logicians define a hypothesis as an if-then statement, typically written as "If X, then Y.". </w:t>
      </w:r>
      <w:r w:rsidR="005154BE">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 hypothesis, by definition, is simply a proposed explanation or prediction.</w:t>
      </w:r>
    </w:p>
    <w:p w14:paraId="00000004" w14:textId="16306F79" w:rsidR="00491862" w:rsidRDefault="005154BE">
      <w:pPr>
        <w:pStyle w:val="Heading1"/>
        <w:spacing w:line="240" w:lineRule="auto"/>
        <w:jc w:val="center"/>
        <w:rPr>
          <w:rFonts w:ascii="Times New Roman" w:eastAsia="Times New Roman" w:hAnsi="Times New Roman" w:cs="Times New Roman"/>
        </w:rPr>
      </w:pPr>
      <w:bookmarkStart w:id="1" w:name="_ayjs8ltcjrqd" w:colFirst="0" w:colLast="0"/>
      <w:bookmarkEnd w:id="1"/>
      <w:r>
        <w:rPr>
          <w:rFonts w:ascii="Times New Roman" w:eastAsia="Times New Roman" w:hAnsi="Times New Roman" w:cs="Times New Roman"/>
        </w:rPr>
        <w:t>A null</w:t>
      </w:r>
      <w:r w:rsidR="006717FC">
        <w:rPr>
          <w:rFonts w:ascii="Times New Roman" w:eastAsia="Times New Roman" w:hAnsi="Times New Roman" w:cs="Times New Roman"/>
        </w:rPr>
        <w:t xml:space="preserve"> and alternative hypothesis</w:t>
      </w:r>
    </w:p>
    <w:p w14:paraId="00000005" w14:textId="77777777" w:rsidR="00491862" w:rsidRDefault="00491862">
      <w:pPr>
        <w:spacing w:line="240" w:lineRule="auto"/>
        <w:jc w:val="both"/>
        <w:rPr>
          <w:rFonts w:ascii="Times New Roman" w:eastAsia="Times New Roman" w:hAnsi="Times New Roman" w:cs="Times New Roman"/>
          <w:b/>
          <w:sz w:val="24"/>
          <w:szCs w:val="24"/>
        </w:rPr>
      </w:pPr>
    </w:p>
    <w:p w14:paraId="00000006" w14:textId="0D0B851C" w:rsidR="00491862" w:rsidRDefault="006717FC">
      <w:pPr>
        <w:spacing w:line="360" w:lineRule="auto"/>
        <w:ind w:firstLine="720"/>
        <w:jc w:val="both"/>
        <w:rPr>
          <w:rFonts w:ascii="Times New Roman" w:eastAsia="Times New Roman" w:hAnsi="Times New Roman" w:cs="Times New Roman"/>
          <w:sz w:val="24"/>
          <w:szCs w:val="24"/>
        </w:rPr>
        <w:sectPr w:rsidR="00491862">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20" w:footer="720" w:gutter="0"/>
          <w:pgNumType w:start="1"/>
          <w:cols w:space="720"/>
        </w:sectPr>
      </w:pPr>
      <w:r>
        <w:rPr>
          <w:rFonts w:ascii="Times New Roman" w:eastAsia="Times New Roman" w:hAnsi="Times New Roman" w:cs="Times New Roman"/>
          <w:sz w:val="24"/>
          <w:szCs w:val="24"/>
        </w:rPr>
        <w:t>Statistics show that it is easier to establish the absence of a correlation between two variables than to establish the existence of a connection. In this context, scientists often formulate the null hypothesis (H0). According to the null hypothesis, chang</w:t>
      </w:r>
      <w:r>
        <w:rPr>
          <w:rFonts w:ascii="Times New Roman" w:eastAsia="Times New Roman" w:hAnsi="Times New Roman" w:cs="Times New Roman"/>
          <w:sz w:val="24"/>
          <w:szCs w:val="24"/>
        </w:rPr>
        <w:t xml:space="preserve">es in the independent variable </w:t>
      </w:r>
      <w:r w:rsidR="005154BE">
        <w:rPr>
          <w:rFonts w:ascii="Times New Roman" w:eastAsia="Times New Roman" w:hAnsi="Times New Roman" w:cs="Times New Roman"/>
          <w:sz w:val="24"/>
          <w:szCs w:val="24"/>
        </w:rPr>
        <w:t>do not affect</w:t>
      </w:r>
      <w:r>
        <w:rPr>
          <w:rFonts w:ascii="Times New Roman" w:eastAsia="Times New Roman" w:hAnsi="Times New Roman" w:cs="Times New Roman"/>
          <w:sz w:val="24"/>
          <w:szCs w:val="24"/>
        </w:rPr>
        <w:t xml:space="preserve"> the dependent variable. As opposed to this, changing the independent variable will affect the dependent variable. The design of an experiment </w:t>
      </w:r>
      <w:r w:rsidR="005154BE">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test this hypothesis can be more challenging given th</w:t>
      </w:r>
      <w:r>
        <w:rPr>
          <w:rFonts w:ascii="Times New Roman" w:eastAsia="Times New Roman" w:hAnsi="Times New Roman" w:cs="Times New Roman"/>
          <w:sz w:val="24"/>
          <w:szCs w:val="24"/>
        </w:rPr>
        <w:t>e opportunity for alternative hypotheses (H1) to be presented. Let's take the case of a possible relation between sleep and grades.</w:t>
      </w:r>
    </w:p>
    <w:p w14:paraId="00000007" w14:textId="6B809B9D" w:rsidR="00491862" w:rsidRDefault="006717F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null hypothesis could be stated as follows: "The number of hours of sleep students </w:t>
      </w:r>
      <w:r w:rsidR="005154BE">
        <w:rPr>
          <w:rFonts w:ascii="Times New Roman" w:eastAsia="Times New Roman" w:hAnsi="Times New Roman" w:cs="Times New Roman"/>
          <w:sz w:val="24"/>
          <w:szCs w:val="24"/>
        </w:rPr>
        <w:t>receives</w:t>
      </w:r>
      <w:r>
        <w:rPr>
          <w:rFonts w:ascii="Times New Roman" w:eastAsia="Times New Roman" w:hAnsi="Times New Roman" w:cs="Times New Roman"/>
          <w:sz w:val="24"/>
          <w:szCs w:val="24"/>
        </w:rPr>
        <w:t xml:space="preserve"> is not related to their grades" or "There is no correlation between sleep hours and grades." Data collection and </w:t>
      </w:r>
      <w:proofErr w:type="spellStart"/>
      <w:r>
        <w:rPr>
          <w:rFonts w:ascii="Times New Roman" w:eastAsia="Times New Roman" w:hAnsi="Times New Roman" w:cs="Times New Roman"/>
          <w:sz w:val="24"/>
          <w:szCs w:val="24"/>
        </w:rPr>
        <w:t>analyzing</w:t>
      </w:r>
      <w:proofErr w:type="spellEnd"/>
      <w:r>
        <w:rPr>
          <w:rFonts w:ascii="Times New Roman" w:eastAsia="Times New Roman" w:hAnsi="Times New Roman" w:cs="Times New Roman"/>
          <w:sz w:val="24"/>
          <w:szCs w:val="24"/>
        </w:rPr>
        <w:t xml:space="preserve"> the results could be performed to test</w:t>
      </w:r>
      <w:r>
        <w:rPr>
          <w:rFonts w:ascii="Times New Roman" w:eastAsia="Times New Roman" w:hAnsi="Times New Roman" w:cs="Times New Roman"/>
          <w:sz w:val="24"/>
          <w:szCs w:val="24"/>
        </w:rPr>
        <w:t xml:space="preserve"> this hypothesis.</w:t>
      </w:r>
    </w:p>
    <w:p w14:paraId="00000008" w14:textId="3FDEC90D" w:rsidR="00491862" w:rsidRDefault="006717F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hypothesis could be invalidated if students who have eight hours of sleep perform better than students who have four hours of sleep or 10 hours of sleep. However, testing the alternative hypothesis can prove more difficult. According </w:t>
      </w:r>
      <w:r>
        <w:rPr>
          <w:rFonts w:ascii="Times New Roman" w:eastAsia="Times New Roman" w:hAnsi="Times New Roman" w:cs="Times New Roman"/>
          <w:sz w:val="24"/>
          <w:szCs w:val="24"/>
        </w:rPr>
        <w:t>to this hypothesis, students who sleep for at least nine hours have better grades than those who sleep less or more. The hypothesis can also be described as "If you sleep more, your grades will improve" or "Students who sleep nine hours have higher grades.</w:t>
      </w:r>
      <w:r>
        <w:rPr>
          <w:rFonts w:ascii="Times New Roman" w:eastAsia="Times New Roman" w:hAnsi="Times New Roman" w:cs="Times New Roman"/>
          <w:sz w:val="24"/>
          <w:szCs w:val="24"/>
        </w:rPr>
        <w:t xml:space="preserve">" In an experiment, you can collect the same data, but </w:t>
      </w:r>
      <w:r w:rsidR="005154BE">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statistical analysis is less likely to give you a high confidence limit. The null hypothesis is usually the first step taken by a scientist. To further narrow the relationship between variables, an alt</w:t>
      </w:r>
      <w:r>
        <w:rPr>
          <w:rFonts w:ascii="Times New Roman" w:eastAsia="Times New Roman" w:hAnsi="Times New Roman" w:cs="Times New Roman"/>
          <w:sz w:val="24"/>
          <w:szCs w:val="24"/>
        </w:rPr>
        <w:t>ernative hypothesis may be proposed and tested from there.</w:t>
      </w:r>
    </w:p>
    <w:p w14:paraId="00000009" w14:textId="3812DEE2" w:rsidR="00491862" w:rsidRDefault="006717F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the current objective of the analysis, the relevant hypothesis </w:t>
      </w:r>
      <w:r w:rsidR="005154BE">
        <w:rPr>
          <w:rFonts w:ascii="Times New Roman" w:eastAsia="Times New Roman" w:hAnsi="Times New Roman" w:cs="Times New Roman"/>
          <w:sz w:val="24"/>
          <w:szCs w:val="24"/>
        </w:rPr>
        <w:t>is</w:t>
      </w:r>
      <w:r>
        <w:rPr>
          <w:rFonts w:ascii="Times New Roman" w:eastAsia="Times New Roman" w:hAnsi="Times New Roman" w:cs="Times New Roman"/>
          <w:sz w:val="24"/>
          <w:szCs w:val="24"/>
        </w:rPr>
        <w:t>:</w:t>
      </w:r>
    </w:p>
    <w:p w14:paraId="0000000A" w14:textId="77777777" w:rsidR="00491862" w:rsidRDefault="006717FC">
      <w:pPr>
        <w:spacing w:line="360" w:lineRule="auto"/>
        <w:ind w:firstLine="720"/>
        <w:jc w:val="both"/>
        <w:rPr>
          <w:rFonts w:ascii="Ubuntu Mono" w:eastAsia="Ubuntu Mono" w:hAnsi="Ubuntu Mono" w:cs="Ubuntu Mono"/>
          <w:sz w:val="24"/>
          <w:szCs w:val="24"/>
        </w:rPr>
      </w:pPr>
      <w:r>
        <w:rPr>
          <w:rFonts w:ascii="Ubuntu Mono" w:eastAsia="Ubuntu Mono" w:hAnsi="Ubuntu Mono" w:cs="Ubuntu Mono"/>
          <w:sz w:val="24"/>
          <w:szCs w:val="24"/>
        </w:rPr>
        <w:t>H0 (null): There is no statistically significant difference between the mean of the ages of the white patients, compared to B</w:t>
      </w:r>
      <w:r>
        <w:rPr>
          <w:rFonts w:ascii="Ubuntu Mono" w:eastAsia="Ubuntu Mono" w:hAnsi="Ubuntu Mono" w:cs="Ubuntu Mono"/>
          <w:sz w:val="24"/>
          <w:szCs w:val="24"/>
        </w:rPr>
        <w:t>AME patients.</w:t>
      </w:r>
    </w:p>
    <w:p w14:paraId="0000000B" w14:textId="77777777" w:rsidR="00491862" w:rsidRDefault="006717FC">
      <w:pPr>
        <w:spacing w:line="360" w:lineRule="auto"/>
        <w:ind w:firstLine="720"/>
        <w:jc w:val="both"/>
        <w:rPr>
          <w:rFonts w:ascii="Ubuntu Mono" w:eastAsia="Ubuntu Mono" w:hAnsi="Ubuntu Mono" w:cs="Ubuntu Mono"/>
          <w:sz w:val="24"/>
          <w:szCs w:val="24"/>
        </w:rPr>
      </w:pPr>
      <w:r>
        <w:rPr>
          <w:rFonts w:ascii="Ubuntu Mono" w:eastAsia="Ubuntu Mono" w:hAnsi="Ubuntu Mono" w:cs="Ubuntu Mono"/>
          <w:sz w:val="24"/>
          <w:szCs w:val="24"/>
        </w:rPr>
        <w:t>H1 (alternative): There is a statistically significant difference between the mean age of the white patient group, compared to the BAME patient group.</w:t>
      </w:r>
    </w:p>
    <w:p w14:paraId="0000000C" w14:textId="77777777" w:rsidR="00491862" w:rsidRDefault="006717FC">
      <w:pPr>
        <w:pStyle w:val="Heading1"/>
        <w:spacing w:line="360" w:lineRule="auto"/>
        <w:jc w:val="center"/>
        <w:rPr>
          <w:rFonts w:ascii="Times New Roman" w:eastAsia="Times New Roman" w:hAnsi="Times New Roman" w:cs="Times New Roman"/>
        </w:rPr>
      </w:pPr>
      <w:bookmarkStart w:id="2" w:name="_vu6tqmju6mye" w:colFirst="0" w:colLast="0"/>
      <w:bookmarkEnd w:id="2"/>
      <w:r>
        <w:rPr>
          <w:rFonts w:ascii="Times New Roman" w:eastAsia="Times New Roman" w:hAnsi="Times New Roman" w:cs="Times New Roman"/>
        </w:rPr>
        <w:t>Testing the hypotheses</w:t>
      </w:r>
    </w:p>
    <w:p w14:paraId="0000000D" w14:textId="1F227F7D" w:rsidR="00491862" w:rsidRDefault="006717FC">
      <w:pPr>
        <w:spacing w:line="360" w:lineRule="auto"/>
        <w:jc w:val="both"/>
        <w:rPr>
          <w:rFonts w:ascii="Times New Roman" w:eastAsia="Times New Roman" w:hAnsi="Times New Roman" w:cs="Times New Roman"/>
          <w:sz w:val="24"/>
          <w:szCs w:val="24"/>
        </w:rPr>
      </w:pPr>
      <w:r>
        <w:tab/>
      </w:r>
      <w:r>
        <w:rPr>
          <w:rFonts w:ascii="Times New Roman" w:eastAsia="Times New Roman" w:hAnsi="Times New Roman" w:cs="Times New Roman"/>
          <w:sz w:val="24"/>
          <w:szCs w:val="24"/>
        </w:rPr>
        <w:t>Statistical operations were done using R version 4.0.5 (platform Wi</w:t>
      </w:r>
      <w:r>
        <w:rPr>
          <w:rFonts w:ascii="Times New Roman" w:eastAsia="Times New Roman" w:hAnsi="Times New Roman" w:cs="Times New Roman"/>
          <w:sz w:val="24"/>
          <w:szCs w:val="24"/>
        </w:rPr>
        <w:t>ndows x86_64-w64-mingw</w:t>
      </w:r>
      <w:proofErr w:type="gramStart"/>
      <w:r>
        <w:rPr>
          <w:rFonts w:ascii="Times New Roman" w:eastAsia="Times New Roman" w:hAnsi="Times New Roman" w:cs="Times New Roman"/>
          <w:sz w:val="24"/>
          <w:szCs w:val="24"/>
        </w:rPr>
        <w:t>32)*</w:t>
      </w:r>
      <w:proofErr w:type="gramEnd"/>
      <w:r>
        <w:rPr>
          <w:rFonts w:ascii="Times New Roman" w:eastAsia="Times New Roman" w:hAnsi="Times New Roman" w:cs="Times New Roman"/>
          <w:sz w:val="24"/>
          <w:szCs w:val="24"/>
        </w:rPr>
        <w:t xml:space="preserve"> and RStudio* for Windows 10. We used the function </w:t>
      </w:r>
      <w:proofErr w:type="spellStart"/>
      <w:r>
        <w:rPr>
          <w:rFonts w:ascii="Times New Roman" w:eastAsia="Times New Roman" w:hAnsi="Times New Roman" w:cs="Times New Roman"/>
          <w:sz w:val="24"/>
          <w:szCs w:val="24"/>
        </w:rPr>
        <w:t>t.test</w:t>
      </w:r>
      <w:proofErr w:type="spellEnd"/>
      <w:r>
        <w:rPr>
          <w:rFonts w:ascii="Times New Roman" w:eastAsia="Times New Roman" w:hAnsi="Times New Roman" w:cs="Times New Roman"/>
          <w:sz w:val="24"/>
          <w:szCs w:val="24"/>
        </w:rPr>
        <w:t xml:space="preserve"> to compute the p-value for a two-sample, two-tailed, non-paired Welch Two Sample t-test. The mean age of the white </w:t>
      </w:r>
      <w:r w:rsidR="005154BE">
        <w:rPr>
          <w:rFonts w:ascii="Times New Roman" w:eastAsia="Times New Roman" w:hAnsi="Times New Roman" w:cs="Times New Roman"/>
          <w:sz w:val="24"/>
          <w:szCs w:val="24"/>
        </w:rPr>
        <w:t>patient's</w:t>
      </w:r>
      <w:r>
        <w:rPr>
          <w:rFonts w:ascii="Times New Roman" w:eastAsia="Times New Roman" w:hAnsi="Times New Roman" w:cs="Times New Roman"/>
          <w:sz w:val="24"/>
          <w:szCs w:val="24"/>
        </w:rPr>
        <w:t xml:space="preserve"> group was 36.58 and for the BAME group was 60.04</w:t>
      </w:r>
      <w:r>
        <w:rPr>
          <w:rFonts w:ascii="Times New Roman" w:eastAsia="Times New Roman" w:hAnsi="Times New Roman" w:cs="Times New Roman"/>
          <w:sz w:val="24"/>
          <w:szCs w:val="24"/>
        </w:rPr>
        <w:t xml:space="preserve">. The computed difference was 23.46, </w:t>
      </w:r>
      <w:r w:rsidR="005154BE">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computed ratio was 0.61 (on average, people in the BAME group are 1.64 times older than white patients) and </w:t>
      </w:r>
      <w:r w:rsidR="005154BE">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p-value was equal to 1.96*10^-8. In Table 1, we show the confidence interval for each of the requested confiden</w:t>
      </w:r>
      <w:r>
        <w:rPr>
          <w:rFonts w:ascii="Times New Roman" w:eastAsia="Times New Roman" w:hAnsi="Times New Roman" w:cs="Times New Roman"/>
          <w:sz w:val="24"/>
          <w:szCs w:val="24"/>
        </w:rPr>
        <w:t xml:space="preserve">ce levels and p-values. Given the fact that none of the confidence intervals contain 0, we established that the difference between the mean of the ages of the groups is statistically </w:t>
      </w:r>
      <w:proofErr w:type="gramStart"/>
      <w:r>
        <w:rPr>
          <w:rFonts w:ascii="Times New Roman" w:eastAsia="Times New Roman" w:hAnsi="Times New Roman" w:cs="Times New Roman"/>
          <w:sz w:val="24"/>
          <w:szCs w:val="24"/>
        </w:rPr>
        <w:t>significant, and</w:t>
      </w:r>
      <w:proofErr w:type="gramEnd"/>
      <w:r>
        <w:rPr>
          <w:rFonts w:ascii="Times New Roman" w:eastAsia="Times New Roman" w:hAnsi="Times New Roman" w:cs="Times New Roman"/>
          <w:sz w:val="24"/>
          <w:szCs w:val="24"/>
        </w:rPr>
        <w:t xml:space="preserve"> holds </w:t>
      </w:r>
      <w:r>
        <w:rPr>
          <w:rFonts w:ascii="Times New Roman" w:eastAsia="Times New Roman" w:hAnsi="Times New Roman" w:cs="Times New Roman"/>
          <w:sz w:val="24"/>
          <w:szCs w:val="24"/>
        </w:rPr>
        <w:t>for the populations from which the groups wer</w:t>
      </w:r>
      <w:r>
        <w:rPr>
          <w:rFonts w:ascii="Times New Roman" w:eastAsia="Times New Roman" w:hAnsi="Times New Roman" w:cs="Times New Roman"/>
          <w:sz w:val="24"/>
          <w:szCs w:val="24"/>
        </w:rPr>
        <w:t>e sampled.</w:t>
      </w:r>
    </w:p>
    <w:p w14:paraId="0000000E" w14:textId="77777777" w:rsidR="00491862" w:rsidRDefault="00491862">
      <w:pPr>
        <w:jc w:val="both"/>
      </w:pPr>
    </w:p>
    <w:tbl>
      <w:tblPr>
        <w:tblStyle w:val="a"/>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6"/>
        <w:gridCol w:w="1805"/>
        <w:gridCol w:w="1805"/>
        <w:gridCol w:w="1805"/>
        <w:gridCol w:w="1805"/>
      </w:tblGrid>
      <w:tr w:rsidR="00491862" w14:paraId="6129372B" w14:textId="77777777">
        <w:tc>
          <w:tcPr>
            <w:tcW w:w="1805" w:type="dxa"/>
            <w:shd w:val="clear" w:color="auto" w:fill="auto"/>
            <w:tcMar>
              <w:top w:w="100" w:type="dxa"/>
              <w:left w:w="100" w:type="dxa"/>
              <w:bottom w:w="100" w:type="dxa"/>
              <w:right w:w="100" w:type="dxa"/>
            </w:tcMar>
          </w:tcPr>
          <w:p w14:paraId="0000000F" w14:textId="77777777" w:rsidR="00491862" w:rsidRDefault="006717FC">
            <w:pPr>
              <w:widowControl w:val="0"/>
              <w:pBdr>
                <w:top w:val="nil"/>
                <w:left w:val="nil"/>
                <w:bottom w:val="nil"/>
                <w:right w:val="nil"/>
                <w:between w:val="nil"/>
              </w:pBdr>
              <w:spacing w:line="240" w:lineRule="auto"/>
              <w:jc w:val="both"/>
            </w:pPr>
            <w:r>
              <w:t>Significance level (alpha)</w:t>
            </w:r>
          </w:p>
        </w:tc>
        <w:tc>
          <w:tcPr>
            <w:tcW w:w="1805" w:type="dxa"/>
            <w:shd w:val="clear" w:color="auto" w:fill="auto"/>
            <w:tcMar>
              <w:top w:w="100" w:type="dxa"/>
              <w:left w:w="100" w:type="dxa"/>
              <w:bottom w:w="100" w:type="dxa"/>
              <w:right w:w="100" w:type="dxa"/>
            </w:tcMar>
          </w:tcPr>
          <w:p w14:paraId="00000010" w14:textId="77777777" w:rsidR="00491862" w:rsidRDefault="006717FC">
            <w:pPr>
              <w:widowControl w:val="0"/>
              <w:pBdr>
                <w:top w:val="nil"/>
                <w:left w:val="nil"/>
                <w:bottom w:val="nil"/>
                <w:right w:val="nil"/>
                <w:between w:val="nil"/>
              </w:pBdr>
              <w:spacing w:line="240" w:lineRule="auto"/>
              <w:jc w:val="both"/>
            </w:pPr>
            <w:r>
              <w:t>Confidence level (1-p)</w:t>
            </w:r>
          </w:p>
        </w:tc>
        <w:tc>
          <w:tcPr>
            <w:tcW w:w="1805" w:type="dxa"/>
            <w:shd w:val="clear" w:color="auto" w:fill="auto"/>
            <w:tcMar>
              <w:top w:w="100" w:type="dxa"/>
              <w:left w:w="100" w:type="dxa"/>
              <w:bottom w:w="100" w:type="dxa"/>
              <w:right w:w="100" w:type="dxa"/>
            </w:tcMar>
          </w:tcPr>
          <w:p w14:paraId="00000011" w14:textId="77777777" w:rsidR="00491862" w:rsidRDefault="006717FC">
            <w:pPr>
              <w:widowControl w:val="0"/>
              <w:pBdr>
                <w:top w:val="nil"/>
                <w:left w:val="nil"/>
                <w:bottom w:val="nil"/>
                <w:right w:val="nil"/>
                <w:between w:val="nil"/>
              </w:pBdr>
              <w:spacing w:line="240" w:lineRule="auto"/>
              <w:jc w:val="both"/>
            </w:pPr>
            <w:r>
              <w:t>Confidence interval (C.I.)</w:t>
            </w:r>
          </w:p>
        </w:tc>
        <w:tc>
          <w:tcPr>
            <w:tcW w:w="1805" w:type="dxa"/>
            <w:shd w:val="clear" w:color="auto" w:fill="auto"/>
            <w:tcMar>
              <w:top w:w="100" w:type="dxa"/>
              <w:left w:w="100" w:type="dxa"/>
              <w:bottom w:w="100" w:type="dxa"/>
              <w:right w:w="100" w:type="dxa"/>
            </w:tcMar>
          </w:tcPr>
          <w:p w14:paraId="00000012" w14:textId="77777777" w:rsidR="00491862" w:rsidRDefault="00491862">
            <w:pPr>
              <w:widowControl w:val="0"/>
              <w:pBdr>
                <w:top w:val="nil"/>
                <w:left w:val="nil"/>
                <w:bottom w:val="nil"/>
                <w:right w:val="nil"/>
                <w:between w:val="nil"/>
              </w:pBdr>
              <w:spacing w:line="240" w:lineRule="auto"/>
              <w:jc w:val="both"/>
            </w:pPr>
          </w:p>
        </w:tc>
        <w:tc>
          <w:tcPr>
            <w:tcW w:w="1805" w:type="dxa"/>
            <w:shd w:val="clear" w:color="auto" w:fill="auto"/>
            <w:tcMar>
              <w:top w:w="100" w:type="dxa"/>
              <w:left w:w="100" w:type="dxa"/>
              <w:bottom w:w="100" w:type="dxa"/>
              <w:right w:w="100" w:type="dxa"/>
            </w:tcMar>
          </w:tcPr>
          <w:p w14:paraId="00000013" w14:textId="77777777" w:rsidR="00491862" w:rsidRDefault="006717FC">
            <w:pPr>
              <w:widowControl w:val="0"/>
              <w:pBdr>
                <w:top w:val="nil"/>
                <w:left w:val="nil"/>
                <w:bottom w:val="nil"/>
                <w:right w:val="nil"/>
                <w:between w:val="nil"/>
              </w:pBdr>
              <w:spacing w:line="240" w:lineRule="auto"/>
              <w:jc w:val="both"/>
            </w:pPr>
            <w:r>
              <w:t>Is 0 in the C.I.?</w:t>
            </w:r>
          </w:p>
        </w:tc>
      </w:tr>
      <w:tr w:rsidR="00491862" w14:paraId="05364F9B" w14:textId="77777777">
        <w:tc>
          <w:tcPr>
            <w:tcW w:w="1805" w:type="dxa"/>
            <w:shd w:val="clear" w:color="auto" w:fill="auto"/>
            <w:tcMar>
              <w:top w:w="100" w:type="dxa"/>
              <w:left w:w="100" w:type="dxa"/>
              <w:bottom w:w="100" w:type="dxa"/>
              <w:right w:w="100" w:type="dxa"/>
            </w:tcMar>
          </w:tcPr>
          <w:p w14:paraId="00000014" w14:textId="77777777" w:rsidR="00491862" w:rsidRDefault="00491862">
            <w:pPr>
              <w:widowControl w:val="0"/>
              <w:pBdr>
                <w:top w:val="nil"/>
                <w:left w:val="nil"/>
                <w:bottom w:val="nil"/>
                <w:right w:val="nil"/>
                <w:between w:val="nil"/>
              </w:pBdr>
              <w:spacing w:line="240" w:lineRule="auto"/>
              <w:jc w:val="both"/>
            </w:pPr>
          </w:p>
        </w:tc>
        <w:tc>
          <w:tcPr>
            <w:tcW w:w="1805" w:type="dxa"/>
            <w:shd w:val="clear" w:color="auto" w:fill="auto"/>
            <w:tcMar>
              <w:top w:w="100" w:type="dxa"/>
              <w:left w:w="100" w:type="dxa"/>
              <w:bottom w:w="100" w:type="dxa"/>
              <w:right w:w="100" w:type="dxa"/>
            </w:tcMar>
          </w:tcPr>
          <w:p w14:paraId="00000015" w14:textId="77777777" w:rsidR="00491862" w:rsidRDefault="00491862">
            <w:pPr>
              <w:widowControl w:val="0"/>
              <w:pBdr>
                <w:top w:val="nil"/>
                <w:left w:val="nil"/>
                <w:bottom w:val="nil"/>
                <w:right w:val="nil"/>
                <w:between w:val="nil"/>
              </w:pBdr>
              <w:spacing w:line="240" w:lineRule="auto"/>
              <w:jc w:val="both"/>
            </w:pPr>
          </w:p>
        </w:tc>
        <w:tc>
          <w:tcPr>
            <w:tcW w:w="1805" w:type="dxa"/>
            <w:shd w:val="clear" w:color="auto" w:fill="auto"/>
            <w:tcMar>
              <w:top w:w="100" w:type="dxa"/>
              <w:left w:w="100" w:type="dxa"/>
              <w:bottom w:w="100" w:type="dxa"/>
              <w:right w:w="100" w:type="dxa"/>
            </w:tcMar>
          </w:tcPr>
          <w:p w14:paraId="00000016" w14:textId="77777777" w:rsidR="00491862" w:rsidRDefault="006717FC">
            <w:pPr>
              <w:widowControl w:val="0"/>
              <w:pBdr>
                <w:top w:val="nil"/>
                <w:left w:val="nil"/>
                <w:bottom w:val="nil"/>
                <w:right w:val="nil"/>
                <w:between w:val="nil"/>
              </w:pBdr>
              <w:spacing w:line="240" w:lineRule="auto"/>
              <w:jc w:val="both"/>
            </w:pPr>
            <w:r>
              <w:t>Lower boundary</w:t>
            </w:r>
          </w:p>
        </w:tc>
        <w:tc>
          <w:tcPr>
            <w:tcW w:w="1805" w:type="dxa"/>
            <w:shd w:val="clear" w:color="auto" w:fill="auto"/>
            <w:tcMar>
              <w:top w:w="100" w:type="dxa"/>
              <w:left w:w="100" w:type="dxa"/>
              <w:bottom w:w="100" w:type="dxa"/>
              <w:right w:w="100" w:type="dxa"/>
            </w:tcMar>
          </w:tcPr>
          <w:p w14:paraId="00000017" w14:textId="77777777" w:rsidR="00491862" w:rsidRDefault="006717FC">
            <w:pPr>
              <w:widowControl w:val="0"/>
              <w:pBdr>
                <w:top w:val="nil"/>
                <w:left w:val="nil"/>
                <w:bottom w:val="nil"/>
                <w:right w:val="nil"/>
                <w:between w:val="nil"/>
              </w:pBdr>
              <w:spacing w:line="240" w:lineRule="auto"/>
              <w:jc w:val="both"/>
            </w:pPr>
            <w:r>
              <w:t>Upper boundary</w:t>
            </w:r>
          </w:p>
        </w:tc>
        <w:tc>
          <w:tcPr>
            <w:tcW w:w="1805" w:type="dxa"/>
            <w:shd w:val="clear" w:color="auto" w:fill="auto"/>
            <w:tcMar>
              <w:top w:w="100" w:type="dxa"/>
              <w:left w:w="100" w:type="dxa"/>
              <w:bottom w:w="100" w:type="dxa"/>
              <w:right w:w="100" w:type="dxa"/>
            </w:tcMar>
          </w:tcPr>
          <w:p w14:paraId="00000018" w14:textId="77777777" w:rsidR="00491862" w:rsidRDefault="00491862">
            <w:pPr>
              <w:widowControl w:val="0"/>
              <w:pBdr>
                <w:top w:val="nil"/>
                <w:left w:val="nil"/>
                <w:bottom w:val="nil"/>
                <w:right w:val="nil"/>
                <w:between w:val="nil"/>
              </w:pBdr>
              <w:spacing w:line="240" w:lineRule="auto"/>
              <w:jc w:val="both"/>
            </w:pPr>
          </w:p>
        </w:tc>
      </w:tr>
      <w:tr w:rsidR="00491862" w14:paraId="0F989EC4" w14:textId="77777777">
        <w:tc>
          <w:tcPr>
            <w:tcW w:w="1805" w:type="dxa"/>
            <w:shd w:val="clear" w:color="auto" w:fill="auto"/>
            <w:tcMar>
              <w:top w:w="100" w:type="dxa"/>
              <w:left w:w="100" w:type="dxa"/>
              <w:bottom w:w="100" w:type="dxa"/>
              <w:right w:w="100" w:type="dxa"/>
            </w:tcMar>
          </w:tcPr>
          <w:p w14:paraId="00000019" w14:textId="77777777" w:rsidR="00491862" w:rsidRDefault="006717FC">
            <w:pPr>
              <w:widowControl w:val="0"/>
              <w:pBdr>
                <w:top w:val="nil"/>
                <w:left w:val="nil"/>
                <w:bottom w:val="nil"/>
                <w:right w:val="nil"/>
                <w:between w:val="nil"/>
              </w:pBdr>
              <w:spacing w:line="240" w:lineRule="auto"/>
              <w:jc w:val="both"/>
            </w:pPr>
            <w:r>
              <w:t>0.01</w:t>
            </w:r>
          </w:p>
        </w:tc>
        <w:tc>
          <w:tcPr>
            <w:tcW w:w="1805" w:type="dxa"/>
            <w:shd w:val="clear" w:color="auto" w:fill="auto"/>
            <w:tcMar>
              <w:top w:w="100" w:type="dxa"/>
              <w:left w:w="100" w:type="dxa"/>
              <w:bottom w:w="100" w:type="dxa"/>
              <w:right w:w="100" w:type="dxa"/>
            </w:tcMar>
          </w:tcPr>
          <w:p w14:paraId="0000001A" w14:textId="77777777" w:rsidR="00491862" w:rsidRDefault="006717FC">
            <w:pPr>
              <w:widowControl w:val="0"/>
              <w:pBdr>
                <w:top w:val="nil"/>
                <w:left w:val="nil"/>
                <w:bottom w:val="nil"/>
                <w:right w:val="nil"/>
                <w:between w:val="nil"/>
              </w:pBdr>
              <w:spacing w:line="240" w:lineRule="auto"/>
              <w:jc w:val="both"/>
            </w:pPr>
            <w:r>
              <w:t>0.99</w:t>
            </w:r>
          </w:p>
        </w:tc>
        <w:tc>
          <w:tcPr>
            <w:tcW w:w="1805" w:type="dxa"/>
            <w:shd w:val="clear" w:color="auto" w:fill="auto"/>
            <w:tcMar>
              <w:top w:w="100" w:type="dxa"/>
              <w:left w:w="100" w:type="dxa"/>
              <w:bottom w:w="100" w:type="dxa"/>
              <w:right w:w="100" w:type="dxa"/>
            </w:tcMar>
          </w:tcPr>
          <w:p w14:paraId="0000001B" w14:textId="77777777" w:rsidR="00491862" w:rsidRDefault="006717FC">
            <w:pPr>
              <w:widowControl w:val="0"/>
              <w:pBdr>
                <w:top w:val="nil"/>
                <w:left w:val="nil"/>
                <w:bottom w:val="nil"/>
                <w:right w:val="nil"/>
                <w:between w:val="nil"/>
              </w:pBdr>
              <w:spacing w:line="240" w:lineRule="auto"/>
              <w:jc w:val="both"/>
            </w:pPr>
            <w:r>
              <w:t>-33.29</w:t>
            </w:r>
          </w:p>
        </w:tc>
        <w:tc>
          <w:tcPr>
            <w:tcW w:w="1805" w:type="dxa"/>
            <w:shd w:val="clear" w:color="auto" w:fill="auto"/>
            <w:tcMar>
              <w:top w:w="100" w:type="dxa"/>
              <w:left w:w="100" w:type="dxa"/>
              <w:bottom w:w="100" w:type="dxa"/>
              <w:right w:w="100" w:type="dxa"/>
            </w:tcMar>
          </w:tcPr>
          <w:p w14:paraId="0000001C" w14:textId="77777777" w:rsidR="00491862" w:rsidRDefault="006717FC">
            <w:pPr>
              <w:widowControl w:val="0"/>
              <w:pBdr>
                <w:top w:val="nil"/>
                <w:left w:val="nil"/>
                <w:bottom w:val="nil"/>
                <w:right w:val="nil"/>
                <w:between w:val="nil"/>
              </w:pBdr>
              <w:spacing w:line="240" w:lineRule="auto"/>
              <w:jc w:val="both"/>
            </w:pPr>
            <w:r>
              <w:t>-13.63</w:t>
            </w:r>
          </w:p>
        </w:tc>
        <w:tc>
          <w:tcPr>
            <w:tcW w:w="1805" w:type="dxa"/>
            <w:shd w:val="clear" w:color="auto" w:fill="auto"/>
            <w:tcMar>
              <w:top w:w="100" w:type="dxa"/>
              <w:left w:w="100" w:type="dxa"/>
              <w:bottom w:w="100" w:type="dxa"/>
              <w:right w:w="100" w:type="dxa"/>
            </w:tcMar>
          </w:tcPr>
          <w:p w14:paraId="0000001D" w14:textId="77777777" w:rsidR="00491862" w:rsidRDefault="006717FC">
            <w:pPr>
              <w:widowControl w:val="0"/>
              <w:pBdr>
                <w:top w:val="nil"/>
                <w:left w:val="nil"/>
                <w:bottom w:val="nil"/>
                <w:right w:val="nil"/>
                <w:between w:val="nil"/>
              </w:pBdr>
              <w:spacing w:line="240" w:lineRule="auto"/>
              <w:jc w:val="both"/>
            </w:pPr>
            <w:r>
              <w:t>No</w:t>
            </w:r>
          </w:p>
        </w:tc>
      </w:tr>
      <w:tr w:rsidR="00491862" w14:paraId="6D0F742E" w14:textId="77777777">
        <w:tc>
          <w:tcPr>
            <w:tcW w:w="1805" w:type="dxa"/>
            <w:shd w:val="clear" w:color="auto" w:fill="auto"/>
            <w:tcMar>
              <w:top w:w="100" w:type="dxa"/>
              <w:left w:w="100" w:type="dxa"/>
              <w:bottom w:w="100" w:type="dxa"/>
              <w:right w:w="100" w:type="dxa"/>
            </w:tcMar>
          </w:tcPr>
          <w:p w14:paraId="0000001E" w14:textId="77777777" w:rsidR="00491862" w:rsidRDefault="006717FC">
            <w:pPr>
              <w:widowControl w:val="0"/>
              <w:pBdr>
                <w:top w:val="nil"/>
                <w:left w:val="nil"/>
                <w:bottom w:val="nil"/>
                <w:right w:val="nil"/>
                <w:between w:val="nil"/>
              </w:pBdr>
              <w:spacing w:line="240" w:lineRule="auto"/>
              <w:jc w:val="both"/>
            </w:pPr>
            <w:r>
              <w:t>0.02</w:t>
            </w:r>
          </w:p>
        </w:tc>
        <w:tc>
          <w:tcPr>
            <w:tcW w:w="1805" w:type="dxa"/>
            <w:shd w:val="clear" w:color="auto" w:fill="auto"/>
            <w:tcMar>
              <w:top w:w="100" w:type="dxa"/>
              <w:left w:w="100" w:type="dxa"/>
              <w:bottom w:w="100" w:type="dxa"/>
              <w:right w:w="100" w:type="dxa"/>
            </w:tcMar>
          </w:tcPr>
          <w:p w14:paraId="0000001F" w14:textId="77777777" w:rsidR="00491862" w:rsidRDefault="006717FC">
            <w:pPr>
              <w:widowControl w:val="0"/>
              <w:pBdr>
                <w:top w:val="nil"/>
                <w:left w:val="nil"/>
                <w:bottom w:val="nil"/>
                <w:right w:val="nil"/>
                <w:between w:val="nil"/>
              </w:pBdr>
              <w:spacing w:line="240" w:lineRule="auto"/>
              <w:jc w:val="both"/>
            </w:pPr>
            <w:r>
              <w:t>0.98</w:t>
            </w:r>
          </w:p>
        </w:tc>
        <w:tc>
          <w:tcPr>
            <w:tcW w:w="1805" w:type="dxa"/>
            <w:shd w:val="clear" w:color="auto" w:fill="auto"/>
            <w:tcMar>
              <w:top w:w="100" w:type="dxa"/>
              <w:left w:w="100" w:type="dxa"/>
              <w:bottom w:w="100" w:type="dxa"/>
              <w:right w:w="100" w:type="dxa"/>
            </w:tcMar>
          </w:tcPr>
          <w:p w14:paraId="00000020" w14:textId="77777777" w:rsidR="00491862" w:rsidRDefault="006717FC">
            <w:pPr>
              <w:widowControl w:val="0"/>
              <w:pBdr>
                <w:top w:val="nil"/>
                <w:left w:val="nil"/>
                <w:bottom w:val="nil"/>
                <w:right w:val="nil"/>
                <w:between w:val="nil"/>
              </w:pBdr>
              <w:spacing w:line="240" w:lineRule="auto"/>
              <w:jc w:val="both"/>
            </w:pPr>
            <w:r>
              <w:t>-33.3</w:t>
            </w:r>
          </w:p>
        </w:tc>
        <w:tc>
          <w:tcPr>
            <w:tcW w:w="1805" w:type="dxa"/>
            <w:shd w:val="clear" w:color="auto" w:fill="auto"/>
            <w:tcMar>
              <w:top w:w="100" w:type="dxa"/>
              <w:left w:w="100" w:type="dxa"/>
              <w:bottom w:w="100" w:type="dxa"/>
              <w:right w:w="100" w:type="dxa"/>
            </w:tcMar>
          </w:tcPr>
          <w:p w14:paraId="00000021" w14:textId="77777777" w:rsidR="00491862" w:rsidRDefault="006717FC">
            <w:pPr>
              <w:widowControl w:val="0"/>
              <w:pBdr>
                <w:top w:val="nil"/>
                <w:left w:val="nil"/>
                <w:bottom w:val="nil"/>
                <w:right w:val="nil"/>
                <w:between w:val="nil"/>
              </w:pBdr>
              <w:spacing w:line="240" w:lineRule="auto"/>
              <w:jc w:val="both"/>
            </w:pPr>
            <w:r>
              <w:t>-14.61</w:t>
            </w:r>
          </w:p>
        </w:tc>
        <w:tc>
          <w:tcPr>
            <w:tcW w:w="1805" w:type="dxa"/>
            <w:shd w:val="clear" w:color="auto" w:fill="auto"/>
            <w:tcMar>
              <w:top w:w="100" w:type="dxa"/>
              <w:left w:w="100" w:type="dxa"/>
              <w:bottom w:w="100" w:type="dxa"/>
              <w:right w:w="100" w:type="dxa"/>
            </w:tcMar>
          </w:tcPr>
          <w:p w14:paraId="00000022" w14:textId="77777777" w:rsidR="00491862" w:rsidRDefault="006717FC">
            <w:pPr>
              <w:widowControl w:val="0"/>
              <w:pBdr>
                <w:top w:val="nil"/>
                <w:left w:val="nil"/>
                <w:bottom w:val="nil"/>
                <w:right w:val="nil"/>
                <w:between w:val="nil"/>
              </w:pBdr>
              <w:spacing w:line="240" w:lineRule="auto"/>
              <w:jc w:val="both"/>
            </w:pPr>
            <w:r>
              <w:t>No</w:t>
            </w:r>
          </w:p>
        </w:tc>
      </w:tr>
      <w:tr w:rsidR="00491862" w14:paraId="04E904A5" w14:textId="77777777">
        <w:tc>
          <w:tcPr>
            <w:tcW w:w="1805" w:type="dxa"/>
            <w:shd w:val="clear" w:color="auto" w:fill="auto"/>
            <w:tcMar>
              <w:top w:w="100" w:type="dxa"/>
              <w:left w:w="100" w:type="dxa"/>
              <w:bottom w:w="100" w:type="dxa"/>
              <w:right w:w="100" w:type="dxa"/>
            </w:tcMar>
          </w:tcPr>
          <w:p w14:paraId="00000023" w14:textId="77777777" w:rsidR="00491862" w:rsidRDefault="006717FC">
            <w:pPr>
              <w:widowControl w:val="0"/>
              <w:pBdr>
                <w:top w:val="nil"/>
                <w:left w:val="nil"/>
                <w:bottom w:val="nil"/>
                <w:right w:val="nil"/>
                <w:between w:val="nil"/>
              </w:pBdr>
              <w:spacing w:line="240" w:lineRule="auto"/>
              <w:jc w:val="both"/>
            </w:pPr>
            <w:r>
              <w:t>0.1</w:t>
            </w:r>
          </w:p>
        </w:tc>
        <w:tc>
          <w:tcPr>
            <w:tcW w:w="1805" w:type="dxa"/>
            <w:shd w:val="clear" w:color="auto" w:fill="auto"/>
            <w:tcMar>
              <w:top w:w="100" w:type="dxa"/>
              <w:left w:w="100" w:type="dxa"/>
              <w:bottom w:w="100" w:type="dxa"/>
              <w:right w:w="100" w:type="dxa"/>
            </w:tcMar>
          </w:tcPr>
          <w:p w14:paraId="00000024" w14:textId="77777777" w:rsidR="00491862" w:rsidRDefault="006717FC">
            <w:pPr>
              <w:widowControl w:val="0"/>
              <w:pBdr>
                <w:top w:val="nil"/>
                <w:left w:val="nil"/>
                <w:bottom w:val="nil"/>
                <w:right w:val="nil"/>
                <w:between w:val="nil"/>
              </w:pBdr>
              <w:spacing w:line="240" w:lineRule="auto"/>
              <w:jc w:val="both"/>
            </w:pPr>
            <w:r>
              <w:t>0.9</w:t>
            </w:r>
          </w:p>
        </w:tc>
        <w:tc>
          <w:tcPr>
            <w:tcW w:w="1805" w:type="dxa"/>
            <w:shd w:val="clear" w:color="auto" w:fill="auto"/>
            <w:tcMar>
              <w:top w:w="100" w:type="dxa"/>
              <w:left w:w="100" w:type="dxa"/>
              <w:bottom w:w="100" w:type="dxa"/>
              <w:right w:w="100" w:type="dxa"/>
            </w:tcMar>
          </w:tcPr>
          <w:p w14:paraId="00000025" w14:textId="77777777" w:rsidR="00491862" w:rsidRDefault="006717FC">
            <w:pPr>
              <w:widowControl w:val="0"/>
              <w:pBdr>
                <w:top w:val="nil"/>
                <w:left w:val="nil"/>
                <w:bottom w:val="nil"/>
                <w:right w:val="nil"/>
                <w:between w:val="nil"/>
              </w:pBdr>
              <w:spacing w:line="240" w:lineRule="auto"/>
              <w:jc w:val="both"/>
            </w:pPr>
            <w:r>
              <w:t>-29.65</w:t>
            </w:r>
          </w:p>
        </w:tc>
        <w:tc>
          <w:tcPr>
            <w:tcW w:w="1805" w:type="dxa"/>
            <w:shd w:val="clear" w:color="auto" w:fill="auto"/>
            <w:tcMar>
              <w:top w:w="100" w:type="dxa"/>
              <w:left w:w="100" w:type="dxa"/>
              <w:bottom w:w="100" w:type="dxa"/>
              <w:right w:w="100" w:type="dxa"/>
            </w:tcMar>
          </w:tcPr>
          <w:p w14:paraId="00000026" w14:textId="77777777" w:rsidR="00491862" w:rsidRDefault="006717FC">
            <w:pPr>
              <w:widowControl w:val="0"/>
              <w:pBdr>
                <w:top w:val="nil"/>
                <w:left w:val="nil"/>
                <w:bottom w:val="nil"/>
                <w:right w:val="nil"/>
                <w:between w:val="nil"/>
              </w:pBdr>
              <w:spacing w:line="240" w:lineRule="auto"/>
              <w:jc w:val="both"/>
            </w:pPr>
            <w:r>
              <w:t>-17.27</w:t>
            </w:r>
          </w:p>
        </w:tc>
        <w:tc>
          <w:tcPr>
            <w:tcW w:w="1805" w:type="dxa"/>
            <w:shd w:val="clear" w:color="auto" w:fill="auto"/>
            <w:tcMar>
              <w:top w:w="100" w:type="dxa"/>
              <w:left w:w="100" w:type="dxa"/>
              <w:bottom w:w="100" w:type="dxa"/>
              <w:right w:w="100" w:type="dxa"/>
            </w:tcMar>
          </w:tcPr>
          <w:p w14:paraId="00000027" w14:textId="77777777" w:rsidR="00491862" w:rsidRDefault="006717FC">
            <w:pPr>
              <w:widowControl w:val="0"/>
              <w:pBdr>
                <w:top w:val="nil"/>
                <w:left w:val="nil"/>
                <w:bottom w:val="nil"/>
                <w:right w:val="nil"/>
                <w:between w:val="nil"/>
              </w:pBdr>
              <w:spacing w:line="240" w:lineRule="auto"/>
              <w:jc w:val="both"/>
            </w:pPr>
            <w:r>
              <w:t>No</w:t>
            </w:r>
          </w:p>
        </w:tc>
      </w:tr>
      <w:tr w:rsidR="00491862" w14:paraId="7A63F233" w14:textId="77777777">
        <w:trPr>
          <w:trHeight w:val="420"/>
        </w:trPr>
        <w:tc>
          <w:tcPr>
            <w:tcW w:w="9025" w:type="dxa"/>
            <w:gridSpan w:val="5"/>
            <w:shd w:val="clear" w:color="auto" w:fill="auto"/>
            <w:tcMar>
              <w:top w:w="100" w:type="dxa"/>
              <w:left w:w="100" w:type="dxa"/>
              <w:bottom w:w="100" w:type="dxa"/>
              <w:right w:w="100" w:type="dxa"/>
            </w:tcMar>
          </w:tcPr>
          <w:p w14:paraId="00000028" w14:textId="77777777" w:rsidR="00491862" w:rsidRDefault="006717FC">
            <w:pPr>
              <w:widowControl w:val="0"/>
              <w:pBdr>
                <w:top w:val="nil"/>
                <w:left w:val="nil"/>
                <w:bottom w:val="nil"/>
                <w:right w:val="nil"/>
                <w:between w:val="nil"/>
              </w:pBdr>
              <w:spacing w:line="240" w:lineRule="auto"/>
              <w:jc w:val="both"/>
            </w:pPr>
            <w:r>
              <w:t>Table 1: computed C.I. for significance levels alpha 0.01...</w:t>
            </w:r>
          </w:p>
        </w:tc>
      </w:tr>
    </w:tbl>
    <w:p w14:paraId="0000002D" w14:textId="77777777" w:rsidR="00491862" w:rsidRDefault="006717FC">
      <w:pPr>
        <w:jc w:val="both"/>
      </w:pPr>
      <w:r>
        <w:tab/>
      </w:r>
    </w:p>
    <w:p w14:paraId="0000002E" w14:textId="4A8FE598" w:rsidR="00491862" w:rsidRDefault="006717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sz w:val="24"/>
          <w:szCs w:val="24"/>
        </w:rPr>
        <w:t xml:space="preserve">Another way to interpret the statistical significance of the observed difference would be by computing the t-statistic and comparing it to the t-distribution. For the original Student t-test (assuming the same variance in each group), degrees of freedom </w:t>
      </w:r>
      <w:r w:rsidR="005154BE">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equal to 2*50-2, df=98; the t-value is -6.31. Depending on the desired confidence level and degrees of freedom, the t-value obtained on our data has to be compared to a corresponding theoretical critical t-value: if the module of our t-value is higher tha</w:t>
      </w:r>
      <w:r>
        <w:rPr>
          <w:rFonts w:ascii="Times New Roman" w:eastAsia="Times New Roman" w:hAnsi="Times New Roman" w:cs="Times New Roman"/>
          <w:sz w:val="24"/>
          <w:szCs w:val="24"/>
        </w:rPr>
        <w:t>n the critical t-value, then the observed difference is statistically significant; otherwise, it is not.</w:t>
      </w:r>
    </w:p>
    <w:p w14:paraId="0000002F" w14:textId="77777777" w:rsidR="00491862" w:rsidRDefault="00491862">
      <w:pPr>
        <w:jc w:val="both"/>
      </w:pPr>
    </w:p>
    <w:tbl>
      <w:tblPr>
        <w:tblStyle w:val="a0"/>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491862" w14:paraId="674F7A92" w14:textId="77777777">
        <w:tc>
          <w:tcPr>
            <w:tcW w:w="2256" w:type="dxa"/>
            <w:shd w:val="clear" w:color="auto" w:fill="auto"/>
            <w:tcMar>
              <w:top w:w="100" w:type="dxa"/>
              <w:left w:w="100" w:type="dxa"/>
              <w:bottom w:w="100" w:type="dxa"/>
              <w:right w:w="100" w:type="dxa"/>
            </w:tcMar>
          </w:tcPr>
          <w:p w14:paraId="00000030" w14:textId="77777777" w:rsidR="00491862" w:rsidRDefault="006717FC">
            <w:pPr>
              <w:widowControl w:val="0"/>
              <w:pBdr>
                <w:top w:val="nil"/>
                <w:left w:val="nil"/>
                <w:bottom w:val="nil"/>
                <w:right w:val="nil"/>
                <w:between w:val="nil"/>
              </w:pBdr>
              <w:spacing w:line="240" w:lineRule="auto"/>
            </w:pPr>
            <w:r>
              <w:t>Significance level</w:t>
            </w:r>
          </w:p>
        </w:tc>
        <w:tc>
          <w:tcPr>
            <w:tcW w:w="2256" w:type="dxa"/>
            <w:shd w:val="clear" w:color="auto" w:fill="auto"/>
            <w:tcMar>
              <w:top w:w="100" w:type="dxa"/>
              <w:left w:w="100" w:type="dxa"/>
              <w:bottom w:w="100" w:type="dxa"/>
              <w:right w:w="100" w:type="dxa"/>
            </w:tcMar>
          </w:tcPr>
          <w:p w14:paraId="00000031" w14:textId="77777777" w:rsidR="00491862" w:rsidRDefault="006717FC">
            <w:pPr>
              <w:widowControl w:val="0"/>
              <w:pBdr>
                <w:top w:val="nil"/>
                <w:left w:val="nil"/>
                <w:bottom w:val="nil"/>
                <w:right w:val="nil"/>
                <w:between w:val="nil"/>
              </w:pBdr>
              <w:spacing w:line="240" w:lineRule="auto"/>
            </w:pPr>
            <w:r>
              <w:t>Confidence level</w:t>
            </w:r>
          </w:p>
        </w:tc>
        <w:tc>
          <w:tcPr>
            <w:tcW w:w="2256" w:type="dxa"/>
            <w:shd w:val="clear" w:color="auto" w:fill="auto"/>
            <w:tcMar>
              <w:top w:w="100" w:type="dxa"/>
              <w:left w:w="100" w:type="dxa"/>
              <w:bottom w:w="100" w:type="dxa"/>
              <w:right w:w="100" w:type="dxa"/>
            </w:tcMar>
          </w:tcPr>
          <w:p w14:paraId="00000032" w14:textId="77777777" w:rsidR="00491862" w:rsidRDefault="006717FC">
            <w:pPr>
              <w:widowControl w:val="0"/>
              <w:pBdr>
                <w:top w:val="nil"/>
                <w:left w:val="nil"/>
                <w:bottom w:val="nil"/>
                <w:right w:val="nil"/>
                <w:between w:val="nil"/>
              </w:pBdr>
              <w:spacing w:line="240" w:lineRule="auto"/>
            </w:pPr>
            <w:r>
              <w:t>T-distribution critical value</w:t>
            </w:r>
          </w:p>
        </w:tc>
        <w:tc>
          <w:tcPr>
            <w:tcW w:w="2256" w:type="dxa"/>
            <w:shd w:val="clear" w:color="auto" w:fill="auto"/>
            <w:tcMar>
              <w:top w:w="100" w:type="dxa"/>
              <w:left w:w="100" w:type="dxa"/>
              <w:bottom w:w="100" w:type="dxa"/>
              <w:right w:w="100" w:type="dxa"/>
            </w:tcMar>
          </w:tcPr>
          <w:p w14:paraId="00000033" w14:textId="631D792E" w:rsidR="00491862" w:rsidRDefault="006717FC">
            <w:pPr>
              <w:widowControl w:val="0"/>
              <w:pBdr>
                <w:top w:val="nil"/>
                <w:left w:val="nil"/>
                <w:bottom w:val="nil"/>
                <w:right w:val="nil"/>
                <w:between w:val="nil"/>
              </w:pBdr>
              <w:spacing w:line="240" w:lineRule="auto"/>
            </w:pPr>
            <w:r>
              <w:t xml:space="preserve">Is |t|=6,31 higher than the critical </w:t>
            </w:r>
            <w:r w:rsidR="005154BE">
              <w:t>value</w:t>
            </w:r>
            <w:r>
              <w:t>?</w:t>
            </w:r>
          </w:p>
        </w:tc>
      </w:tr>
      <w:tr w:rsidR="00491862" w14:paraId="6F1E308B" w14:textId="77777777">
        <w:tc>
          <w:tcPr>
            <w:tcW w:w="2256" w:type="dxa"/>
            <w:shd w:val="clear" w:color="auto" w:fill="auto"/>
            <w:tcMar>
              <w:top w:w="100" w:type="dxa"/>
              <w:left w:w="100" w:type="dxa"/>
              <w:bottom w:w="100" w:type="dxa"/>
              <w:right w:w="100" w:type="dxa"/>
            </w:tcMar>
          </w:tcPr>
          <w:p w14:paraId="00000034" w14:textId="77777777" w:rsidR="00491862" w:rsidRDefault="006717FC">
            <w:pPr>
              <w:widowControl w:val="0"/>
              <w:spacing w:line="240" w:lineRule="auto"/>
              <w:jc w:val="both"/>
            </w:pPr>
            <w:r>
              <w:t>0.01</w:t>
            </w:r>
          </w:p>
        </w:tc>
        <w:tc>
          <w:tcPr>
            <w:tcW w:w="2256" w:type="dxa"/>
            <w:shd w:val="clear" w:color="auto" w:fill="auto"/>
            <w:tcMar>
              <w:top w:w="100" w:type="dxa"/>
              <w:left w:w="100" w:type="dxa"/>
              <w:bottom w:w="100" w:type="dxa"/>
              <w:right w:w="100" w:type="dxa"/>
            </w:tcMar>
          </w:tcPr>
          <w:p w14:paraId="00000035" w14:textId="77777777" w:rsidR="00491862" w:rsidRDefault="006717FC">
            <w:pPr>
              <w:widowControl w:val="0"/>
              <w:spacing w:line="240" w:lineRule="auto"/>
              <w:jc w:val="both"/>
            </w:pPr>
            <w:r>
              <w:t>0.99</w:t>
            </w:r>
          </w:p>
        </w:tc>
        <w:tc>
          <w:tcPr>
            <w:tcW w:w="2256" w:type="dxa"/>
            <w:shd w:val="clear" w:color="auto" w:fill="auto"/>
            <w:tcMar>
              <w:top w:w="100" w:type="dxa"/>
              <w:left w:w="100" w:type="dxa"/>
              <w:bottom w:w="100" w:type="dxa"/>
              <w:right w:w="100" w:type="dxa"/>
            </w:tcMar>
          </w:tcPr>
          <w:p w14:paraId="00000036" w14:textId="77777777" w:rsidR="00491862" w:rsidRDefault="006717FC">
            <w:pPr>
              <w:widowControl w:val="0"/>
              <w:pBdr>
                <w:top w:val="nil"/>
                <w:left w:val="nil"/>
                <w:bottom w:val="nil"/>
                <w:right w:val="nil"/>
                <w:between w:val="nil"/>
              </w:pBdr>
              <w:spacing w:line="240" w:lineRule="auto"/>
            </w:pPr>
            <w:r>
              <w:t>2.37</w:t>
            </w:r>
          </w:p>
        </w:tc>
        <w:tc>
          <w:tcPr>
            <w:tcW w:w="2256" w:type="dxa"/>
            <w:shd w:val="clear" w:color="auto" w:fill="auto"/>
            <w:tcMar>
              <w:top w:w="100" w:type="dxa"/>
              <w:left w:w="100" w:type="dxa"/>
              <w:bottom w:w="100" w:type="dxa"/>
              <w:right w:w="100" w:type="dxa"/>
            </w:tcMar>
          </w:tcPr>
          <w:p w14:paraId="00000037" w14:textId="77777777" w:rsidR="00491862" w:rsidRDefault="006717FC">
            <w:pPr>
              <w:widowControl w:val="0"/>
              <w:pBdr>
                <w:top w:val="nil"/>
                <w:left w:val="nil"/>
                <w:bottom w:val="nil"/>
                <w:right w:val="nil"/>
                <w:between w:val="nil"/>
              </w:pBdr>
              <w:spacing w:line="240" w:lineRule="auto"/>
            </w:pPr>
            <w:r>
              <w:t>Yes</w:t>
            </w:r>
          </w:p>
        </w:tc>
      </w:tr>
      <w:tr w:rsidR="00491862" w14:paraId="743927D9" w14:textId="77777777">
        <w:tc>
          <w:tcPr>
            <w:tcW w:w="2256" w:type="dxa"/>
            <w:shd w:val="clear" w:color="auto" w:fill="auto"/>
            <w:tcMar>
              <w:top w:w="100" w:type="dxa"/>
              <w:left w:w="100" w:type="dxa"/>
              <w:bottom w:w="100" w:type="dxa"/>
              <w:right w:w="100" w:type="dxa"/>
            </w:tcMar>
          </w:tcPr>
          <w:p w14:paraId="00000038" w14:textId="77777777" w:rsidR="00491862" w:rsidRDefault="006717FC">
            <w:pPr>
              <w:widowControl w:val="0"/>
              <w:spacing w:line="240" w:lineRule="auto"/>
              <w:jc w:val="both"/>
            </w:pPr>
            <w:r>
              <w:t>0.02</w:t>
            </w:r>
          </w:p>
        </w:tc>
        <w:tc>
          <w:tcPr>
            <w:tcW w:w="2256" w:type="dxa"/>
            <w:shd w:val="clear" w:color="auto" w:fill="auto"/>
            <w:tcMar>
              <w:top w:w="100" w:type="dxa"/>
              <w:left w:w="100" w:type="dxa"/>
              <w:bottom w:w="100" w:type="dxa"/>
              <w:right w:w="100" w:type="dxa"/>
            </w:tcMar>
          </w:tcPr>
          <w:p w14:paraId="00000039" w14:textId="77777777" w:rsidR="00491862" w:rsidRDefault="006717FC">
            <w:pPr>
              <w:widowControl w:val="0"/>
              <w:spacing w:line="240" w:lineRule="auto"/>
              <w:jc w:val="both"/>
            </w:pPr>
            <w:r>
              <w:t>0.98</w:t>
            </w:r>
          </w:p>
        </w:tc>
        <w:tc>
          <w:tcPr>
            <w:tcW w:w="2256" w:type="dxa"/>
            <w:shd w:val="clear" w:color="auto" w:fill="auto"/>
            <w:tcMar>
              <w:top w:w="100" w:type="dxa"/>
              <w:left w:w="100" w:type="dxa"/>
              <w:bottom w:w="100" w:type="dxa"/>
              <w:right w:w="100" w:type="dxa"/>
            </w:tcMar>
          </w:tcPr>
          <w:p w14:paraId="0000003A" w14:textId="77777777" w:rsidR="00491862" w:rsidRDefault="006717FC">
            <w:pPr>
              <w:widowControl w:val="0"/>
              <w:pBdr>
                <w:top w:val="nil"/>
                <w:left w:val="nil"/>
                <w:bottom w:val="nil"/>
                <w:right w:val="nil"/>
                <w:between w:val="nil"/>
              </w:pBdr>
              <w:spacing w:line="240" w:lineRule="auto"/>
            </w:pPr>
            <w:r>
              <w:t>2.08</w:t>
            </w:r>
          </w:p>
        </w:tc>
        <w:tc>
          <w:tcPr>
            <w:tcW w:w="2256" w:type="dxa"/>
            <w:shd w:val="clear" w:color="auto" w:fill="auto"/>
            <w:tcMar>
              <w:top w:w="100" w:type="dxa"/>
              <w:left w:w="100" w:type="dxa"/>
              <w:bottom w:w="100" w:type="dxa"/>
              <w:right w:w="100" w:type="dxa"/>
            </w:tcMar>
          </w:tcPr>
          <w:p w14:paraId="0000003B" w14:textId="77777777" w:rsidR="00491862" w:rsidRDefault="006717FC">
            <w:pPr>
              <w:widowControl w:val="0"/>
              <w:pBdr>
                <w:top w:val="nil"/>
                <w:left w:val="nil"/>
                <w:bottom w:val="nil"/>
                <w:right w:val="nil"/>
                <w:between w:val="nil"/>
              </w:pBdr>
              <w:spacing w:line="240" w:lineRule="auto"/>
            </w:pPr>
            <w:r>
              <w:t>Yes</w:t>
            </w:r>
          </w:p>
        </w:tc>
      </w:tr>
      <w:tr w:rsidR="00491862" w14:paraId="4FBAAAA4" w14:textId="77777777">
        <w:tc>
          <w:tcPr>
            <w:tcW w:w="2256" w:type="dxa"/>
            <w:shd w:val="clear" w:color="auto" w:fill="auto"/>
            <w:tcMar>
              <w:top w:w="100" w:type="dxa"/>
              <w:left w:w="100" w:type="dxa"/>
              <w:bottom w:w="100" w:type="dxa"/>
              <w:right w:w="100" w:type="dxa"/>
            </w:tcMar>
          </w:tcPr>
          <w:p w14:paraId="0000003C" w14:textId="77777777" w:rsidR="00491862" w:rsidRDefault="006717FC">
            <w:pPr>
              <w:widowControl w:val="0"/>
              <w:spacing w:line="240" w:lineRule="auto"/>
              <w:jc w:val="both"/>
            </w:pPr>
            <w:r>
              <w:t>0.1</w:t>
            </w:r>
          </w:p>
        </w:tc>
        <w:tc>
          <w:tcPr>
            <w:tcW w:w="2256" w:type="dxa"/>
            <w:shd w:val="clear" w:color="auto" w:fill="auto"/>
            <w:tcMar>
              <w:top w:w="100" w:type="dxa"/>
              <w:left w:w="100" w:type="dxa"/>
              <w:bottom w:w="100" w:type="dxa"/>
              <w:right w:w="100" w:type="dxa"/>
            </w:tcMar>
          </w:tcPr>
          <w:p w14:paraId="0000003D" w14:textId="77777777" w:rsidR="00491862" w:rsidRDefault="006717FC">
            <w:pPr>
              <w:widowControl w:val="0"/>
              <w:spacing w:line="240" w:lineRule="auto"/>
              <w:jc w:val="both"/>
            </w:pPr>
            <w:r>
              <w:t>0.9</w:t>
            </w:r>
          </w:p>
        </w:tc>
        <w:tc>
          <w:tcPr>
            <w:tcW w:w="2256" w:type="dxa"/>
            <w:shd w:val="clear" w:color="auto" w:fill="auto"/>
            <w:tcMar>
              <w:top w:w="100" w:type="dxa"/>
              <w:left w:w="100" w:type="dxa"/>
              <w:bottom w:w="100" w:type="dxa"/>
              <w:right w:w="100" w:type="dxa"/>
            </w:tcMar>
          </w:tcPr>
          <w:p w14:paraId="0000003E" w14:textId="77777777" w:rsidR="00491862" w:rsidRDefault="006717FC">
            <w:pPr>
              <w:widowControl w:val="0"/>
              <w:pBdr>
                <w:top w:val="nil"/>
                <w:left w:val="nil"/>
                <w:bottom w:val="nil"/>
                <w:right w:val="nil"/>
                <w:between w:val="nil"/>
              </w:pBdr>
              <w:spacing w:line="240" w:lineRule="auto"/>
            </w:pPr>
            <w:r>
              <w:t>1.29</w:t>
            </w:r>
          </w:p>
        </w:tc>
        <w:tc>
          <w:tcPr>
            <w:tcW w:w="2256" w:type="dxa"/>
            <w:shd w:val="clear" w:color="auto" w:fill="auto"/>
            <w:tcMar>
              <w:top w:w="100" w:type="dxa"/>
              <w:left w:w="100" w:type="dxa"/>
              <w:bottom w:w="100" w:type="dxa"/>
              <w:right w:w="100" w:type="dxa"/>
            </w:tcMar>
          </w:tcPr>
          <w:p w14:paraId="0000003F" w14:textId="77777777" w:rsidR="00491862" w:rsidRDefault="006717FC">
            <w:pPr>
              <w:widowControl w:val="0"/>
              <w:pBdr>
                <w:top w:val="nil"/>
                <w:left w:val="nil"/>
                <w:bottom w:val="nil"/>
                <w:right w:val="nil"/>
                <w:between w:val="nil"/>
              </w:pBdr>
              <w:spacing w:line="240" w:lineRule="auto"/>
            </w:pPr>
            <w:r>
              <w:t>Yes</w:t>
            </w:r>
          </w:p>
        </w:tc>
      </w:tr>
      <w:tr w:rsidR="00491862" w14:paraId="47312454" w14:textId="77777777">
        <w:trPr>
          <w:trHeight w:val="420"/>
        </w:trPr>
        <w:tc>
          <w:tcPr>
            <w:tcW w:w="9024" w:type="dxa"/>
            <w:gridSpan w:val="4"/>
            <w:shd w:val="clear" w:color="auto" w:fill="auto"/>
            <w:tcMar>
              <w:top w:w="100" w:type="dxa"/>
              <w:left w:w="100" w:type="dxa"/>
              <w:bottom w:w="100" w:type="dxa"/>
              <w:right w:w="100" w:type="dxa"/>
            </w:tcMar>
          </w:tcPr>
          <w:p w14:paraId="00000040" w14:textId="6C67748D" w:rsidR="00491862" w:rsidRDefault="006717FC">
            <w:pPr>
              <w:widowControl w:val="0"/>
              <w:pBdr>
                <w:top w:val="nil"/>
                <w:left w:val="nil"/>
                <w:bottom w:val="nil"/>
                <w:right w:val="nil"/>
                <w:between w:val="nil"/>
              </w:pBdr>
              <w:spacing w:line="240" w:lineRule="auto"/>
            </w:pPr>
            <w:r>
              <w:t xml:space="preserve">Table 2: computed t-statistic and t-distributions as </w:t>
            </w:r>
            <w:r w:rsidR="005154BE">
              <w:t xml:space="preserve">an </w:t>
            </w:r>
            <w:r>
              <w:t xml:space="preserve">alternative </w:t>
            </w:r>
            <w:r w:rsidR="005154BE">
              <w:t>top-value</w:t>
            </w:r>
            <w:r>
              <w:t xml:space="preserve"> and CI interpretation.</w:t>
            </w:r>
          </w:p>
        </w:tc>
      </w:tr>
    </w:tbl>
    <w:p w14:paraId="00000044" w14:textId="77777777" w:rsidR="00491862" w:rsidRDefault="00491862">
      <w:pPr>
        <w:jc w:val="both"/>
      </w:pPr>
    </w:p>
    <w:p w14:paraId="00000045" w14:textId="57EF3C5C" w:rsidR="00491862" w:rsidRDefault="006717F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Given the experimental data, we can say that, in our dataset, BAME COVID-19 patients tend to be older than white COVID-19 patients. The observation holds </w:t>
      </w:r>
      <w:r>
        <w:rPr>
          <w:rFonts w:ascii="Times New Roman" w:eastAsia="Times New Roman" w:hAnsi="Times New Roman" w:cs="Times New Roman"/>
          <w:sz w:val="24"/>
          <w:szCs w:val="24"/>
        </w:rPr>
        <w:t>for the entire population of COVID-19 BAME and white patients respectively, and even for a high c</w:t>
      </w:r>
      <w:r>
        <w:rPr>
          <w:rFonts w:ascii="Times New Roman" w:eastAsia="Times New Roman" w:hAnsi="Times New Roman" w:cs="Times New Roman"/>
          <w:sz w:val="24"/>
          <w:szCs w:val="24"/>
        </w:rPr>
        <w:t>onfidence level (1-alpha=0.99), the C.I. is (-33.29; -13.63).</w:t>
      </w:r>
    </w:p>
    <w:p w14:paraId="00000046" w14:textId="77777777" w:rsidR="00491862" w:rsidRDefault="006717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We were unable to compute the incidence in the two groups, an aspect which will be discussed further in the last section.</w:t>
      </w:r>
    </w:p>
    <w:p w14:paraId="00000047" w14:textId="77777777" w:rsidR="00491862" w:rsidRDefault="006717FC">
      <w:pPr>
        <w:pStyle w:val="Heading1"/>
        <w:jc w:val="center"/>
        <w:rPr>
          <w:rFonts w:ascii="Times New Roman" w:eastAsia="Times New Roman" w:hAnsi="Times New Roman" w:cs="Times New Roman"/>
        </w:rPr>
      </w:pPr>
      <w:bookmarkStart w:id="3" w:name="_q68eptqpnk2r" w:colFirst="0" w:colLast="0"/>
      <w:bookmarkEnd w:id="3"/>
      <w:r>
        <w:rPr>
          <w:rFonts w:ascii="Times New Roman" w:eastAsia="Times New Roman" w:hAnsi="Times New Roman" w:cs="Times New Roman"/>
        </w:rPr>
        <w:t>Outliers and normality</w:t>
      </w:r>
    </w:p>
    <w:p w14:paraId="00000048" w14:textId="77777777" w:rsidR="00491862" w:rsidRDefault="006717F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Further analysis of the dataset reveals interest</w:t>
      </w:r>
      <w:r>
        <w:rPr>
          <w:rFonts w:ascii="Times New Roman" w:eastAsia="Times New Roman" w:hAnsi="Times New Roman" w:cs="Times New Roman"/>
          <w:sz w:val="24"/>
          <w:szCs w:val="24"/>
        </w:rPr>
        <w:t xml:space="preserve">ing data (Figure 1). Especially for the white group, most patients tend to be under the age of 51, with only two outliers (55, </w:t>
      </w:r>
      <w:r>
        <w:rPr>
          <w:rFonts w:ascii="Times New Roman" w:eastAsia="Times New Roman" w:hAnsi="Times New Roman" w:cs="Times New Roman"/>
          <w:sz w:val="24"/>
          <w:szCs w:val="24"/>
        </w:rPr>
        <w:lastRenderedPageBreak/>
        <w:t>respectively 77). Surprisingly, a Shapiro-Wilk normality test</w:t>
      </w:r>
      <w:r>
        <w:rPr>
          <w:rFonts w:ascii="Times New Roman" w:eastAsia="Times New Roman" w:hAnsi="Times New Roman" w:cs="Times New Roman"/>
          <w:sz w:val="24"/>
          <w:szCs w:val="24"/>
          <w:vertAlign w:val="superscript"/>
        </w:rPr>
        <w:footnoteReference w:id="1"/>
      </w:r>
      <w:r>
        <w:rPr>
          <w:rFonts w:ascii="Times New Roman" w:eastAsia="Times New Roman" w:hAnsi="Times New Roman" w:cs="Times New Roman"/>
          <w:sz w:val="24"/>
          <w:szCs w:val="24"/>
        </w:rPr>
        <w:t xml:space="preserve"> does not disprove the normality of the data in this group (p=0.10</w:t>
      </w:r>
      <w:r>
        <w:rPr>
          <w:rFonts w:ascii="Times New Roman" w:eastAsia="Times New Roman" w:hAnsi="Times New Roman" w:cs="Times New Roman"/>
          <w:sz w:val="24"/>
          <w:szCs w:val="24"/>
        </w:rPr>
        <w:t>). The distribution of ages in the BAME group has a higher tail towards the right (older patients) and the Shapiro-Wilk normality test rejects the idea of a Gaussian distribution (p=0.008).</w:t>
      </w:r>
      <w:r>
        <w:rPr>
          <w:noProof/>
        </w:rPr>
        <w:drawing>
          <wp:anchor distT="114300" distB="114300" distL="114300" distR="114300" simplePos="0" relativeHeight="251658240" behindDoc="0" locked="0" layoutInCell="1" hidden="0" allowOverlap="1">
            <wp:simplePos x="0" y="0"/>
            <wp:positionH relativeFrom="column">
              <wp:posOffset>2835600</wp:posOffset>
            </wp:positionH>
            <wp:positionV relativeFrom="paragraph">
              <wp:posOffset>1276350</wp:posOffset>
            </wp:positionV>
            <wp:extent cx="2895695" cy="6177483"/>
            <wp:effectExtent l="0" t="0" r="0" b="0"/>
            <wp:wrapSquare wrapText="bothSides" distT="114300" distB="114300" distL="114300" distR="1143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2895695" cy="6177483"/>
                    </a:xfrm>
                    <a:prstGeom prst="rect">
                      <a:avLst/>
                    </a:prstGeom>
                    <a:ln/>
                  </pic:spPr>
                </pic:pic>
              </a:graphicData>
            </a:graphic>
          </wp:anchor>
        </w:drawing>
      </w:r>
    </w:p>
    <w:p w14:paraId="00000049" w14:textId="77777777" w:rsidR="00491862" w:rsidRDefault="006717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The outliers we mentioned should not have a significant effect, </w:t>
      </w:r>
      <w:r>
        <w:rPr>
          <w:rFonts w:ascii="Times New Roman" w:eastAsia="Times New Roman" w:hAnsi="Times New Roman" w:cs="Times New Roman"/>
          <w:sz w:val="24"/>
          <w:szCs w:val="24"/>
        </w:rPr>
        <w:t>as the non-paired Student t-test averages down such extreme values and takes into consideration multiple data points, rather than doing one-to-one comparisons (like a paired Student t-test would do).</w:t>
      </w:r>
    </w:p>
    <w:p w14:paraId="0000004A" w14:textId="77777777" w:rsidR="00491862" w:rsidRDefault="006717FC">
      <w:pPr>
        <w:pStyle w:val="Heading1"/>
        <w:jc w:val="center"/>
        <w:rPr>
          <w:rFonts w:ascii="Times New Roman" w:eastAsia="Times New Roman" w:hAnsi="Times New Roman" w:cs="Times New Roman"/>
        </w:rPr>
      </w:pPr>
      <w:bookmarkStart w:id="4" w:name="_duip1eyp1t0h" w:colFirst="0" w:colLast="0"/>
      <w:bookmarkEnd w:id="4"/>
      <w:r>
        <w:rPr>
          <w:rFonts w:ascii="Times New Roman" w:eastAsia="Times New Roman" w:hAnsi="Times New Roman" w:cs="Times New Roman"/>
        </w:rPr>
        <w:t>Possible bias effects and other factors that can be furt</w:t>
      </w:r>
      <w:r>
        <w:rPr>
          <w:rFonts w:ascii="Times New Roman" w:eastAsia="Times New Roman" w:hAnsi="Times New Roman" w:cs="Times New Roman"/>
        </w:rPr>
        <w:t>her controlled</w:t>
      </w:r>
    </w:p>
    <w:p w14:paraId="0000004B" w14:textId="0FEB6812" w:rsidR="00491862" w:rsidRDefault="006717FC">
      <w:pPr>
        <w:spacing w:line="360" w:lineRule="auto"/>
        <w:jc w:val="both"/>
        <w:rPr>
          <w:rFonts w:ascii="Times New Roman" w:eastAsia="Times New Roman" w:hAnsi="Times New Roman" w:cs="Times New Roman"/>
          <w:sz w:val="24"/>
          <w:szCs w:val="24"/>
        </w:rPr>
      </w:pPr>
      <w:r>
        <w:tab/>
      </w:r>
      <w:r>
        <w:rPr>
          <w:rFonts w:ascii="Times New Roman" w:eastAsia="Times New Roman" w:hAnsi="Times New Roman" w:cs="Times New Roman"/>
          <w:sz w:val="24"/>
          <w:szCs w:val="24"/>
        </w:rPr>
        <w:t xml:space="preserve">The dataset consists of 100 independent observations of COVID-19 patients, 50 in the BAME group and 50 in </w:t>
      </w:r>
      <w:r w:rsidR="005154BE">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white group. The partakers were chosen on the basis that they were already patients, as such this resembles more a case-control study,</w:t>
      </w:r>
      <w:r>
        <w:rPr>
          <w:rFonts w:ascii="Times New Roman" w:eastAsia="Times New Roman" w:hAnsi="Times New Roman" w:cs="Times New Roman"/>
          <w:sz w:val="24"/>
          <w:szCs w:val="24"/>
        </w:rPr>
        <w:t xml:space="preserve"> rather than an exposure-dependent study or a cohort study.</w:t>
      </w:r>
    </w:p>
    <w:p w14:paraId="0000004C" w14:textId="0E3E46F7" w:rsidR="00491862" w:rsidRDefault="006717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In a case-control study, the authors choose exactly who is partaking in the study and, as such, </w:t>
      </w:r>
      <w:r w:rsidR="005154BE">
        <w:rPr>
          <w:rFonts w:ascii="Times New Roman" w:eastAsia="Times New Roman" w:hAnsi="Times New Roman" w:cs="Times New Roman"/>
          <w:sz w:val="24"/>
          <w:szCs w:val="24"/>
        </w:rPr>
        <w:t>can</w:t>
      </w:r>
      <w:r>
        <w:rPr>
          <w:rFonts w:ascii="Times New Roman" w:eastAsia="Times New Roman" w:hAnsi="Times New Roman" w:cs="Times New Roman"/>
          <w:sz w:val="24"/>
          <w:szCs w:val="24"/>
        </w:rPr>
        <w:t xml:space="preserve"> (unconsciously) influence the results, bringing them towards the desired result. Thus, </w:t>
      </w:r>
      <w:r>
        <w:rPr>
          <w:rFonts w:ascii="Times New Roman" w:eastAsia="Times New Roman" w:hAnsi="Times New Roman" w:cs="Times New Roman"/>
          <w:sz w:val="24"/>
          <w:szCs w:val="24"/>
        </w:rPr>
        <w:t xml:space="preserve">a case-control study doesn’t allow the author to get information about the incidence of disease or risky </w:t>
      </w:r>
      <w:proofErr w:type="spellStart"/>
      <w:r w:rsidR="005154BE">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Moreover, most case-control studies are retrospective (</w:t>
      </w:r>
      <w:proofErr w:type="gramStart"/>
      <w:r>
        <w:rPr>
          <w:rFonts w:ascii="Times New Roman" w:eastAsia="Times New Roman" w:hAnsi="Times New Roman" w:cs="Times New Roman"/>
          <w:sz w:val="24"/>
          <w:szCs w:val="24"/>
        </w:rPr>
        <w:t>i.e.</w:t>
      </w:r>
      <w:proofErr w:type="gramEnd"/>
      <w:r>
        <w:rPr>
          <w:rFonts w:ascii="Times New Roman" w:eastAsia="Times New Roman" w:hAnsi="Times New Roman" w:cs="Times New Roman"/>
          <w:sz w:val="24"/>
          <w:szCs w:val="24"/>
        </w:rPr>
        <w:t xml:space="preserve"> the data is gathered after all the </w:t>
      </w:r>
      <w:r>
        <w:rPr>
          <w:rFonts w:ascii="Times New Roman" w:eastAsia="Times New Roman" w:hAnsi="Times New Roman" w:cs="Times New Roman"/>
          <w:sz w:val="24"/>
          <w:szCs w:val="24"/>
        </w:rPr>
        <w:lastRenderedPageBreak/>
        <w:t>studied events have already taken place)</w:t>
      </w:r>
      <w:r w:rsidR="005154B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w:t>
      </w:r>
      <w:r>
        <w:rPr>
          <w:rFonts w:ascii="Times New Roman" w:eastAsia="Times New Roman" w:hAnsi="Times New Roman" w:cs="Times New Roman"/>
          <w:sz w:val="24"/>
          <w:szCs w:val="24"/>
        </w:rPr>
        <w:t>as such the data might be invalid, incomplete, unstructured</w:t>
      </w:r>
      <w:r w:rsidR="005154B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or not standardized.</w:t>
      </w:r>
    </w:p>
    <w:p w14:paraId="0000004D" w14:textId="77777777" w:rsidR="00491862" w:rsidRDefault="006717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In our case, the first problem is related to the lack of data points for healthy individuals. Given the fact that we only have data from diseased patients, we are unable to e</w:t>
      </w:r>
      <w:r>
        <w:rPr>
          <w:rFonts w:ascii="Times New Roman" w:eastAsia="Times New Roman" w:hAnsi="Times New Roman" w:cs="Times New Roman"/>
          <w:sz w:val="24"/>
          <w:szCs w:val="24"/>
        </w:rPr>
        <w:t>stimate any prevalence.</w:t>
      </w:r>
    </w:p>
    <w:p w14:paraId="0000004E" w14:textId="3F73F8D7" w:rsidR="00491862" w:rsidRDefault="006717FC">
      <w:pPr>
        <w:spacing w:line="360" w:lineRule="auto"/>
        <w:jc w:val="both"/>
        <w:rPr>
          <w:rFonts w:ascii="Times New Roman" w:eastAsia="Times New Roman" w:hAnsi="Times New Roman" w:cs="Times New Roman"/>
          <w:sz w:val="24"/>
          <w:szCs w:val="24"/>
        </w:rPr>
      </w:pPr>
      <w:r>
        <w:tab/>
      </w:r>
      <w:r>
        <w:rPr>
          <w:rFonts w:ascii="Times New Roman" w:eastAsia="Times New Roman" w:hAnsi="Times New Roman" w:cs="Times New Roman"/>
          <w:b/>
          <w:sz w:val="24"/>
          <w:szCs w:val="24"/>
        </w:rPr>
        <w:t>Possible solution</w:t>
      </w:r>
      <w:r>
        <w:rPr>
          <w:rFonts w:ascii="Times New Roman" w:eastAsia="Times New Roman" w:hAnsi="Times New Roman" w:cs="Times New Roman"/>
          <w:sz w:val="24"/>
          <w:szCs w:val="24"/>
        </w:rPr>
        <w:t xml:space="preserve">: projects aiming to obtain data </w:t>
      </w:r>
      <w:r w:rsidR="005154BE">
        <w:rPr>
          <w:rFonts w:ascii="Times New Roman" w:eastAsia="Times New Roman" w:hAnsi="Times New Roman" w:cs="Times New Roman"/>
          <w:sz w:val="24"/>
          <w:szCs w:val="24"/>
        </w:rPr>
        <w:t>about</w:t>
      </w:r>
      <w:r>
        <w:rPr>
          <w:rFonts w:ascii="Times New Roman" w:eastAsia="Times New Roman" w:hAnsi="Times New Roman" w:cs="Times New Roman"/>
          <w:sz w:val="24"/>
          <w:szCs w:val="24"/>
        </w:rPr>
        <w:t xml:space="preserve"> incidence and prevalence ought to be of type cohort, and to study the evolution of such indicators.</w:t>
      </w:r>
    </w:p>
    <w:p w14:paraId="0000004F" w14:textId="23BA64A1" w:rsidR="00491862" w:rsidRDefault="006717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A second problem </w:t>
      </w:r>
      <w:r w:rsidR="005154BE">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does not appear to be controlled is related</w:t>
      </w:r>
      <w:r>
        <w:rPr>
          <w:rFonts w:ascii="Times New Roman" w:eastAsia="Times New Roman" w:hAnsi="Times New Roman" w:cs="Times New Roman"/>
          <w:sz w:val="24"/>
          <w:szCs w:val="24"/>
        </w:rPr>
        <w:t xml:space="preserve"> to the socio-economic context of the two groups. Financial and income inequality is known to affect people part of the BAME population more than the white </w:t>
      </w:r>
      <w:r w:rsidR="005154BE">
        <w:rPr>
          <w:rFonts w:ascii="Times New Roman" w:eastAsia="Times New Roman" w:hAnsi="Times New Roman" w:cs="Times New Roman"/>
          <w:sz w:val="24"/>
          <w:szCs w:val="24"/>
        </w:rPr>
        <w:t>ones</w:t>
      </w:r>
      <w:r>
        <w:rPr>
          <w:rFonts w:ascii="Times New Roman" w:eastAsia="Times New Roman" w:hAnsi="Times New Roman" w:cs="Times New Roman"/>
          <w:sz w:val="24"/>
          <w:szCs w:val="24"/>
        </w:rPr>
        <w:t>, and this might prompt the members of the BAME group to save more, reducing their consumption of</w:t>
      </w:r>
      <w:r>
        <w:rPr>
          <w:rFonts w:ascii="Times New Roman" w:eastAsia="Times New Roman" w:hAnsi="Times New Roman" w:cs="Times New Roman"/>
          <w:sz w:val="24"/>
          <w:szCs w:val="24"/>
        </w:rPr>
        <w:t xml:space="preserve"> PPE</w:t>
      </w:r>
      <w:r>
        <w:rPr>
          <w:rFonts w:ascii="Times New Roman" w:eastAsia="Times New Roman" w:hAnsi="Times New Roman" w:cs="Times New Roman"/>
          <w:sz w:val="24"/>
          <w:szCs w:val="24"/>
          <w:vertAlign w:val="superscript"/>
        </w:rPr>
        <w:footnoteReference w:id="2"/>
      </w:r>
      <w:r>
        <w:rPr>
          <w:rFonts w:ascii="Times New Roman" w:eastAsia="Times New Roman" w:hAnsi="Times New Roman" w:cs="Times New Roman"/>
          <w:sz w:val="24"/>
          <w:szCs w:val="24"/>
        </w:rPr>
        <w:t xml:space="preserve"> or postponing their medication, thus using the public medical services more (and being discovered as carriers or sick patients more). Overwork and stress-related immunosuppression might also play a part in the difference between incidence and mean age dif</w:t>
      </w:r>
      <w:r>
        <w:rPr>
          <w:rFonts w:ascii="Times New Roman" w:eastAsia="Times New Roman" w:hAnsi="Times New Roman" w:cs="Times New Roman"/>
          <w:sz w:val="24"/>
          <w:szCs w:val="24"/>
        </w:rPr>
        <w:t>ferences between BAME and white populations.</w:t>
      </w:r>
    </w:p>
    <w:p w14:paraId="00000050" w14:textId="697EC670" w:rsidR="00491862" w:rsidRDefault="006717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b/>
          <w:sz w:val="24"/>
          <w:szCs w:val="24"/>
        </w:rPr>
        <w:t>Possible solution:</w:t>
      </w:r>
      <w:r>
        <w:rPr>
          <w:rFonts w:ascii="Times New Roman" w:eastAsia="Times New Roman" w:hAnsi="Times New Roman" w:cs="Times New Roman"/>
          <w:sz w:val="24"/>
          <w:szCs w:val="24"/>
        </w:rPr>
        <w:t xml:space="preserve"> </w:t>
      </w:r>
      <w:r w:rsidR="005154BE">
        <w:rPr>
          <w:rFonts w:ascii="Times New Roman" w:eastAsia="Times New Roman" w:hAnsi="Times New Roman" w:cs="Times New Roman"/>
          <w:sz w:val="24"/>
          <w:szCs w:val="24"/>
        </w:rPr>
        <w:t>preferably</w:t>
      </w:r>
      <w:r>
        <w:rPr>
          <w:rFonts w:ascii="Times New Roman" w:eastAsia="Times New Roman" w:hAnsi="Times New Roman" w:cs="Times New Roman"/>
          <w:sz w:val="24"/>
          <w:szCs w:val="24"/>
        </w:rPr>
        <w:t>, patients should be matched regarding their basic information (sex, age), their work conditions</w:t>
      </w:r>
      <w:r w:rsidR="005154B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their socio-economic status.</w:t>
      </w:r>
    </w:p>
    <w:p w14:paraId="00000051" w14:textId="3F8F9D7D" w:rsidR="00491862" w:rsidRDefault="006717FC">
      <w:pPr>
        <w:spacing w:line="360" w:lineRule="auto"/>
        <w:jc w:val="both"/>
        <w:rPr>
          <w:rFonts w:ascii="Times New Roman" w:eastAsia="Times New Roman" w:hAnsi="Times New Roman" w:cs="Times New Roman"/>
          <w:sz w:val="24"/>
          <w:szCs w:val="24"/>
        </w:rPr>
      </w:pPr>
      <w:r>
        <w:tab/>
      </w:r>
      <w:r>
        <w:rPr>
          <w:rFonts w:ascii="Times New Roman" w:eastAsia="Times New Roman" w:hAnsi="Times New Roman" w:cs="Times New Roman"/>
          <w:sz w:val="24"/>
          <w:szCs w:val="24"/>
        </w:rPr>
        <w:t>A third problem is related to the standardization</w:t>
      </w:r>
      <w:r>
        <w:rPr>
          <w:rFonts w:ascii="Times New Roman" w:eastAsia="Times New Roman" w:hAnsi="Times New Roman" w:cs="Times New Roman"/>
          <w:sz w:val="24"/>
          <w:szCs w:val="24"/>
        </w:rPr>
        <w:t xml:space="preserve"> of the data that is collected. In this case, we don’t have any information regarding the institutions that collect, process</w:t>
      </w:r>
      <w:r w:rsidR="005154B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provide the data, and whether those institutions use the same diagnostic methods for COVID-19 infections. For example, a hospit</w:t>
      </w:r>
      <w:r>
        <w:rPr>
          <w:rFonts w:ascii="Times New Roman" w:eastAsia="Times New Roman" w:hAnsi="Times New Roman" w:cs="Times New Roman"/>
          <w:sz w:val="24"/>
          <w:szCs w:val="24"/>
        </w:rPr>
        <w:t>al placed in a residential zone in which white people are the majority might happen to use a test with higher sensibility than a hospital in a residential zone in which BAME people are the majority. In such a case, we would face the overestimation of cases</w:t>
      </w:r>
      <w:r>
        <w:rPr>
          <w:rFonts w:ascii="Times New Roman" w:eastAsia="Times New Roman" w:hAnsi="Times New Roman" w:cs="Times New Roman"/>
          <w:sz w:val="24"/>
          <w:szCs w:val="24"/>
        </w:rPr>
        <w:t xml:space="preserve"> among white people, compared to BAME people.</w:t>
      </w:r>
    </w:p>
    <w:p w14:paraId="00000052" w14:textId="388F40F5" w:rsidR="00491862" w:rsidRDefault="006717FC">
      <w:pPr>
        <w:spacing w:line="360" w:lineRule="auto"/>
        <w:jc w:val="both"/>
        <w:rPr>
          <w:rFonts w:ascii="Times New Roman" w:eastAsia="Times New Roman" w:hAnsi="Times New Roman" w:cs="Times New Roman"/>
          <w:sz w:val="28"/>
          <w:szCs w:val="28"/>
        </w:rPr>
        <w:sectPr w:rsidR="00491862">
          <w:headerReference w:type="default" r:id="rId13"/>
          <w:pgSz w:w="11906" w:h="16838"/>
          <w:pgMar w:top="1440" w:right="1440" w:bottom="1440" w:left="1440" w:header="720" w:footer="720" w:gutter="0"/>
          <w:cols w:space="720"/>
        </w:sectPr>
      </w:pPr>
      <w:r>
        <w:tab/>
      </w:r>
      <w:r>
        <w:rPr>
          <w:rFonts w:ascii="Times New Roman" w:eastAsia="Times New Roman" w:hAnsi="Times New Roman" w:cs="Times New Roman"/>
          <w:sz w:val="24"/>
          <w:szCs w:val="24"/>
        </w:rPr>
        <w:t xml:space="preserve">Possible solution: </w:t>
      </w:r>
      <w:proofErr w:type="spellStart"/>
      <w:r>
        <w:rPr>
          <w:rFonts w:ascii="Times New Roman" w:eastAsia="Times New Roman" w:hAnsi="Times New Roman" w:cs="Times New Roman"/>
          <w:sz w:val="24"/>
          <w:szCs w:val="24"/>
        </w:rPr>
        <w:t>multicenter</w:t>
      </w:r>
      <w:proofErr w:type="spellEnd"/>
      <w:r>
        <w:rPr>
          <w:rFonts w:ascii="Times New Roman" w:eastAsia="Times New Roman" w:hAnsi="Times New Roman" w:cs="Times New Roman"/>
          <w:sz w:val="24"/>
          <w:szCs w:val="24"/>
        </w:rPr>
        <w:t xml:space="preserve"> studies, although viewed in a better light than single-</w:t>
      </w:r>
      <w:proofErr w:type="spellStart"/>
      <w:r>
        <w:rPr>
          <w:rFonts w:ascii="Times New Roman" w:eastAsia="Times New Roman" w:hAnsi="Times New Roman" w:cs="Times New Roman"/>
          <w:sz w:val="24"/>
          <w:szCs w:val="24"/>
        </w:rPr>
        <w:t>center</w:t>
      </w:r>
      <w:proofErr w:type="spellEnd"/>
      <w:r>
        <w:rPr>
          <w:rFonts w:ascii="Times New Roman" w:eastAsia="Times New Roman" w:hAnsi="Times New Roman" w:cs="Times New Roman"/>
          <w:sz w:val="24"/>
          <w:szCs w:val="24"/>
        </w:rPr>
        <w:t xml:space="preserve"> ones, require extensive care in preparing and carrying through. All partaking healthcare institutions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standardize their procedures regarding patient select</w:t>
      </w:r>
      <w:r>
        <w:rPr>
          <w:rFonts w:ascii="Times New Roman" w:eastAsia="Times New Roman" w:hAnsi="Times New Roman" w:cs="Times New Roman"/>
          <w:sz w:val="24"/>
          <w:szCs w:val="24"/>
        </w:rPr>
        <w:t>ion, interaction</w:t>
      </w:r>
      <w:r w:rsidR="005154B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data gathering, to ensure compatibility between data points. Especially during the COVID-19 pandemic, when multiple diagnostic tests were available, and each one with a different profile of sensibility and specificity, it might be the </w:t>
      </w:r>
      <w:r>
        <w:rPr>
          <w:rFonts w:ascii="Times New Roman" w:eastAsia="Times New Roman" w:hAnsi="Times New Roman" w:cs="Times New Roman"/>
          <w:sz w:val="24"/>
          <w:szCs w:val="24"/>
        </w:rPr>
        <w:t xml:space="preserve">case that some institutions might overestimate the incidence, while others would underestimate it. Either all the institutions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use the same test to ensure compatibility or reproducibility, or a </w:t>
      </w:r>
      <w:r>
        <w:rPr>
          <w:rFonts w:ascii="Times New Roman" w:eastAsia="Times New Roman" w:hAnsi="Times New Roman" w:cs="Times New Roman"/>
          <w:i/>
          <w:sz w:val="24"/>
          <w:szCs w:val="24"/>
        </w:rPr>
        <w:t xml:space="preserve">layered </w:t>
      </w:r>
      <w:r>
        <w:rPr>
          <w:rFonts w:ascii="Times New Roman" w:eastAsia="Times New Roman" w:hAnsi="Times New Roman" w:cs="Times New Roman"/>
          <w:sz w:val="24"/>
          <w:szCs w:val="24"/>
        </w:rPr>
        <w:t xml:space="preserve">statistical analysis has to be done </w:t>
      </w:r>
      <w:r>
        <w:rPr>
          <w:rFonts w:ascii="Times New Roman" w:eastAsia="Times New Roman" w:hAnsi="Times New Roman" w:cs="Times New Roman"/>
          <w:sz w:val="24"/>
          <w:szCs w:val="24"/>
        </w:rPr>
        <w:lastRenderedPageBreak/>
        <w:t>(all the d</w:t>
      </w:r>
      <w:r>
        <w:rPr>
          <w:rFonts w:ascii="Times New Roman" w:eastAsia="Times New Roman" w:hAnsi="Times New Roman" w:cs="Times New Roman"/>
          <w:sz w:val="24"/>
          <w:szCs w:val="24"/>
        </w:rPr>
        <w:t>ata points from each type of diagnostic test are compared among themselves, and then a corresponding value is computed for comparison among different test types). Failing such a complex and considerate preparation, single-</w:t>
      </w:r>
      <w:proofErr w:type="spellStart"/>
      <w:r>
        <w:rPr>
          <w:rFonts w:ascii="Times New Roman" w:eastAsia="Times New Roman" w:hAnsi="Times New Roman" w:cs="Times New Roman"/>
          <w:sz w:val="24"/>
          <w:szCs w:val="24"/>
        </w:rPr>
        <w:t>center</w:t>
      </w:r>
      <w:proofErr w:type="spellEnd"/>
      <w:r>
        <w:rPr>
          <w:rFonts w:ascii="Times New Roman" w:eastAsia="Times New Roman" w:hAnsi="Times New Roman" w:cs="Times New Roman"/>
          <w:sz w:val="24"/>
          <w:szCs w:val="24"/>
        </w:rPr>
        <w:t xml:space="preserve"> studies might better provid</w:t>
      </w:r>
      <w:r>
        <w:rPr>
          <w:rFonts w:ascii="Times New Roman" w:eastAsia="Times New Roman" w:hAnsi="Times New Roman" w:cs="Times New Roman"/>
          <w:sz w:val="24"/>
          <w:szCs w:val="24"/>
        </w:rPr>
        <w:t xml:space="preserve">e the image we are in search of, regarding </w:t>
      </w:r>
      <w:r w:rsidR="005154BE">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incidence and prevalence of the disease. It is equally important to use COVID-19 prevention measures such as vaccination, hand hygiene practices, mask use, and social distancing.</w:t>
      </w:r>
    </w:p>
    <w:p w14:paraId="00000053" w14:textId="77777777" w:rsidR="00491862" w:rsidRDefault="006717FC">
      <w:pPr>
        <w:jc w:val="center"/>
        <w:rPr>
          <w:rFonts w:ascii="Times New Roman" w:eastAsia="Times New Roman" w:hAnsi="Times New Roman" w:cs="Times New Roman"/>
          <w:sz w:val="48"/>
          <w:szCs w:val="48"/>
        </w:rPr>
      </w:pPr>
      <w:r>
        <w:rPr>
          <w:rFonts w:ascii="Times New Roman" w:eastAsia="Times New Roman" w:hAnsi="Times New Roman" w:cs="Times New Roman"/>
          <w:sz w:val="48"/>
          <w:szCs w:val="48"/>
        </w:rPr>
        <w:lastRenderedPageBreak/>
        <w:t>References</w:t>
      </w:r>
    </w:p>
    <w:p w14:paraId="00000054" w14:textId="77777777" w:rsidR="00491862" w:rsidRDefault="006717FC">
      <w:pPr>
        <w:spacing w:before="240" w:line="480" w:lineRule="auto"/>
        <w:ind w:left="144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Francis-Devine, B. (202</w:t>
      </w:r>
      <w:r>
        <w:rPr>
          <w:rFonts w:ascii="Times New Roman" w:eastAsia="Times New Roman" w:hAnsi="Times New Roman" w:cs="Times New Roman"/>
          <w:sz w:val="24"/>
          <w:szCs w:val="24"/>
        </w:rPr>
        <w:t xml:space="preserve">0). </w:t>
      </w:r>
      <w:r>
        <w:rPr>
          <w:rFonts w:ascii="Times New Roman" w:eastAsia="Times New Roman" w:hAnsi="Times New Roman" w:cs="Times New Roman"/>
          <w:i/>
          <w:sz w:val="24"/>
          <w:szCs w:val="24"/>
        </w:rPr>
        <w:t>Which ethnic groups are most affected by income inequality?</w:t>
      </w:r>
      <w:r>
        <w:rPr>
          <w:rFonts w:ascii="Times New Roman" w:eastAsia="Times New Roman" w:hAnsi="Times New Roman" w:cs="Times New Roman"/>
          <w:sz w:val="24"/>
          <w:szCs w:val="24"/>
        </w:rPr>
        <w:t xml:space="preserve"> Retrieved from https://commonslibrary.parliament.uk/income-inequality-by-ethnic-group/</w:t>
      </w:r>
    </w:p>
    <w:p w14:paraId="00000055" w14:textId="77777777" w:rsidR="00491862" w:rsidRDefault="006717FC">
      <w:pPr>
        <w:spacing w:before="240" w:line="480" w:lineRule="auto"/>
        <w:ind w:left="144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Good research begins long before papers get written. (2021). </w:t>
      </w:r>
      <w:r>
        <w:rPr>
          <w:rFonts w:ascii="Times New Roman" w:eastAsia="Times New Roman" w:hAnsi="Times New Roman" w:cs="Times New Roman"/>
          <w:i/>
          <w:sz w:val="24"/>
          <w:szCs w:val="24"/>
        </w:rPr>
        <w:t>Nature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593</w:t>
      </w:r>
      <w:r>
        <w:rPr>
          <w:rFonts w:ascii="Times New Roman" w:eastAsia="Times New Roman" w:hAnsi="Times New Roman" w:cs="Times New Roman"/>
          <w:sz w:val="24"/>
          <w:szCs w:val="24"/>
        </w:rPr>
        <w:t>(7857), 8.</w:t>
      </w:r>
    </w:p>
    <w:p w14:paraId="00000056" w14:textId="77777777" w:rsidR="00491862" w:rsidRDefault="006717FC">
      <w:pPr>
        <w:spacing w:before="240" w:line="480" w:lineRule="auto"/>
        <w:ind w:left="144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Hayes, A. (2021, May 1</w:t>
      </w:r>
      <w:r>
        <w:rPr>
          <w:rFonts w:ascii="Times New Roman" w:eastAsia="Times New Roman" w:hAnsi="Times New Roman" w:cs="Times New Roman"/>
          <w:sz w:val="24"/>
          <w:szCs w:val="24"/>
        </w:rPr>
        <w:t>9). T-Test. Retrieved July 14, 2021, from Investopedia.com website: https://www.investopedia.com/terms/t/t-test.asp</w:t>
      </w:r>
    </w:p>
    <w:p w14:paraId="00000057" w14:textId="77777777" w:rsidR="00491862" w:rsidRDefault="006717FC">
      <w:pPr>
        <w:spacing w:before="240" w:line="480" w:lineRule="auto"/>
        <w:ind w:left="144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Irizarry, R. A., &amp; Love, M. I. (2016). </w:t>
      </w:r>
      <w:r>
        <w:rPr>
          <w:rFonts w:ascii="Times New Roman" w:eastAsia="Times New Roman" w:hAnsi="Times New Roman" w:cs="Times New Roman"/>
          <w:i/>
          <w:sz w:val="24"/>
          <w:szCs w:val="24"/>
        </w:rPr>
        <w:t>Data analysis for the life sciences with R</w:t>
      </w:r>
      <w:r>
        <w:rPr>
          <w:rFonts w:ascii="Times New Roman" w:eastAsia="Times New Roman" w:hAnsi="Times New Roman" w:cs="Times New Roman"/>
          <w:sz w:val="24"/>
          <w:szCs w:val="24"/>
        </w:rPr>
        <w:t>. New York, NY: Productivity Press.</w:t>
      </w:r>
    </w:p>
    <w:p w14:paraId="00000058" w14:textId="77777777" w:rsidR="00491862" w:rsidRDefault="006717FC">
      <w:pPr>
        <w:spacing w:before="240" w:line="480" w:lineRule="auto"/>
        <w:ind w:left="144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Liang, X., Zhu, Y., &amp; F</w:t>
      </w:r>
      <w:r>
        <w:rPr>
          <w:rFonts w:ascii="Times New Roman" w:eastAsia="Times New Roman" w:hAnsi="Times New Roman" w:cs="Times New Roman"/>
          <w:sz w:val="24"/>
          <w:szCs w:val="24"/>
        </w:rPr>
        <w:t xml:space="preserve">ang, Y. (2020). COVID-19 and post-traumatic stress disorder: A vicious circle involving immunosuppression. </w:t>
      </w:r>
      <w:r>
        <w:rPr>
          <w:rFonts w:ascii="Times New Roman" w:eastAsia="Times New Roman" w:hAnsi="Times New Roman" w:cs="Times New Roman"/>
          <w:i/>
          <w:sz w:val="24"/>
          <w:szCs w:val="24"/>
        </w:rPr>
        <w:t>CNS Neuroscience &amp; Therapeutics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26</w:t>
      </w:r>
      <w:r>
        <w:rPr>
          <w:rFonts w:ascii="Times New Roman" w:eastAsia="Times New Roman" w:hAnsi="Times New Roman" w:cs="Times New Roman"/>
          <w:sz w:val="24"/>
          <w:szCs w:val="24"/>
        </w:rPr>
        <w:t>(8), 876–878.</w:t>
      </w:r>
    </w:p>
    <w:p w14:paraId="00000059" w14:textId="77777777" w:rsidR="00491862" w:rsidRDefault="006717FC">
      <w:pPr>
        <w:spacing w:before="240" w:line="480" w:lineRule="auto"/>
        <w:ind w:left="144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Mendenhall, W., Beaver, R. J., &amp; Beaver, B. M. (2012). </w:t>
      </w:r>
      <w:r>
        <w:rPr>
          <w:rFonts w:ascii="Times New Roman" w:eastAsia="Times New Roman" w:hAnsi="Times New Roman" w:cs="Times New Roman"/>
          <w:i/>
          <w:sz w:val="24"/>
          <w:szCs w:val="24"/>
        </w:rPr>
        <w:t>Introduction to probability and statistics, i</w:t>
      </w:r>
      <w:r>
        <w:rPr>
          <w:rFonts w:ascii="Times New Roman" w:eastAsia="Times New Roman" w:hAnsi="Times New Roman" w:cs="Times New Roman"/>
          <w:i/>
          <w:sz w:val="24"/>
          <w:szCs w:val="24"/>
        </w:rPr>
        <w:t>nternational edition</w:t>
      </w:r>
      <w:r>
        <w:rPr>
          <w:rFonts w:ascii="Times New Roman" w:eastAsia="Times New Roman" w:hAnsi="Times New Roman" w:cs="Times New Roman"/>
          <w:sz w:val="24"/>
          <w:szCs w:val="24"/>
        </w:rPr>
        <w:t>. Florence, KY: Brooks/Cole.</w:t>
      </w:r>
    </w:p>
    <w:p w14:paraId="0000005A" w14:textId="77777777" w:rsidR="00491862" w:rsidRDefault="006717FC">
      <w:pPr>
        <w:spacing w:before="240" w:line="480" w:lineRule="auto"/>
        <w:ind w:left="144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Minitab Blog Editor. (n.d.). Understanding t-Tests: t-values and t-distributions. Retrieved July 26, 2021, from Minitab.com website: https://blog.minitab.com/en/adventures-in-statistics-2/understanding-t-tes</w:t>
      </w:r>
      <w:r>
        <w:rPr>
          <w:rFonts w:ascii="Times New Roman" w:eastAsia="Times New Roman" w:hAnsi="Times New Roman" w:cs="Times New Roman"/>
          <w:sz w:val="24"/>
          <w:szCs w:val="24"/>
        </w:rPr>
        <w:t>ts-t-values-and-t-distributions</w:t>
      </w:r>
    </w:p>
    <w:p w14:paraId="0000005B" w14:textId="77777777" w:rsidR="00491862" w:rsidRDefault="006717FC">
      <w:pPr>
        <w:spacing w:before="240" w:line="480" w:lineRule="auto"/>
        <w:ind w:left="144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 The Student t Distribution. (n.d.). Retrieved July 26, 2021, from Ethz.ch website: https://stat.ethz.ch/R-manual/R-devel/library/stats/html/TDist.html</w:t>
      </w:r>
    </w:p>
    <w:p w14:paraId="0000005C" w14:textId="77777777" w:rsidR="00491862" w:rsidRDefault="006717FC">
      <w:pPr>
        <w:spacing w:before="240" w:line="480" w:lineRule="auto"/>
        <w:ind w:left="144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Ripley, B. D. (2001). The R project in statistical computing. </w:t>
      </w:r>
      <w:r>
        <w:rPr>
          <w:rFonts w:ascii="Times New Roman" w:eastAsia="Times New Roman" w:hAnsi="Times New Roman" w:cs="Times New Roman"/>
          <w:i/>
          <w:sz w:val="24"/>
          <w:szCs w:val="24"/>
        </w:rPr>
        <w:t>MSOR Connections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w:t>
      </w:r>
      <w:r>
        <w:rPr>
          <w:rFonts w:ascii="Times New Roman" w:eastAsia="Times New Roman" w:hAnsi="Times New Roman" w:cs="Times New Roman"/>
          <w:sz w:val="24"/>
          <w:szCs w:val="24"/>
        </w:rPr>
        <w:t>(1), 23–25.</w:t>
      </w:r>
    </w:p>
    <w:p w14:paraId="0000005D" w14:textId="77777777" w:rsidR="00491862" w:rsidRDefault="006717FC">
      <w:pPr>
        <w:spacing w:before="240" w:line="480" w:lineRule="auto"/>
        <w:ind w:left="144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Rosner, B. R. (2010). </w:t>
      </w:r>
      <w:r>
        <w:rPr>
          <w:rFonts w:ascii="Times New Roman" w:eastAsia="Times New Roman" w:hAnsi="Times New Roman" w:cs="Times New Roman"/>
          <w:i/>
          <w:sz w:val="24"/>
          <w:szCs w:val="24"/>
        </w:rPr>
        <w:t>Fundamentals of Biostatistics</w:t>
      </w:r>
      <w:r>
        <w:rPr>
          <w:rFonts w:ascii="Times New Roman" w:eastAsia="Times New Roman" w:hAnsi="Times New Roman" w:cs="Times New Roman"/>
          <w:sz w:val="24"/>
          <w:szCs w:val="24"/>
        </w:rPr>
        <w:t>. Florence, KY: Brooks/Cole.</w:t>
      </w:r>
    </w:p>
    <w:p w14:paraId="0000005E" w14:textId="77777777" w:rsidR="00491862" w:rsidRDefault="006717FC">
      <w:pPr>
        <w:spacing w:before="240" w:line="480" w:lineRule="auto"/>
        <w:ind w:left="144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RStudio. (n.d.). Retrieved July 24, 2021, from Rstudio.com website: http://www.rstu</w:t>
      </w:r>
      <w:r>
        <w:rPr>
          <w:rFonts w:ascii="Times New Roman" w:eastAsia="Times New Roman" w:hAnsi="Times New Roman" w:cs="Times New Roman"/>
          <w:sz w:val="24"/>
          <w:szCs w:val="24"/>
        </w:rPr>
        <w:t>dio.com/.</w:t>
      </w:r>
    </w:p>
    <w:p w14:paraId="0000005F" w14:textId="77777777" w:rsidR="00491862" w:rsidRDefault="006717FC">
      <w:pPr>
        <w:spacing w:before="240" w:line="480" w:lineRule="auto"/>
        <w:ind w:left="144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(N.d.). Retrieved July 25, 2021, from Cdc.gov website: https://www.cdc.gov/coronavirus/2019-ncov/need-extra-precautions/people-with-medical-conditions.html.</w:t>
      </w:r>
    </w:p>
    <w:p w14:paraId="00000060" w14:textId="77777777" w:rsidR="00491862" w:rsidRDefault="00491862">
      <w:pPr>
        <w:rPr>
          <w:rFonts w:ascii="Times New Roman" w:eastAsia="Times New Roman" w:hAnsi="Times New Roman" w:cs="Times New Roman"/>
          <w:b/>
          <w:sz w:val="40"/>
          <w:szCs w:val="40"/>
        </w:rPr>
      </w:pPr>
    </w:p>
    <w:sectPr w:rsidR="00491862">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2DCF81" w14:textId="77777777" w:rsidR="006717FC" w:rsidRDefault="006717FC">
      <w:pPr>
        <w:spacing w:line="240" w:lineRule="auto"/>
      </w:pPr>
      <w:r>
        <w:separator/>
      </w:r>
    </w:p>
  </w:endnote>
  <w:endnote w:type="continuationSeparator" w:id="0">
    <w:p w14:paraId="4E5ACBE3" w14:textId="77777777" w:rsidR="006717FC" w:rsidRDefault="006717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Ubuntu Mono">
    <w:altName w:val="Calibri"/>
    <w:panose1 w:val="020B0604020202020204"/>
    <w:charset w:val="00"/>
    <w:family w:val="auto"/>
    <w:pitch w:val="default"/>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F72A04" w14:textId="77777777" w:rsidR="005154BE" w:rsidRDefault="005154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3577DC" w14:textId="77777777" w:rsidR="005154BE" w:rsidRDefault="005154B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047C08" w14:textId="77777777" w:rsidR="005154BE" w:rsidRDefault="005154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9E3CD7" w14:textId="77777777" w:rsidR="006717FC" w:rsidRDefault="006717FC">
      <w:pPr>
        <w:spacing w:line="240" w:lineRule="auto"/>
      </w:pPr>
      <w:r>
        <w:separator/>
      </w:r>
    </w:p>
  </w:footnote>
  <w:footnote w:type="continuationSeparator" w:id="0">
    <w:p w14:paraId="67857FBF" w14:textId="77777777" w:rsidR="006717FC" w:rsidRDefault="006717FC">
      <w:pPr>
        <w:spacing w:line="240" w:lineRule="auto"/>
      </w:pPr>
      <w:r>
        <w:continuationSeparator/>
      </w:r>
    </w:p>
  </w:footnote>
  <w:footnote w:id="1">
    <w:p w14:paraId="00000068" w14:textId="77777777" w:rsidR="00491862" w:rsidRDefault="006717FC">
      <w:pPr>
        <w:spacing w:line="240" w:lineRule="auto"/>
        <w:rPr>
          <w:sz w:val="20"/>
          <w:szCs w:val="20"/>
        </w:rPr>
      </w:pPr>
      <w:r>
        <w:rPr>
          <w:vertAlign w:val="superscript"/>
        </w:rPr>
        <w:footnoteRef/>
      </w:r>
      <w:r>
        <w:rPr>
          <w:sz w:val="20"/>
          <w:szCs w:val="20"/>
        </w:rPr>
        <w:t xml:space="preserve"> If p&lt;0.05, the data </w:t>
      </w:r>
      <w:proofErr w:type="gramStart"/>
      <w:r>
        <w:rPr>
          <w:sz w:val="20"/>
          <w:szCs w:val="20"/>
        </w:rPr>
        <w:t>is considered to be</w:t>
      </w:r>
      <w:proofErr w:type="gramEnd"/>
      <w:r>
        <w:rPr>
          <w:sz w:val="20"/>
          <w:szCs w:val="20"/>
        </w:rPr>
        <w:t xml:space="preserve"> non-Gaussian (not following a normal distribut</w:t>
      </w:r>
      <w:r>
        <w:rPr>
          <w:sz w:val="20"/>
          <w:szCs w:val="20"/>
        </w:rPr>
        <w:t>ion).</w:t>
      </w:r>
    </w:p>
  </w:footnote>
  <w:footnote w:id="2">
    <w:p w14:paraId="00000069" w14:textId="77777777" w:rsidR="00491862" w:rsidRDefault="006717FC">
      <w:pPr>
        <w:spacing w:line="240" w:lineRule="auto"/>
        <w:rPr>
          <w:sz w:val="20"/>
          <w:szCs w:val="20"/>
        </w:rPr>
      </w:pPr>
      <w:r>
        <w:rPr>
          <w:vertAlign w:val="superscript"/>
        </w:rPr>
        <w:footnoteRef/>
      </w:r>
      <w:r>
        <w:rPr>
          <w:sz w:val="20"/>
          <w:szCs w:val="20"/>
        </w:rPr>
        <w:t xml:space="preserve"> Personal protection equipment.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7CE483" w14:textId="77777777" w:rsidR="005154BE" w:rsidRDefault="005154B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1" w14:textId="77777777" w:rsidR="00491862" w:rsidRDefault="00491862">
    <w:pPr>
      <w:keepNext/>
      <w:spacing w:line="240" w:lineRule="auto"/>
      <w:rPr>
        <w:rFonts w:ascii="Calibri" w:eastAsia="Calibri" w:hAnsi="Calibri" w:cs="Calibri"/>
        <w:sz w:val="24"/>
        <w:szCs w:val="24"/>
      </w:rPr>
    </w:pPr>
  </w:p>
  <w:p w14:paraId="00000062" w14:textId="77777777" w:rsidR="00491862" w:rsidRDefault="006717FC">
    <w:pPr>
      <w:spacing w:line="240" w:lineRule="auto"/>
      <w:jc w:val="right"/>
      <w:rPr>
        <w:rFonts w:ascii="Calibri" w:eastAsia="Calibri" w:hAnsi="Calibri" w:cs="Calibri"/>
        <w:b/>
        <w:sz w:val="36"/>
        <w:szCs w:val="36"/>
      </w:rPr>
    </w:pPr>
    <w:r>
      <w:rPr>
        <w:rFonts w:ascii="Calibri" w:eastAsia="Calibri" w:hAnsi="Calibri" w:cs="Calibri"/>
        <w:b/>
        <w:sz w:val="36"/>
        <w:szCs w:val="36"/>
      </w:rPr>
      <w:t xml:space="preserve">Data Analysis and Visualization </w:t>
    </w:r>
    <w:r>
      <w:rPr>
        <w:noProof/>
      </w:rPr>
      <w:drawing>
        <wp:anchor distT="0" distB="0" distL="0" distR="0" simplePos="0" relativeHeight="251658240" behindDoc="1" locked="0" layoutInCell="1" hidden="0" allowOverlap="1">
          <wp:simplePos x="0" y="0"/>
          <wp:positionH relativeFrom="column">
            <wp:posOffset>-22484</wp:posOffset>
          </wp:positionH>
          <wp:positionV relativeFrom="paragraph">
            <wp:posOffset>-14989</wp:posOffset>
          </wp:positionV>
          <wp:extent cx="1952665" cy="852339"/>
          <wp:effectExtent l="0" t="0" r="0" b="0"/>
          <wp:wrapNone/>
          <wp:docPr id="2" name="image1.png" descr="Text, tabl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image1.png" descr="Text, table&#10;&#10;Description automatically generated with medium confidence"/>
                  <pic:cNvPicPr preferRelativeResize="0"/>
                </pic:nvPicPr>
                <pic:blipFill>
                  <a:blip r:embed="rId1"/>
                  <a:srcRect/>
                  <a:stretch>
                    <a:fillRect/>
                  </a:stretch>
                </pic:blipFill>
                <pic:spPr>
                  <a:xfrm>
                    <a:off x="0" y="0"/>
                    <a:ext cx="1952665" cy="852339"/>
                  </a:xfrm>
                  <a:prstGeom prst="rect">
                    <a:avLst/>
                  </a:prstGeom>
                  <a:ln/>
                </pic:spPr>
              </pic:pic>
            </a:graphicData>
          </a:graphic>
        </wp:anchor>
      </w:drawing>
    </w:r>
  </w:p>
  <w:p w14:paraId="00000063" w14:textId="77777777" w:rsidR="00491862" w:rsidRDefault="006717FC">
    <w:pPr>
      <w:spacing w:line="240" w:lineRule="auto"/>
      <w:jc w:val="right"/>
      <w:rPr>
        <w:rFonts w:ascii="Calibri" w:eastAsia="Calibri" w:hAnsi="Calibri" w:cs="Calibri"/>
        <w:b/>
        <w:sz w:val="24"/>
        <w:szCs w:val="24"/>
      </w:rPr>
    </w:pPr>
    <w:r>
      <w:rPr>
        <w:rFonts w:ascii="Calibri" w:eastAsia="Calibri" w:hAnsi="Calibri" w:cs="Calibri"/>
        <w:b/>
        <w:sz w:val="24"/>
        <w:szCs w:val="24"/>
      </w:rPr>
      <w:t>ACCA4002</w:t>
    </w:r>
  </w:p>
  <w:p w14:paraId="00000064" w14:textId="77777777" w:rsidR="00491862" w:rsidRDefault="006717FC">
    <w:pPr>
      <w:spacing w:line="240" w:lineRule="auto"/>
      <w:jc w:val="right"/>
      <w:rPr>
        <w:rFonts w:ascii="Calibri" w:eastAsia="Calibri" w:hAnsi="Calibri" w:cs="Calibri"/>
        <w:b/>
        <w:sz w:val="24"/>
        <w:szCs w:val="24"/>
      </w:rPr>
    </w:pPr>
    <w:r>
      <w:rPr>
        <w:rFonts w:ascii="Calibri" w:eastAsia="Calibri" w:hAnsi="Calibri" w:cs="Calibri"/>
        <w:b/>
        <w:sz w:val="24"/>
        <w:szCs w:val="24"/>
      </w:rPr>
      <w:t>t-Test</w:t>
    </w:r>
  </w:p>
  <w:p w14:paraId="00000065" w14:textId="77777777" w:rsidR="00491862" w:rsidRDefault="006717FC">
    <w:pPr>
      <w:spacing w:line="240" w:lineRule="auto"/>
      <w:jc w:val="right"/>
      <w:rPr>
        <w:rFonts w:ascii="Calibri" w:eastAsia="Calibri" w:hAnsi="Calibri" w:cs="Calibri"/>
        <w:b/>
        <w:sz w:val="24"/>
        <w:szCs w:val="24"/>
      </w:rPr>
    </w:pPr>
    <w:r>
      <w:rPr>
        <w:rFonts w:ascii="Calibri" w:eastAsia="Calibri" w:hAnsi="Calibri" w:cs="Calibri"/>
        <w:b/>
        <w:sz w:val="24"/>
        <w:szCs w:val="24"/>
      </w:rPr>
      <w:t>University of Wales Trinity Saint David, London</w:t>
    </w:r>
  </w:p>
  <w:p w14:paraId="00000066" w14:textId="77777777" w:rsidR="00491862" w:rsidRDefault="006717FC">
    <w:pPr>
      <w:spacing w:line="240" w:lineRule="auto"/>
      <w:jc w:val="right"/>
      <w:rPr>
        <w:rFonts w:ascii="Calibri" w:eastAsia="Calibri" w:hAnsi="Calibri" w:cs="Calibri"/>
        <w:b/>
        <w:sz w:val="24"/>
        <w:szCs w:val="24"/>
      </w:rPr>
    </w:pPr>
    <w:r>
      <w:rPr>
        <w:rFonts w:ascii="Calibri" w:eastAsia="Calibri" w:hAnsi="Calibri" w:cs="Calibri"/>
        <w:b/>
        <w:sz w:val="24"/>
        <w:szCs w:val="24"/>
      </w:rPr>
      <w:t xml:space="preserve">Student Name: </w:t>
    </w:r>
  </w:p>
  <w:p w14:paraId="00000067" w14:textId="77777777" w:rsidR="00491862" w:rsidRDefault="006717FC">
    <w:pPr>
      <w:spacing w:line="240" w:lineRule="auto"/>
      <w:jc w:val="right"/>
    </w:pPr>
    <w:r>
      <w:rPr>
        <w:rFonts w:ascii="Calibri" w:eastAsia="Calibri" w:hAnsi="Calibri" w:cs="Calibri"/>
        <w:b/>
        <w:sz w:val="24"/>
        <w:szCs w:val="24"/>
      </w:rPr>
      <w:t xml:space="preserve">Student ID: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75A3C8" w14:textId="77777777" w:rsidR="005154BE" w:rsidRDefault="005154B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A" w14:textId="77777777" w:rsidR="00491862" w:rsidRDefault="00491862"/>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1862"/>
    <w:rsid w:val="00491862"/>
    <w:rsid w:val="005154BE"/>
    <w:rsid w:val="006717FC"/>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857A250E-A542-C945-870F-140B6C2E8B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5154BE"/>
    <w:pPr>
      <w:tabs>
        <w:tab w:val="center" w:pos="4513"/>
        <w:tab w:val="right" w:pos="9026"/>
      </w:tabs>
      <w:spacing w:line="240" w:lineRule="auto"/>
    </w:pPr>
  </w:style>
  <w:style w:type="character" w:customStyle="1" w:styleId="HeaderChar">
    <w:name w:val="Header Char"/>
    <w:basedOn w:val="DefaultParagraphFont"/>
    <w:link w:val="Header"/>
    <w:uiPriority w:val="99"/>
    <w:rsid w:val="005154BE"/>
  </w:style>
  <w:style w:type="paragraph" w:styleId="Footer">
    <w:name w:val="footer"/>
    <w:basedOn w:val="Normal"/>
    <w:link w:val="FooterChar"/>
    <w:uiPriority w:val="99"/>
    <w:unhideWhenUsed/>
    <w:rsid w:val="005154BE"/>
    <w:pPr>
      <w:tabs>
        <w:tab w:val="center" w:pos="4513"/>
        <w:tab w:val="right" w:pos="9026"/>
      </w:tabs>
      <w:spacing w:line="240" w:lineRule="auto"/>
    </w:pPr>
  </w:style>
  <w:style w:type="character" w:customStyle="1" w:styleId="FooterChar">
    <w:name w:val="Footer Char"/>
    <w:basedOn w:val="DefaultParagraphFont"/>
    <w:link w:val="Footer"/>
    <w:uiPriority w:val="99"/>
    <w:rsid w:val="005154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eader" Target="header4.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C99F117-F812-5C44-B2FF-45BFC1455AC6}">
  <we:reference id="wa200001011" version="1.2.0.0" store="en-US" storeType="OMEX"/>
  <we:alternateReferences>
    <we:reference id="WA200001011" version="1.2.0.0" store=""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2</TotalTime>
  <Pages>8</Pages>
  <Words>1813</Words>
  <Characters>10335</Characters>
  <Application>Microsoft Office Word</Application>
  <DocSecurity>0</DocSecurity>
  <Lines>86</Lines>
  <Paragraphs>24</Paragraphs>
  <ScaleCrop>false</ScaleCrop>
  <Company/>
  <LinksUpToDate>false</LinksUpToDate>
  <CharactersWithSpaces>12124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Mircea Alexandru Crucianu (2025870)</cp:lastModifiedBy>
  <cp:revision>2</cp:revision>
  <dcterms:created xsi:type="dcterms:W3CDTF">2021-07-27T08:26:00Z</dcterms:created>
  <dcterms:modified xsi:type="dcterms:W3CDTF">2021-07-27T08:26:00Z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documentId_1926</vt:lpwstr>
  </property>
  <property fmtid="{D5CDD505-2E9C-101B-9397-08002B2CF9AE}" pid="3" name="grammarly_documentContext">
    <vt:lpwstr>{"goals":[],"domain":"general","emotions":[],"dialect":"american"}</vt:lpwstr>
  </property>
</Properties>
</file>