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5B8DF3" w14:textId="02A029F6" w:rsidR="000216F4" w:rsidRDefault="000216F4" w:rsidP="000216F4">
      <w:pPr>
        <w:pStyle w:val="NoSpacing"/>
        <w:shd w:val="clear" w:color="auto" w:fill="DAEEF3" w:themeFill="accent5" w:themeFillTint="33"/>
      </w:pPr>
      <w:r>
        <w:t>Module no.: HPPD7008</w:t>
      </w:r>
    </w:p>
    <w:p w14:paraId="55767AF0" w14:textId="5D841C2F" w:rsidR="000216F4" w:rsidRDefault="000216F4" w:rsidP="000216F4">
      <w:pPr>
        <w:pStyle w:val="NoSpacing"/>
        <w:shd w:val="clear" w:color="auto" w:fill="DAEEF3" w:themeFill="accent5" w:themeFillTint="33"/>
      </w:pPr>
      <w:r>
        <w:t>Module name: Principles and Roots of Islam</w:t>
      </w:r>
    </w:p>
    <w:p w14:paraId="303A1D94" w14:textId="1007B02C" w:rsidR="000216F4" w:rsidRDefault="000216F4" w:rsidP="000216F4">
      <w:pPr>
        <w:pStyle w:val="NoSpacing"/>
        <w:shd w:val="clear" w:color="auto" w:fill="DAEEF3" w:themeFill="accent5" w:themeFillTint="33"/>
      </w:pPr>
      <w:r>
        <w:t>Facilitator: Dr. Gary Bunt</w:t>
      </w:r>
    </w:p>
    <w:p w14:paraId="11FE52EA" w14:textId="3698E34D" w:rsidR="000216F4" w:rsidRDefault="000216F4" w:rsidP="000216F4">
      <w:pPr>
        <w:pStyle w:val="NoSpacing"/>
        <w:shd w:val="clear" w:color="auto" w:fill="DAEEF3" w:themeFill="accent5" w:themeFillTint="33"/>
      </w:pPr>
      <w:r>
        <w:t>Semester 1</w:t>
      </w:r>
    </w:p>
    <w:p w14:paraId="2254C23D" w14:textId="02FA11BF" w:rsidR="000216F4" w:rsidRDefault="000216F4" w:rsidP="000216F4">
      <w:pPr>
        <w:pStyle w:val="NoSpacing"/>
        <w:shd w:val="clear" w:color="auto" w:fill="DAEEF3" w:themeFill="accent5" w:themeFillTint="33"/>
      </w:pPr>
      <w:r>
        <w:t>Program: Professional Doctorate in Interfaith Studies</w:t>
      </w:r>
    </w:p>
    <w:p w14:paraId="4E8783AF" w14:textId="4B3CA01B" w:rsidR="000216F4" w:rsidRPr="000216F4" w:rsidRDefault="000216F4" w:rsidP="000216F4">
      <w:pPr>
        <w:pStyle w:val="NoSpacing"/>
        <w:shd w:val="clear" w:color="auto" w:fill="DAEEF3" w:themeFill="accent5" w:themeFillTint="33"/>
      </w:pPr>
      <w:r>
        <w:t>Author: Urmi Chanda</w:t>
      </w:r>
    </w:p>
    <w:p w14:paraId="0DA523D0" w14:textId="77777777" w:rsidR="000216F4" w:rsidRPr="000216F4" w:rsidRDefault="000216F4" w:rsidP="000216F4"/>
    <w:p w14:paraId="625EFE96" w14:textId="6FD6FDB4" w:rsidR="000216F4" w:rsidRDefault="000216F4" w:rsidP="00B732B9">
      <w:pPr>
        <w:pStyle w:val="Heading2"/>
        <w:rPr>
          <w:b/>
          <w:bCs/>
        </w:rPr>
      </w:pPr>
      <w:r>
        <w:t xml:space="preserve">A </w:t>
      </w:r>
      <w:r w:rsidR="00B1228B" w:rsidRPr="00B1228B">
        <w:t>commentary on Surah al-Baqarah, exploring the context in which it was Revealed (according to Islamic sources) and how it informs ideas of religious practice and identity</w:t>
      </w:r>
      <w:r>
        <w:t xml:space="preserve"> </w:t>
      </w:r>
    </w:p>
    <w:p w14:paraId="40EC47BE" w14:textId="77777777" w:rsidR="00B732B9" w:rsidRDefault="00B732B9" w:rsidP="00B1228B">
      <w:pPr>
        <w:rPr>
          <w:b/>
          <w:bCs/>
        </w:rPr>
      </w:pPr>
    </w:p>
    <w:p w14:paraId="0EFF2886" w14:textId="3CA5D514" w:rsidR="00B1228B" w:rsidRDefault="004A7B44" w:rsidP="00B1228B">
      <w:pPr>
        <w:rPr>
          <w:b/>
          <w:bCs/>
        </w:rPr>
      </w:pPr>
      <w:r w:rsidRPr="004A7B44">
        <w:rPr>
          <w:b/>
          <w:bCs/>
        </w:rPr>
        <w:t>Introduction</w:t>
      </w:r>
    </w:p>
    <w:p w14:paraId="38A73C26" w14:textId="6FE26A57" w:rsidR="000E4C5B" w:rsidRDefault="000E4C5B" w:rsidP="0064147B">
      <w:r>
        <w:t>Even for those unacquainted with the tenets of Islam, the Qur’an needs no introduction. This holy book of the Muslims forms the central authority of the Islamic faith, no matter what the sect of the believer. Everyone, from the majority Sunnis to minorities like the Shias, Ahmadiyas, Wahabis or Sufis, everyone accepts the Qur’an as the final word. It was revealed to the Prophet Muhammad through the archangel Gabriel or Jibril over a period of 23 years</w:t>
      </w:r>
      <w:r w:rsidR="008470DC">
        <w:t xml:space="preserve"> between </w:t>
      </w:r>
      <w:r w:rsidR="00B732B9">
        <w:t xml:space="preserve">the years </w:t>
      </w:r>
      <w:r w:rsidR="008470DC" w:rsidRPr="008470DC">
        <w:t>6</w:t>
      </w:r>
      <w:r w:rsidR="00B732B9">
        <w:t>10</w:t>
      </w:r>
      <w:r w:rsidR="008470DC" w:rsidRPr="008470DC">
        <w:t xml:space="preserve"> CE, when Muhammad was 40</w:t>
      </w:r>
      <w:r w:rsidR="008470DC">
        <w:t xml:space="preserve"> years of age</w:t>
      </w:r>
      <w:r w:rsidR="008470DC" w:rsidRPr="008470DC">
        <w:t xml:space="preserve">, </w:t>
      </w:r>
      <w:r w:rsidR="00B732B9">
        <w:t xml:space="preserve">and </w:t>
      </w:r>
      <w:r w:rsidR="008470DC" w:rsidRPr="008470DC">
        <w:t>632</w:t>
      </w:r>
      <w:r w:rsidR="008470DC">
        <w:t xml:space="preserve"> CE</w:t>
      </w:r>
      <w:r w:rsidR="008470DC" w:rsidRPr="008470DC">
        <w:t xml:space="preserve">, the year </w:t>
      </w:r>
      <w:r w:rsidR="008470DC">
        <w:t>he died</w:t>
      </w:r>
      <w:sdt>
        <w:sdtPr>
          <w:id w:val="-2036183085"/>
          <w:citation/>
        </w:sdtPr>
        <w:sdtEndPr/>
        <w:sdtContent>
          <w:r w:rsidR="00B732B9">
            <w:fldChar w:fldCharType="begin"/>
          </w:r>
          <w:r w:rsidR="00B732B9">
            <w:rPr>
              <w:lang w:val="en-IN"/>
            </w:rPr>
            <w:instrText xml:space="preserve">CITATION MAS05 \p xxxvii \l 16393 </w:instrText>
          </w:r>
          <w:r w:rsidR="00B732B9">
            <w:fldChar w:fldCharType="separate"/>
          </w:r>
          <w:r w:rsidR="00B732B9">
            <w:rPr>
              <w:noProof/>
              <w:lang w:val="en-IN"/>
            </w:rPr>
            <w:t xml:space="preserve"> (Haleem xxxvii)</w:t>
          </w:r>
          <w:r w:rsidR="00B732B9">
            <w:fldChar w:fldCharType="end"/>
          </w:r>
        </w:sdtContent>
      </w:sdt>
      <w:r w:rsidR="008470DC">
        <w:t xml:space="preserve">. </w:t>
      </w:r>
      <w:r>
        <w:t xml:space="preserve">The Revelations were in Arabic, and although Muhammmad was known to be illiterate, they were recalled, uttered, recorded, and memorised by his followers during his lifetime. </w:t>
      </w:r>
      <w:r w:rsidR="008470DC">
        <w:t xml:space="preserve">The Qur’an comprises </w:t>
      </w:r>
      <w:r w:rsidR="003A2C76">
        <w:t xml:space="preserve">114 chapters or </w:t>
      </w:r>
      <w:r w:rsidR="003A2C76" w:rsidRPr="003A2C76">
        <w:rPr>
          <w:i/>
          <w:iCs/>
        </w:rPr>
        <w:t>Surahs</w:t>
      </w:r>
      <w:r w:rsidR="003A2C76">
        <w:t xml:space="preserve">, which are further subdivided into verses or </w:t>
      </w:r>
      <w:r w:rsidR="003A2C76" w:rsidRPr="003A2C76">
        <w:rPr>
          <w:i/>
          <w:iCs/>
        </w:rPr>
        <w:t>Ayahs</w:t>
      </w:r>
      <w:r w:rsidR="003A2C76">
        <w:rPr>
          <w:i/>
          <w:iCs/>
        </w:rPr>
        <w:t>.</w:t>
      </w:r>
    </w:p>
    <w:p w14:paraId="6FDE2C7B" w14:textId="1F153061" w:rsidR="0082726B" w:rsidRDefault="004A7B44" w:rsidP="0064147B">
      <w:r w:rsidRPr="004A7B44">
        <w:t xml:space="preserve">The </w:t>
      </w:r>
      <w:r w:rsidR="007A04B7">
        <w:t>Al-Baqarah is the second surah of the holy Qur</w:t>
      </w:r>
      <w:r w:rsidR="009D131E">
        <w:t>’</w:t>
      </w:r>
      <w:r w:rsidR="007A04B7">
        <w:t xml:space="preserve">an and the longest with 286 </w:t>
      </w:r>
      <w:r w:rsidR="007A04B7" w:rsidRPr="007A04B7">
        <w:rPr>
          <w:i/>
          <w:iCs/>
        </w:rPr>
        <w:t>a</w:t>
      </w:r>
      <w:r w:rsidR="007A04B7">
        <w:rPr>
          <w:i/>
          <w:iCs/>
        </w:rPr>
        <w:t xml:space="preserve">yahs </w:t>
      </w:r>
      <w:r w:rsidR="007A04B7">
        <w:t xml:space="preserve">or verses. </w:t>
      </w:r>
      <w:r w:rsidR="005D1E31">
        <w:t xml:space="preserve">It has been classified as a Medinan surah i.e. one revealed to the Prophet Muhamad after the </w:t>
      </w:r>
      <w:r w:rsidR="005D1E31">
        <w:rPr>
          <w:i/>
          <w:iCs/>
        </w:rPr>
        <w:t xml:space="preserve">hijra </w:t>
      </w:r>
      <w:r w:rsidR="005D1E31">
        <w:t xml:space="preserve">and deals with a diverse set of subjects. </w:t>
      </w:r>
      <w:r w:rsidR="0082726B">
        <w:t xml:space="preserve">It has been called among the most important surahs of the Quran </w:t>
      </w:r>
      <w:r w:rsidR="00607BA5">
        <w:t>with the Prophet himself recommending its recital, calling it ‘the luminous one’ (along with al-Imran).’</w:t>
      </w:r>
      <w:sdt>
        <w:sdtPr>
          <w:id w:val="1068316020"/>
          <w:citation/>
        </w:sdtPr>
        <w:sdtEndPr/>
        <w:sdtContent>
          <w:r w:rsidR="00607BA5">
            <w:fldChar w:fldCharType="begin"/>
          </w:r>
          <w:r w:rsidR="00607BA5">
            <w:rPr>
              <w:lang w:val="en-IN"/>
            </w:rPr>
            <w:instrText xml:space="preserve">CITATION Mur14 \p 9 \l 16393 </w:instrText>
          </w:r>
          <w:r w:rsidR="00607BA5">
            <w:fldChar w:fldCharType="separate"/>
          </w:r>
          <w:r w:rsidR="00607BA5">
            <w:rPr>
              <w:noProof/>
              <w:lang w:val="en-IN"/>
            </w:rPr>
            <w:t xml:space="preserve"> (Murad 9)</w:t>
          </w:r>
          <w:r w:rsidR="00607BA5">
            <w:fldChar w:fldCharType="end"/>
          </w:r>
        </w:sdtContent>
      </w:sdt>
      <w:r w:rsidR="00607BA5">
        <w:t xml:space="preserve"> With an expansive scope, it may indeed serve as a crash course in Islamic faith and ethics and reading it may be equated to a mini reading of the Qur’an. For this reason, this surah makes for an important subject of study for any aspiring</w:t>
      </w:r>
      <w:r w:rsidR="00BF726A">
        <w:t xml:space="preserve"> or serious</w:t>
      </w:r>
      <w:r w:rsidR="00607BA5">
        <w:t xml:space="preserve"> scholar of Islam.</w:t>
      </w:r>
    </w:p>
    <w:p w14:paraId="6BB05AF5" w14:textId="4A0A7C0D" w:rsidR="0064147B" w:rsidRDefault="0064147B" w:rsidP="0064147B">
      <w:r>
        <w:t>For the purpose</w:t>
      </w:r>
      <w:r w:rsidR="00966978">
        <w:t>s</w:t>
      </w:r>
      <w:r>
        <w:t xml:space="preserve"> of </w:t>
      </w:r>
      <w:r w:rsidR="00966978">
        <w:t>t</w:t>
      </w:r>
      <w:r>
        <w:t xml:space="preserve">extual analysis </w:t>
      </w:r>
      <w:r w:rsidR="00966978">
        <w:t xml:space="preserve">of the Surah al-Baqarah </w:t>
      </w:r>
      <w:r>
        <w:t xml:space="preserve">in this paper, the English </w:t>
      </w:r>
      <w:sdt>
        <w:sdtPr>
          <w:id w:val="1022135867"/>
          <w:citation/>
        </w:sdtPr>
        <w:sdtEndPr/>
        <w:sdtContent>
          <w:r>
            <w:fldChar w:fldCharType="begin"/>
          </w:r>
          <w:r>
            <w:rPr>
              <w:lang w:val="en-IN"/>
            </w:rPr>
            <w:instrText xml:space="preserve"> CITATION MAS05 \l 16393 </w:instrText>
          </w:r>
          <w:r>
            <w:fldChar w:fldCharType="separate"/>
          </w:r>
          <w:r>
            <w:rPr>
              <w:noProof/>
              <w:lang w:val="en-IN"/>
            </w:rPr>
            <w:t>(Haleem)</w:t>
          </w:r>
          <w:r>
            <w:fldChar w:fldCharType="end"/>
          </w:r>
        </w:sdtContent>
      </w:sdt>
      <w:r>
        <w:t xml:space="preserve"> by M.A.S. Abdel Haleem has been primarily referred to, and it aims to understand and explain the context in which this Surah was revealed</w:t>
      </w:r>
      <w:r w:rsidR="004E5400">
        <w:t xml:space="preserve"> and used</w:t>
      </w:r>
      <w:r>
        <w:t xml:space="preserve">. </w:t>
      </w:r>
    </w:p>
    <w:p w14:paraId="7C799B4A" w14:textId="78BB9E3F" w:rsidR="0064147B" w:rsidRPr="0064147B" w:rsidRDefault="00780BB9" w:rsidP="008F7ACC">
      <w:pPr>
        <w:rPr>
          <w:b/>
          <w:bCs/>
        </w:rPr>
      </w:pPr>
      <w:r>
        <w:rPr>
          <w:b/>
          <w:bCs/>
        </w:rPr>
        <w:t>Nomenclature</w:t>
      </w:r>
    </w:p>
    <w:p w14:paraId="000052E1" w14:textId="6BB3FC51" w:rsidR="00B03C53" w:rsidRDefault="005D1E31" w:rsidP="008F7ACC">
      <w:r>
        <w:t>Translated from Arabic, ‘al-Baqarah’ means ‘the Cow’</w:t>
      </w:r>
      <w:r w:rsidR="00324921">
        <w:t xml:space="preserve"> or ‘the Heifer’</w:t>
      </w:r>
      <w:r>
        <w:t xml:space="preserve">, </w:t>
      </w:r>
      <w:r w:rsidR="00954040">
        <w:t>although it is not the subject of the Surah</w:t>
      </w:r>
      <w:r w:rsidR="004957F6">
        <w:t>.</w:t>
      </w:r>
      <w:r w:rsidR="00332042">
        <w:t xml:space="preserve"> </w:t>
      </w:r>
      <w:r w:rsidR="004957F6">
        <w:t>The reference to a cow occurs b</w:t>
      </w:r>
      <w:r w:rsidR="002A41D7">
        <w:t xml:space="preserve">etween verses 67 and 73, </w:t>
      </w:r>
      <w:r w:rsidR="004957F6">
        <w:t xml:space="preserve">in which </w:t>
      </w:r>
      <w:r w:rsidR="002A41D7">
        <w:t>Moses ask</w:t>
      </w:r>
      <w:r w:rsidR="004957F6">
        <w:t>s</w:t>
      </w:r>
      <w:r w:rsidR="002A41D7">
        <w:t xml:space="preserve"> Jews to slaughter a cow</w:t>
      </w:r>
      <w:r w:rsidR="004957F6">
        <w:t>,</w:t>
      </w:r>
      <w:r w:rsidR="002A41D7">
        <w:t xml:space="preserve"> </w:t>
      </w:r>
      <w:r w:rsidR="004957F6">
        <w:t xml:space="preserve">but </w:t>
      </w:r>
      <w:r w:rsidR="002A41D7">
        <w:t xml:space="preserve">it </w:t>
      </w:r>
      <w:r w:rsidR="004957F6">
        <w:t xml:space="preserve">appears </w:t>
      </w:r>
      <w:r w:rsidR="002A41D7">
        <w:t xml:space="preserve">to be a story fragment. </w:t>
      </w:r>
    </w:p>
    <w:p w14:paraId="4E8E9814" w14:textId="77777777" w:rsidR="00942D8D" w:rsidRDefault="002A41D7" w:rsidP="008F7ACC">
      <w:r>
        <w:t xml:space="preserve">The expanded version of the story occurs in a </w:t>
      </w:r>
      <w:r w:rsidRPr="002A41D7">
        <w:rPr>
          <w:i/>
          <w:iCs/>
        </w:rPr>
        <w:t>tafseer</w:t>
      </w:r>
      <w:r>
        <w:rPr>
          <w:i/>
          <w:iCs/>
        </w:rPr>
        <w:t xml:space="preserve"> </w:t>
      </w:r>
      <w:r>
        <w:t>or interpretation by the famous Syrian exegete, Ibn Kathir</w:t>
      </w:r>
      <w:sdt>
        <w:sdtPr>
          <w:id w:val="-1277087738"/>
          <w:citation/>
        </w:sdtPr>
        <w:sdtEndPr/>
        <w:sdtContent>
          <w:r w:rsidR="002E264A">
            <w:fldChar w:fldCharType="begin"/>
          </w:r>
          <w:r w:rsidR="00914065">
            <w:rPr>
              <w:lang w:val="en-IN"/>
            </w:rPr>
            <w:instrText xml:space="preserve">CITATION Ibn20 \l 16393 </w:instrText>
          </w:r>
          <w:r w:rsidR="002E264A">
            <w:fldChar w:fldCharType="separate"/>
          </w:r>
          <w:r w:rsidR="00914065">
            <w:rPr>
              <w:noProof/>
              <w:lang w:val="en-IN"/>
            </w:rPr>
            <w:t xml:space="preserve"> (Kathir)</w:t>
          </w:r>
          <w:r w:rsidR="002E264A">
            <w:fldChar w:fldCharType="end"/>
          </w:r>
        </w:sdtContent>
      </w:sdt>
      <w:r>
        <w:t xml:space="preserve">. It is important to know the full story to understand its relevance in the Surah al-Baqarah. </w:t>
      </w:r>
      <w:r w:rsidR="005B1099">
        <w:t xml:space="preserve">The story states how there was once a </w:t>
      </w:r>
      <w:r w:rsidR="002E264A">
        <w:t xml:space="preserve">rich </w:t>
      </w:r>
      <w:r w:rsidR="00904FB8">
        <w:t xml:space="preserve">but </w:t>
      </w:r>
      <w:r w:rsidR="002E264A">
        <w:t>impotent man who had no heirs. His greedy nephew killed him, placed his uncle’s body at the doorstep of another man and cried foul. People got into a fight with each other</w:t>
      </w:r>
      <w:r w:rsidR="00904FB8">
        <w:t xml:space="preserve"> about who was guilty,</w:t>
      </w:r>
      <w:r w:rsidR="002E264A">
        <w:t xml:space="preserve"> </w:t>
      </w:r>
      <w:r w:rsidR="00914065">
        <w:t xml:space="preserve">but then it was suggested that they seek </w:t>
      </w:r>
      <w:r w:rsidR="00914065">
        <w:lastRenderedPageBreak/>
        <w:t xml:space="preserve">guidance from God’s messenger, Moses, </w:t>
      </w:r>
      <w:r w:rsidR="00904FB8">
        <w:t xml:space="preserve">who </w:t>
      </w:r>
      <w:r w:rsidR="00914065">
        <w:t xml:space="preserve">was </w:t>
      </w:r>
      <w:r w:rsidR="00904FB8">
        <w:t xml:space="preserve">living </w:t>
      </w:r>
      <w:r w:rsidR="00914065">
        <w:t xml:space="preserve">right among them. </w:t>
      </w:r>
      <w:r w:rsidR="004963A8">
        <w:t xml:space="preserve">Moses </w:t>
      </w:r>
      <w:r w:rsidR="00914065">
        <w:t xml:space="preserve">then </w:t>
      </w:r>
      <w:r w:rsidR="00F942DC">
        <w:t xml:space="preserve">asked </w:t>
      </w:r>
      <w:r w:rsidR="007043A1">
        <w:t xml:space="preserve">the Israelite Jews </w:t>
      </w:r>
      <w:r w:rsidR="00F942DC">
        <w:t xml:space="preserve">for the </w:t>
      </w:r>
      <w:r w:rsidR="00324921">
        <w:t xml:space="preserve">slaughter </w:t>
      </w:r>
      <w:r w:rsidR="00F942DC">
        <w:t>of a cow</w:t>
      </w:r>
      <w:r w:rsidR="00583F8D">
        <w:t xml:space="preserve"> </w:t>
      </w:r>
      <w:r w:rsidR="00324921">
        <w:t>that would help settle the question about a murder</w:t>
      </w:r>
      <w:r w:rsidR="00F942DC">
        <w:t xml:space="preserve">. </w:t>
      </w:r>
    </w:p>
    <w:p w14:paraId="60AB646E" w14:textId="42934E5D" w:rsidR="00904FB8" w:rsidRDefault="00324921" w:rsidP="008F7ACC">
      <w:r>
        <w:t xml:space="preserve">Although any cow would have served the purpose, the Jews got suspicious and were convinced of Moses’ ordained method only when they </w:t>
      </w:r>
      <w:r w:rsidR="008F7ACC">
        <w:t xml:space="preserve">were asked </w:t>
      </w:r>
      <w:r>
        <w:t xml:space="preserve">to procure a specific kind of cow with difficulty. The cow was eventually obtained, </w:t>
      </w:r>
      <w:r w:rsidR="00904FB8">
        <w:t xml:space="preserve">its owner was given its skin’s fill of gold, and the animal was </w:t>
      </w:r>
      <w:r>
        <w:t xml:space="preserve">slaughtered </w:t>
      </w:r>
      <w:r w:rsidR="00904FB8">
        <w:t>as a ‘measure</w:t>
      </w:r>
      <w:r w:rsidR="00096B73">
        <w:t>’</w:t>
      </w:r>
      <w:r w:rsidR="00904FB8">
        <w:t xml:space="preserve"> </w:t>
      </w:r>
      <w:r w:rsidR="00096B73">
        <w:t>for judgement. When a part of the dead animal was touched to the corpse of the rich man, it came alive momentarily. The wise men asked him who had killed him</w:t>
      </w:r>
      <w:r w:rsidR="004957F6">
        <w:t>,</w:t>
      </w:r>
      <w:r w:rsidR="00096B73">
        <w:t xml:space="preserve"> and he pointed to this nephew. As the truth was revealed, the man died once again, and the nephew was charged as guilty and he received no inheritance. </w:t>
      </w:r>
    </w:p>
    <w:p w14:paraId="19FBAF81" w14:textId="51B904EB" w:rsidR="00954040" w:rsidRDefault="0064147B" w:rsidP="008F7ACC">
      <w:r>
        <w:t>T</w:t>
      </w:r>
      <w:r w:rsidR="008F7ACC">
        <w:t xml:space="preserve">he story is illustrative of the fallacy in certain kinds of </w:t>
      </w:r>
      <w:r w:rsidR="00C36BA8">
        <w:t xml:space="preserve">ritual </w:t>
      </w:r>
      <w:r w:rsidR="008F7ACC">
        <w:t xml:space="preserve">behaviours. </w:t>
      </w:r>
      <w:r w:rsidR="00C36BA8">
        <w:t xml:space="preserve">Because it becomes a metaphor for all the irreverent, arbitrary and impious </w:t>
      </w:r>
      <w:r w:rsidR="008F7ACC">
        <w:t>religious</w:t>
      </w:r>
      <w:r w:rsidR="00231541">
        <w:t xml:space="preserve"> </w:t>
      </w:r>
      <w:r w:rsidR="00C36BA8">
        <w:t xml:space="preserve">activities prevalent among the Jews of Medina at the time, the surah seems to be named </w:t>
      </w:r>
      <w:r w:rsidR="00CE4A00">
        <w:t>thus</w:t>
      </w:r>
      <w:r w:rsidR="00C36BA8">
        <w:t xml:space="preserve">. </w:t>
      </w:r>
      <w:r w:rsidR="00942D8D">
        <w:t xml:space="preserve">We shall come back to the motivations for this Revelation later in the paper. As far as the question of nomenclature is concerned, it </w:t>
      </w:r>
      <w:r w:rsidR="00B83E3A">
        <w:t xml:space="preserve">could also simply be a case of symbolism. </w:t>
      </w:r>
      <w:r w:rsidR="00B83E3A">
        <w:rPr>
          <w:lang w:val="en-IN"/>
        </w:rPr>
        <w:t xml:space="preserve">As with </w:t>
      </w:r>
      <w:r w:rsidR="004957F6">
        <w:t>many other Surahs in the Qur</w:t>
      </w:r>
      <w:r w:rsidR="009D131E">
        <w:t>’</w:t>
      </w:r>
      <w:r w:rsidR="004957F6">
        <w:t xml:space="preserve">an, the name ‘Al Baqarah’ is </w:t>
      </w:r>
      <w:r w:rsidR="00B83E3A">
        <w:t xml:space="preserve">just </w:t>
      </w:r>
      <w:r w:rsidR="004957F6">
        <w:t>a symbol – perhaps a shortened colloquialism for something like ‘the surah in which the story of the cow appears’.</w:t>
      </w:r>
      <w:r w:rsidR="00942D8D">
        <w:t xml:space="preserve"> </w:t>
      </w:r>
    </w:p>
    <w:p w14:paraId="31252FD9" w14:textId="66C68FBA" w:rsidR="00942D8D" w:rsidRPr="00942D8D" w:rsidRDefault="00541812" w:rsidP="008F7ACC">
      <w:pPr>
        <w:rPr>
          <w:b/>
          <w:bCs/>
        </w:rPr>
      </w:pPr>
      <w:r>
        <w:rPr>
          <w:b/>
          <w:bCs/>
        </w:rPr>
        <w:t xml:space="preserve">Classification and </w:t>
      </w:r>
      <w:r w:rsidR="00942D8D" w:rsidRPr="00942D8D">
        <w:rPr>
          <w:b/>
          <w:bCs/>
        </w:rPr>
        <w:t>Order</w:t>
      </w:r>
    </w:p>
    <w:p w14:paraId="232FE0F7" w14:textId="201E7C89" w:rsidR="009D131E" w:rsidRDefault="00942D8D" w:rsidP="00B1228B">
      <w:r>
        <w:t xml:space="preserve">The questions around naming conventions </w:t>
      </w:r>
      <w:r w:rsidR="00F82E0A">
        <w:t xml:space="preserve">lead us into the next common question about Quranic chapters – that of order. </w:t>
      </w:r>
      <w:r w:rsidR="009D131E">
        <w:t xml:space="preserve">Before the Qur’an was codified into the present structure by </w:t>
      </w:r>
      <w:r w:rsidR="000C47C3">
        <w:t xml:space="preserve">the third Caliph, Uthman, whereby it came to be known as the Uthmanic Codex, </w:t>
      </w:r>
      <w:r w:rsidR="00B06A8B">
        <w:t xml:space="preserve">it existed as uncollated written pieces. </w:t>
      </w:r>
      <w:r w:rsidR="003C5BE6">
        <w:t xml:space="preserve">These pieces were written by a group of 29 scribes </w:t>
      </w:r>
      <w:r w:rsidR="00F62B39">
        <w:t xml:space="preserve">and companions </w:t>
      </w:r>
      <w:r w:rsidR="003C5BE6">
        <w:t xml:space="preserve">known collectively as the </w:t>
      </w:r>
      <w:r w:rsidR="008339C4">
        <w:rPr>
          <w:i/>
          <w:iCs/>
        </w:rPr>
        <w:t>S</w:t>
      </w:r>
      <w:r w:rsidR="003C5BE6">
        <w:rPr>
          <w:i/>
          <w:iCs/>
        </w:rPr>
        <w:t>ahaba</w:t>
      </w:r>
      <w:r w:rsidR="00F62B39">
        <w:rPr>
          <w:i/>
          <w:iCs/>
        </w:rPr>
        <w:t>h</w:t>
      </w:r>
      <w:r w:rsidR="003C5BE6">
        <w:rPr>
          <w:i/>
          <w:iCs/>
        </w:rPr>
        <w:t xml:space="preserve">. </w:t>
      </w:r>
      <w:r w:rsidR="003C5BE6">
        <w:t xml:space="preserve">The Prophet’s son-in-law, </w:t>
      </w:r>
      <w:r w:rsidR="00B06A8B">
        <w:t>Abu Bakr</w:t>
      </w:r>
      <w:r w:rsidR="00F62B39">
        <w:t>,</w:t>
      </w:r>
      <w:r w:rsidR="00B06A8B">
        <w:t xml:space="preserve"> had it all compiled into one copy after the Prophet’s death, and Uthman ordered several copies of it to be made and distributed throughout the Islamic world</w:t>
      </w:r>
      <w:sdt>
        <w:sdtPr>
          <w:id w:val="-407228146"/>
          <w:citation/>
        </w:sdtPr>
        <w:sdtEndPr/>
        <w:sdtContent>
          <w:r w:rsidR="00B06A8B">
            <w:fldChar w:fldCharType="begin"/>
          </w:r>
          <w:r w:rsidR="00B06A8B">
            <w:rPr>
              <w:lang w:val="en-IN"/>
            </w:rPr>
            <w:instrText xml:space="preserve">CITATION MAS05 \p xv-xvii \l 16393 </w:instrText>
          </w:r>
          <w:r w:rsidR="00B06A8B">
            <w:fldChar w:fldCharType="separate"/>
          </w:r>
          <w:r w:rsidR="00B06A8B">
            <w:rPr>
              <w:noProof/>
              <w:lang w:val="en-IN"/>
            </w:rPr>
            <w:t xml:space="preserve"> (Haleem xv-xvii)</w:t>
          </w:r>
          <w:r w:rsidR="00B06A8B">
            <w:fldChar w:fldCharType="end"/>
          </w:r>
        </w:sdtContent>
      </w:sdt>
      <w:r w:rsidR="00B06A8B">
        <w:t xml:space="preserve">. </w:t>
      </w:r>
    </w:p>
    <w:p w14:paraId="0230C223" w14:textId="3348994D" w:rsidR="00B06A8B" w:rsidRDefault="000216F4" w:rsidP="00B1228B">
      <w:r>
        <w:t>For a</w:t>
      </w:r>
      <w:r w:rsidR="00024B4B">
        <w:t xml:space="preserve"> lay reader, the </w:t>
      </w:r>
      <w:r w:rsidR="009056B8">
        <w:t xml:space="preserve">apparent </w:t>
      </w:r>
      <w:r w:rsidR="00024B4B">
        <w:t xml:space="preserve">lack of thematic or chronological </w:t>
      </w:r>
      <w:r w:rsidR="009056B8">
        <w:t xml:space="preserve">order </w:t>
      </w:r>
      <w:r w:rsidR="00B06A8B">
        <w:t xml:space="preserve">even in the Uthmanic Codex </w:t>
      </w:r>
      <w:r w:rsidR="009056B8">
        <w:t xml:space="preserve">can seem confusing. </w:t>
      </w:r>
      <w:r w:rsidR="00CD1091">
        <w:t xml:space="preserve">Reams have been written by scholars over the centuries trying to justify the sequence of the compilation, but there seem to be no </w:t>
      </w:r>
      <w:r w:rsidR="00B6199B">
        <w:t>universally accepted</w:t>
      </w:r>
      <w:r w:rsidR="00CD1091">
        <w:t xml:space="preserve"> answers. </w:t>
      </w:r>
      <w:r w:rsidR="001D7182">
        <w:t>Since the surahs don’t make much thematic sense, o</w:t>
      </w:r>
      <w:r w:rsidR="008339C4">
        <w:t xml:space="preserve">ne explanation is that </w:t>
      </w:r>
      <w:r w:rsidR="002F05C6">
        <w:t xml:space="preserve">the Sahabah merely arranged </w:t>
      </w:r>
      <w:r w:rsidR="001D7182">
        <w:t xml:space="preserve">them </w:t>
      </w:r>
      <w:r w:rsidR="002F05C6">
        <w:t xml:space="preserve">in descending order of their length (the first surah is an exception) </w:t>
      </w:r>
      <w:r w:rsidR="001D7182">
        <w:t xml:space="preserve">placing </w:t>
      </w:r>
      <w:r w:rsidR="002F05C6">
        <w:t>the longest surah i.e. the al-Baqarah first</w:t>
      </w:r>
      <w:sdt>
        <w:sdtPr>
          <w:id w:val="-1889101036"/>
          <w:citation/>
        </w:sdtPr>
        <w:sdtEndPr/>
        <w:sdtContent>
          <w:r w:rsidR="00895AAF">
            <w:fldChar w:fldCharType="begin"/>
          </w:r>
          <w:r w:rsidR="0040057C">
            <w:rPr>
              <w:lang w:val="en-IN"/>
            </w:rPr>
            <w:instrText xml:space="preserve">CITATION The13 \l 16393 </w:instrText>
          </w:r>
          <w:r w:rsidR="00895AAF">
            <w:fldChar w:fldCharType="separate"/>
          </w:r>
          <w:r w:rsidR="0040057C">
            <w:rPr>
              <w:noProof/>
              <w:lang w:val="en-IN"/>
            </w:rPr>
            <w:t xml:space="preserve"> (Britannica)</w:t>
          </w:r>
          <w:r w:rsidR="00895AAF">
            <w:fldChar w:fldCharType="end"/>
          </w:r>
        </w:sdtContent>
      </w:sdt>
      <w:r w:rsidR="002F05C6">
        <w:t xml:space="preserve">. </w:t>
      </w:r>
      <w:r w:rsidR="0078429D">
        <w:t>Another explanation is that each surah is complete unto itself and can be read in isolation</w:t>
      </w:r>
      <w:sdt>
        <w:sdtPr>
          <w:id w:val="1484504880"/>
          <w:citation/>
        </w:sdtPr>
        <w:sdtEndPr/>
        <w:sdtContent>
          <w:r w:rsidR="00F81E88">
            <w:fldChar w:fldCharType="begin"/>
          </w:r>
          <w:r w:rsidR="00F81E88">
            <w:rPr>
              <w:lang w:val="en-IN"/>
            </w:rPr>
            <w:instrText xml:space="preserve"> CITATION Mur14 \l 16393 </w:instrText>
          </w:r>
          <w:r w:rsidR="00F81E88">
            <w:fldChar w:fldCharType="separate"/>
          </w:r>
          <w:r w:rsidR="00F81E88">
            <w:rPr>
              <w:noProof/>
              <w:lang w:val="en-IN"/>
            </w:rPr>
            <w:t xml:space="preserve"> (Murad)</w:t>
          </w:r>
          <w:r w:rsidR="00F81E88">
            <w:fldChar w:fldCharType="end"/>
          </w:r>
        </w:sdtContent>
      </w:sdt>
      <w:r w:rsidR="0078429D">
        <w:t xml:space="preserve">. Hence, there is no apparent need for thematic coherence. </w:t>
      </w:r>
    </w:p>
    <w:p w14:paraId="51EC174A" w14:textId="77777777" w:rsidR="00EB1489" w:rsidRDefault="00B6199B" w:rsidP="00B1228B">
      <w:r>
        <w:t xml:space="preserve">However, </w:t>
      </w:r>
      <w:r w:rsidR="00BD2283">
        <w:t xml:space="preserve">a more </w:t>
      </w:r>
      <w:r>
        <w:t xml:space="preserve">common </w:t>
      </w:r>
      <w:r w:rsidR="003F049A">
        <w:t xml:space="preserve">system of organisation </w:t>
      </w:r>
      <w:r w:rsidR="00BD2283">
        <w:t xml:space="preserve">is one </w:t>
      </w:r>
      <w:r>
        <w:t xml:space="preserve">based on the </w:t>
      </w:r>
      <w:r w:rsidR="0033182A">
        <w:t xml:space="preserve">location </w:t>
      </w:r>
      <w:r>
        <w:t xml:space="preserve">of their respective revelations. </w:t>
      </w:r>
      <w:r w:rsidR="000407F4">
        <w:t>Surahs revealed to the Prophet Muhammad while he lived in Mecca are called the Meccan</w:t>
      </w:r>
      <w:r w:rsidR="00895AAF">
        <w:t>/</w:t>
      </w:r>
      <w:r w:rsidR="000407F4">
        <w:t xml:space="preserve"> </w:t>
      </w:r>
      <w:r w:rsidR="00590AC4">
        <w:t>Makki</w:t>
      </w:r>
      <w:r w:rsidR="00895AAF">
        <w:t xml:space="preserve">/ Makkiyah </w:t>
      </w:r>
      <w:r w:rsidR="0040057C">
        <w:t>s</w:t>
      </w:r>
      <w:r w:rsidR="000407F4">
        <w:t xml:space="preserve">urahs, while those revealed to him after the </w:t>
      </w:r>
      <w:r w:rsidR="000407F4">
        <w:rPr>
          <w:i/>
          <w:iCs/>
        </w:rPr>
        <w:t xml:space="preserve">hijra </w:t>
      </w:r>
      <w:r w:rsidR="003C5BE6" w:rsidRPr="003C5BE6">
        <w:t>(622 CE)</w:t>
      </w:r>
      <w:r w:rsidR="003C5BE6">
        <w:rPr>
          <w:i/>
          <w:iCs/>
        </w:rPr>
        <w:t xml:space="preserve"> </w:t>
      </w:r>
      <w:r w:rsidR="000407F4">
        <w:t>or move to Medina are called the Medinan</w:t>
      </w:r>
      <w:r w:rsidR="00895AAF">
        <w:t>/</w:t>
      </w:r>
      <w:r w:rsidR="00590AC4">
        <w:t>Medini</w:t>
      </w:r>
      <w:r w:rsidR="00895AAF">
        <w:t>/ M</w:t>
      </w:r>
      <w:r w:rsidR="0040057C">
        <w:t>a</w:t>
      </w:r>
      <w:r w:rsidR="00895AAF">
        <w:t>daniyyah</w:t>
      </w:r>
      <w:r w:rsidR="00590AC4">
        <w:t xml:space="preserve"> </w:t>
      </w:r>
      <w:r w:rsidR="0040057C">
        <w:t>s</w:t>
      </w:r>
      <w:r w:rsidR="000407F4">
        <w:t>urahs.</w:t>
      </w:r>
      <w:r w:rsidR="00B06A8B">
        <w:t xml:space="preserve"> </w:t>
      </w:r>
      <w:r w:rsidR="003C5BE6">
        <w:t>Apart from Muhammad</w:t>
      </w:r>
      <w:r w:rsidR="00EB1489">
        <w:t xml:space="preserve">’s own geographic </w:t>
      </w:r>
      <w:r w:rsidR="002A3237">
        <w:t>labell</w:t>
      </w:r>
      <w:r w:rsidR="00EB1489">
        <w:t>ing</w:t>
      </w:r>
      <w:r w:rsidR="002A3237">
        <w:t xml:space="preserve"> </w:t>
      </w:r>
      <w:r w:rsidR="00EB1489">
        <w:t xml:space="preserve">of </w:t>
      </w:r>
      <w:r w:rsidR="002A3237">
        <w:t>the surahs in his lifetime</w:t>
      </w:r>
      <w:r w:rsidR="003C5BE6">
        <w:t>,</w:t>
      </w:r>
      <w:r w:rsidR="002A3237">
        <w:t xml:space="preserve"> they can be distinguished by theme</w:t>
      </w:r>
      <w:r w:rsidR="003C5BE6">
        <w:t xml:space="preserve"> </w:t>
      </w:r>
      <w:r w:rsidR="002A3237">
        <w:t>too.</w:t>
      </w:r>
      <w:r w:rsidR="00C10616">
        <w:t xml:space="preserve"> </w:t>
      </w:r>
    </w:p>
    <w:p w14:paraId="5AE15998" w14:textId="34C703DD" w:rsidR="00B6199B" w:rsidRDefault="00C10616" w:rsidP="00B1228B">
      <w:r>
        <w:t>Broadly speaking, the Meccan surahs deal with the fundamental tenets of the new faith, whereas</w:t>
      </w:r>
      <w:r w:rsidR="002A3237">
        <w:t xml:space="preserve"> </w:t>
      </w:r>
      <w:r>
        <w:t xml:space="preserve">the Medinan surahs instruct about the ways of living. </w:t>
      </w:r>
      <w:r w:rsidR="007A69E3">
        <w:t xml:space="preserve">The Surah al-Baqarah is decidedly a Medinan surah and offers fairly detailed instructions on the practice of religion, social norms and legal regulations. </w:t>
      </w:r>
      <w:r w:rsidR="00B80076">
        <w:t xml:space="preserve">As mentioned earlier, this surah is the second and the longest one in the Qur’an. </w:t>
      </w:r>
    </w:p>
    <w:p w14:paraId="085A0A55" w14:textId="072EA269" w:rsidR="006E1485" w:rsidRDefault="00904544" w:rsidP="00B1228B">
      <w:pPr>
        <w:rPr>
          <w:b/>
          <w:bCs/>
        </w:rPr>
      </w:pPr>
      <w:r>
        <w:rPr>
          <w:b/>
          <w:bCs/>
        </w:rPr>
        <w:lastRenderedPageBreak/>
        <w:t>Revelation</w:t>
      </w:r>
      <w:r w:rsidR="002E40FC">
        <w:rPr>
          <w:b/>
          <w:bCs/>
        </w:rPr>
        <w:t>,</w:t>
      </w:r>
      <w:r>
        <w:rPr>
          <w:b/>
          <w:bCs/>
        </w:rPr>
        <w:t xml:space="preserve"> t</w:t>
      </w:r>
      <w:r w:rsidR="006E1485" w:rsidRPr="006E1485">
        <w:rPr>
          <w:b/>
          <w:bCs/>
        </w:rPr>
        <w:t xml:space="preserve">hemes </w:t>
      </w:r>
      <w:r w:rsidR="002E40FC">
        <w:rPr>
          <w:b/>
          <w:bCs/>
        </w:rPr>
        <w:t xml:space="preserve">and structure </w:t>
      </w:r>
      <w:r w:rsidR="006E1485" w:rsidRPr="006E1485">
        <w:rPr>
          <w:b/>
          <w:bCs/>
        </w:rPr>
        <w:t>in the surah</w:t>
      </w:r>
    </w:p>
    <w:p w14:paraId="2A042D9E" w14:textId="5377F00D" w:rsidR="00904544" w:rsidRDefault="006E6498" w:rsidP="00B1228B">
      <w:r>
        <w:t xml:space="preserve">Speaking about the revelation of the </w:t>
      </w:r>
      <w:r w:rsidRPr="006E6498">
        <w:rPr>
          <w:i/>
          <w:iCs/>
        </w:rPr>
        <w:t>surahs</w:t>
      </w:r>
      <w:r>
        <w:t xml:space="preserve"> and their contexts</w:t>
      </w:r>
      <w:r w:rsidR="00F81E88">
        <w:t>,</w:t>
      </w:r>
      <w:r w:rsidR="00853922">
        <w:t xml:space="preserve"> Murad </w:t>
      </w:r>
      <w:sdt>
        <w:sdtPr>
          <w:id w:val="-1609267725"/>
          <w:citation/>
        </w:sdtPr>
        <w:sdtEndPr/>
        <w:sdtContent>
          <w:r w:rsidR="00853922">
            <w:fldChar w:fldCharType="begin"/>
          </w:r>
          <w:r w:rsidR="00853922">
            <w:rPr>
              <w:lang w:val="en-IN"/>
            </w:rPr>
            <w:instrText xml:space="preserve"> CITATION Mur14 \l 16393 </w:instrText>
          </w:r>
          <w:r w:rsidR="00853922">
            <w:fldChar w:fldCharType="separate"/>
          </w:r>
          <w:r w:rsidR="00853922">
            <w:rPr>
              <w:noProof/>
              <w:lang w:val="en-IN"/>
            </w:rPr>
            <w:t>(Murad)</w:t>
          </w:r>
          <w:r w:rsidR="00853922">
            <w:fldChar w:fldCharType="end"/>
          </w:r>
        </w:sdtContent>
      </w:sdt>
      <w:r w:rsidR="00853922">
        <w:t xml:space="preserve"> quotes the great 18</w:t>
      </w:r>
      <w:r w:rsidR="00853922" w:rsidRPr="00853922">
        <w:rPr>
          <w:vertAlign w:val="superscript"/>
        </w:rPr>
        <w:t>th</w:t>
      </w:r>
      <w:r w:rsidR="00853922">
        <w:t xml:space="preserve"> century Quranic scholar, Shah Waliullah of Delhi: “the only (and always) valid ‘occasion for revelation’ for any part of the Qur’an is ‘to guide mankind to right beliefs and conduct’.”</w:t>
      </w:r>
      <w:r w:rsidR="00610297">
        <w:t xml:space="preserve"> </w:t>
      </w:r>
      <w:r w:rsidR="000E74A3">
        <w:t>This is an assertion of the general belief of the Muslim believer in the universality of the Qur’an’s message</w:t>
      </w:r>
      <w:sdt>
        <w:sdtPr>
          <w:id w:val="-867211652"/>
          <w:citation/>
        </w:sdtPr>
        <w:sdtEndPr/>
        <w:sdtContent>
          <w:r w:rsidR="00893942">
            <w:fldChar w:fldCharType="begin"/>
          </w:r>
          <w:r w:rsidR="00893942">
            <w:rPr>
              <w:lang w:val="en-IN"/>
            </w:rPr>
            <w:instrText xml:space="preserve">CITATION MAS05 \p xxii \l 16393 </w:instrText>
          </w:r>
          <w:r w:rsidR="00893942">
            <w:fldChar w:fldCharType="separate"/>
          </w:r>
          <w:r w:rsidR="00893942">
            <w:rPr>
              <w:noProof/>
              <w:lang w:val="en-IN"/>
            </w:rPr>
            <w:t xml:space="preserve"> (Haleem xxii)</w:t>
          </w:r>
          <w:r w:rsidR="00893942">
            <w:fldChar w:fldCharType="end"/>
          </w:r>
        </w:sdtContent>
      </w:sdt>
      <w:r w:rsidR="000E74A3">
        <w:t xml:space="preserve">. That the divine revelations were not meant only the Prophet and his contemporaries but also for all people in all times. </w:t>
      </w:r>
    </w:p>
    <w:p w14:paraId="123D4C38" w14:textId="4600E526" w:rsidR="00F9533B" w:rsidRDefault="006E6498" w:rsidP="006E6498">
      <w:r>
        <w:t xml:space="preserve">However, for purposes of textual analysis, some contextualisation and categorisations are necessary. As the most important piece of literature and authority in Islamic history, the Qur’an forms the social, cultural and legal basis of life in places where people practise Islam. </w:t>
      </w:r>
      <w:r w:rsidRPr="000A13D9">
        <w:t xml:space="preserve">The </w:t>
      </w:r>
      <w:r>
        <w:t xml:space="preserve">voluminous surah with 286 verses deals with numerous subjects. Various </w:t>
      </w:r>
      <w:r>
        <w:rPr>
          <w:i/>
          <w:iCs/>
        </w:rPr>
        <w:t xml:space="preserve">tafsirs </w:t>
      </w:r>
      <w:r w:rsidRPr="0078429D">
        <w:t>offer</w:t>
      </w:r>
      <w:r>
        <w:rPr>
          <w:i/>
          <w:iCs/>
        </w:rPr>
        <w:t xml:space="preserve"> </w:t>
      </w:r>
      <w:r>
        <w:t xml:space="preserve">explanations about the occasions of revelation for the verses of the al-Baqarah and other suras. These are often useful for understanding the specific sociocultural contexts in which certain </w:t>
      </w:r>
      <w:r w:rsidRPr="00F81E88">
        <w:rPr>
          <w:i/>
          <w:iCs/>
        </w:rPr>
        <w:t>ayahs</w:t>
      </w:r>
      <w:r>
        <w:t xml:space="preserve"> or sections were revealed. </w:t>
      </w:r>
      <w:r w:rsidR="00F9533B">
        <w:t>It is claimed that barring some small sections, which may have been revealed at other times, a major chunk of the surah al-Baqarah was revealed to the Prophet in the months leading up to March 624CE or Ramadan 2AH, when a clash between him and his followers and the Meccan Quraysh forces took place. Muhammad had just about moved to Medina and was trying to organise the first community of followers into something resembling a society. They faced hostilities from the resident Jews and Christians as also the indigenous polytheistic Meccan tribes</w:t>
      </w:r>
      <w:sdt>
        <w:sdtPr>
          <w:id w:val="-1232160150"/>
          <w:citation/>
        </w:sdtPr>
        <w:sdtEndPr/>
        <w:sdtContent>
          <w:r w:rsidR="00F9533B">
            <w:fldChar w:fldCharType="begin"/>
          </w:r>
          <w:r w:rsidR="00F9533B">
            <w:rPr>
              <w:lang w:val="en-IN"/>
            </w:rPr>
            <w:instrText xml:space="preserve"> CITATION Ray10 \l 16393 </w:instrText>
          </w:r>
          <w:r w:rsidR="00F9533B">
            <w:fldChar w:fldCharType="separate"/>
          </w:r>
          <w:r w:rsidR="00F9533B">
            <w:rPr>
              <w:noProof/>
              <w:lang w:val="en-IN"/>
            </w:rPr>
            <w:t xml:space="preserve"> (Farrin)</w:t>
          </w:r>
          <w:r w:rsidR="00F9533B">
            <w:fldChar w:fldCharType="end"/>
          </w:r>
        </w:sdtContent>
      </w:sdt>
      <w:r w:rsidR="00F9533B">
        <w:t xml:space="preserve">. It is under these circumstances that the Qur’an offered all manner of guidelines necessary to establish a coherent framework of faith and law. </w:t>
      </w:r>
    </w:p>
    <w:p w14:paraId="487C0298" w14:textId="2BDC1198" w:rsidR="00893942" w:rsidRDefault="00DA4ABC" w:rsidP="006E6498">
      <w:r>
        <w:t xml:space="preserve">Some of the </w:t>
      </w:r>
      <w:r w:rsidR="00893942">
        <w:t>thematic classification</w:t>
      </w:r>
      <w:r>
        <w:t>s</w:t>
      </w:r>
      <w:r w:rsidR="00893942">
        <w:t xml:space="preserve"> offered by </w:t>
      </w:r>
      <w:r>
        <w:t xml:space="preserve">scholars in their </w:t>
      </w:r>
      <w:r w:rsidR="00893942">
        <w:t>analysis of the structure of the Surah al-Baqarah</w:t>
      </w:r>
      <w:r>
        <w:t xml:space="preserve"> are as under</w:t>
      </w:r>
      <w:r w:rsidR="00B617A7">
        <w:t>. These have been compiled by Farrin in his paper on the same subject</w:t>
      </w:r>
      <w:sdt>
        <w:sdtPr>
          <w:id w:val="-1331600874"/>
          <w:citation/>
        </w:sdtPr>
        <w:sdtEndPr/>
        <w:sdtContent>
          <w:r w:rsidR="00B617A7">
            <w:fldChar w:fldCharType="begin"/>
          </w:r>
          <w:r w:rsidR="00B617A7">
            <w:rPr>
              <w:lang w:val="en-IN"/>
            </w:rPr>
            <w:instrText xml:space="preserve"> CITATION Ray10 \l 16393 </w:instrText>
          </w:r>
          <w:r w:rsidR="00B617A7">
            <w:fldChar w:fldCharType="separate"/>
          </w:r>
          <w:r w:rsidR="00B617A7">
            <w:rPr>
              <w:noProof/>
              <w:lang w:val="en-IN"/>
            </w:rPr>
            <w:t xml:space="preserve"> (Farrin)</w:t>
          </w:r>
          <w:r w:rsidR="00B617A7">
            <w:fldChar w:fldCharType="end"/>
          </w:r>
        </w:sdtContent>
      </w:sdt>
      <w:r w:rsidR="00B617A7">
        <w:t xml:space="preserve">. </w:t>
      </w:r>
    </w:p>
    <w:p w14:paraId="349BB209" w14:textId="3626D3FE" w:rsidR="006C26A8" w:rsidRDefault="006C26A8" w:rsidP="006C26A8">
      <w:pPr>
        <w:pStyle w:val="NoSpacing"/>
      </w:pPr>
      <w:r>
        <w:t>According to Islahi, the surah can be broken up into the following components:</w:t>
      </w:r>
    </w:p>
    <w:p w14:paraId="7E105417" w14:textId="77777777" w:rsidR="006C26A8" w:rsidRDefault="006C26A8" w:rsidP="006C26A8">
      <w:pPr>
        <w:pStyle w:val="NoSpacing"/>
      </w:pPr>
      <w:r>
        <w:t>Introduction: 1–39</w:t>
      </w:r>
    </w:p>
    <w:p w14:paraId="5376E878" w14:textId="77777777" w:rsidR="006C26A8" w:rsidRDefault="006C26A8" w:rsidP="006C26A8">
      <w:pPr>
        <w:pStyle w:val="NoSpacing"/>
      </w:pPr>
      <w:r>
        <w:t>Address to the Israelites: 40–121</w:t>
      </w:r>
    </w:p>
    <w:p w14:paraId="13C13603" w14:textId="77777777" w:rsidR="006C26A8" w:rsidRDefault="006C26A8" w:rsidP="006C26A8">
      <w:pPr>
        <w:pStyle w:val="NoSpacing"/>
      </w:pPr>
      <w:r>
        <w:t>The Abrahamic Legacy: 122–62</w:t>
      </w:r>
    </w:p>
    <w:p w14:paraId="7641D293" w14:textId="76269AF2" w:rsidR="006C26A8" w:rsidRDefault="006C26A8" w:rsidP="006C26A8">
      <w:pPr>
        <w:pStyle w:val="NoSpacing"/>
      </w:pPr>
      <w:r>
        <w:t>The Shari‘a or Law: 163–242</w:t>
      </w:r>
    </w:p>
    <w:p w14:paraId="5638482A" w14:textId="77777777" w:rsidR="006C26A8" w:rsidRDefault="006C26A8" w:rsidP="006C26A8">
      <w:pPr>
        <w:pStyle w:val="NoSpacing"/>
      </w:pPr>
      <w:r>
        <w:t>Liberation of the Ka‘ba: 243–83</w:t>
      </w:r>
    </w:p>
    <w:p w14:paraId="0A9F90D1" w14:textId="4835495A" w:rsidR="006C26A8" w:rsidRDefault="006C26A8" w:rsidP="006C26A8">
      <w:pPr>
        <w:pStyle w:val="NoSpacing"/>
      </w:pPr>
      <w:r>
        <w:t>Conclusion: 284–86</w:t>
      </w:r>
    </w:p>
    <w:p w14:paraId="0634F158" w14:textId="77777777" w:rsidR="00771752" w:rsidRDefault="00771752" w:rsidP="006C26A8">
      <w:pPr>
        <w:pStyle w:val="NoSpacing"/>
      </w:pPr>
    </w:p>
    <w:p w14:paraId="48994496" w14:textId="4B2FDCC3" w:rsidR="00B617A7" w:rsidRDefault="006C26A8" w:rsidP="006C26A8">
      <w:pPr>
        <w:pStyle w:val="NoSpacing"/>
      </w:pPr>
      <w:r>
        <w:t>According to Robinson, the ayahs can be divided as under:</w:t>
      </w:r>
    </w:p>
    <w:p w14:paraId="7316FE36" w14:textId="77777777" w:rsidR="006C26A8" w:rsidRDefault="006C26A8" w:rsidP="006C26A8">
      <w:pPr>
        <w:pStyle w:val="NoSpacing"/>
      </w:pPr>
      <w:r>
        <w:t>The prologue: 1–39</w:t>
      </w:r>
    </w:p>
    <w:p w14:paraId="54235833" w14:textId="77777777" w:rsidR="006C26A8" w:rsidRDefault="006C26A8" w:rsidP="006C26A8">
      <w:pPr>
        <w:pStyle w:val="NoSpacing"/>
      </w:pPr>
      <w:r>
        <w:t>Criticism of the Children of Israel: 40–121</w:t>
      </w:r>
    </w:p>
    <w:p w14:paraId="6AFB7CA8" w14:textId="77777777" w:rsidR="006C26A8" w:rsidRDefault="006C26A8" w:rsidP="006C26A8">
      <w:pPr>
        <w:pStyle w:val="NoSpacing"/>
      </w:pPr>
      <w:r>
        <w:t>The Abrahamic Legacy: 122–52</w:t>
      </w:r>
    </w:p>
    <w:p w14:paraId="4CEA3AF5" w14:textId="77777777" w:rsidR="006C26A8" w:rsidRDefault="006C26A8" w:rsidP="006C26A8">
      <w:pPr>
        <w:pStyle w:val="NoSpacing"/>
      </w:pPr>
      <w:r>
        <w:t>Legislation for the new nation: 153–242</w:t>
      </w:r>
    </w:p>
    <w:p w14:paraId="50E4A1A5" w14:textId="77777777" w:rsidR="006C26A8" w:rsidRDefault="006C26A8" w:rsidP="006C26A8">
      <w:pPr>
        <w:pStyle w:val="NoSpacing"/>
      </w:pPr>
      <w:r>
        <w:t>The struggle to liberate the Ka‘ba: 243–83</w:t>
      </w:r>
    </w:p>
    <w:p w14:paraId="4A2A6440" w14:textId="50F526F6" w:rsidR="006C26A8" w:rsidRDefault="006C26A8" w:rsidP="006C26A8">
      <w:pPr>
        <w:pStyle w:val="NoSpacing"/>
        <w:rPr>
          <w:lang w:val="en-IN"/>
        </w:rPr>
      </w:pPr>
      <w:r>
        <w:t>The epilogue: 284–86</w:t>
      </w:r>
    </w:p>
    <w:p w14:paraId="67E489ED" w14:textId="458C2BC7" w:rsidR="00771752" w:rsidRDefault="00771752" w:rsidP="006C26A8">
      <w:pPr>
        <w:pStyle w:val="NoSpacing"/>
        <w:rPr>
          <w:lang w:val="en-IN"/>
        </w:rPr>
      </w:pPr>
    </w:p>
    <w:p w14:paraId="2D78539A" w14:textId="66259772" w:rsidR="00771752" w:rsidRDefault="00771752" w:rsidP="006C26A8">
      <w:pPr>
        <w:pStyle w:val="NoSpacing"/>
        <w:rPr>
          <w:lang w:val="en-IN"/>
        </w:rPr>
      </w:pPr>
      <w:r>
        <w:rPr>
          <w:lang w:val="en-IN"/>
        </w:rPr>
        <w:t>As per Zahniser, the arrangement is as follows:</w:t>
      </w:r>
    </w:p>
    <w:p w14:paraId="06D55567" w14:textId="77777777" w:rsidR="00771752" w:rsidRPr="00771752" w:rsidRDefault="00771752" w:rsidP="00771752">
      <w:pPr>
        <w:pStyle w:val="NoSpacing"/>
        <w:rPr>
          <w:lang w:val="en-IN"/>
        </w:rPr>
      </w:pPr>
      <w:r w:rsidRPr="00771752">
        <w:rPr>
          <w:lang w:val="en-IN"/>
        </w:rPr>
        <w:t>Prologue: 1–39</w:t>
      </w:r>
    </w:p>
    <w:p w14:paraId="413A15A7" w14:textId="77777777" w:rsidR="00771752" w:rsidRPr="00771752" w:rsidRDefault="00771752" w:rsidP="00771752">
      <w:pPr>
        <w:pStyle w:val="NoSpacing"/>
        <w:rPr>
          <w:lang w:val="en-IN"/>
        </w:rPr>
      </w:pPr>
      <w:r w:rsidRPr="00771752">
        <w:rPr>
          <w:lang w:val="en-IN"/>
        </w:rPr>
        <w:t>Islam is for the People of the Book: 40–152</w:t>
      </w:r>
    </w:p>
    <w:p w14:paraId="6C5D7B36" w14:textId="77777777" w:rsidR="00771752" w:rsidRPr="00771752" w:rsidRDefault="00771752" w:rsidP="00771752">
      <w:pPr>
        <w:pStyle w:val="NoSpacing"/>
        <w:rPr>
          <w:lang w:val="en-IN"/>
        </w:rPr>
      </w:pPr>
      <w:r w:rsidRPr="00771752">
        <w:rPr>
          <w:lang w:val="en-IN"/>
        </w:rPr>
        <w:t>(subdivided as “Children of Israel,” 40–121, and “Unite,” 122–52)</w:t>
      </w:r>
    </w:p>
    <w:p w14:paraId="594CB4C3" w14:textId="77777777" w:rsidR="00771752" w:rsidRPr="00771752" w:rsidRDefault="00771752" w:rsidP="00771752">
      <w:pPr>
        <w:pStyle w:val="NoSpacing"/>
        <w:rPr>
          <w:lang w:val="en-IN"/>
        </w:rPr>
      </w:pPr>
      <w:r w:rsidRPr="00771752">
        <w:rPr>
          <w:lang w:val="en-IN"/>
        </w:rPr>
        <w:t>Hinge: 153–62</w:t>
      </w:r>
    </w:p>
    <w:p w14:paraId="6EBF7747" w14:textId="77777777" w:rsidR="00771752" w:rsidRPr="00771752" w:rsidRDefault="00771752" w:rsidP="00771752">
      <w:pPr>
        <w:pStyle w:val="NoSpacing"/>
        <w:rPr>
          <w:lang w:val="en-IN"/>
        </w:rPr>
      </w:pPr>
      <w:r w:rsidRPr="00771752">
        <w:rPr>
          <w:lang w:val="en-IN"/>
        </w:rPr>
        <w:lastRenderedPageBreak/>
        <w:t>Law and Liberation: 163–283</w:t>
      </w:r>
    </w:p>
    <w:p w14:paraId="424FC1D9" w14:textId="77777777" w:rsidR="00771752" w:rsidRPr="00771752" w:rsidRDefault="00771752" w:rsidP="00771752">
      <w:pPr>
        <w:pStyle w:val="NoSpacing"/>
        <w:rPr>
          <w:lang w:val="en-IN"/>
        </w:rPr>
      </w:pPr>
      <w:r w:rsidRPr="00771752">
        <w:rPr>
          <w:lang w:val="en-IN"/>
        </w:rPr>
        <w:t>(subdivided as “Communal Guidance,” 163–242, and “Free Ka‘ba,” 243–83)</w:t>
      </w:r>
    </w:p>
    <w:p w14:paraId="13F2B0F9" w14:textId="08CC80C5" w:rsidR="00771752" w:rsidRPr="00771752" w:rsidRDefault="00771752" w:rsidP="00771752">
      <w:pPr>
        <w:pStyle w:val="NoSpacing"/>
        <w:rPr>
          <w:lang w:val="en-IN"/>
        </w:rPr>
      </w:pPr>
      <w:r w:rsidRPr="00771752">
        <w:rPr>
          <w:lang w:val="en-IN"/>
        </w:rPr>
        <w:t>Epilogue: 284–86</w:t>
      </w:r>
    </w:p>
    <w:p w14:paraId="03FC9326" w14:textId="228860E9" w:rsidR="00893942" w:rsidRDefault="00893942" w:rsidP="006E6498"/>
    <w:p w14:paraId="64FA7D12" w14:textId="1E23302C" w:rsidR="00771752" w:rsidRDefault="00771752" w:rsidP="00771752">
      <w:pPr>
        <w:pStyle w:val="NoSpacing"/>
      </w:pPr>
      <w:r>
        <w:t>Whereas Smith’s perceived arrangement is:</w:t>
      </w:r>
    </w:p>
    <w:p w14:paraId="5E3C70B6" w14:textId="6B9FB52D" w:rsidR="00771752" w:rsidRDefault="00771752" w:rsidP="00771752">
      <w:pPr>
        <w:pStyle w:val="NoSpacing"/>
      </w:pPr>
      <w:r>
        <w:t>Establishment of the Authority of the Qur’an and Muhammad: 2–39</w:t>
      </w:r>
    </w:p>
    <w:p w14:paraId="4FBCD520" w14:textId="77777777" w:rsidR="00771752" w:rsidRDefault="00771752" w:rsidP="00771752">
      <w:pPr>
        <w:pStyle w:val="NoSpacing"/>
      </w:pPr>
      <w:r>
        <w:t>Failure of the Children of Israel: 40–118</w:t>
      </w:r>
    </w:p>
    <w:p w14:paraId="1A4912C1" w14:textId="68F67DC0" w:rsidR="00771752" w:rsidRDefault="00771752" w:rsidP="00771752">
      <w:pPr>
        <w:pStyle w:val="NoSpacing"/>
      </w:pPr>
      <w:r>
        <w:t>Reaffirmation of the Authority of the Qur’an and Muhammad: 119–67</w:t>
      </w:r>
    </w:p>
    <w:p w14:paraId="00613FB2" w14:textId="77777777" w:rsidR="00771752" w:rsidRDefault="00771752" w:rsidP="00771752">
      <w:pPr>
        <w:pStyle w:val="NoSpacing"/>
      </w:pPr>
      <w:r>
        <w:t>Basic Islamic Legislation: 168–284</w:t>
      </w:r>
    </w:p>
    <w:p w14:paraId="46FBD622" w14:textId="2DD55161" w:rsidR="00771752" w:rsidRDefault="00771752" w:rsidP="00771752">
      <w:pPr>
        <w:pStyle w:val="NoSpacing"/>
      </w:pPr>
      <w:r>
        <w:t>Reaffirmation of Muhammad's Authority and Concluding Prayer: 285–86</w:t>
      </w:r>
    </w:p>
    <w:p w14:paraId="06AD21E8" w14:textId="77777777" w:rsidR="003910E4" w:rsidRDefault="003910E4" w:rsidP="00B1228B"/>
    <w:p w14:paraId="425AAAD1" w14:textId="74691D76" w:rsidR="003C3439" w:rsidRDefault="00E42D84" w:rsidP="00B1228B">
      <w:r>
        <w:t>Like other scholars before him Farrin analyses</w:t>
      </w:r>
      <w:r w:rsidR="003910E4">
        <w:t xml:space="preserve"> the surahs on recurrent patterns, which </w:t>
      </w:r>
      <w:r>
        <w:t xml:space="preserve">are </w:t>
      </w:r>
      <w:r w:rsidR="003910E4">
        <w:t>called Ring Composition</w:t>
      </w:r>
      <w:r>
        <w:t>s</w:t>
      </w:r>
      <w:r w:rsidR="003910E4">
        <w:t>. A ring composition has been defined</w:t>
      </w:r>
      <w:sdt>
        <w:sdtPr>
          <w:id w:val="1382372393"/>
          <w:citation/>
        </w:sdtPr>
        <w:sdtEndPr/>
        <w:sdtContent>
          <w:r w:rsidR="003910E4">
            <w:fldChar w:fldCharType="begin"/>
          </w:r>
          <w:r w:rsidR="003910E4">
            <w:rPr>
              <w:lang w:val="en-IN"/>
            </w:rPr>
            <w:instrText xml:space="preserve"> CITATION Jos93 \l 16393 </w:instrText>
          </w:r>
          <w:r w:rsidR="003910E4">
            <w:fldChar w:fldCharType="separate"/>
          </w:r>
          <w:r w:rsidR="003910E4">
            <w:rPr>
              <w:noProof/>
              <w:lang w:val="en-IN"/>
            </w:rPr>
            <w:t xml:space="preserve"> (Dane)</w:t>
          </w:r>
          <w:r w:rsidR="003910E4">
            <w:fldChar w:fldCharType="end"/>
          </w:r>
        </w:sdtContent>
      </w:sdt>
      <w:r w:rsidR="003910E4">
        <w:t xml:space="preserve"> as “the repetition and sequence of motifs that lead into and out of a digression in a narrative text, and, in some scholarship, to the sequence of the motifs within those digressions.”</w:t>
      </w:r>
      <w:r>
        <w:t xml:space="preserve"> The motifs in this case are thematic, </w:t>
      </w:r>
      <w:r w:rsidR="00EF27BF">
        <w:t xml:space="preserve">which may be inferred </w:t>
      </w:r>
      <w:r>
        <w:t xml:space="preserve">from some of the analytic blocks </w:t>
      </w:r>
      <w:r w:rsidR="00EF27BF">
        <w:t xml:space="preserve">listed </w:t>
      </w:r>
      <w:r>
        <w:t xml:space="preserve">above. </w:t>
      </w:r>
      <w:r w:rsidR="00BC2F96">
        <w:t>With its luxury of expanse, t</w:t>
      </w:r>
      <w:r w:rsidR="0082726B">
        <w:t xml:space="preserve">he Surah al-Baqarah </w:t>
      </w:r>
      <w:r w:rsidR="00BC2F96">
        <w:t xml:space="preserve">proposes and reiterates certain ideas over and over as if in alternating concentric circles. This is what is understood to be a ring – strategic repetitions not only as literary but also mnemonic devices. </w:t>
      </w:r>
      <w:r w:rsidR="003C3439">
        <w:t xml:space="preserve">The following diagram is illustrative of </w:t>
      </w:r>
      <w:r w:rsidR="001417E4">
        <w:t xml:space="preserve">a </w:t>
      </w:r>
      <w:r w:rsidR="003C3439">
        <w:t xml:space="preserve">ring-style composition </w:t>
      </w:r>
      <w:r w:rsidR="001417E4">
        <w:t xml:space="preserve">analysis </w:t>
      </w:r>
      <w:r w:rsidR="003C3439">
        <w:t>of this surah.</w:t>
      </w:r>
    </w:p>
    <w:p w14:paraId="40F8D12D" w14:textId="77777777" w:rsidR="00D01A80" w:rsidRDefault="00D01A80" w:rsidP="00D01A80">
      <w:pPr>
        <w:keepNext/>
      </w:pPr>
      <w:r>
        <w:rPr>
          <w:noProof/>
        </w:rPr>
        <w:drawing>
          <wp:inline distT="0" distB="0" distL="0" distR="0" wp14:anchorId="332F34E6" wp14:editId="17E0C92D">
            <wp:extent cx="5293882" cy="4286250"/>
            <wp:effectExtent l="0" t="0" r="254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qarah-ring composition-structure.jpg"/>
                    <pic:cNvPicPr/>
                  </pic:nvPicPr>
                  <pic:blipFill>
                    <a:blip r:embed="rId5">
                      <a:extLst>
                        <a:ext uri="{28A0092B-C50C-407E-A947-70E740481C1C}">
                          <a14:useLocalDpi xmlns:a14="http://schemas.microsoft.com/office/drawing/2010/main" val="0"/>
                        </a:ext>
                      </a:extLst>
                    </a:blip>
                    <a:stretch>
                      <a:fillRect/>
                    </a:stretch>
                  </pic:blipFill>
                  <pic:spPr>
                    <a:xfrm>
                      <a:off x="0" y="0"/>
                      <a:ext cx="5294943" cy="4287109"/>
                    </a:xfrm>
                    <a:prstGeom prst="rect">
                      <a:avLst/>
                    </a:prstGeom>
                  </pic:spPr>
                </pic:pic>
              </a:graphicData>
            </a:graphic>
          </wp:inline>
        </w:drawing>
      </w:r>
    </w:p>
    <w:p w14:paraId="5BEB9D29" w14:textId="6AB5F101" w:rsidR="003C3439" w:rsidRDefault="00D01A80" w:rsidP="00D01A80">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Illustration of the Surah al-Baqarah's ring composition via </w:t>
      </w:r>
      <w:r w:rsidRPr="000676E7">
        <w:t>https://integralisme.wordpress.com/2015/07/28/double-ring-structure-of-al-baqara/</w:t>
      </w:r>
    </w:p>
    <w:p w14:paraId="7D54984B" w14:textId="3977D048" w:rsidR="006E6498" w:rsidRDefault="00691486" w:rsidP="00B1228B">
      <w:r>
        <w:lastRenderedPageBreak/>
        <w:t xml:space="preserve">The divinity of the design aside, it is useful to bear </w:t>
      </w:r>
      <w:r w:rsidR="00BC2F96">
        <w:t>in mind that such works are always meant to be recited</w:t>
      </w:r>
      <w:r>
        <w:t xml:space="preserve"> and hence the usefulness of such structure in composition. </w:t>
      </w:r>
      <w:r w:rsidR="00A62146">
        <w:t>Roughly speaking, t</w:t>
      </w:r>
      <w:r w:rsidR="009766F5">
        <w:t xml:space="preserve">he </w:t>
      </w:r>
      <w:r w:rsidR="009766F5" w:rsidRPr="00A62146">
        <w:rPr>
          <w:i/>
          <w:iCs/>
        </w:rPr>
        <w:t>surah</w:t>
      </w:r>
      <w:r w:rsidR="009766F5">
        <w:t xml:space="preserve"> starts with the assertion of authority, moves on countering Jewish practises, offers rules and laws </w:t>
      </w:r>
      <w:r w:rsidR="00DA014B">
        <w:t xml:space="preserve">(Sharia) </w:t>
      </w:r>
      <w:r w:rsidR="009766F5">
        <w:t xml:space="preserve">for a new society, offers more counterpoints to Judaism by way of establishing new prayer rules (with respect to the Ka’ba) and rounds off again by reinforcing the authority of Muhammad and of itself (i.e. the Qur’an). </w:t>
      </w:r>
      <w:r w:rsidR="00D626B3">
        <w:t xml:space="preserve">Thus, sections </w:t>
      </w:r>
      <w:r w:rsidR="005D6324">
        <w:t>one</w:t>
      </w:r>
      <w:r w:rsidR="00D626B3">
        <w:t xml:space="preserve"> and </w:t>
      </w:r>
      <w:r w:rsidR="005D6324">
        <w:t xml:space="preserve">five </w:t>
      </w:r>
      <w:r w:rsidR="00D626B3">
        <w:t xml:space="preserve">correspond, as do sections </w:t>
      </w:r>
      <w:r w:rsidR="005D6324">
        <w:t xml:space="preserve">two </w:t>
      </w:r>
      <w:r w:rsidR="00D626B3">
        <w:t xml:space="preserve">and </w:t>
      </w:r>
      <w:r w:rsidR="005D6324">
        <w:t>four</w:t>
      </w:r>
      <w:r w:rsidR="00D626B3">
        <w:t xml:space="preserve">, with a unique section three at the centre. </w:t>
      </w:r>
    </w:p>
    <w:p w14:paraId="4A5DD919" w14:textId="218E7D24" w:rsidR="00E94EC9" w:rsidRDefault="00E94EC9" w:rsidP="00B1228B">
      <w:r>
        <w:t xml:space="preserve">The idea of a ring composition is especially applicable to a certain </w:t>
      </w:r>
      <w:r w:rsidRPr="00E94EC9">
        <w:rPr>
          <w:i/>
          <w:iCs/>
        </w:rPr>
        <w:t>ayat</w:t>
      </w:r>
      <w:r>
        <w:t xml:space="preserve"> of the Surah al-Baqarah, from the point of view of verse symmetry. Occurring towards the end, </w:t>
      </w:r>
      <w:r w:rsidRPr="00E94EC9">
        <w:rPr>
          <w:i/>
          <w:iCs/>
        </w:rPr>
        <w:t>ayah</w:t>
      </w:r>
      <w:r>
        <w:t xml:space="preserve"> number 255, known as the Al-Kursi </w:t>
      </w:r>
      <w:r w:rsidR="00CC7BBB">
        <w:t>or the Throne Verse is one of the most well</w:t>
      </w:r>
      <w:r w:rsidR="00C71825">
        <w:t>-</w:t>
      </w:r>
      <w:r w:rsidR="00CC7BBB">
        <w:t>known of Quranic verses. It speaks about the majesty and splendour of Allah</w:t>
      </w:r>
      <w:r>
        <w:t xml:space="preserve"> </w:t>
      </w:r>
      <w:r w:rsidR="00CC7BBB">
        <w:t xml:space="preserve">and hence the allusion to the throne. It is considered powerful and with talismanic qualities with many Muslims reciting it before embarking upon a journey or keeping its framed prints in their homes. </w:t>
      </w:r>
    </w:p>
    <w:p w14:paraId="46A2DD4C" w14:textId="0BD99CDD" w:rsidR="00C45A49" w:rsidRPr="00C45A49" w:rsidRDefault="00C45A49" w:rsidP="00B1228B">
      <w:pPr>
        <w:rPr>
          <w:b/>
          <w:bCs/>
        </w:rPr>
      </w:pPr>
      <w:r w:rsidRPr="00C45A49">
        <w:rPr>
          <w:b/>
          <w:bCs/>
        </w:rPr>
        <w:t>Applica</w:t>
      </w:r>
      <w:r w:rsidR="0052502F">
        <w:rPr>
          <w:b/>
          <w:bCs/>
        </w:rPr>
        <w:t>tions and ramifications</w:t>
      </w:r>
    </w:p>
    <w:p w14:paraId="72ABFD19" w14:textId="0A5C64B8" w:rsidR="005D6324" w:rsidRDefault="00CC7BBB" w:rsidP="00D609B2">
      <w:r>
        <w:t>Coming back to the broader point of ring compositions, t</w:t>
      </w:r>
      <w:r w:rsidR="00C11741">
        <w:t>he first and the fifth sections that are about establishing authority follow on from the Meccan surahs</w:t>
      </w:r>
      <w:r w:rsidR="00D609B2">
        <w:t>. As Haleem says, the Meccan suras establish the “basic beliefs in Islam––the unity of God as evidenced by His ‘signs’ (ayat), the prophethood of Muhammad, and the Resurrection and Final Judgement––and these themes are reiterated again and again for emphasis and to reinforce Quranic teachings.”</w:t>
      </w:r>
      <w:r w:rsidR="00C11741">
        <w:t xml:space="preserve"> </w:t>
      </w:r>
    </w:p>
    <w:p w14:paraId="2C36899B" w14:textId="074C8BDD" w:rsidR="009766F5" w:rsidRDefault="00D609B2" w:rsidP="00D609B2">
      <w:r>
        <w:t xml:space="preserve">Although they are chronologically revealed sooner than the Medinan ones, the reiteration of these ideas becomes important in the scheme of written records. One encountering the written/printed Quran would reach the Meccan messages later, and therefore the inclusion of these fundamental ideas </w:t>
      </w:r>
      <w:r w:rsidR="005D6324">
        <w:t xml:space="preserve">right at the beginning (section 1) of </w:t>
      </w:r>
      <w:r>
        <w:t>what is effectively the first chapter makes perfect sense.</w:t>
      </w:r>
      <w:r w:rsidR="005D6324">
        <w:t xml:space="preserve"> It primes the reader to the idea of authority and rounds off the chapter (section 5) just the same. </w:t>
      </w:r>
      <w:r w:rsidR="006D1DD6">
        <w:t xml:space="preserve">It ascertains that the reader reposes complete faith in what is about to </w:t>
      </w:r>
      <w:r w:rsidR="007A6861">
        <w:t>transpire in the rest of the chapter and the book.</w:t>
      </w:r>
      <w:r w:rsidR="00104629">
        <w:t xml:space="preserve"> </w:t>
      </w:r>
      <w:r w:rsidR="00EC207D">
        <w:t xml:space="preserve">Quoted below are some random </w:t>
      </w:r>
      <w:r w:rsidR="00104629">
        <w:t>verse</w:t>
      </w:r>
      <w:r w:rsidR="00EC207D">
        <w:t xml:space="preserve"> selections that are examples of such assertions.</w:t>
      </w:r>
    </w:p>
    <w:p w14:paraId="398A914D" w14:textId="1C59802A" w:rsidR="00EC207D" w:rsidRPr="00EC207D" w:rsidRDefault="00EC207D" w:rsidP="00D609B2">
      <w:pPr>
        <w:rPr>
          <w:i/>
          <w:iCs/>
        </w:rPr>
      </w:pPr>
      <w:r w:rsidRPr="00EC207D">
        <w:rPr>
          <w:i/>
          <w:iCs/>
        </w:rPr>
        <w:t xml:space="preserve">Verse 21: </w:t>
      </w:r>
      <w:r w:rsidRPr="00EC207D">
        <w:rPr>
          <w:i/>
          <w:iCs/>
        </w:rPr>
        <w:t>People, worship your Lord, who created you and those before you, so that you may be mindful [of Him]</w:t>
      </w:r>
    </w:p>
    <w:p w14:paraId="30967A64" w14:textId="78F5200B" w:rsidR="00EC207D" w:rsidRDefault="00EC207D" w:rsidP="00EC207D">
      <w:pPr>
        <w:rPr>
          <w:i/>
          <w:iCs/>
        </w:rPr>
      </w:pPr>
      <w:r w:rsidRPr="00EC207D">
        <w:rPr>
          <w:i/>
          <w:iCs/>
        </w:rPr>
        <w:t xml:space="preserve">Verse 25: </w:t>
      </w:r>
      <w:r w:rsidRPr="00EC207D">
        <w:rPr>
          <w:i/>
          <w:iCs/>
        </w:rPr>
        <w:t>[Prophet], give those who believe and do good the news that they will have Gardens graced with flowing streams. Whenever they are given sustenance from the fruits of these Gardens, they will say, ‘We have been given this before,’ because they were provided with something like it. They will have pure spouses and there they</w:t>
      </w:r>
      <w:r w:rsidRPr="00EC207D">
        <w:rPr>
          <w:i/>
          <w:iCs/>
        </w:rPr>
        <w:t xml:space="preserve"> </w:t>
      </w:r>
      <w:r w:rsidRPr="00EC207D">
        <w:rPr>
          <w:i/>
          <w:iCs/>
        </w:rPr>
        <w:t>will stay.</w:t>
      </w:r>
    </w:p>
    <w:p w14:paraId="32E69D68" w14:textId="26474C5B" w:rsidR="00F234EA" w:rsidRPr="00F234EA" w:rsidRDefault="00F234EA" w:rsidP="00F234EA">
      <w:pPr>
        <w:rPr>
          <w:i/>
          <w:iCs/>
        </w:rPr>
      </w:pPr>
      <w:r>
        <w:rPr>
          <w:i/>
          <w:iCs/>
        </w:rPr>
        <w:t xml:space="preserve">Verse 285: </w:t>
      </w:r>
      <w:r w:rsidRPr="00F234EA">
        <w:rPr>
          <w:i/>
          <w:iCs/>
        </w:rPr>
        <w:t>The Messenger believes in what has been sent down to him</w:t>
      </w:r>
      <w:r>
        <w:rPr>
          <w:i/>
          <w:iCs/>
        </w:rPr>
        <w:t xml:space="preserve"> </w:t>
      </w:r>
      <w:r w:rsidRPr="00F234EA">
        <w:rPr>
          <w:i/>
          <w:iCs/>
        </w:rPr>
        <w:t>from his Lord, as do the faithful. They all believe in God, His angels,</w:t>
      </w:r>
      <w:r>
        <w:rPr>
          <w:i/>
          <w:iCs/>
        </w:rPr>
        <w:t xml:space="preserve"> </w:t>
      </w:r>
      <w:r w:rsidRPr="00F234EA">
        <w:rPr>
          <w:i/>
          <w:iCs/>
        </w:rPr>
        <w:t>His scriptures, and His messengers. ‘We make no distinction</w:t>
      </w:r>
      <w:r>
        <w:rPr>
          <w:i/>
          <w:iCs/>
        </w:rPr>
        <w:t xml:space="preserve"> </w:t>
      </w:r>
      <w:r w:rsidRPr="00F234EA">
        <w:rPr>
          <w:i/>
          <w:iCs/>
        </w:rPr>
        <w:t>between any of His messengers,’ they say, ‘We hear and obey. Grant</w:t>
      </w:r>
      <w:r>
        <w:rPr>
          <w:i/>
          <w:iCs/>
        </w:rPr>
        <w:t xml:space="preserve"> </w:t>
      </w:r>
      <w:r w:rsidRPr="00F234EA">
        <w:rPr>
          <w:i/>
          <w:iCs/>
        </w:rPr>
        <w:t>us Your forgiveness, our Lord. To You we all return!’</w:t>
      </w:r>
    </w:p>
    <w:p w14:paraId="272FFC0E" w14:textId="73F5E3A9" w:rsidR="00E943FE" w:rsidRDefault="007A6861" w:rsidP="00D609B2">
      <w:r>
        <w:t xml:space="preserve">But the Qur’an does not stop at making a statement of authority in the first and last sections. It fortifies its authority by refuting certain extant ideas </w:t>
      </w:r>
      <w:r w:rsidR="00A11DD2">
        <w:t>and confirming</w:t>
      </w:r>
      <w:r w:rsidR="00E70A2A">
        <w:t xml:space="preserve"> some</w:t>
      </w:r>
      <w:r w:rsidR="00A11DD2">
        <w:t xml:space="preserve"> others. In sections two and four, these happen by way of comparisons and contrasts with the Jewish and Christian </w:t>
      </w:r>
      <w:r w:rsidR="00A11DD2">
        <w:lastRenderedPageBreak/>
        <w:t xml:space="preserve">communities, especially the former, </w:t>
      </w:r>
      <w:r w:rsidR="00E70A2A">
        <w:t xml:space="preserve">as </w:t>
      </w:r>
      <w:r w:rsidR="00A11DD2">
        <w:t>also the doubters</w:t>
      </w:r>
      <w:r w:rsidR="00E70A2A">
        <w:t xml:space="preserve"> and disbelievers</w:t>
      </w:r>
      <w:r w:rsidR="00A11DD2">
        <w:t>.</w:t>
      </w:r>
      <w:r w:rsidR="00104629">
        <w:t xml:space="preserve"> What is interesting about the Surah al-Baqarah is</w:t>
      </w:r>
      <w:r w:rsidR="00A11DD2">
        <w:t xml:space="preserve"> </w:t>
      </w:r>
      <w:r w:rsidR="00104629">
        <w:t xml:space="preserve">how it proffers recognition and legitimacy to the Judeo-Christian community by calling them </w:t>
      </w:r>
      <w:r w:rsidR="00E70A2A">
        <w:t>“</w:t>
      </w:r>
      <w:r w:rsidR="00104629">
        <w:t>people of the book</w:t>
      </w:r>
      <w:r w:rsidR="00E70A2A">
        <w:t xml:space="preserve">” or </w:t>
      </w:r>
      <w:r w:rsidR="00E70A2A" w:rsidRPr="00E70A2A">
        <w:rPr>
          <w:i/>
          <w:iCs/>
        </w:rPr>
        <w:t>al-kitaab</w:t>
      </w:r>
      <w:r w:rsidR="00394706">
        <w:t xml:space="preserve">. </w:t>
      </w:r>
      <w:r w:rsidR="00E943FE">
        <w:t>It makes the effort to remind these communities of a shared ancestry and tradition as in the verses 139-140 below:</w:t>
      </w:r>
    </w:p>
    <w:p w14:paraId="7FF8C5AD" w14:textId="76361457" w:rsidR="00E943FE" w:rsidRPr="00E943FE" w:rsidRDefault="00E943FE" w:rsidP="00E943FE">
      <w:pPr>
        <w:rPr>
          <w:i/>
          <w:iCs/>
        </w:rPr>
      </w:pPr>
      <w:r w:rsidRPr="00E943FE">
        <w:rPr>
          <w:i/>
          <w:iCs/>
        </w:rPr>
        <w:t>Say [Prophet] [to the Jews and Christians], ‘How can you argue</w:t>
      </w:r>
      <w:r w:rsidRPr="00E943FE">
        <w:rPr>
          <w:i/>
          <w:iCs/>
        </w:rPr>
        <w:t xml:space="preserve"> </w:t>
      </w:r>
      <w:r w:rsidRPr="00E943FE">
        <w:rPr>
          <w:i/>
          <w:iCs/>
        </w:rPr>
        <w:t>with us about God when He is our Lord and your Lord? Our deeds</w:t>
      </w:r>
      <w:r w:rsidRPr="00E943FE">
        <w:rPr>
          <w:i/>
          <w:iCs/>
        </w:rPr>
        <w:t xml:space="preserve"> </w:t>
      </w:r>
      <w:r w:rsidRPr="00E943FE">
        <w:rPr>
          <w:i/>
          <w:iCs/>
        </w:rPr>
        <w:t>belong to us, and yours to you. We devote ourselves entirely to Him.</w:t>
      </w:r>
      <w:r w:rsidRPr="00E943FE">
        <w:rPr>
          <w:i/>
          <w:iCs/>
        </w:rPr>
        <w:t xml:space="preserve"> </w:t>
      </w:r>
      <w:r w:rsidRPr="00E943FE">
        <w:rPr>
          <w:i/>
          <w:iCs/>
        </w:rPr>
        <w:t>140 Or are you saying that Abraham, Ishmael, Isaac, Jacob, and the</w:t>
      </w:r>
      <w:r w:rsidRPr="00E943FE">
        <w:rPr>
          <w:i/>
          <w:iCs/>
        </w:rPr>
        <w:t xml:space="preserve"> </w:t>
      </w:r>
      <w:r w:rsidRPr="00E943FE">
        <w:rPr>
          <w:i/>
          <w:iCs/>
        </w:rPr>
        <w:t>Tribes were Jews or Christians?’ [Prophet], ask them, ‘Who knows</w:t>
      </w:r>
      <w:r w:rsidRPr="00E943FE">
        <w:rPr>
          <w:i/>
          <w:iCs/>
        </w:rPr>
        <w:t xml:space="preserve"> </w:t>
      </w:r>
      <w:r w:rsidRPr="00E943FE">
        <w:rPr>
          <w:i/>
          <w:iCs/>
        </w:rPr>
        <w:t>better: you or God? Who could be more wicked than those who hide</w:t>
      </w:r>
      <w:r w:rsidRPr="00E943FE">
        <w:rPr>
          <w:i/>
          <w:iCs/>
        </w:rPr>
        <w:t xml:space="preserve"> </w:t>
      </w:r>
      <w:r w:rsidRPr="00E943FE">
        <w:rPr>
          <w:i/>
          <w:iCs/>
        </w:rPr>
        <w:t>a testimony [they received] from God? God is not unmindful of</w:t>
      </w:r>
      <w:r w:rsidRPr="00E943FE">
        <w:rPr>
          <w:i/>
          <w:iCs/>
        </w:rPr>
        <w:t xml:space="preserve"> </w:t>
      </w:r>
      <w:r w:rsidRPr="00E943FE">
        <w:rPr>
          <w:i/>
          <w:iCs/>
        </w:rPr>
        <w:t>what you do.’</w:t>
      </w:r>
    </w:p>
    <w:p w14:paraId="33314ECF" w14:textId="59E40986" w:rsidR="00E943FE" w:rsidRPr="004371F1" w:rsidRDefault="00394706" w:rsidP="00E943FE">
      <w:r>
        <w:t>That said, the acceptance seems to be laced with some wariness</w:t>
      </w:r>
      <w:r w:rsidR="00E943FE">
        <w:t xml:space="preserve"> and</w:t>
      </w:r>
      <w:r w:rsidR="00C271A8">
        <w:t xml:space="preserve"> suspicion</w:t>
      </w:r>
      <w:r w:rsidR="00E943FE">
        <w:t xml:space="preserve">. </w:t>
      </w:r>
      <w:r w:rsidR="00E943FE">
        <w:t>The</w:t>
      </w:r>
      <w:r w:rsidR="00E943FE">
        <w:t xml:space="preserve"> following</w:t>
      </w:r>
      <w:r w:rsidR="00E943FE">
        <w:t xml:space="preserve"> vers</w:t>
      </w:r>
      <w:r w:rsidR="009C57CD">
        <w:t>e</w:t>
      </w:r>
      <w:r w:rsidR="00E943FE">
        <w:t xml:space="preserve"> </w:t>
      </w:r>
      <w:r w:rsidR="00E943FE">
        <w:t xml:space="preserve">may allow one to </w:t>
      </w:r>
      <w:r w:rsidR="00E943FE">
        <w:t>infer that the relationships between the Jewish, Christian and new Muslim communities were tenuous at best</w:t>
      </w:r>
      <w:r w:rsidR="00E943FE">
        <w:t xml:space="preserve"> at the time of the revelation.</w:t>
      </w:r>
      <w:r w:rsidR="00E943FE">
        <w:t xml:space="preserve"> </w:t>
      </w:r>
    </w:p>
    <w:p w14:paraId="20D94360" w14:textId="0E737ABD" w:rsidR="007A6861" w:rsidRPr="00394706" w:rsidRDefault="00394706" w:rsidP="00394706">
      <w:pPr>
        <w:rPr>
          <w:i/>
          <w:iCs/>
        </w:rPr>
      </w:pPr>
      <w:r w:rsidRPr="00394706">
        <w:rPr>
          <w:i/>
          <w:iCs/>
        </w:rPr>
        <w:t xml:space="preserve">Verse </w:t>
      </w:r>
      <w:r w:rsidRPr="00394706">
        <w:rPr>
          <w:i/>
          <w:iCs/>
        </w:rPr>
        <w:t>109</w:t>
      </w:r>
      <w:r w:rsidRPr="00394706">
        <w:rPr>
          <w:i/>
          <w:iCs/>
        </w:rPr>
        <w:t xml:space="preserve">: </w:t>
      </w:r>
      <w:r w:rsidRPr="00394706">
        <w:rPr>
          <w:i/>
          <w:iCs/>
        </w:rPr>
        <w:t>Even after the truth has become</w:t>
      </w:r>
      <w:r w:rsidRPr="00394706">
        <w:rPr>
          <w:i/>
          <w:iCs/>
        </w:rPr>
        <w:t xml:space="preserve"> </w:t>
      </w:r>
      <w:r w:rsidRPr="00394706">
        <w:rPr>
          <w:i/>
          <w:iCs/>
        </w:rPr>
        <w:t>clear to them, many of the People of the Book wish they could turn</w:t>
      </w:r>
      <w:r w:rsidRPr="00394706">
        <w:rPr>
          <w:i/>
          <w:iCs/>
        </w:rPr>
        <w:t xml:space="preserve"> </w:t>
      </w:r>
      <w:r w:rsidRPr="00394706">
        <w:rPr>
          <w:i/>
          <w:iCs/>
        </w:rPr>
        <w:t>you back to disbelief after you have believed, out of their selfish envy.</w:t>
      </w:r>
      <w:r w:rsidRPr="00394706">
        <w:rPr>
          <w:i/>
          <w:iCs/>
        </w:rPr>
        <w:t xml:space="preserve"> </w:t>
      </w:r>
      <w:r w:rsidRPr="00394706">
        <w:rPr>
          <w:i/>
          <w:iCs/>
        </w:rPr>
        <w:t>Forgive and forbear until God gives his command: He has power</w:t>
      </w:r>
      <w:r w:rsidRPr="00394706">
        <w:rPr>
          <w:i/>
          <w:iCs/>
        </w:rPr>
        <w:t xml:space="preserve"> </w:t>
      </w:r>
      <w:r w:rsidRPr="00394706">
        <w:rPr>
          <w:i/>
          <w:iCs/>
        </w:rPr>
        <w:t>over all things.</w:t>
      </w:r>
    </w:p>
    <w:p w14:paraId="5CC01598" w14:textId="33FA3236" w:rsidR="00DA73B4" w:rsidRDefault="00C271A8" w:rsidP="00C271A8">
      <w:r>
        <w:t xml:space="preserve">In fact, </w:t>
      </w:r>
      <w:r w:rsidR="00B539CC">
        <w:t xml:space="preserve">this fragile equation </w:t>
      </w:r>
      <w:r w:rsidR="00F657B6">
        <w:t xml:space="preserve">becomes more evident </w:t>
      </w:r>
      <w:r w:rsidR="00E943FE">
        <w:t xml:space="preserve">a little later in the Surah, </w:t>
      </w:r>
      <w:r w:rsidR="00F657B6">
        <w:t xml:space="preserve">when </w:t>
      </w:r>
      <w:r>
        <w:t xml:space="preserve">they </w:t>
      </w:r>
      <w:r w:rsidR="00F657B6">
        <w:t xml:space="preserve">are </w:t>
      </w:r>
      <w:r>
        <w:t>clubbed with disbelievers – a class of people the Surah al-Baqarah and the Qur’an have a very harsh opinion of</w:t>
      </w:r>
      <w:r w:rsidRPr="00C271A8">
        <w:rPr>
          <w:i/>
          <w:iCs/>
        </w:rPr>
        <w:t>.</w:t>
      </w:r>
      <w:r w:rsidR="00516295">
        <w:rPr>
          <w:i/>
          <w:iCs/>
        </w:rPr>
        <w:t xml:space="preserve"> </w:t>
      </w:r>
      <w:r w:rsidR="004371F1" w:rsidRPr="004371F1">
        <w:t>However</w:t>
      </w:r>
      <w:r w:rsidR="004371F1">
        <w:t xml:space="preserve">, it must be noted that this derision for disbelievers is especially directed to the kind who would pretend to profess faith but had none, rather than those who did not believe or claim it in the first place. </w:t>
      </w:r>
    </w:p>
    <w:p w14:paraId="2645882B" w14:textId="4ECA2A9F" w:rsidR="00516295" w:rsidRDefault="00FE411A" w:rsidP="00C271A8">
      <w:r>
        <w:t xml:space="preserve">These double crossers may indeed have been a greater threat than polytheists and the Judeo-Christian community at a time when perfect faith and adherence will have been the requisite foundational qualities of a fledgling society. </w:t>
      </w:r>
      <w:r w:rsidR="00A1584D">
        <w:t xml:space="preserve">Speaking of which, it brings us to the centre of the ring which deals with rules and regulations needed to cohere this new social order in Medina. The surah al-Baqarah </w:t>
      </w:r>
      <w:r w:rsidR="00DA73B4">
        <w:t xml:space="preserve">doles out many laws in areas such as food, bequests, fasting, superstition, fighting, spending, charity, marriage/divorce &amp; children/orphans, intoxication, gambling and  quite importantly, the change in direction of the prayer </w:t>
      </w:r>
      <w:r w:rsidR="00516295">
        <w:t>(</w:t>
      </w:r>
      <w:r w:rsidR="00516295" w:rsidRPr="00516295">
        <w:rPr>
          <w:i/>
          <w:iCs/>
        </w:rPr>
        <w:t>qibla</w:t>
      </w:r>
      <w:r w:rsidR="00516295">
        <w:t xml:space="preserve">) </w:t>
      </w:r>
      <w:r w:rsidR="00DA73B4">
        <w:t>towards the Ka</w:t>
      </w:r>
      <w:r w:rsidR="00516295">
        <w:t>a</w:t>
      </w:r>
      <w:r w:rsidR="00DA73B4">
        <w:t>ba.</w:t>
      </w:r>
      <w:r w:rsidR="00516295">
        <w:t xml:space="preserve"> The last diktat occurs in verse 144: </w:t>
      </w:r>
    </w:p>
    <w:p w14:paraId="3CD1EC87" w14:textId="17530452" w:rsidR="00516295" w:rsidRPr="00516295" w:rsidRDefault="00516295" w:rsidP="00516295">
      <w:pPr>
        <w:rPr>
          <w:i/>
          <w:iCs/>
        </w:rPr>
      </w:pPr>
      <w:r w:rsidRPr="00516295">
        <w:rPr>
          <w:i/>
          <w:iCs/>
        </w:rPr>
        <w:t>Many a time We have seen you</w:t>
      </w:r>
      <w:r w:rsidRPr="00516295">
        <w:rPr>
          <w:i/>
          <w:iCs/>
        </w:rPr>
        <w:t xml:space="preserve"> </w:t>
      </w:r>
      <w:r w:rsidRPr="00516295">
        <w:rPr>
          <w:i/>
          <w:iCs/>
        </w:rPr>
        <w:t>[Prophet] turn your face towards Heaven, so We are turning you towards a prayer direction that pleases you.</w:t>
      </w:r>
      <w:r w:rsidRPr="00516295">
        <w:rPr>
          <w:i/>
          <w:iCs/>
        </w:rPr>
        <w:t xml:space="preserve"> </w:t>
      </w:r>
      <w:r w:rsidRPr="00516295">
        <w:rPr>
          <w:i/>
          <w:iCs/>
        </w:rPr>
        <w:t>Turn your face in the</w:t>
      </w:r>
      <w:r w:rsidRPr="00516295">
        <w:rPr>
          <w:i/>
          <w:iCs/>
        </w:rPr>
        <w:t xml:space="preserve"> </w:t>
      </w:r>
      <w:r w:rsidRPr="00516295">
        <w:rPr>
          <w:i/>
          <w:iCs/>
        </w:rPr>
        <w:t>direction of the Sacred Mosque: wherever you [believers] may be,</w:t>
      </w:r>
      <w:r w:rsidRPr="00516295">
        <w:rPr>
          <w:i/>
          <w:iCs/>
        </w:rPr>
        <w:t xml:space="preserve"> </w:t>
      </w:r>
      <w:r w:rsidRPr="00516295">
        <w:rPr>
          <w:i/>
          <w:iCs/>
        </w:rPr>
        <w:t>turn your faces to it. Those who were given the Scripture know with</w:t>
      </w:r>
      <w:r w:rsidRPr="00516295">
        <w:rPr>
          <w:i/>
          <w:iCs/>
        </w:rPr>
        <w:t xml:space="preserve"> </w:t>
      </w:r>
      <w:r w:rsidRPr="00516295">
        <w:rPr>
          <w:i/>
          <w:iCs/>
        </w:rPr>
        <w:t>certainty that this is the Truth from their Lord: God is not unaware</w:t>
      </w:r>
      <w:r w:rsidRPr="00516295">
        <w:rPr>
          <w:i/>
          <w:iCs/>
        </w:rPr>
        <w:t xml:space="preserve"> </w:t>
      </w:r>
      <w:r w:rsidRPr="00516295">
        <w:rPr>
          <w:i/>
          <w:iCs/>
        </w:rPr>
        <w:t>of what they do.</w:t>
      </w:r>
    </w:p>
    <w:p w14:paraId="1D02737D" w14:textId="4327F0A4" w:rsidR="004371F1" w:rsidRDefault="00426EF1" w:rsidP="00C271A8">
      <w:r>
        <w:t>This change in the direction of prayer had a significant symbolical value in marking out Islam’s identity as a new and independent religion</w:t>
      </w:r>
      <w:r w:rsidR="00600BD9">
        <w:t xml:space="preserve"> and gives its followers a unique identity</w:t>
      </w:r>
      <w:r>
        <w:t xml:space="preserve">. This declaration of a break in tradition, along with the setting of an authoritarian tone, and laying out essential rules in the first major surah of the Qur’an can be seen as definitive statements. </w:t>
      </w:r>
      <w:r w:rsidR="00600BD9">
        <w:t xml:space="preserve">It becomes a statement of faith, a code of ethics and a book of rules all rolled into one. </w:t>
      </w:r>
      <w:r>
        <w:t xml:space="preserve">Even if the order of revelation was something else, the placement of the Surah al-Baqarah </w:t>
      </w:r>
      <w:r w:rsidR="002B2458">
        <w:t>serves an important purpose</w:t>
      </w:r>
      <w:bookmarkStart w:id="0" w:name="_GoBack"/>
      <w:bookmarkEnd w:id="0"/>
      <w:r>
        <w:t>. It completely and irrevocably makes the Qur’an and the Prophet supreme symbols of the Islamic faith and hence the Surah al-Baqarah becomes the first among equals</w:t>
      </w:r>
      <w:r w:rsidR="00600BD9">
        <w:t xml:space="preserve">. </w:t>
      </w:r>
      <w:r>
        <w:t xml:space="preserve"> </w:t>
      </w:r>
    </w:p>
    <w:sdt>
      <w:sdtPr>
        <w:id w:val="-1900731224"/>
        <w:docPartObj>
          <w:docPartGallery w:val="Bibliographies"/>
          <w:docPartUnique/>
        </w:docPartObj>
      </w:sdtPr>
      <w:sdtEndPr>
        <w:rPr>
          <w:rFonts w:asciiTheme="minorHAnsi" w:eastAsiaTheme="minorHAnsi" w:hAnsiTheme="minorHAnsi" w:cstheme="minorBidi"/>
          <w:color w:val="auto"/>
          <w:sz w:val="22"/>
          <w:szCs w:val="22"/>
        </w:rPr>
      </w:sdtEndPr>
      <w:sdtContent>
        <w:p w14:paraId="2887FCBB" w14:textId="4968C423" w:rsidR="00EC568D" w:rsidRDefault="00EC568D">
          <w:pPr>
            <w:pStyle w:val="Heading1"/>
          </w:pPr>
          <w:r>
            <w:t>Bibliography</w:t>
          </w:r>
        </w:p>
        <w:p w14:paraId="533956D1" w14:textId="77777777" w:rsidR="00EC568D" w:rsidRPr="00EC568D" w:rsidRDefault="00EC568D" w:rsidP="00EC568D"/>
        <w:sdt>
          <w:sdtPr>
            <w:id w:val="111145805"/>
            <w:bibliography/>
          </w:sdtPr>
          <w:sdtContent>
            <w:p w14:paraId="480D169D" w14:textId="77777777" w:rsidR="00EC568D" w:rsidRDefault="00EC568D" w:rsidP="00EC568D">
              <w:pPr>
                <w:pStyle w:val="Bibliography"/>
                <w:ind w:left="720" w:hanging="720"/>
                <w:rPr>
                  <w:noProof/>
                  <w:sz w:val="24"/>
                  <w:szCs w:val="24"/>
                </w:rPr>
              </w:pPr>
              <w:r>
                <w:fldChar w:fldCharType="begin"/>
              </w:r>
              <w:r>
                <w:instrText xml:space="preserve"> BIBLIOGRAPHY </w:instrText>
              </w:r>
              <w:r>
                <w:fldChar w:fldCharType="separate"/>
              </w:r>
              <w:r>
                <w:rPr>
                  <w:noProof/>
                </w:rPr>
                <w:t xml:space="preserve">Britannica, The Editors of Encyclopaedia. </w:t>
              </w:r>
              <w:r>
                <w:rPr>
                  <w:i/>
                  <w:iCs/>
                  <w:noProof/>
                </w:rPr>
                <w:t>britannica.com</w:t>
              </w:r>
              <w:r>
                <w:rPr>
                  <w:noProof/>
                </w:rPr>
                <w:t>. 13 September 2013. Encyclopædia Britannica, inc. 09 January 2020.</w:t>
              </w:r>
            </w:p>
            <w:p w14:paraId="39296A44" w14:textId="77777777" w:rsidR="00EC568D" w:rsidRDefault="00EC568D" w:rsidP="00EC568D">
              <w:pPr>
                <w:pStyle w:val="Bibliography"/>
                <w:ind w:left="720" w:hanging="720"/>
                <w:rPr>
                  <w:noProof/>
                </w:rPr>
              </w:pPr>
              <w:r>
                <w:rPr>
                  <w:noProof/>
                </w:rPr>
                <w:t xml:space="preserve">Dane, Joseph A. ““THE NOTION OF RING COMPOSITION IN CLASSICAL AND MEDIEVAL STUDIES: A Comment on Critical Method and Illusion.”.” </w:t>
              </w:r>
              <w:r>
                <w:rPr>
                  <w:i/>
                  <w:iCs/>
                  <w:noProof/>
                </w:rPr>
                <w:t xml:space="preserve">Neuphilologische Mitteilungen, vol. 94, no. 1, </w:t>
              </w:r>
              <w:r>
                <w:rPr>
                  <w:noProof/>
                </w:rPr>
                <w:t>(1993): 61. JStor.</w:t>
              </w:r>
            </w:p>
            <w:p w14:paraId="04DE7565" w14:textId="77777777" w:rsidR="00EC568D" w:rsidRDefault="00EC568D" w:rsidP="00EC568D">
              <w:pPr>
                <w:pStyle w:val="Bibliography"/>
                <w:ind w:left="720" w:hanging="720"/>
                <w:rPr>
                  <w:noProof/>
                </w:rPr>
              </w:pPr>
              <w:r>
                <w:rPr>
                  <w:noProof/>
                </w:rPr>
                <w:t xml:space="preserve">Farrin, Raymond K. “Surat al-Baqara: A Structural Analysis.” </w:t>
              </w:r>
              <w:r>
                <w:rPr>
                  <w:i/>
                  <w:iCs/>
                  <w:noProof/>
                </w:rPr>
                <w:t>The Muslim World</w:t>
              </w:r>
              <w:r>
                <w:rPr>
                  <w:noProof/>
                </w:rPr>
                <w:t xml:space="preserve"> (2010): 17-18.</w:t>
              </w:r>
            </w:p>
            <w:p w14:paraId="654A4A21" w14:textId="77777777" w:rsidR="00EC568D" w:rsidRDefault="00EC568D" w:rsidP="00EC568D">
              <w:pPr>
                <w:pStyle w:val="Bibliography"/>
                <w:ind w:left="720" w:hanging="720"/>
                <w:rPr>
                  <w:noProof/>
                </w:rPr>
              </w:pPr>
              <w:r>
                <w:rPr>
                  <w:noProof/>
                </w:rPr>
                <w:t xml:space="preserve">Haleem, M.A.S. Abdel. </w:t>
              </w:r>
              <w:r>
                <w:rPr>
                  <w:i/>
                  <w:iCs/>
                  <w:noProof/>
                </w:rPr>
                <w:t xml:space="preserve">The Qu'ran - A new translation </w:t>
              </w:r>
              <w:r>
                <w:rPr>
                  <w:noProof/>
                </w:rPr>
                <w:t>. New York: Oxford University Press, 2005. Translation.</w:t>
              </w:r>
            </w:p>
            <w:p w14:paraId="6E0AB4CB" w14:textId="77777777" w:rsidR="00EC568D" w:rsidRDefault="00EC568D" w:rsidP="00EC568D">
              <w:pPr>
                <w:pStyle w:val="Bibliography"/>
                <w:ind w:left="720" w:hanging="720"/>
                <w:rPr>
                  <w:noProof/>
                </w:rPr>
              </w:pPr>
              <w:r>
                <w:rPr>
                  <w:noProof/>
                </w:rPr>
                <w:t xml:space="preserve">Kathir, Ibn. </w:t>
              </w:r>
              <w:r>
                <w:rPr>
                  <w:i/>
                  <w:iCs/>
                  <w:noProof/>
                </w:rPr>
                <w:t>qtafsir.com</w:t>
              </w:r>
              <w:r>
                <w:rPr>
                  <w:noProof/>
                </w:rPr>
                <w:t>. n.d. English translation. 09 January 2020.</w:t>
              </w:r>
            </w:p>
            <w:p w14:paraId="2BC6C3A9" w14:textId="77777777" w:rsidR="00EC568D" w:rsidRDefault="00EC568D" w:rsidP="00EC568D">
              <w:pPr>
                <w:pStyle w:val="Bibliography"/>
                <w:ind w:left="720" w:hanging="720"/>
                <w:rPr>
                  <w:noProof/>
                </w:rPr>
              </w:pPr>
              <w:r>
                <w:rPr>
                  <w:noProof/>
                </w:rPr>
                <w:t>Murad, Khurram. “Key to al-Baqarah: The Longest Surah of the Qur'an.” Murad, Khurram. Markfield, UK: Kube Publishing Limited, 2014. 9.</w:t>
              </w:r>
            </w:p>
            <w:p w14:paraId="03F75A18" w14:textId="1E312BFD" w:rsidR="00EC568D" w:rsidRDefault="00EC568D" w:rsidP="00EC568D">
              <w:r>
                <w:rPr>
                  <w:b/>
                  <w:bCs/>
                  <w:noProof/>
                </w:rPr>
                <w:fldChar w:fldCharType="end"/>
              </w:r>
            </w:p>
          </w:sdtContent>
        </w:sdt>
      </w:sdtContent>
    </w:sdt>
    <w:p w14:paraId="134A16DA" w14:textId="77777777" w:rsidR="00A1584D" w:rsidRPr="004371F1" w:rsidRDefault="00A1584D" w:rsidP="00C271A8"/>
    <w:sectPr w:rsidR="00A1584D" w:rsidRPr="00437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1228B"/>
    <w:rsid w:val="000216F4"/>
    <w:rsid w:val="00024B4B"/>
    <w:rsid w:val="00036607"/>
    <w:rsid w:val="000407F4"/>
    <w:rsid w:val="00096B73"/>
    <w:rsid w:val="000A13D9"/>
    <w:rsid w:val="000C47C3"/>
    <w:rsid w:val="000D1B1A"/>
    <w:rsid w:val="000E4C5B"/>
    <w:rsid w:val="000E74A3"/>
    <w:rsid w:val="00104629"/>
    <w:rsid w:val="001417E4"/>
    <w:rsid w:val="001D7182"/>
    <w:rsid w:val="00231541"/>
    <w:rsid w:val="002A3237"/>
    <w:rsid w:val="002A41D7"/>
    <w:rsid w:val="002B2458"/>
    <w:rsid w:val="002E264A"/>
    <w:rsid w:val="002E40FC"/>
    <w:rsid w:val="002F05C6"/>
    <w:rsid w:val="00324921"/>
    <w:rsid w:val="0033182A"/>
    <w:rsid w:val="00332042"/>
    <w:rsid w:val="00337EA5"/>
    <w:rsid w:val="003910E4"/>
    <w:rsid w:val="00394706"/>
    <w:rsid w:val="003A2C76"/>
    <w:rsid w:val="003C3439"/>
    <w:rsid w:val="003C5BE6"/>
    <w:rsid w:val="003F049A"/>
    <w:rsid w:val="0040057C"/>
    <w:rsid w:val="00426EF1"/>
    <w:rsid w:val="004371F1"/>
    <w:rsid w:val="00494502"/>
    <w:rsid w:val="004957F6"/>
    <w:rsid w:val="004963A8"/>
    <w:rsid w:val="004A7B44"/>
    <w:rsid w:val="004E5400"/>
    <w:rsid w:val="00516295"/>
    <w:rsid w:val="0052502F"/>
    <w:rsid w:val="00541812"/>
    <w:rsid w:val="00583F8D"/>
    <w:rsid w:val="00590AC4"/>
    <w:rsid w:val="005B1099"/>
    <w:rsid w:val="005D1E31"/>
    <w:rsid w:val="005D6324"/>
    <w:rsid w:val="00600BD9"/>
    <w:rsid w:val="00607BA5"/>
    <w:rsid w:val="00610297"/>
    <w:rsid w:val="0064147B"/>
    <w:rsid w:val="00641A37"/>
    <w:rsid w:val="00683DC4"/>
    <w:rsid w:val="00691486"/>
    <w:rsid w:val="006C26A8"/>
    <w:rsid w:val="006D1DD6"/>
    <w:rsid w:val="006E1485"/>
    <w:rsid w:val="006E6498"/>
    <w:rsid w:val="007043A1"/>
    <w:rsid w:val="00771752"/>
    <w:rsid w:val="00780BB9"/>
    <w:rsid w:val="0078429D"/>
    <w:rsid w:val="007A04B7"/>
    <w:rsid w:val="007A6861"/>
    <w:rsid w:val="007A69E3"/>
    <w:rsid w:val="0082726B"/>
    <w:rsid w:val="008339C4"/>
    <w:rsid w:val="008470DC"/>
    <w:rsid w:val="00853922"/>
    <w:rsid w:val="00893942"/>
    <w:rsid w:val="00895AAF"/>
    <w:rsid w:val="008F7ACC"/>
    <w:rsid w:val="00902E20"/>
    <w:rsid w:val="00904544"/>
    <w:rsid w:val="00904FB8"/>
    <w:rsid w:val="009056B8"/>
    <w:rsid w:val="00914065"/>
    <w:rsid w:val="00942D8D"/>
    <w:rsid w:val="00954040"/>
    <w:rsid w:val="00966978"/>
    <w:rsid w:val="009766F5"/>
    <w:rsid w:val="009C57CD"/>
    <w:rsid w:val="009D131E"/>
    <w:rsid w:val="00A11DD2"/>
    <w:rsid w:val="00A155AC"/>
    <w:rsid w:val="00A1584D"/>
    <w:rsid w:val="00A62146"/>
    <w:rsid w:val="00B03C53"/>
    <w:rsid w:val="00B06A8B"/>
    <w:rsid w:val="00B1228B"/>
    <w:rsid w:val="00B539CC"/>
    <w:rsid w:val="00B617A7"/>
    <w:rsid w:val="00B6199B"/>
    <w:rsid w:val="00B732B9"/>
    <w:rsid w:val="00B80076"/>
    <w:rsid w:val="00B83E3A"/>
    <w:rsid w:val="00BA4057"/>
    <w:rsid w:val="00BC2F96"/>
    <w:rsid w:val="00BD2283"/>
    <w:rsid w:val="00BF726A"/>
    <w:rsid w:val="00C10616"/>
    <w:rsid w:val="00C11741"/>
    <w:rsid w:val="00C271A8"/>
    <w:rsid w:val="00C36BA8"/>
    <w:rsid w:val="00C45A49"/>
    <w:rsid w:val="00C65398"/>
    <w:rsid w:val="00C71825"/>
    <w:rsid w:val="00CC7BBB"/>
    <w:rsid w:val="00CD1091"/>
    <w:rsid w:val="00CD578F"/>
    <w:rsid w:val="00CE4A00"/>
    <w:rsid w:val="00D01A80"/>
    <w:rsid w:val="00D609B2"/>
    <w:rsid w:val="00D626B3"/>
    <w:rsid w:val="00DA014B"/>
    <w:rsid w:val="00DA4ABC"/>
    <w:rsid w:val="00DA73B4"/>
    <w:rsid w:val="00E42D84"/>
    <w:rsid w:val="00E70A2A"/>
    <w:rsid w:val="00E80D49"/>
    <w:rsid w:val="00E943FE"/>
    <w:rsid w:val="00E94EC9"/>
    <w:rsid w:val="00EB1489"/>
    <w:rsid w:val="00EC207D"/>
    <w:rsid w:val="00EC568D"/>
    <w:rsid w:val="00ED580C"/>
    <w:rsid w:val="00EF27BF"/>
    <w:rsid w:val="00F234EA"/>
    <w:rsid w:val="00F30A56"/>
    <w:rsid w:val="00F62B39"/>
    <w:rsid w:val="00F657B6"/>
    <w:rsid w:val="00F81E88"/>
    <w:rsid w:val="00F82E0A"/>
    <w:rsid w:val="00F942DC"/>
    <w:rsid w:val="00F9533B"/>
    <w:rsid w:val="00FE41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EB898"/>
  <w15:chartTrackingRefBased/>
  <w15:docId w15:val="{B035D323-E62F-4404-9ECE-DC6F46E19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732B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732B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216F4"/>
    <w:pPr>
      <w:spacing w:after="0" w:line="240" w:lineRule="auto"/>
    </w:pPr>
    <w:rPr>
      <w:lang w:val="en-GB"/>
    </w:rPr>
  </w:style>
  <w:style w:type="character" w:customStyle="1" w:styleId="Heading1Char">
    <w:name w:val="Heading 1 Char"/>
    <w:basedOn w:val="DefaultParagraphFont"/>
    <w:link w:val="Heading1"/>
    <w:uiPriority w:val="9"/>
    <w:rsid w:val="00B732B9"/>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B732B9"/>
    <w:rPr>
      <w:rFonts w:asciiTheme="majorHAnsi" w:eastAsiaTheme="majorEastAsia" w:hAnsiTheme="majorHAnsi" w:cstheme="majorBidi"/>
      <w:color w:val="365F91" w:themeColor="accent1" w:themeShade="BF"/>
      <w:sz w:val="26"/>
      <w:szCs w:val="26"/>
      <w:lang w:val="en-GB"/>
    </w:rPr>
  </w:style>
  <w:style w:type="paragraph" w:styleId="Caption">
    <w:name w:val="caption"/>
    <w:basedOn w:val="Normal"/>
    <w:next w:val="Normal"/>
    <w:uiPriority w:val="35"/>
    <w:unhideWhenUsed/>
    <w:qFormat/>
    <w:rsid w:val="00D01A80"/>
    <w:pPr>
      <w:spacing w:line="240" w:lineRule="auto"/>
    </w:pPr>
    <w:rPr>
      <w:i/>
      <w:iCs/>
      <w:color w:val="1F497D" w:themeColor="text2"/>
      <w:sz w:val="18"/>
      <w:szCs w:val="18"/>
    </w:rPr>
  </w:style>
  <w:style w:type="paragraph" w:styleId="Bibliography">
    <w:name w:val="Bibliography"/>
    <w:basedOn w:val="Normal"/>
    <w:next w:val="Normal"/>
    <w:uiPriority w:val="37"/>
    <w:unhideWhenUsed/>
    <w:rsid w:val="00EC56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797650">
      <w:bodyDiv w:val="1"/>
      <w:marLeft w:val="0"/>
      <w:marRight w:val="0"/>
      <w:marTop w:val="0"/>
      <w:marBottom w:val="0"/>
      <w:divBdr>
        <w:top w:val="none" w:sz="0" w:space="0" w:color="auto"/>
        <w:left w:val="none" w:sz="0" w:space="0" w:color="auto"/>
        <w:bottom w:val="none" w:sz="0" w:space="0" w:color="auto"/>
        <w:right w:val="none" w:sz="0" w:space="0" w:color="auto"/>
      </w:divBdr>
    </w:div>
    <w:div w:id="429542732">
      <w:bodyDiv w:val="1"/>
      <w:marLeft w:val="0"/>
      <w:marRight w:val="0"/>
      <w:marTop w:val="0"/>
      <w:marBottom w:val="0"/>
      <w:divBdr>
        <w:top w:val="none" w:sz="0" w:space="0" w:color="auto"/>
        <w:left w:val="none" w:sz="0" w:space="0" w:color="auto"/>
        <w:bottom w:val="none" w:sz="0" w:space="0" w:color="auto"/>
        <w:right w:val="none" w:sz="0" w:space="0" w:color="auto"/>
      </w:divBdr>
    </w:div>
    <w:div w:id="464078667">
      <w:bodyDiv w:val="1"/>
      <w:marLeft w:val="0"/>
      <w:marRight w:val="0"/>
      <w:marTop w:val="0"/>
      <w:marBottom w:val="0"/>
      <w:divBdr>
        <w:top w:val="none" w:sz="0" w:space="0" w:color="auto"/>
        <w:left w:val="none" w:sz="0" w:space="0" w:color="auto"/>
        <w:bottom w:val="none" w:sz="0" w:space="0" w:color="auto"/>
        <w:right w:val="none" w:sz="0" w:space="0" w:color="auto"/>
      </w:divBdr>
    </w:div>
    <w:div w:id="505361723">
      <w:bodyDiv w:val="1"/>
      <w:marLeft w:val="0"/>
      <w:marRight w:val="0"/>
      <w:marTop w:val="0"/>
      <w:marBottom w:val="0"/>
      <w:divBdr>
        <w:top w:val="none" w:sz="0" w:space="0" w:color="auto"/>
        <w:left w:val="none" w:sz="0" w:space="0" w:color="auto"/>
        <w:bottom w:val="none" w:sz="0" w:space="0" w:color="auto"/>
        <w:right w:val="none" w:sz="0" w:space="0" w:color="auto"/>
      </w:divBdr>
    </w:div>
    <w:div w:id="610361986">
      <w:bodyDiv w:val="1"/>
      <w:marLeft w:val="0"/>
      <w:marRight w:val="0"/>
      <w:marTop w:val="0"/>
      <w:marBottom w:val="0"/>
      <w:divBdr>
        <w:top w:val="none" w:sz="0" w:space="0" w:color="auto"/>
        <w:left w:val="none" w:sz="0" w:space="0" w:color="auto"/>
        <w:bottom w:val="none" w:sz="0" w:space="0" w:color="auto"/>
        <w:right w:val="none" w:sz="0" w:space="0" w:color="auto"/>
      </w:divBdr>
    </w:div>
    <w:div w:id="746340884">
      <w:bodyDiv w:val="1"/>
      <w:marLeft w:val="0"/>
      <w:marRight w:val="0"/>
      <w:marTop w:val="0"/>
      <w:marBottom w:val="0"/>
      <w:divBdr>
        <w:top w:val="none" w:sz="0" w:space="0" w:color="auto"/>
        <w:left w:val="none" w:sz="0" w:space="0" w:color="auto"/>
        <w:bottom w:val="none" w:sz="0" w:space="0" w:color="auto"/>
        <w:right w:val="none" w:sz="0" w:space="0" w:color="auto"/>
      </w:divBdr>
    </w:div>
    <w:div w:id="817768903">
      <w:bodyDiv w:val="1"/>
      <w:marLeft w:val="0"/>
      <w:marRight w:val="0"/>
      <w:marTop w:val="0"/>
      <w:marBottom w:val="0"/>
      <w:divBdr>
        <w:top w:val="none" w:sz="0" w:space="0" w:color="auto"/>
        <w:left w:val="none" w:sz="0" w:space="0" w:color="auto"/>
        <w:bottom w:val="none" w:sz="0" w:space="0" w:color="auto"/>
        <w:right w:val="none" w:sz="0" w:space="0" w:color="auto"/>
      </w:divBdr>
    </w:div>
    <w:div w:id="957226565">
      <w:bodyDiv w:val="1"/>
      <w:marLeft w:val="0"/>
      <w:marRight w:val="0"/>
      <w:marTop w:val="0"/>
      <w:marBottom w:val="0"/>
      <w:divBdr>
        <w:top w:val="none" w:sz="0" w:space="0" w:color="auto"/>
        <w:left w:val="none" w:sz="0" w:space="0" w:color="auto"/>
        <w:bottom w:val="none" w:sz="0" w:space="0" w:color="auto"/>
        <w:right w:val="none" w:sz="0" w:space="0" w:color="auto"/>
      </w:divBdr>
    </w:div>
    <w:div w:id="1024478246">
      <w:bodyDiv w:val="1"/>
      <w:marLeft w:val="0"/>
      <w:marRight w:val="0"/>
      <w:marTop w:val="0"/>
      <w:marBottom w:val="0"/>
      <w:divBdr>
        <w:top w:val="none" w:sz="0" w:space="0" w:color="auto"/>
        <w:left w:val="none" w:sz="0" w:space="0" w:color="auto"/>
        <w:bottom w:val="none" w:sz="0" w:space="0" w:color="auto"/>
        <w:right w:val="none" w:sz="0" w:space="0" w:color="auto"/>
      </w:divBdr>
    </w:div>
    <w:div w:id="1128741754">
      <w:bodyDiv w:val="1"/>
      <w:marLeft w:val="0"/>
      <w:marRight w:val="0"/>
      <w:marTop w:val="0"/>
      <w:marBottom w:val="0"/>
      <w:divBdr>
        <w:top w:val="none" w:sz="0" w:space="0" w:color="auto"/>
        <w:left w:val="none" w:sz="0" w:space="0" w:color="auto"/>
        <w:bottom w:val="none" w:sz="0" w:space="0" w:color="auto"/>
        <w:right w:val="none" w:sz="0" w:space="0" w:color="auto"/>
      </w:divBdr>
    </w:div>
    <w:div w:id="1155415412">
      <w:bodyDiv w:val="1"/>
      <w:marLeft w:val="0"/>
      <w:marRight w:val="0"/>
      <w:marTop w:val="0"/>
      <w:marBottom w:val="0"/>
      <w:divBdr>
        <w:top w:val="none" w:sz="0" w:space="0" w:color="auto"/>
        <w:left w:val="none" w:sz="0" w:space="0" w:color="auto"/>
        <w:bottom w:val="none" w:sz="0" w:space="0" w:color="auto"/>
        <w:right w:val="none" w:sz="0" w:space="0" w:color="auto"/>
      </w:divBdr>
    </w:div>
    <w:div w:id="1243180984">
      <w:bodyDiv w:val="1"/>
      <w:marLeft w:val="0"/>
      <w:marRight w:val="0"/>
      <w:marTop w:val="0"/>
      <w:marBottom w:val="0"/>
      <w:divBdr>
        <w:top w:val="none" w:sz="0" w:space="0" w:color="auto"/>
        <w:left w:val="none" w:sz="0" w:space="0" w:color="auto"/>
        <w:bottom w:val="none" w:sz="0" w:space="0" w:color="auto"/>
        <w:right w:val="none" w:sz="0" w:space="0" w:color="auto"/>
      </w:divBdr>
    </w:div>
    <w:div w:id="1261137554">
      <w:bodyDiv w:val="1"/>
      <w:marLeft w:val="0"/>
      <w:marRight w:val="0"/>
      <w:marTop w:val="0"/>
      <w:marBottom w:val="0"/>
      <w:divBdr>
        <w:top w:val="none" w:sz="0" w:space="0" w:color="auto"/>
        <w:left w:val="none" w:sz="0" w:space="0" w:color="auto"/>
        <w:bottom w:val="none" w:sz="0" w:space="0" w:color="auto"/>
        <w:right w:val="none" w:sz="0" w:space="0" w:color="auto"/>
      </w:divBdr>
    </w:div>
    <w:div w:id="1381324195">
      <w:bodyDiv w:val="1"/>
      <w:marLeft w:val="0"/>
      <w:marRight w:val="0"/>
      <w:marTop w:val="0"/>
      <w:marBottom w:val="0"/>
      <w:divBdr>
        <w:top w:val="none" w:sz="0" w:space="0" w:color="auto"/>
        <w:left w:val="none" w:sz="0" w:space="0" w:color="auto"/>
        <w:bottom w:val="none" w:sz="0" w:space="0" w:color="auto"/>
        <w:right w:val="none" w:sz="0" w:space="0" w:color="auto"/>
      </w:divBdr>
    </w:div>
    <w:div w:id="1486584576">
      <w:bodyDiv w:val="1"/>
      <w:marLeft w:val="0"/>
      <w:marRight w:val="0"/>
      <w:marTop w:val="0"/>
      <w:marBottom w:val="0"/>
      <w:divBdr>
        <w:top w:val="none" w:sz="0" w:space="0" w:color="auto"/>
        <w:left w:val="none" w:sz="0" w:space="0" w:color="auto"/>
        <w:bottom w:val="none" w:sz="0" w:space="0" w:color="auto"/>
        <w:right w:val="none" w:sz="0" w:space="0" w:color="auto"/>
      </w:divBdr>
    </w:div>
    <w:div w:id="1523088772">
      <w:bodyDiv w:val="1"/>
      <w:marLeft w:val="0"/>
      <w:marRight w:val="0"/>
      <w:marTop w:val="0"/>
      <w:marBottom w:val="0"/>
      <w:divBdr>
        <w:top w:val="none" w:sz="0" w:space="0" w:color="auto"/>
        <w:left w:val="none" w:sz="0" w:space="0" w:color="auto"/>
        <w:bottom w:val="none" w:sz="0" w:space="0" w:color="auto"/>
        <w:right w:val="none" w:sz="0" w:space="0" w:color="auto"/>
      </w:divBdr>
    </w:div>
    <w:div w:id="1573083343">
      <w:bodyDiv w:val="1"/>
      <w:marLeft w:val="0"/>
      <w:marRight w:val="0"/>
      <w:marTop w:val="0"/>
      <w:marBottom w:val="0"/>
      <w:divBdr>
        <w:top w:val="none" w:sz="0" w:space="0" w:color="auto"/>
        <w:left w:val="none" w:sz="0" w:space="0" w:color="auto"/>
        <w:bottom w:val="none" w:sz="0" w:space="0" w:color="auto"/>
        <w:right w:val="none" w:sz="0" w:space="0" w:color="auto"/>
      </w:divBdr>
    </w:div>
    <w:div w:id="1713655589">
      <w:bodyDiv w:val="1"/>
      <w:marLeft w:val="0"/>
      <w:marRight w:val="0"/>
      <w:marTop w:val="0"/>
      <w:marBottom w:val="0"/>
      <w:divBdr>
        <w:top w:val="none" w:sz="0" w:space="0" w:color="auto"/>
        <w:left w:val="none" w:sz="0" w:space="0" w:color="auto"/>
        <w:bottom w:val="none" w:sz="0" w:space="0" w:color="auto"/>
        <w:right w:val="none" w:sz="0" w:space="0" w:color="auto"/>
      </w:divBdr>
    </w:div>
    <w:div w:id="1738094416">
      <w:bodyDiv w:val="1"/>
      <w:marLeft w:val="0"/>
      <w:marRight w:val="0"/>
      <w:marTop w:val="0"/>
      <w:marBottom w:val="0"/>
      <w:divBdr>
        <w:top w:val="none" w:sz="0" w:space="0" w:color="auto"/>
        <w:left w:val="none" w:sz="0" w:space="0" w:color="auto"/>
        <w:bottom w:val="none" w:sz="0" w:space="0" w:color="auto"/>
        <w:right w:val="none" w:sz="0" w:space="0" w:color="auto"/>
      </w:divBdr>
    </w:div>
    <w:div w:id="1841263997">
      <w:bodyDiv w:val="1"/>
      <w:marLeft w:val="0"/>
      <w:marRight w:val="0"/>
      <w:marTop w:val="0"/>
      <w:marBottom w:val="0"/>
      <w:divBdr>
        <w:top w:val="none" w:sz="0" w:space="0" w:color="auto"/>
        <w:left w:val="none" w:sz="0" w:space="0" w:color="auto"/>
        <w:bottom w:val="none" w:sz="0" w:space="0" w:color="auto"/>
        <w:right w:val="none" w:sz="0" w:space="0" w:color="auto"/>
      </w:divBdr>
    </w:div>
    <w:div w:id="1970933142">
      <w:bodyDiv w:val="1"/>
      <w:marLeft w:val="0"/>
      <w:marRight w:val="0"/>
      <w:marTop w:val="0"/>
      <w:marBottom w:val="0"/>
      <w:divBdr>
        <w:top w:val="none" w:sz="0" w:space="0" w:color="auto"/>
        <w:left w:val="none" w:sz="0" w:space="0" w:color="auto"/>
        <w:bottom w:val="none" w:sz="0" w:space="0" w:color="auto"/>
        <w:right w:val="none" w:sz="0" w:space="0" w:color="auto"/>
      </w:divBdr>
    </w:div>
    <w:div w:id="2068987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MAS05</b:Tag>
    <b:SourceType>Book</b:SourceType>
    <b:Guid>{53A5AED0-112D-4051-8BB6-ABCD06ED469B}</b:Guid>
    <b:Author>
      <b:Author>
        <b:NameList>
          <b:Person>
            <b:Last>Haleem</b:Last>
            <b:First>M.A.S.</b:First>
            <b:Middle>Abdel</b:Middle>
          </b:Person>
        </b:NameList>
      </b:Author>
    </b:Author>
    <b:Title>The Qu'ran - A new translation </b:Title>
    <b:Year>2005</b:Year>
    <b:City>New York</b:City>
    <b:Publisher>Oxford University Press</b:Publisher>
    <b:Medium>Translation</b:Medium>
    <b:RefOrder>1</b:RefOrder>
  </b:Source>
  <b:Source>
    <b:Tag>Ibn20</b:Tag>
    <b:SourceType>InternetSite</b:SourceType>
    <b:Guid>{9A112C0F-7CF5-420E-954D-8BD03E444668}</b:Guid>
    <b:Title>qtafsir.com</b:Title>
    <b:Author>
      <b:Author>
        <b:NameList>
          <b:Person>
            <b:Last>Kathir</b:Last>
            <b:First>Ibn</b:First>
          </b:Person>
        </b:NameList>
      </b:Author>
    </b:Author>
    <b:YearAccessed>2020</b:YearAccessed>
    <b:MonthAccessed>January</b:MonthAccessed>
    <b:DayAccessed>09</b:DayAccessed>
    <b:Medium>English translation</b:Medium>
    <b:RefOrder>3</b:RefOrder>
  </b:Source>
  <b:Source>
    <b:Tag>The13</b:Tag>
    <b:SourceType>InternetSite</b:SourceType>
    <b:Guid>{CC02DB91-2B7B-4BAF-ADF5-EC3BD01982D7}</b:Guid>
    <b:Title>britannica.com</b:Title>
    <b:Year>2013</b:Year>
    <b:Month>September</b:Month>
    <b:Day>13</b:Day>
    <b:YearAccessed>2020</b:YearAccessed>
    <b:MonthAccessed>January</b:MonthAccessed>
    <b:DayAccessed>09</b:DayAccessed>
    <b:Author>
      <b:Author>
        <b:NameList>
          <b:Person>
            <b:Last>Britannica</b:Last>
            <b:First>The</b:First>
            <b:Middle>Editors of Encyclopaedia</b:Middle>
          </b:Person>
        </b:NameList>
      </b:Author>
    </b:Author>
    <b:Medium>Encyclopædia Britannica, inc.</b:Medium>
    <b:RefOrder>4</b:RefOrder>
  </b:Source>
  <b:Source>
    <b:Tag>Mur14</b:Tag>
    <b:SourceType>BookSection</b:SourceType>
    <b:Guid>{6356CEF6-4E5C-4DC4-A777-680EF348D39E}</b:Guid>
    <b:Title>Key to al-Baqarah: The Longest Surah of the Qur'an</b:Title>
    <b:Year>2014</b:Year>
    <b:Author>
      <b:Author>
        <b:NameList>
          <b:Person>
            <b:Last>Murad</b:Last>
            <b:First>Khurram</b:First>
          </b:Person>
        </b:NameList>
      </b:Author>
      <b:BookAuthor>
        <b:NameList>
          <b:Person>
            <b:Last>Murad</b:Last>
            <b:First>Khurram</b:First>
          </b:Person>
        </b:NameList>
      </b:BookAuthor>
    </b:Author>
    <b:City>Markfield, UK</b:City>
    <b:Publisher>Kube Publishing Limited</b:Publisher>
    <b:Pages>9</b:Pages>
    <b:RefOrder>2</b:RefOrder>
  </b:Source>
  <b:Source>
    <b:Tag>Ray10</b:Tag>
    <b:SourceType>JournalArticle</b:SourceType>
    <b:Guid>{702C0216-C7E6-41F2-9AC8-2F1040CB2D93}</b:Guid>
    <b:Title>Surat al-Baqara: A Structural Analysis</b:Title>
    <b:Year>2010</b:Year>
    <b:Pages>17-18</b:Pages>
    <b:Author>
      <b:Author>
        <b:NameList>
          <b:Person>
            <b:Last>Farrin</b:Last>
            <b:First>Raymond</b:First>
            <b:Middle>K.</b:Middle>
          </b:Person>
        </b:NameList>
      </b:Author>
    </b:Author>
    <b:JournalName>The Muslim World</b:JournalName>
    <b:RefOrder>5</b:RefOrder>
  </b:Source>
  <b:Source>
    <b:Tag>Jos93</b:Tag>
    <b:SourceType>JournalArticle</b:SourceType>
    <b:Guid>{89878990-5673-4544-8EC4-0684CCC4FDCC}</b:Guid>
    <b:Author>
      <b:Author>
        <b:NameList>
          <b:Person>
            <b:Last>Dane</b:Last>
            <b:First>Joseph</b:First>
            <b:Middle>A</b:Middle>
          </b:Person>
        </b:NameList>
      </b:Author>
    </b:Author>
    <b:Title>“THE NOTION OF RING COMPOSITION IN CLASSICAL AND MEDIEVAL STUDIES: A Comment on Critical Method and Illusion.”</b:Title>
    <b:JournalName>Neuphilologische Mitteilungen, vol. 94, no. 1, </b:JournalName>
    <b:Year>1993</b:Year>
    <b:Pages>61</b:Pages>
    <b:Medium>JStor</b:Medium>
    <b:RefOrder>6</b:RefOrder>
  </b:Source>
</b:Sources>
</file>

<file path=customXml/itemProps1.xml><?xml version="1.0" encoding="utf-8"?>
<ds:datastoreItem xmlns:ds="http://schemas.openxmlformats.org/officeDocument/2006/customXml" ds:itemID="{8E753CB0-2278-4B35-8C99-76D7E1B02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1238</TotalTime>
  <Pages>7</Pages>
  <Words>2811</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Urmi Chanda</dc:creator>
  <cp:keywords/>
  <dc:description/>
  <cp:lastModifiedBy>Urmi Vaz</cp:lastModifiedBy>
  <cp:revision>90</cp:revision>
  <dcterms:created xsi:type="dcterms:W3CDTF">2019-12-20T16:57:00Z</dcterms:created>
  <dcterms:modified xsi:type="dcterms:W3CDTF">2020-01-10T19:56:00Z</dcterms:modified>
</cp:coreProperties>
</file>