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jc w:val="center"/>
        <w:rPr/>
      </w:pPr>
      <w:r w:rsidDel="00000000" w:rsidR="00000000" w:rsidRPr="00000000">
        <w:rPr/>
        <w:drawing>
          <wp:inline distB="0" distT="0" distL="0" distR="0">
            <wp:extent cx="3381375" cy="1352550"/>
            <wp:effectExtent b="0" l="0" r="0" t="0"/>
            <wp:docPr descr="A close-up of a sign&#10;&#10;AI-generated content may be incorrect." id="4" name="image3.png"/>
            <a:graphic>
              <a:graphicData uri="http://schemas.openxmlformats.org/drawingml/2006/picture">
                <pic:pic>
                  <pic:nvPicPr>
                    <pic:cNvPr descr="A close-up of a sign&#10;&#10;AI-generated content may be incorrect." id="0" name="image3.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rPr/>
      </w:pPr>
      <w:r w:rsidDel="00000000" w:rsidR="00000000" w:rsidRPr="00000000">
        <w:rPr>
          <w:rtl w:val="0"/>
        </w:rPr>
      </w:r>
    </w:p>
    <w:p w:rsidR="00000000" w:rsidDel="00000000" w:rsidP="00000000" w:rsidRDefault="00000000" w:rsidRPr="00000000" w14:paraId="00000003">
      <w:pPr>
        <w:spacing w:line="240" w:lineRule="auto"/>
        <w:jc w:val="center"/>
        <w:rPr>
          <w:b w:val="1"/>
          <w:bCs w:val="1"/>
        </w:rPr>
      </w:pPr>
      <w:r w:rsidDel="00000000" w:rsidR="00000000" w:rsidRPr="00000000">
        <w:rPr>
          <w:b w:val="1"/>
          <w:bCs w:val="1"/>
          <w:rtl w:val="0"/>
        </w:rPr>
        <w:t xml:space="preserve">Student Name:</w:t>
      </w:r>
      <w:r w:rsidDel="00000000" w:rsidR="00000000" w:rsidRPr="00000000">
        <w:rPr>
          <w:rtl w:val="0"/>
        </w:rPr>
        <w:t xml:space="preserve"> </w:t>
      </w:r>
      <w:r w:rsidDel="00000000" w:rsidR="00000000" w:rsidRPr="00000000">
        <w:rPr>
          <w:b w:val="1"/>
          <w:bCs w:val="1"/>
          <w:rtl w:val="0"/>
        </w:rPr>
        <w:t xml:space="preserve">Neelkumar Dipakkumar Patel</w:t>
      </w:r>
    </w:p>
    <w:p w:rsidR="00000000" w:rsidDel="00000000" w:rsidP="00000000" w:rsidRDefault="00000000" w:rsidRPr="00000000" w14:paraId="00000004">
      <w:pPr>
        <w:spacing w:line="240" w:lineRule="auto"/>
        <w:jc w:val="center"/>
        <w:rPr>
          <w:b w:val="1"/>
          <w:bCs w:val="1"/>
        </w:rPr>
      </w:pPr>
      <w:r w:rsidDel="00000000" w:rsidR="00000000" w:rsidRPr="00000000">
        <w:rPr>
          <w:rtl w:val="0"/>
        </w:rPr>
      </w:r>
    </w:p>
    <w:p w:rsidR="00000000" w:rsidDel="00000000" w:rsidP="00000000" w:rsidRDefault="00000000" w:rsidRPr="00000000" w14:paraId="00000005">
      <w:pPr>
        <w:spacing w:line="240" w:lineRule="auto"/>
        <w:jc w:val="center"/>
        <w:rPr>
          <w:b w:val="1"/>
          <w:bCs w:val="1"/>
        </w:rPr>
      </w:pPr>
      <w:r w:rsidDel="00000000" w:rsidR="00000000" w:rsidRPr="00000000">
        <w:rPr>
          <w:b w:val="1"/>
          <w:bCs w:val="1"/>
          <w:rtl w:val="0"/>
        </w:rPr>
        <w:t xml:space="preserve">Student ID:</w:t>
      </w:r>
      <w:r w:rsidDel="00000000" w:rsidR="00000000" w:rsidRPr="00000000">
        <w:rPr>
          <w:rtl w:val="0"/>
        </w:rPr>
        <w:t xml:space="preserve"> </w:t>
      </w:r>
      <w:r w:rsidDel="00000000" w:rsidR="00000000" w:rsidRPr="00000000">
        <w:rPr>
          <w:b w:val="1"/>
          <w:bCs w:val="1"/>
          <w:rtl w:val="0"/>
        </w:rPr>
        <w:t xml:space="preserve">2530038</w:t>
      </w:r>
    </w:p>
    <w:p w:rsidR="00000000" w:rsidDel="00000000" w:rsidP="00000000" w:rsidRDefault="00000000" w:rsidRPr="00000000" w14:paraId="00000006">
      <w:pPr>
        <w:spacing w:line="240" w:lineRule="auto"/>
        <w:jc w:val="center"/>
        <w:rPr/>
      </w:pPr>
      <w:r w:rsidDel="00000000" w:rsidR="00000000" w:rsidRPr="00000000">
        <w:rPr>
          <w:rtl w:val="0"/>
        </w:rPr>
      </w:r>
    </w:p>
    <w:p w:rsidR="00000000" w:rsidDel="00000000" w:rsidP="00000000" w:rsidRDefault="00000000" w:rsidRPr="00000000" w14:paraId="00000007">
      <w:pPr>
        <w:spacing w:line="240" w:lineRule="auto"/>
        <w:jc w:val="center"/>
        <w:rPr/>
      </w:pPr>
      <w:r w:rsidDel="00000000" w:rsidR="00000000" w:rsidRPr="00000000">
        <w:rPr>
          <w:rtl w:val="0"/>
        </w:rPr>
      </w:r>
    </w:p>
    <w:p w:rsidR="00000000" w:rsidDel="00000000" w:rsidP="00000000" w:rsidRDefault="00000000" w:rsidRPr="00000000" w14:paraId="00000008">
      <w:pPr>
        <w:spacing w:line="240" w:lineRule="auto"/>
        <w:jc w:val="center"/>
        <w:rPr>
          <w:b w:val="1"/>
          <w:bCs w:val="1"/>
        </w:rPr>
      </w:pPr>
      <w:r w:rsidDel="00000000" w:rsidR="00000000" w:rsidRPr="00000000">
        <w:rPr>
          <w:b w:val="1"/>
          <w:bCs w:val="1"/>
          <w:rtl w:val="0"/>
        </w:rPr>
        <w:t xml:space="preserve">Module Name: Marketing Management</w:t>
      </w:r>
    </w:p>
    <w:p w:rsidR="00000000" w:rsidDel="00000000" w:rsidP="00000000" w:rsidRDefault="00000000" w:rsidRPr="00000000" w14:paraId="00000009">
      <w:pPr>
        <w:spacing w:line="240" w:lineRule="auto"/>
        <w:jc w:val="center"/>
        <w:rPr>
          <w:b w:val="1"/>
          <w:bCs w:val="1"/>
        </w:rPr>
      </w:pPr>
      <w:r w:rsidDel="00000000" w:rsidR="00000000" w:rsidRPr="00000000">
        <w:rPr>
          <w:rtl w:val="0"/>
        </w:rPr>
      </w:r>
    </w:p>
    <w:p w:rsidR="00000000" w:rsidDel="00000000" w:rsidP="00000000" w:rsidRDefault="00000000" w:rsidRPr="00000000" w14:paraId="0000000A">
      <w:pPr>
        <w:spacing w:line="240" w:lineRule="auto"/>
        <w:jc w:val="center"/>
        <w:rPr>
          <w:b w:val="1"/>
          <w:bCs w:val="1"/>
        </w:rPr>
      </w:pPr>
      <w:r w:rsidDel="00000000" w:rsidR="00000000" w:rsidRPr="00000000">
        <w:rPr>
          <w:b w:val="1"/>
          <w:bCs w:val="1"/>
          <w:rtl w:val="0"/>
        </w:rPr>
        <w:t xml:space="preserve">Module Code: LCMB7024</w:t>
      </w:r>
    </w:p>
    <w:p w:rsidR="00000000" w:rsidDel="00000000" w:rsidP="00000000" w:rsidRDefault="00000000" w:rsidRPr="00000000" w14:paraId="0000000B">
      <w:pPr>
        <w:spacing w:line="240" w:lineRule="auto"/>
        <w:jc w:val="center"/>
        <w:rPr>
          <w:b w:val="1"/>
          <w:bCs w:val="1"/>
        </w:rPr>
      </w:pPr>
      <w:r w:rsidDel="00000000" w:rsidR="00000000" w:rsidRPr="00000000">
        <w:rPr>
          <w:rtl w:val="0"/>
        </w:rPr>
      </w:r>
    </w:p>
    <w:p w:rsidR="00000000" w:rsidDel="00000000" w:rsidP="00000000" w:rsidRDefault="00000000" w:rsidRPr="00000000" w14:paraId="0000000C">
      <w:pPr>
        <w:spacing w:line="240" w:lineRule="auto"/>
        <w:jc w:val="center"/>
        <w:rPr>
          <w:b w:val="1"/>
          <w:bCs w:val="1"/>
        </w:rPr>
      </w:pPr>
      <w:r w:rsidDel="00000000" w:rsidR="00000000" w:rsidRPr="00000000">
        <w:rPr>
          <w:rtl w:val="0"/>
        </w:rPr>
      </w:r>
    </w:p>
    <w:p w:rsidR="00000000" w:rsidDel="00000000" w:rsidP="00000000" w:rsidRDefault="00000000" w:rsidRPr="00000000" w14:paraId="0000000D">
      <w:pPr>
        <w:spacing w:line="240" w:lineRule="auto"/>
        <w:jc w:val="center"/>
        <w:rPr>
          <w:b w:val="1"/>
          <w:bCs w:val="1"/>
        </w:rPr>
      </w:pPr>
      <w:r w:rsidDel="00000000" w:rsidR="00000000" w:rsidRPr="00000000">
        <w:rPr>
          <w:b w:val="1"/>
          <w:bCs w:val="1"/>
          <w:rtl w:val="0"/>
        </w:rPr>
        <w:t xml:space="preserve">Lecturer’s Name:</w:t>
      </w:r>
      <w:r w:rsidDel="00000000" w:rsidR="00000000" w:rsidRPr="00000000">
        <w:rPr>
          <w:rtl w:val="0"/>
        </w:rPr>
        <w:t xml:space="preserve"> Muhammad Tariq </w:t>
      </w:r>
      <w:r w:rsidDel="00000000" w:rsidR="00000000" w:rsidRPr="00000000">
        <w:rPr>
          <w:rtl w:val="0"/>
        </w:rPr>
      </w:r>
    </w:p>
    <w:p w:rsidR="00000000" w:rsidDel="00000000" w:rsidP="00000000" w:rsidRDefault="00000000" w:rsidRPr="00000000" w14:paraId="0000000E">
      <w:pPr>
        <w:spacing w:line="240" w:lineRule="auto"/>
        <w:jc w:val="center"/>
        <w:rPr>
          <w:b w:val="1"/>
          <w:bCs w:val="1"/>
        </w:rPr>
      </w:pPr>
      <w:r w:rsidDel="00000000" w:rsidR="00000000" w:rsidRPr="00000000">
        <w:rPr>
          <w:b w:val="1"/>
          <w:bCs w:val="1"/>
          <w:rtl w:val="0"/>
        </w:rPr>
        <w:t xml:space="preserve">Portfolio</w:t>
      </w:r>
    </w:p>
    <w:p w:rsidR="00000000" w:rsidDel="00000000" w:rsidP="00000000" w:rsidRDefault="00000000" w:rsidRPr="00000000" w14:paraId="0000000F">
      <w:pPr>
        <w:spacing w:line="240" w:lineRule="auto"/>
        <w:jc w:val="center"/>
        <w:rPr>
          <w:b w:val="1"/>
          <w:bCs w:val="1"/>
        </w:rPr>
      </w:pPr>
      <w:r w:rsidDel="00000000" w:rsidR="00000000" w:rsidRPr="00000000">
        <w:rPr>
          <w:rtl w:val="0"/>
        </w:rPr>
      </w:r>
    </w:p>
    <w:p w:rsidR="00000000" w:rsidDel="00000000" w:rsidP="00000000" w:rsidRDefault="00000000" w:rsidRPr="00000000" w14:paraId="00000010">
      <w:pPr>
        <w:spacing w:line="240" w:lineRule="auto"/>
        <w:rPr>
          <w:b w:val="1"/>
          <w:bCs w:val="1"/>
        </w:rPr>
      </w:pPr>
      <w:r w:rsidDel="00000000" w:rsidR="00000000" w:rsidRPr="00000000">
        <w:rPr>
          <w:rtl w:val="0"/>
        </w:rPr>
      </w:r>
    </w:p>
    <w:p w:rsidR="00000000" w:rsidDel="00000000" w:rsidP="00000000" w:rsidRDefault="00000000" w:rsidRPr="00000000" w14:paraId="00000011">
      <w:pPr>
        <w:spacing w:line="240" w:lineRule="auto"/>
        <w:jc w:val="center"/>
        <w:rPr>
          <w:b w:val="1"/>
          <w:bCs w:val="1"/>
        </w:rPr>
      </w:pPr>
      <w:r w:rsidDel="00000000" w:rsidR="00000000" w:rsidRPr="00000000">
        <w:rPr>
          <w:b w:val="1"/>
          <w:bCs w:val="1"/>
          <w:rtl w:val="0"/>
        </w:rPr>
        <w:t xml:space="preserve">Work Count: 2548</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6">
      <w:pPr>
        <w:spacing w:line="278.00000000000006" w:lineRule="auto"/>
        <w:jc w:val="left"/>
        <w:rPr>
          <w:b w:val="1"/>
          <w:bCs w:val="1"/>
          <w:sz w:val="32"/>
          <w:szCs w:val="32"/>
        </w:rPr>
      </w:pPr>
      <w:r w:rsidDel="00000000" w:rsidR="00000000" w:rsidRPr="00000000">
        <w:rPr>
          <w:b w:val="1"/>
          <w:bCs w:val="1"/>
          <w:sz w:val="32"/>
          <w:szCs w:val="32"/>
          <w:rtl w:val="0"/>
        </w:rPr>
        <w:t xml:space="preserve">Table of Content</w:t>
      </w:r>
    </w:p>
    <w:sdt>
      <w:sdtPr>
        <w:id w:val="-523715267"/>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w:instrText>
            <w:fldChar w:fldCharType="separate"/>
          </w:r>
          <w:hyperlink w:anchor="_5b87yt8j3j1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2quoqkuygi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2: Segmentation, Targeting, Differentiation, and Positioning (STDP) Analysis for Infosys GreenCloud Solutions</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az3aofsevb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Market Segmentation</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5w7sswn5h4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Target Audience</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zwa169hxx6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Differentiation Strategy</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3oifs8wki2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Positioning Strategy</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161dgz5djh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3: Marketing Mix (7Ps) for Infosys GreenCloud Solutions</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eorcxtiy3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Product Strategy</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x727vqq0pq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Price Strategy</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3mmiv1fyal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Place Strategy</w:t>
              <w:tab/>
              <w:t xml:space="preserve">11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0iu27e2okw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Promotion Strategy</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2ttgel1kmg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People Strategy</w:t>
              <w:tab/>
              <w:t xml:space="preserve">13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gjqmyg7pyr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 Process Strategy</w:t>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49rpt8zoqd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3.7 Physical Evidence Strategy</w:t>
              <w:tab/>
              <w:t xml:space="preserve">14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tl7jichyyg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3.8 Strategic Alignment of 7Ps</w:t>
              <w:tab/>
              <w:t xml:space="preserve">14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xjmq8mwzua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4: Reflection Using Gibbs’ Reflective Cycle</w:t>
              <w:tab/>
              <w:t xml:space="preserve">16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q26fxzs8hr7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Description</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5nurzeiy39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Feelings</w:t>
              <w:tab/>
              <w:t xml:space="preserve">16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9x6jr7nuv7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Evaluation</w:t>
              <w:tab/>
              <w:t xml:space="preserve">17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9oyy4og7yy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Analysis</w:t>
              <w:tab/>
              <w:t xml:space="preserve">17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yyel5wnqtp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Conclusion</w:t>
              <w:tab/>
              <w:t xml:space="preserve">17</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8aai1kfqt3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 Action Plan</w:t>
              <w:tab/>
              <w:t xml:space="preserve">18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fg42eie3hh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Overall Conclusion</w:t>
              <w:tab/>
              <w:t xml:space="preserve">19</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2e1p6pjnne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20</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vnalilm2bx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 Element 3 (the poster)</w:t>
              <w:tab/>
              <w:t xml:space="preserve">23</w:t>
            </w:r>
          </w:hyperlink>
          <w:r w:rsidDel="00000000" w:rsidR="00000000" w:rsidRPr="00000000">
            <w:rPr>
              <w:rtl w:val="0"/>
            </w:rPr>
          </w:r>
        </w:p>
        <w:p w:rsidR="00000000" w:rsidDel="00000000" w:rsidP="00000000" w:rsidRDefault="00000000" w:rsidRPr="00000000" w14:paraId="0000003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rPr>
          <w:b w:val="1"/>
          <w:bCs w:val="1"/>
          <w:sz w:val="32"/>
          <w:szCs w:val="32"/>
        </w:rPr>
      </w:pPr>
      <w:r w:rsidDel="00000000" w:rsidR="00000000" w:rsidRPr="00000000">
        <w:rPr>
          <w:rtl w:val="0"/>
        </w:rPr>
      </w:r>
    </w:p>
    <w:p w:rsidR="00000000" w:rsidDel="00000000" w:rsidP="00000000" w:rsidRDefault="00000000" w:rsidRPr="00000000" w14:paraId="00000032">
      <w:pPr>
        <w:rPr>
          <w:b w:val="1"/>
          <w:bCs w:val="1"/>
          <w:sz w:val="32"/>
          <w:szCs w:val="32"/>
        </w:rPr>
      </w:pPr>
      <w:r w:rsidDel="00000000" w:rsidR="00000000" w:rsidRPr="00000000">
        <w:rPr>
          <w:rtl w:val="0"/>
        </w:rPr>
      </w:r>
    </w:p>
    <w:p w:rsidR="00000000" w:rsidDel="00000000" w:rsidP="00000000" w:rsidRDefault="00000000" w:rsidRPr="00000000" w14:paraId="00000033">
      <w:pPr>
        <w:rPr>
          <w:b w:val="1"/>
          <w:bCs w:val="1"/>
          <w:sz w:val="32"/>
          <w:szCs w:val="32"/>
        </w:rPr>
      </w:pPr>
      <w:r w:rsidDel="00000000" w:rsidR="00000000" w:rsidRPr="00000000">
        <w:rPr>
          <w:rtl w:val="0"/>
        </w:rPr>
      </w:r>
    </w:p>
    <w:p w:rsidR="00000000" w:rsidDel="00000000" w:rsidP="00000000" w:rsidRDefault="00000000" w:rsidRPr="00000000" w14:paraId="00000034">
      <w:pPr>
        <w:rPr>
          <w:b w:val="1"/>
          <w:bCs w:val="1"/>
          <w:sz w:val="32"/>
          <w:szCs w:val="32"/>
        </w:rPr>
      </w:pPr>
      <w:r w:rsidDel="00000000" w:rsidR="00000000" w:rsidRPr="00000000">
        <w:rPr>
          <w:rtl w:val="0"/>
        </w:rPr>
      </w:r>
    </w:p>
    <w:p w:rsidR="00000000" w:rsidDel="00000000" w:rsidP="00000000" w:rsidRDefault="00000000" w:rsidRPr="00000000" w14:paraId="00000035">
      <w:pPr>
        <w:rPr>
          <w:b w:val="1"/>
          <w:bCs w:val="1"/>
          <w:sz w:val="32"/>
          <w:szCs w:val="32"/>
        </w:rPr>
      </w:pPr>
      <w:r w:rsidDel="00000000" w:rsidR="00000000" w:rsidRPr="00000000">
        <w:rPr>
          <w:rtl w:val="0"/>
        </w:rPr>
      </w:r>
    </w:p>
    <w:p w:rsidR="00000000" w:rsidDel="00000000" w:rsidP="00000000" w:rsidRDefault="00000000" w:rsidRPr="00000000" w14:paraId="00000036">
      <w:pPr>
        <w:rPr>
          <w:b w:val="1"/>
          <w:bCs w:val="1"/>
          <w:sz w:val="32"/>
          <w:szCs w:val="32"/>
        </w:rPr>
      </w:pPr>
      <w:r w:rsidDel="00000000" w:rsidR="00000000" w:rsidRPr="00000000">
        <w:rPr>
          <w:rtl w:val="0"/>
        </w:rPr>
      </w:r>
    </w:p>
    <w:p w:rsidR="00000000" w:rsidDel="00000000" w:rsidP="00000000" w:rsidRDefault="00000000" w:rsidRPr="00000000" w14:paraId="00000037">
      <w:pPr>
        <w:rPr>
          <w:b w:val="1"/>
          <w:bCs w:val="1"/>
          <w:sz w:val="32"/>
          <w:szCs w:val="32"/>
        </w:rPr>
      </w:pPr>
      <w:r w:rsidDel="00000000" w:rsidR="00000000" w:rsidRPr="00000000">
        <w:rPr>
          <w:rtl w:val="0"/>
        </w:rPr>
      </w:r>
    </w:p>
    <w:p w:rsidR="00000000" w:rsidDel="00000000" w:rsidP="00000000" w:rsidRDefault="00000000" w:rsidRPr="00000000" w14:paraId="00000038">
      <w:pPr>
        <w:rPr>
          <w:b w:val="1"/>
          <w:bCs w:val="1"/>
          <w:sz w:val="32"/>
          <w:szCs w:val="32"/>
        </w:rPr>
      </w:pPr>
      <w:r w:rsidDel="00000000" w:rsidR="00000000" w:rsidRPr="00000000">
        <w:rPr>
          <w:rtl w:val="0"/>
        </w:rPr>
      </w:r>
    </w:p>
    <w:p w:rsidR="00000000" w:rsidDel="00000000" w:rsidP="00000000" w:rsidRDefault="00000000" w:rsidRPr="00000000" w14:paraId="00000039">
      <w:pPr>
        <w:rPr>
          <w:b w:val="1"/>
          <w:bCs w:val="1"/>
          <w:sz w:val="32"/>
          <w:szCs w:val="32"/>
        </w:rPr>
      </w:pPr>
      <w:r w:rsidDel="00000000" w:rsidR="00000000" w:rsidRPr="00000000">
        <w:rPr>
          <w:rtl w:val="0"/>
        </w:rPr>
      </w:r>
    </w:p>
    <w:p w:rsidR="00000000" w:rsidDel="00000000" w:rsidP="00000000" w:rsidRDefault="00000000" w:rsidRPr="00000000" w14:paraId="0000003A">
      <w:pPr>
        <w:rPr>
          <w:b w:val="1"/>
          <w:bCs w:val="1"/>
          <w:sz w:val="32"/>
          <w:szCs w:val="32"/>
        </w:rPr>
      </w:pPr>
      <w:r w:rsidDel="00000000" w:rsidR="00000000" w:rsidRPr="00000000">
        <w:rPr>
          <w:rtl w:val="0"/>
        </w:rPr>
      </w:r>
    </w:p>
    <w:p w:rsidR="00000000" w:rsidDel="00000000" w:rsidP="00000000" w:rsidRDefault="00000000" w:rsidRPr="00000000" w14:paraId="0000003B">
      <w:pPr>
        <w:rPr>
          <w:b w:val="1"/>
          <w:bCs w:val="1"/>
          <w:sz w:val="32"/>
          <w:szCs w:val="32"/>
        </w:rPr>
      </w:pPr>
      <w:r w:rsidDel="00000000" w:rsidR="00000000" w:rsidRPr="00000000">
        <w:rPr>
          <w:rtl w:val="0"/>
        </w:rPr>
      </w:r>
    </w:p>
    <w:p w:rsidR="00000000" w:rsidDel="00000000" w:rsidP="00000000" w:rsidRDefault="00000000" w:rsidRPr="00000000" w14:paraId="0000003C">
      <w:pPr>
        <w:rPr>
          <w:b w:val="1"/>
          <w:bCs w:val="1"/>
          <w:sz w:val="32"/>
          <w:szCs w:val="32"/>
        </w:rPr>
      </w:pPr>
      <w:r w:rsidDel="00000000" w:rsidR="00000000" w:rsidRPr="00000000">
        <w:rPr>
          <w:rtl w:val="0"/>
        </w:rPr>
      </w:r>
    </w:p>
    <w:p w:rsidR="00000000" w:rsidDel="00000000" w:rsidP="00000000" w:rsidRDefault="00000000" w:rsidRPr="00000000" w14:paraId="0000003D">
      <w:pPr>
        <w:rPr>
          <w:b w:val="1"/>
          <w:bCs w:val="1"/>
          <w:sz w:val="32"/>
          <w:szCs w:val="32"/>
        </w:rPr>
      </w:pPr>
      <w:r w:rsidDel="00000000" w:rsidR="00000000" w:rsidRPr="00000000">
        <w:rPr>
          <w:rtl w:val="0"/>
        </w:rPr>
      </w:r>
    </w:p>
    <w:p w:rsidR="00000000" w:rsidDel="00000000" w:rsidP="00000000" w:rsidRDefault="00000000" w:rsidRPr="00000000" w14:paraId="0000003E">
      <w:pPr>
        <w:rPr>
          <w:b w:val="1"/>
          <w:bCs w:val="1"/>
          <w:sz w:val="32"/>
          <w:szCs w:val="32"/>
        </w:rPr>
      </w:pPr>
      <w:r w:rsidDel="00000000" w:rsidR="00000000" w:rsidRPr="00000000">
        <w:rPr>
          <w:rtl w:val="0"/>
        </w:rPr>
      </w:r>
    </w:p>
    <w:p w:rsidR="00000000" w:rsidDel="00000000" w:rsidP="00000000" w:rsidRDefault="00000000" w:rsidRPr="00000000" w14:paraId="0000003F">
      <w:pPr>
        <w:rPr>
          <w:b w:val="1"/>
          <w:bCs w:val="1"/>
          <w:sz w:val="32"/>
          <w:szCs w:val="32"/>
        </w:rPr>
      </w:pPr>
      <w:r w:rsidDel="00000000" w:rsidR="00000000" w:rsidRPr="00000000">
        <w:rPr>
          <w:rtl w:val="0"/>
        </w:rPr>
      </w:r>
    </w:p>
    <w:p w:rsidR="00000000" w:rsidDel="00000000" w:rsidP="00000000" w:rsidRDefault="00000000" w:rsidRPr="00000000" w14:paraId="00000040">
      <w:pPr>
        <w:rPr>
          <w:b w:val="1"/>
          <w:bCs w:val="1"/>
          <w:sz w:val="32"/>
          <w:szCs w:val="32"/>
        </w:rPr>
      </w:pPr>
      <w:r w:rsidDel="00000000" w:rsidR="00000000" w:rsidRPr="00000000">
        <w:rPr>
          <w:rtl w:val="0"/>
        </w:rPr>
      </w:r>
    </w:p>
    <w:p w:rsidR="00000000" w:rsidDel="00000000" w:rsidP="00000000" w:rsidRDefault="00000000" w:rsidRPr="00000000" w14:paraId="00000041">
      <w:pPr>
        <w:rPr>
          <w:b w:val="1"/>
          <w:bCs w:val="1"/>
          <w:sz w:val="32"/>
          <w:szCs w:val="32"/>
        </w:rPr>
      </w:pPr>
      <w:r w:rsidDel="00000000" w:rsidR="00000000" w:rsidRPr="00000000">
        <w:rPr>
          <w:b w:val="1"/>
          <w:bCs w:val="1"/>
          <w:sz w:val="32"/>
          <w:szCs w:val="32"/>
          <w:rtl w:val="0"/>
        </w:rPr>
        <w:t xml:space="preserve">List of Tables</w:t>
      </w:r>
    </w:p>
    <w:sdt>
      <w:sdtPr>
        <w:id w:val="-755139399"/>
        <w:docPartObj>
          <w:docPartGallery w:val="Table of Contents"/>
          <w:docPartUnique w:val="1"/>
        </w:docPartObj>
      </w:sdtPr>
      <w:sdtContent>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npge08dz1cs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1: STDP Market Segmentation for Infosys GreenCloud Solutions</w:t>
              <w:tab/>
              <w:t xml:space="preserve">7</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f0dcc1oem3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2: Marketing Mix (7Ps) for Infosys GreenCloud Solutions</w:t>
              <w:tab/>
              <w:t xml:space="preserve">15</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bnmfx58n34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3: Action Plan</w:t>
              <w:tab/>
              <w:t xml:space="preserve">19</w:t>
            </w:r>
          </w:hyperlink>
          <w:r w:rsidDel="00000000" w:rsidR="00000000" w:rsidRPr="00000000">
            <w:rPr>
              <w:rtl w:val="0"/>
            </w:rPr>
          </w:r>
        </w:p>
        <w:p w:rsidR="00000000" w:rsidDel="00000000" w:rsidP="00000000" w:rsidRDefault="00000000" w:rsidRPr="00000000" w14:paraId="00000045">
          <w:pPr>
            <w:rPr>
              <w:b w:val="1"/>
              <w:bCs w:val="1"/>
              <w:sz w:val="32"/>
              <w:szCs w:val="3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6">
      <w:pPr>
        <w:rPr>
          <w:b w:val="1"/>
          <w:bCs w:val="1"/>
          <w:sz w:val="32"/>
          <w:szCs w:val="32"/>
        </w:rPr>
      </w:pPr>
      <w:r w:rsidDel="00000000" w:rsidR="00000000" w:rsidRPr="00000000">
        <w:rPr>
          <w:b w:val="1"/>
          <w:bCs w:val="1"/>
          <w:sz w:val="32"/>
          <w:szCs w:val="32"/>
          <w:rtl w:val="0"/>
        </w:rPr>
        <w:t xml:space="preserve">List of Figures</w:t>
      </w:r>
    </w:p>
    <w:sdt>
      <w:sdtPr>
        <w:id w:val="398735307"/>
        <w:docPartObj>
          <w:docPartGallery w:val="Table of Contents"/>
          <w:docPartUnique w:val="1"/>
        </w:docPartObj>
      </w:sdtPr>
      <w:sdtContent>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b6bcxy1qve8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Infosys Corporate Logo</w:t>
              <w:tab/>
              <w:t xml:space="preserve">5</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d1pw0u1p0b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7Ps Marketing Mix Framework</w:t>
              <w:tab/>
              <w:t xml:space="preserve">9</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jxwtud7cr0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Value-Based Pricing Strategy Model</w:t>
              <w:tab/>
              <w:t xml:space="preserve">10</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9zt3tp2vlvt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4: Infosys Global Presence</w:t>
              <w:tab/>
              <w:t xml:space="preserve">11</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2p3ypi82x4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5: Infosys ESG Thought Leadership and Sustainability Promotion Campaign</w:t>
              <w:tab/>
              <w:t xml:space="preserve">12</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qjzrmdrj8j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6: Secure and Scalable Digital Process Strategy</w:t>
              <w:tab/>
              <w:t xml:space="preserve">13</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0z3npob1w1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7: Thought Leadership Impact</w:t>
              <w:tab/>
              <w:t xml:space="preserve">14</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xigu490u7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8: Gibbs Reflective Cycle Framework</w:t>
              <w:tab/>
              <w:t xml:space="preserve">16</w:t>
            </w:r>
          </w:hyperlink>
          <w:r w:rsidDel="00000000" w:rsidR="00000000" w:rsidRPr="00000000">
            <w:rPr>
              <w:rtl w:val="0"/>
            </w:rPr>
          </w:r>
        </w:p>
        <w:p w:rsidR="00000000" w:rsidDel="00000000" w:rsidP="00000000" w:rsidRDefault="00000000" w:rsidRPr="00000000" w14:paraId="0000004F">
          <w:pPr>
            <w:rPr>
              <w:b w:val="1"/>
              <w:bCs w:val="1"/>
              <w:sz w:val="32"/>
              <w:szCs w:val="3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0">
      <w:pPr>
        <w:rPr>
          <w:b w:val="1"/>
          <w:bCs w:val="1"/>
          <w:sz w:val="32"/>
          <w:szCs w:val="32"/>
        </w:rPr>
      </w:pPr>
      <w:r w:rsidDel="00000000" w:rsidR="00000000" w:rsidRPr="00000000">
        <w:rPr>
          <w:rtl w:val="0"/>
        </w:rPr>
      </w:r>
    </w:p>
    <w:p w:rsidR="00000000" w:rsidDel="00000000" w:rsidP="00000000" w:rsidRDefault="00000000" w:rsidRPr="00000000" w14:paraId="00000051">
      <w:pPr>
        <w:rPr>
          <w:b w:val="1"/>
          <w:bCs w:val="1"/>
          <w:sz w:val="32"/>
          <w:szCs w:val="32"/>
        </w:rPr>
      </w:pPr>
      <w:r w:rsidDel="00000000" w:rsidR="00000000" w:rsidRPr="00000000">
        <w:rPr>
          <w:rtl w:val="0"/>
        </w:rPr>
      </w:r>
    </w:p>
    <w:p w:rsidR="00000000" w:rsidDel="00000000" w:rsidP="00000000" w:rsidRDefault="00000000" w:rsidRPr="00000000" w14:paraId="00000052">
      <w:pPr>
        <w:rPr>
          <w:b w:val="1"/>
          <w:bCs w:val="1"/>
          <w:sz w:val="32"/>
          <w:szCs w:val="32"/>
        </w:rPr>
      </w:pPr>
      <w:r w:rsidDel="00000000" w:rsidR="00000000" w:rsidRPr="00000000">
        <w:rPr>
          <w:rtl w:val="0"/>
        </w:rPr>
      </w:r>
    </w:p>
    <w:p w:rsidR="00000000" w:rsidDel="00000000" w:rsidP="00000000" w:rsidRDefault="00000000" w:rsidRPr="00000000" w14:paraId="00000053">
      <w:pPr>
        <w:rPr>
          <w:b w:val="1"/>
          <w:bCs w:val="1"/>
          <w:sz w:val="32"/>
          <w:szCs w:val="32"/>
        </w:rPr>
      </w:pPr>
      <w:r w:rsidDel="00000000" w:rsidR="00000000" w:rsidRPr="00000000">
        <w:rPr>
          <w:rtl w:val="0"/>
        </w:rPr>
      </w:r>
    </w:p>
    <w:p w:rsidR="00000000" w:rsidDel="00000000" w:rsidP="00000000" w:rsidRDefault="00000000" w:rsidRPr="00000000" w14:paraId="00000054">
      <w:pPr>
        <w:rPr>
          <w:b w:val="1"/>
          <w:bCs w:val="1"/>
          <w:sz w:val="32"/>
          <w:szCs w:val="32"/>
        </w:rPr>
      </w:pPr>
      <w:r w:rsidDel="00000000" w:rsidR="00000000" w:rsidRPr="00000000">
        <w:rPr>
          <w:rtl w:val="0"/>
        </w:rPr>
      </w:r>
    </w:p>
    <w:p w:rsidR="00000000" w:rsidDel="00000000" w:rsidP="00000000" w:rsidRDefault="00000000" w:rsidRPr="00000000" w14:paraId="00000055">
      <w:pPr>
        <w:rPr>
          <w:b w:val="1"/>
          <w:bCs w:val="1"/>
          <w:sz w:val="32"/>
          <w:szCs w:val="32"/>
        </w:rPr>
      </w:pPr>
      <w:r w:rsidDel="00000000" w:rsidR="00000000" w:rsidRPr="00000000">
        <w:rPr>
          <w:rtl w:val="0"/>
        </w:rPr>
      </w:r>
    </w:p>
    <w:p w:rsidR="00000000" w:rsidDel="00000000" w:rsidP="00000000" w:rsidRDefault="00000000" w:rsidRPr="00000000" w14:paraId="00000056">
      <w:pPr>
        <w:rPr>
          <w:b w:val="1"/>
          <w:bCs w:val="1"/>
          <w:sz w:val="32"/>
          <w:szCs w:val="32"/>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pPr>
      <w:bookmarkStart w:colFirst="0" w:colLast="0" w:name="_5b87yt8j3j1v" w:id="0"/>
      <w:bookmarkEnd w:id="0"/>
      <w:r w:rsidDel="00000000" w:rsidR="00000000" w:rsidRPr="00000000">
        <w:rPr>
          <w:rtl w:val="0"/>
        </w:rPr>
        <w:t xml:space="preserve">Introduction</w:t>
      </w:r>
    </w:p>
    <w:p w:rsidR="00000000" w:rsidDel="00000000" w:rsidP="00000000" w:rsidRDefault="00000000" w:rsidRPr="00000000" w14:paraId="00000059">
      <w:pPr>
        <w:rPr/>
      </w:pPr>
      <w:r w:rsidDel="00000000" w:rsidR="00000000" w:rsidRPr="00000000">
        <w:rPr/>
        <w:drawing>
          <wp:inline distB="0" distT="0" distL="0" distR="0">
            <wp:extent cx="5943600" cy="2377440"/>
            <wp:effectExtent b="0" l="0" r="0" t="0"/>
            <wp:docPr descr="File:Infosys logo.svg - Wikimedia Commons" id="5" name="image4.png"/>
            <a:graphic>
              <a:graphicData uri="http://schemas.openxmlformats.org/drawingml/2006/picture">
                <pic:pic>
                  <pic:nvPicPr>
                    <pic:cNvPr descr="File:Infosys logo.svg - Wikimedia Commons" id="0" name="image4.png"/>
                    <pic:cNvPicPr preferRelativeResize="0"/>
                  </pic:nvPicPr>
                  <pic:blipFill>
                    <a:blip r:embed="rId7"/>
                    <a:srcRect b="0" l="0" r="0" t="0"/>
                    <a:stretch>
                      <a:fillRect/>
                    </a:stretch>
                  </pic:blipFill>
                  <pic:spPr>
                    <a:xfrm>
                      <a:off x="0" y="0"/>
                      <a:ext cx="5943600" cy="2377440"/>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b6bcxy1qve8f" w:id="1"/>
      <w:bookmarkEnd w:id="1"/>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1: Infosys Corporate Logo</w:t>
      </w:r>
    </w:p>
    <w:p w:rsidR="00000000" w:rsidDel="00000000" w:rsidP="00000000" w:rsidRDefault="00000000" w:rsidRPr="00000000" w14:paraId="0000005B">
      <w:pPr>
        <w:rPr/>
      </w:pPr>
      <w:r w:rsidDel="00000000" w:rsidR="00000000" w:rsidRPr="00000000">
        <w:rPr>
          <w:rtl w:val="0"/>
        </w:rPr>
        <w:t xml:space="preserve">Infosys is a worldwide-known digital consulting, IT services, artificial intelligence, cloud transformation, and sustainability-driven innovation provider, delivering service to clients in over 50 countries with a yearly revenue of more than US18 billion (Infosys Limited, 2025a). On the basis of its robust parent-brand equity, this portfolio suggests Infosys GreenCloud Solutions as a strategic brand extension that specifically deals with sustainable cloud, AI-enabled energy optimisation, and green digital transformation offerings to companies. This expansion is in line with the growing global need to use environmentally friendly technology solutions and it helps Infosys to meet its ESG obligations, such as carbon neutrality and sustainable business transformation (Infosys Limited, 2025b). This portfolio aims to critically analyze the growth potential of this brand extension using Segmentation, Targeting, Differentiation and Positioning (STDP) analysis based on the 7Ps marketing mix model. Further, Gibbs reflective cycle of strategic learning, creativity and professional development is a reflective assessment of the strategic learning, creativity and professional learning attained during the project (Adeani, Febriani et al., 2020).</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2"/>
        <w:rPr>
          <w:rFonts w:ascii="Times New Roman" w:cs="Times New Roman" w:eastAsia="Times New Roman" w:hAnsi="Times New Roman"/>
        </w:rPr>
      </w:pPr>
      <w:bookmarkStart w:colFirst="0" w:colLast="0" w:name="_n2quoqkuygiu" w:id="2"/>
      <w:bookmarkEnd w:id="2"/>
      <w:r w:rsidDel="00000000" w:rsidR="00000000" w:rsidRPr="00000000">
        <w:rPr>
          <w:rtl w:val="0"/>
        </w:rPr>
        <w:t xml:space="preserve">Element 2: Segmentation, Targeting, Differentiation, and Positioning (STDP) Analysis for Infosys GreenCloud Solutions</w:t>
      </w:r>
      <w:r w:rsidDel="00000000" w:rsidR="00000000" w:rsidRPr="00000000">
        <w:rPr>
          <w:rtl w:val="0"/>
        </w:rPr>
      </w:r>
    </w:p>
    <w:p w:rsidR="00000000" w:rsidDel="00000000" w:rsidP="00000000" w:rsidRDefault="00000000" w:rsidRPr="00000000" w14:paraId="0000005E">
      <w:pPr>
        <w:pStyle w:val="Heading2"/>
        <w:rPr/>
      </w:pPr>
      <w:bookmarkStart w:colFirst="0" w:colLast="0" w:name="_laz3aofsevby" w:id="3"/>
      <w:bookmarkEnd w:id="3"/>
      <w:r w:rsidDel="00000000" w:rsidR="00000000" w:rsidRPr="00000000">
        <w:rPr>
          <w:rtl w:val="0"/>
        </w:rPr>
        <w:t xml:space="preserve">2.1 Market Segmentation</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19"/>
        <w:gridCol w:w="3401"/>
        <w:gridCol w:w="3930"/>
        <w:tblGridChange w:id="0">
          <w:tblGrid>
            <w:gridCol w:w="2019"/>
            <w:gridCol w:w="3401"/>
            <w:gridCol w:w="3930"/>
          </w:tblGrid>
        </w:tblGridChange>
      </w:tblGrid>
      <w:tr>
        <w:trPr>
          <w:cantSplit w:val="0"/>
          <w:tblHeader w:val="0"/>
        </w:trPr>
        <w:tc>
          <w:tcPr>
            <w:shd w:fill="00b0f0" w:val="clear"/>
            <w:vAlign w:val="center"/>
          </w:tcPr>
          <w:p w:rsidR="00000000" w:rsidDel="00000000" w:rsidP="00000000" w:rsidRDefault="00000000" w:rsidRPr="00000000" w14:paraId="0000005F">
            <w:pPr>
              <w:jc w:val="center"/>
              <w:rPr>
                <w:b w:val="1"/>
                <w:bCs w:val="1"/>
              </w:rPr>
            </w:pPr>
            <w:r w:rsidDel="00000000" w:rsidR="00000000" w:rsidRPr="00000000">
              <w:rPr>
                <w:b w:val="1"/>
                <w:bCs w:val="1"/>
                <w:rtl w:val="0"/>
              </w:rPr>
              <w:t xml:space="preserve">Segmentation Variable</w:t>
            </w:r>
          </w:p>
        </w:tc>
        <w:tc>
          <w:tcPr>
            <w:shd w:fill="00b0f0" w:val="clear"/>
            <w:vAlign w:val="center"/>
          </w:tcPr>
          <w:p w:rsidR="00000000" w:rsidDel="00000000" w:rsidP="00000000" w:rsidRDefault="00000000" w:rsidRPr="00000000" w14:paraId="00000060">
            <w:pPr>
              <w:jc w:val="center"/>
              <w:rPr>
                <w:b w:val="1"/>
                <w:bCs w:val="1"/>
              </w:rPr>
            </w:pPr>
            <w:r w:rsidDel="00000000" w:rsidR="00000000" w:rsidRPr="00000000">
              <w:rPr>
                <w:b w:val="1"/>
                <w:bCs w:val="1"/>
                <w:rtl w:val="0"/>
              </w:rPr>
              <w:t xml:space="preserve">Key Segment Characteristics</w:t>
            </w:r>
          </w:p>
        </w:tc>
        <w:tc>
          <w:tcPr>
            <w:shd w:fill="00b0f0" w:val="clear"/>
            <w:vAlign w:val="center"/>
          </w:tcPr>
          <w:p w:rsidR="00000000" w:rsidDel="00000000" w:rsidP="00000000" w:rsidRDefault="00000000" w:rsidRPr="00000000" w14:paraId="00000061">
            <w:pPr>
              <w:jc w:val="center"/>
              <w:rPr>
                <w:b w:val="1"/>
                <w:bCs w:val="1"/>
              </w:rPr>
            </w:pPr>
            <w:r w:rsidDel="00000000" w:rsidR="00000000" w:rsidRPr="00000000">
              <w:rPr>
                <w:b w:val="1"/>
                <w:bCs w:val="1"/>
                <w:rtl w:val="0"/>
              </w:rPr>
              <w:t xml:space="preserve">Strategic Relevance</w:t>
            </w:r>
          </w:p>
        </w:tc>
      </w:tr>
      <w:tr>
        <w:trPr>
          <w:cantSplit w:val="0"/>
          <w:tblHeader w:val="0"/>
        </w:trPr>
        <w:tc>
          <w:tcPr/>
          <w:p w:rsidR="00000000" w:rsidDel="00000000" w:rsidP="00000000" w:rsidRDefault="00000000" w:rsidRPr="00000000" w14:paraId="00000062">
            <w:pPr>
              <w:rPr/>
            </w:pPr>
            <w:r w:rsidDel="00000000" w:rsidR="00000000" w:rsidRPr="00000000">
              <w:rPr>
                <w:b w:val="1"/>
                <w:bCs w:val="1"/>
                <w:rtl w:val="0"/>
              </w:rPr>
              <w:t xml:space="preserve">Geographic</w:t>
            </w:r>
            <w:r w:rsidDel="00000000" w:rsidR="00000000" w:rsidRPr="00000000">
              <w:rPr>
                <w:rtl w:val="0"/>
              </w:rPr>
            </w:r>
          </w:p>
        </w:tc>
        <w:tc>
          <w:tcPr/>
          <w:p w:rsidR="00000000" w:rsidDel="00000000" w:rsidP="00000000" w:rsidRDefault="00000000" w:rsidRPr="00000000" w14:paraId="00000063">
            <w:pPr>
              <w:rPr/>
            </w:pPr>
            <w:r w:rsidDel="00000000" w:rsidR="00000000" w:rsidRPr="00000000">
              <w:rPr>
                <w:rtl w:val="0"/>
              </w:rPr>
              <w:t xml:space="preserve">North America, Europe, Asia-Pacific, and Middle East regions with high enterprise digitalisation, cloud adoption, and ESG regulatory pressure</w:t>
            </w:r>
          </w:p>
        </w:tc>
        <w:tc>
          <w:tcPr/>
          <w:p w:rsidR="00000000" w:rsidDel="00000000" w:rsidP="00000000" w:rsidRDefault="00000000" w:rsidRPr="00000000" w14:paraId="00000064">
            <w:pPr>
              <w:rPr/>
            </w:pPr>
            <w:r w:rsidDel="00000000" w:rsidR="00000000" w:rsidRPr="00000000">
              <w:rPr>
                <w:rtl w:val="0"/>
              </w:rPr>
              <w:t xml:space="preserve">These markets have strong demand for sustainable digital transformation and cloud decarbonisation services, particularly among developed economies and rapidly digitising enterprises (Research and Markets, 2025).</w:t>
            </w:r>
          </w:p>
        </w:tc>
      </w:tr>
      <w:tr>
        <w:trPr>
          <w:cantSplit w:val="0"/>
          <w:tblHeader w:val="0"/>
        </w:trPr>
        <w:tc>
          <w:tcPr/>
          <w:p w:rsidR="00000000" w:rsidDel="00000000" w:rsidP="00000000" w:rsidRDefault="00000000" w:rsidRPr="00000000" w14:paraId="00000065">
            <w:pPr>
              <w:rPr/>
            </w:pPr>
            <w:r w:rsidDel="00000000" w:rsidR="00000000" w:rsidRPr="00000000">
              <w:rPr>
                <w:b w:val="1"/>
                <w:bCs w:val="1"/>
                <w:rtl w:val="0"/>
              </w:rPr>
              <w:t xml:space="preserve">Demographic</w:t>
            </w:r>
            <w:r w:rsidDel="00000000" w:rsidR="00000000" w:rsidRPr="00000000">
              <w:rPr>
                <w:rtl w:val="0"/>
              </w:rPr>
            </w:r>
          </w:p>
        </w:tc>
        <w:tc>
          <w:tcPr/>
          <w:p w:rsidR="00000000" w:rsidDel="00000000" w:rsidP="00000000" w:rsidRDefault="00000000" w:rsidRPr="00000000" w14:paraId="00000066">
            <w:pPr>
              <w:rPr/>
            </w:pPr>
            <w:r w:rsidDel="00000000" w:rsidR="00000000" w:rsidRPr="00000000">
              <w:rPr>
                <w:rtl w:val="0"/>
              </w:rPr>
              <w:t xml:space="preserve">Large enterprises, SMEs, government institutions, and sustainability-focused corporations led by senior executives, CIOs, CTOs, and sustainability officers</w:t>
            </w:r>
          </w:p>
        </w:tc>
        <w:tc>
          <w:tcPr/>
          <w:p w:rsidR="00000000" w:rsidDel="00000000" w:rsidP="00000000" w:rsidRDefault="00000000" w:rsidRPr="00000000" w14:paraId="00000067">
            <w:pPr>
              <w:rPr/>
            </w:pPr>
            <w:r w:rsidDel="00000000" w:rsidR="00000000" w:rsidRPr="00000000">
              <w:rPr>
                <w:rtl w:val="0"/>
              </w:rPr>
              <w:t xml:space="preserve">Decision-makers in these sectors possess high purchasing power and actively invest in AI, cloud, and sustainability integration for operational efficiency (Mora Cortez et al., 2025).</w:t>
            </w:r>
          </w:p>
        </w:tc>
      </w:tr>
      <w:tr>
        <w:trPr>
          <w:cantSplit w:val="0"/>
          <w:tblHeader w:val="0"/>
        </w:trPr>
        <w:tc>
          <w:tcPr/>
          <w:p w:rsidR="00000000" w:rsidDel="00000000" w:rsidP="00000000" w:rsidRDefault="00000000" w:rsidRPr="00000000" w14:paraId="00000068">
            <w:pPr>
              <w:rPr/>
            </w:pPr>
            <w:r w:rsidDel="00000000" w:rsidR="00000000" w:rsidRPr="00000000">
              <w:rPr>
                <w:b w:val="1"/>
                <w:bCs w:val="1"/>
                <w:rtl w:val="0"/>
              </w:rPr>
              <w:t xml:space="preserve">Psychographic</w:t>
            </w:r>
            <w:r w:rsidDel="00000000" w:rsidR="00000000" w:rsidRPr="00000000">
              <w:rPr>
                <w:rtl w:val="0"/>
              </w:rPr>
            </w:r>
          </w:p>
        </w:tc>
        <w:tc>
          <w:tcPr/>
          <w:p w:rsidR="00000000" w:rsidDel="00000000" w:rsidP="00000000" w:rsidRDefault="00000000" w:rsidRPr="00000000" w14:paraId="00000069">
            <w:pPr>
              <w:rPr/>
            </w:pPr>
            <w:r w:rsidDel="00000000" w:rsidR="00000000" w:rsidRPr="00000000">
              <w:rPr>
                <w:rtl w:val="0"/>
              </w:rPr>
              <w:t xml:space="preserve">Innovation-driven, environmentally conscious, digitally mature organisations seeking long-term transformation, ESG leadership, and operational resilience</w:t>
            </w:r>
          </w:p>
        </w:tc>
        <w:tc>
          <w:tcPr/>
          <w:p w:rsidR="00000000" w:rsidDel="00000000" w:rsidP="00000000" w:rsidRDefault="00000000" w:rsidRPr="00000000" w14:paraId="0000006A">
            <w:pPr>
              <w:rPr/>
            </w:pPr>
            <w:r w:rsidDel="00000000" w:rsidR="00000000" w:rsidRPr="00000000">
              <w:rPr>
                <w:rtl w:val="0"/>
              </w:rPr>
              <w:t xml:space="preserve">Organisations prioritising green innovation are more likely to value Infosys’ sustainable cloud and AI optimisation solutions (Molnár et al., 2026).</w:t>
            </w:r>
          </w:p>
        </w:tc>
      </w:tr>
      <w:tr>
        <w:trPr>
          <w:cantSplit w:val="0"/>
          <w:tblHeader w:val="0"/>
        </w:trPr>
        <w:tc>
          <w:tcPr/>
          <w:p w:rsidR="00000000" w:rsidDel="00000000" w:rsidP="00000000" w:rsidRDefault="00000000" w:rsidRPr="00000000" w14:paraId="0000006B">
            <w:pPr>
              <w:rPr/>
            </w:pPr>
            <w:r w:rsidDel="00000000" w:rsidR="00000000" w:rsidRPr="00000000">
              <w:rPr>
                <w:b w:val="1"/>
                <w:bCs w:val="1"/>
                <w:rtl w:val="0"/>
              </w:rPr>
              <w:t xml:space="preserve">Behavioural</w:t>
            </w:r>
            <w:r w:rsidDel="00000000" w:rsidR="00000000" w:rsidRPr="00000000">
              <w:rPr>
                <w:rtl w:val="0"/>
              </w:rPr>
            </w:r>
          </w:p>
        </w:tc>
        <w:tc>
          <w:tcPr/>
          <w:p w:rsidR="00000000" w:rsidDel="00000000" w:rsidP="00000000" w:rsidRDefault="00000000" w:rsidRPr="00000000" w14:paraId="0000006C">
            <w:pPr>
              <w:rPr/>
            </w:pPr>
            <w:r w:rsidDel="00000000" w:rsidR="00000000" w:rsidRPr="00000000">
              <w:rPr>
                <w:rtl w:val="0"/>
              </w:rPr>
              <w:t xml:space="preserve">Businesses adopting cloud transformation, renewable integration, AI automation, and carbon reduction initiatives; early adopters of digital sustainability solutions</w:t>
            </w:r>
          </w:p>
        </w:tc>
        <w:tc>
          <w:tcPr/>
          <w:p w:rsidR="00000000" w:rsidDel="00000000" w:rsidP="00000000" w:rsidRDefault="00000000" w:rsidRPr="00000000" w14:paraId="0000006D">
            <w:pPr>
              <w:rPr/>
            </w:pPr>
            <w:r w:rsidDel="00000000" w:rsidR="00000000" w:rsidRPr="00000000">
              <w:rPr>
                <w:rtl w:val="0"/>
              </w:rPr>
              <w:t xml:space="preserve">These clients seek strategic partnerships that combine technology leadership with measurable environmental outcomes (Adiyono et al., 2026).</w:t>
            </w:r>
          </w:p>
        </w:tc>
      </w:tr>
    </w:tbl>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npge08dz1csv" w:id="4"/>
      <w:bookmarkEnd w:id="4"/>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Table 1: STDP Market Segmentation for Infosys GreenCloud Solutions</w:t>
      </w:r>
    </w:p>
    <w:p w:rsidR="00000000" w:rsidDel="00000000" w:rsidP="00000000" w:rsidRDefault="00000000" w:rsidRPr="00000000" w14:paraId="0000006F">
      <w:pPr>
        <w:rPr/>
      </w:pPr>
      <w:r w:rsidDel="00000000" w:rsidR="00000000" w:rsidRPr="00000000">
        <w:rPr>
          <w:rtl w:val="0"/>
        </w:rPr>
        <w:t xml:space="preserve">Infosys GreenCloud Solutions is a strategic effort to focus on organisations at the intersection of sustainability and digital innovation. Through integrating the conventional B2B segmentation model and sustainability agenda, Infosys will be able to tap into the quickly expanding enterprise demand on green IT services in the global brand presence and sophisticated digital consultancy services (Infosys Limited, 2025a).</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pStyle w:val="Heading2"/>
        <w:rPr/>
      </w:pPr>
      <w:bookmarkStart w:colFirst="0" w:colLast="0" w:name="_i5w7sswn5h41" w:id="5"/>
      <w:bookmarkEnd w:id="5"/>
      <w:r w:rsidDel="00000000" w:rsidR="00000000" w:rsidRPr="00000000">
        <w:rPr>
          <w:rtl w:val="0"/>
        </w:rPr>
        <w:t xml:space="preserve">2.2 Target Audience</w:t>
      </w:r>
    </w:p>
    <w:p w:rsidR="00000000" w:rsidDel="00000000" w:rsidP="00000000" w:rsidRDefault="00000000" w:rsidRPr="00000000" w14:paraId="00000072">
      <w:pPr>
        <w:rPr/>
      </w:pPr>
      <w:r w:rsidDel="00000000" w:rsidR="00000000" w:rsidRPr="00000000">
        <w:rPr>
          <w:rtl w:val="0"/>
        </w:rPr>
        <w:t xml:space="preserve">Infosys GreenCloud Solutions is a strategic approach of targeting organisations that are at the intersection of sustainability and digital innovation. Through traditional B2B segmentation and sustainability values, Infosys will be able to tap into the fast-growing enterprise demand in green IT services and use its international brand name and high-tech digital consulting services (Infosys Limited, 2025a).</w:t>
      </w:r>
    </w:p>
    <w:p w:rsidR="00000000" w:rsidDel="00000000" w:rsidP="00000000" w:rsidRDefault="00000000" w:rsidRPr="00000000" w14:paraId="00000073">
      <w:pPr>
        <w:rPr/>
      </w:pPr>
      <w:r w:rsidDel="00000000" w:rsidR="00000000" w:rsidRPr="00000000">
        <w:rPr>
          <w:rtl w:val="0"/>
        </w:rPr>
        <w:t xml:space="preserve">The second target markets are the medium-sized businesses and businesses in emerging markets that are looking to upgrade their digital needs affordably led by sustainability. But the paramount focus of Infosys is enterprise level customers because of better contract values, global scaling and more associated with its high-end B2B positioning. This plan is the most profitable and contributes to the strengthening of the Infosys leadership in the area of enterprise innovation and sustainability (Aithal et al., 2024).</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pStyle w:val="Heading2"/>
        <w:rPr/>
      </w:pPr>
      <w:bookmarkStart w:colFirst="0" w:colLast="0" w:name="_tzwa169hxx6y" w:id="6"/>
      <w:bookmarkEnd w:id="6"/>
      <w:r w:rsidDel="00000000" w:rsidR="00000000" w:rsidRPr="00000000">
        <w:rPr>
          <w:rtl w:val="0"/>
        </w:rPr>
        <w:t xml:space="preserve">2.3 Differentiation Strategy</w:t>
      </w:r>
    </w:p>
    <w:p w:rsidR="00000000" w:rsidDel="00000000" w:rsidP="00000000" w:rsidRDefault="00000000" w:rsidRPr="00000000" w14:paraId="00000076">
      <w:pPr>
        <w:rPr/>
      </w:pPr>
      <w:r w:rsidDel="00000000" w:rsidR="00000000" w:rsidRPr="00000000">
        <w:rPr>
          <w:rtl w:val="0"/>
        </w:rPr>
        <w:t xml:space="preserve">Infosys GreenCloud Solutions stands out by incorporating cutting-edge AI, cloud computing, and sustainability-driven consulting into an ecosystem of one enterprise service. Compared to competitors like Accenture, IBM, or TCS, Infosys offers robust digital transformation knowledge with quantifiable carbon-cutting services, integration of renewable technologies, and ESG consulting services (Choi et al., 2026).</w:t>
      </w:r>
    </w:p>
    <w:p w:rsidR="00000000" w:rsidDel="00000000" w:rsidP="00000000" w:rsidRDefault="00000000" w:rsidRPr="00000000" w14:paraId="00000077">
      <w:pPr>
        <w:rPr/>
      </w:pPr>
      <w:r w:rsidDel="00000000" w:rsidR="00000000" w:rsidRPr="00000000">
        <w:rPr>
          <w:rtl w:val="0"/>
        </w:rPr>
        <w:t xml:space="preserve">Its sustainability innovation provides cloud migration that is energy-saving, carbon analytics dashboard, and AI-based operational optimisation, which directly contributes to corporate environmental objectives (Bernykov et al., 2025). Moreover, the credibility and good enterprise relations built over the years and good ESG leadership of Infosys increase consumer confidence and perceived risk in its adoption of the extension (Infosys Limited, 2025b). This makes Infosys a differentiated business performance and sustainable transformation provider.</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pStyle w:val="Heading2"/>
        <w:rPr/>
      </w:pPr>
      <w:bookmarkStart w:colFirst="0" w:colLast="0" w:name="_83oifs8wki2k" w:id="7"/>
      <w:bookmarkEnd w:id="7"/>
      <w:r w:rsidDel="00000000" w:rsidR="00000000" w:rsidRPr="00000000">
        <w:rPr>
          <w:rtl w:val="0"/>
        </w:rPr>
        <w:t xml:space="preserve">2.4 Positioning Strategy</w:t>
      </w:r>
    </w:p>
    <w:p w:rsidR="00000000" w:rsidDel="00000000" w:rsidP="00000000" w:rsidRDefault="00000000" w:rsidRPr="00000000" w14:paraId="0000007A">
      <w:pPr>
        <w:rPr/>
      </w:pPr>
      <w:r w:rsidDel="00000000" w:rsidR="00000000" w:rsidRPr="00000000">
        <w:rPr>
          <w:rtl w:val="0"/>
        </w:rPr>
        <w:t xml:space="preserve">Infosys GreenCloud Solutions is being positioned as a high end, innovative, sustainability-oriented enterprise technology solution that helps organisations to transform digitally and minimise environmental impact. Its value proposition is based on the integration of profitability, operational efficiency, and ESG responsibility with the help of intelligent cloud and AI solutions (Carter et al., 2024).</w:t>
      </w:r>
    </w:p>
    <w:p w:rsidR="00000000" w:rsidDel="00000000" w:rsidP="00000000" w:rsidRDefault="00000000" w:rsidRPr="00000000" w14:paraId="0000007B">
      <w:pPr>
        <w:rPr/>
      </w:pPr>
      <w:r w:rsidDel="00000000" w:rsidR="00000000" w:rsidRPr="00000000">
        <w:rPr>
          <w:b w:val="1"/>
          <w:bCs w:val="1"/>
          <w:rtl w:val="0"/>
        </w:rPr>
        <w:t xml:space="preserve">Positioning Statement:</w:t>
      </w: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22861</wp:posOffset>
                </wp:positionH>
                <wp:positionV relativeFrom="paragraph">
                  <wp:posOffset>261620</wp:posOffset>
                </wp:positionV>
                <wp:extent cx="5928360" cy="1188720"/>
                <wp:effectExtent b="11430" l="0" r="15240" t="0"/>
                <wp:wrapNone/>
                <wp:docPr id="1" name=""/>
                <a:graphic>
                  <a:graphicData uri="http://schemas.microsoft.com/office/word/2010/wordprocessingShape">
                    <wps:wsp>
                      <wps:cNvSpPr/>
                      <wps:spPr>
                        <a:xfrm>
                          <a:off x="0" y="0"/>
                          <a:ext cx="5928360" cy="1188720"/>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22861</wp:posOffset>
                </wp:positionH>
                <wp:positionV relativeFrom="paragraph">
                  <wp:posOffset>261620</wp:posOffset>
                </wp:positionV>
                <wp:extent cx="5943600" cy="1200150"/>
                <wp:effectExtent b="0" l="0" r="0" t="0"/>
                <wp:wrapNone/>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1200150"/>
                        </a:xfrm>
                        <a:prstGeom prst="rect"/>
                        <a:ln/>
                      </pic:spPr>
                    </pic:pic>
                  </a:graphicData>
                </a:graphic>
              </wp:anchor>
            </w:drawing>
          </mc:Fallback>
        </mc:AlternateContent>
      </w:r>
    </w:p>
    <w:p w:rsidR="00000000" w:rsidDel="00000000" w:rsidP="00000000" w:rsidRDefault="00000000" w:rsidRPr="00000000" w14:paraId="0000007C">
      <w:pPr>
        <w:jc w:val="center"/>
        <w:rPr/>
      </w:pPr>
      <w:r w:rsidDel="00000000" w:rsidR="00000000" w:rsidRPr="00000000">
        <w:rPr>
          <w:i w:val="1"/>
          <w:iCs w:val="1"/>
          <w:rtl w:val="0"/>
        </w:rPr>
        <w:t xml:space="preserve">“For global enterprises seeking sustainable digital transformation, Infosys GreenCloud Solutions provides AI-powered, environmentally responsible cloud and business optimisation services that deliver innovation, efficiency, and measurable sustainability outcomes.”</w:t>
      </w: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With this positioning, Infosys has a niche in a high-end market that combines sophisticated technological skills with sustainability leadership. In comparison to conventional IT service providers, Infosys has a better ESG orientation, which forms a unique competitive edge in the developmental global green technology consulting market (Khan et al., 2026).</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pStyle w:val="Heading1"/>
        <w:rPr/>
      </w:pPr>
      <w:bookmarkStart w:colFirst="0" w:colLast="0" w:name="_c161dgz5djht" w:id="8"/>
      <w:bookmarkEnd w:id="8"/>
      <w:r w:rsidDel="00000000" w:rsidR="00000000" w:rsidRPr="00000000">
        <w:rPr>
          <w:rtl w:val="0"/>
        </w:rPr>
        <w:t xml:space="preserve">Element 3: Marketing Mix (7Ps) for Infosys GreenCloud Solutions</w:t>
      </w:r>
    </w:p>
    <w:p w:rsidR="00000000" w:rsidDel="00000000" w:rsidP="00000000" w:rsidRDefault="00000000" w:rsidRPr="00000000" w14:paraId="00000080">
      <w:pPr>
        <w:rPr/>
      </w:pPr>
      <w:r w:rsidDel="00000000" w:rsidR="00000000" w:rsidRPr="00000000">
        <w:rPr/>
        <w:drawing>
          <wp:inline distB="0" distT="0" distL="0" distR="0">
            <wp:extent cx="5943600" cy="2727960"/>
            <wp:effectExtent b="0" l="0" r="0" t="0"/>
            <wp:docPr descr="The 7Ps of The Marketing Mix | Oxford College Of Marketing" id="6" name="image5.png"/>
            <a:graphic>
              <a:graphicData uri="http://schemas.openxmlformats.org/drawingml/2006/picture">
                <pic:pic>
                  <pic:nvPicPr>
                    <pic:cNvPr descr="The 7Ps of The Marketing Mix | Oxford College Of Marketing" id="0" name="image5.png"/>
                    <pic:cNvPicPr preferRelativeResize="0"/>
                  </pic:nvPicPr>
                  <pic:blipFill>
                    <a:blip r:embed="rId9"/>
                    <a:srcRect b="10883" l="0" r="0" t="7521"/>
                    <a:stretch>
                      <a:fillRect/>
                    </a:stretch>
                  </pic:blipFill>
                  <pic:spPr>
                    <a:xfrm>
                      <a:off x="0" y="0"/>
                      <a:ext cx="5943600" cy="2727960"/>
                    </a:xfrm>
                    <a:prstGeom prst="rect"/>
                    <a:ln/>
                  </pic:spPr>
                </pic:pic>
              </a:graphicData>
            </a:graphic>
          </wp:inline>
        </w:drawing>
      </w: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38101</wp:posOffset>
                </wp:positionH>
                <wp:positionV relativeFrom="paragraph">
                  <wp:posOffset>2418080</wp:posOffset>
                </wp:positionV>
                <wp:extent cx="1203960" cy="358140"/>
                <wp:effectExtent b="22860" l="0" r="15240" t="0"/>
                <wp:wrapNone/>
                <wp:docPr id="3" name=""/>
                <a:graphic>
                  <a:graphicData uri="http://schemas.microsoft.com/office/word/2010/wordprocessingShape">
                    <wps:wsp>
                      <wps:cNvSpPr/>
                      <wps:spPr>
                        <a:xfrm>
                          <a:off x="0" y="0"/>
                          <a:ext cx="1203960" cy="35814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38101</wp:posOffset>
                </wp:positionH>
                <wp:positionV relativeFrom="paragraph">
                  <wp:posOffset>2418080</wp:posOffset>
                </wp:positionV>
                <wp:extent cx="1219200" cy="381000"/>
                <wp:effectExtent b="0" l="0" r="0" t="0"/>
                <wp:wrapNone/>
                <wp:docPr id="3" name="image13.png"/>
                <a:graphic>
                  <a:graphicData uri="http://schemas.openxmlformats.org/drawingml/2006/picture">
                    <pic:pic>
                      <pic:nvPicPr>
                        <pic:cNvPr id="0" name="image13.png"/>
                        <pic:cNvPicPr preferRelativeResize="0"/>
                      </pic:nvPicPr>
                      <pic:blipFill>
                        <a:blip r:embed="rId10"/>
                        <a:srcRect b="0" l="0" r="0" t="0"/>
                        <a:stretch>
                          <a:fillRect/>
                        </a:stretch>
                      </pic:blipFill>
                      <pic:spPr>
                        <a:xfrm>
                          <a:off x="0" y="0"/>
                          <a:ext cx="1219200" cy="381000"/>
                        </a:xfrm>
                        <a:prstGeom prst="rect"/>
                        <a:ln/>
                      </pic:spPr>
                    </pic:pic>
                  </a:graphicData>
                </a:graphic>
              </wp:anchor>
            </w:drawing>
          </mc:Fallback>
        </mc:AlternateConten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8d1pw0u1p0bn" w:id="9"/>
      <w:bookmarkEnd w:id="9"/>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2: 7Ps Marketing Mix Framework</w:t>
      </w:r>
    </w:p>
    <w:p w:rsidR="00000000" w:rsidDel="00000000" w:rsidP="00000000" w:rsidRDefault="00000000" w:rsidRPr="00000000" w14:paraId="00000082">
      <w:pPr>
        <w:pStyle w:val="Heading2"/>
        <w:rPr/>
      </w:pPr>
      <w:bookmarkStart w:colFirst="0" w:colLast="0" w:name="_8eorcxtiy38" w:id="10"/>
      <w:bookmarkEnd w:id="10"/>
      <w:r w:rsidDel="00000000" w:rsidR="00000000" w:rsidRPr="00000000">
        <w:rPr>
          <w:rtl w:val="0"/>
        </w:rPr>
        <w:t xml:space="preserve">3.1 Product Strategy</w:t>
      </w:r>
    </w:p>
    <w:p w:rsidR="00000000" w:rsidDel="00000000" w:rsidP="00000000" w:rsidRDefault="00000000" w:rsidRPr="00000000" w14:paraId="00000083">
      <w:pPr>
        <w:rPr/>
      </w:pPr>
      <w:r w:rsidDel="00000000" w:rsidR="00000000" w:rsidRPr="00000000">
        <w:rPr>
          <w:rtl w:val="0"/>
        </w:rPr>
        <w:t xml:space="preserve">Infosys GreenCloud Solutions is a high-value B2B service offering, sustainable cloud re-invention, AI-based operational optimisation, carbon analytics, and ESG-centric digital consulting. The service combines the existing capabilities of Infosys in cloud, automation, and enterprise consulting with the increasing demand in the field of green technology solutions (Infosys Limited, 2025a). The main services offered are energy efficient migration to the cloud, AI sustainability dashboards, integration of renewable systems and strategic ESG compliance services. This product plan is highly aligned with the parent brand of Infosys as it is a continuation of the innovativeness in the strategy of sustainability-oriented enterprise transformation. With a mixture of high-tech digital performance and environmental accountability, Infosys generates the functional and reputational worth to enterprise clients and enhances the competitive differentiation over the long run (Aithal et al., 2024).</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pStyle w:val="Heading2"/>
        <w:rPr/>
      </w:pPr>
      <w:bookmarkStart w:colFirst="0" w:colLast="0" w:name="_ex727vqq0pq2" w:id="11"/>
      <w:bookmarkEnd w:id="11"/>
      <w:r w:rsidDel="00000000" w:rsidR="00000000" w:rsidRPr="00000000">
        <w:rPr>
          <w:rtl w:val="0"/>
        </w:rPr>
        <w:t xml:space="preserve">3.2 Price Strategy</w:t>
      </w:r>
    </w:p>
    <w:p w:rsidR="00000000" w:rsidDel="00000000" w:rsidP="00000000" w:rsidRDefault="00000000" w:rsidRPr="00000000" w14:paraId="00000086">
      <w:pPr>
        <w:rPr/>
      </w:pPr>
      <w:r w:rsidDel="00000000" w:rsidR="00000000" w:rsidRPr="00000000">
        <w:rPr/>
        <w:drawing>
          <wp:inline distB="0" distT="0" distL="0" distR="0">
            <wp:extent cx="5943600" cy="3314700"/>
            <wp:effectExtent b="0" l="0" r="0" t="0"/>
            <wp:docPr descr="Implementing Value-Based Pricing: Strategies and Examples for Maximizing  Profit" id="8" name="image7.png"/>
            <a:graphic>
              <a:graphicData uri="http://schemas.openxmlformats.org/drawingml/2006/picture">
                <pic:pic>
                  <pic:nvPicPr>
                    <pic:cNvPr descr="Implementing Value-Based Pricing: Strategies and Examples for Maximizing  Profit" id="0" name="image7.png"/>
                    <pic:cNvPicPr preferRelativeResize="0"/>
                  </pic:nvPicPr>
                  <pic:blipFill>
                    <a:blip r:embed="rId11"/>
                    <a:srcRect b="5247" l="0" r="0" t="6681"/>
                    <a:stretch>
                      <a:fillRect/>
                    </a:stretch>
                  </pic:blipFill>
                  <pic:spPr>
                    <a:xfrm>
                      <a:off x="0" y="0"/>
                      <a:ext cx="5943600"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fjxwtud7cr09" w:id="12"/>
      <w:bookmarkEnd w:id="12"/>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3: Value-Based Pricing Strategy Model</w:t>
      </w:r>
    </w:p>
    <w:p w:rsidR="00000000" w:rsidDel="00000000" w:rsidP="00000000" w:rsidRDefault="00000000" w:rsidRPr="00000000" w14:paraId="00000088">
      <w:pPr>
        <w:rPr/>
      </w:pPr>
      <w:r w:rsidDel="00000000" w:rsidR="00000000" w:rsidRPr="00000000">
        <w:rPr>
          <w:rtl w:val="0"/>
        </w:rPr>
        <w:t xml:space="preserve">Infosys GreenCloud Solutions embraces a high value premium pricing approach based on its specialised enterprise consulting experience, sustainability capacity and quantifiable business value. It is priced on the long-term ROI and cost, operational savings, ESG compliance benefits, and strategic innovation outcomes rather than cost leadership (Ndwandwe et al., 2026). Business customers are ready to contribute high prices to reliable sustainability transformation partners who can decrease carbon footprints and increase productivity. Flexible pricing model options can be project-based consulting, subscriptions-based analytics platforms, and transformation contracts. This approach safeguards Infosys premium market stance and maximises the margins and strengthens the perception of high quality, innovation, and sustainability leadership (Ghazaryan, 2025).</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pStyle w:val="Heading2"/>
        <w:rPr/>
      </w:pPr>
      <w:bookmarkStart w:colFirst="0" w:colLast="0" w:name="_f3mmiv1fyals" w:id="13"/>
      <w:bookmarkEnd w:id="13"/>
      <w:r w:rsidDel="00000000" w:rsidR="00000000" w:rsidRPr="00000000">
        <w:rPr>
          <w:rtl w:val="0"/>
        </w:rPr>
        <w:t xml:space="preserve">3.3 Place Strategy</w:t>
      </w:r>
    </w:p>
    <w:p w:rsidR="00000000" w:rsidDel="00000000" w:rsidP="00000000" w:rsidRDefault="00000000" w:rsidRPr="00000000" w14:paraId="0000008B">
      <w:pPr>
        <w:rPr/>
      </w:pPr>
      <w:r w:rsidDel="00000000" w:rsidR="00000000" w:rsidRPr="00000000">
        <w:rPr>
          <w:rtl w:val="0"/>
        </w:rPr>
        <w:t xml:space="preserve">Infosys employs a global omnichannel B2B distribution model via direct enterprise sales force, worldwide consulting websites, online platforms, strategic partnerships, and cloud associations with providers like Microsoft Azure, AWS, and Google Cloud (Infosys Limited, 2025a).</w:t>
      </w:r>
    </w:p>
    <w:p w:rsidR="00000000" w:rsidDel="00000000" w:rsidP="00000000" w:rsidRDefault="00000000" w:rsidRPr="00000000" w14:paraId="0000008C">
      <w:pPr>
        <w:jc w:val="center"/>
        <w:rPr/>
      </w:pPr>
      <w:r w:rsidDel="00000000" w:rsidR="00000000" w:rsidRPr="00000000">
        <w:rPr/>
        <w:drawing>
          <wp:inline distB="0" distT="0" distL="0" distR="0">
            <wp:extent cx="4162488" cy="5681582"/>
            <wp:effectExtent b="0" l="0" r="0" t="0"/>
            <wp:docPr id="7" name="image6.png"/>
            <a:graphic>
              <a:graphicData uri="http://schemas.openxmlformats.org/drawingml/2006/picture">
                <pic:pic>
                  <pic:nvPicPr>
                    <pic:cNvPr id="0" name="image6.png"/>
                    <pic:cNvPicPr preferRelativeResize="0"/>
                  </pic:nvPicPr>
                  <pic:blipFill>
                    <a:blip r:embed="rId12"/>
                    <a:srcRect b="0" l="3000" r="0" t="0"/>
                    <a:stretch>
                      <a:fillRect/>
                    </a:stretch>
                  </pic:blipFill>
                  <pic:spPr>
                    <a:xfrm rot="5400000">
                      <a:off x="0" y="0"/>
                      <a:ext cx="4162488" cy="5681582"/>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9zt3tp2vlvt9" w:id="14"/>
      <w:bookmarkEnd w:id="14"/>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4: Infosys Global Presence</w:t>
      </w:r>
    </w:p>
    <w:p w:rsidR="00000000" w:rsidDel="00000000" w:rsidP="00000000" w:rsidRDefault="00000000" w:rsidRPr="00000000" w14:paraId="0000008E">
      <w:pPr>
        <w:rPr/>
      </w:pPr>
      <w:r w:rsidDel="00000000" w:rsidR="00000000" w:rsidRPr="00000000">
        <w:rPr>
          <w:rtl w:val="0"/>
        </w:rPr>
        <w:t xml:space="preserve">North America, Europe, Asia-Pacific and sustainability-managed economies are primary markets and the most demanding when it comes to green digital transformation. The global presence of Infosys facilitates the efficient servicing of clients, localised consulting, and delivery of massive projects. Remote consulting and AI platform deployment are also provided with the help of digital channels. This place strategy guarantees a wide accessibility and control of the high service quality and enterprise customer relationships (Muanmeevit et al., 2025).</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pStyle w:val="Heading2"/>
        <w:rPr/>
      </w:pPr>
      <w:bookmarkStart w:colFirst="0" w:colLast="0" w:name="_20iu27e2okwh" w:id="15"/>
      <w:bookmarkEnd w:id="15"/>
      <w:r w:rsidDel="00000000" w:rsidR="00000000" w:rsidRPr="00000000">
        <w:rPr>
          <w:rtl w:val="0"/>
        </w:rPr>
        <w:t xml:space="preserve">3.4 Promotion Strategy</w:t>
      </w:r>
    </w:p>
    <w:p w:rsidR="00000000" w:rsidDel="00000000" w:rsidP="00000000" w:rsidRDefault="00000000" w:rsidRPr="00000000" w14:paraId="00000091">
      <w:pPr>
        <w:rPr/>
      </w:pPr>
      <w:r w:rsidDel="00000000" w:rsidR="00000000" w:rsidRPr="00000000">
        <w:rPr/>
        <w:drawing>
          <wp:inline distB="0" distT="0" distL="0" distR="0">
            <wp:extent cx="5943600" cy="5113020"/>
            <wp:effectExtent b="0" l="0" r="0" t="0"/>
            <wp:docPr id="10" name="image9.png"/>
            <a:graphic>
              <a:graphicData uri="http://schemas.openxmlformats.org/drawingml/2006/picture">
                <pic:pic>
                  <pic:nvPicPr>
                    <pic:cNvPr id="0" name="image9.png"/>
                    <pic:cNvPicPr preferRelativeResize="0"/>
                  </pic:nvPicPr>
                  <pic:blipFill>
                    <a:blip r:embed="rId13"/>
                    <a:srcRect b="2340" l="0" r="0" t="0"/>
                    <a:stretch>
                      <a:fillRect/>
                    </a:stretch>
                  </pic:blipFill>
                  <pic:spPr>
                    <a:xfrm>
                      <a:off x="0" y="0"/>
                      <a:ext cx="5943600" cy="511302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82p3ypi82x4l" w:id="16"/>
      <w:bookmarkEnd w:id="16"/>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5: Infosys ESG Thought Leadership and Sustainability Promotion Campaign</w:t>
      </w:r>
    </w:p>
    <w:p w:rsidR="00000000" w:rsidDel="00000000" w:rsidP="00000000" w:rsidRDefault="00000000" w:rsidRPr="00000000" w14:paraId="00000093">
      <w:pPr>
        <w:rPr/>
      </w:pPr>
      <w:r w:rsidDel="00000000" w:rsidR="00000000" w:rsidRPr="00000000">
        <w:rPr>
          <w:rtl w:val="0"/>
        </w:rPr>
        <w:t xml:space="preserve">Infosys GreenCloud Solutions are promoted through thought leadership, digital marketing, enterprise relationship marketing, sustainability campaigns, and strategic PR. Whitepapers, ESG reports, webinars, LinkedIn campaigns, industry conferences, and executive partnerships are some of the ways through which Infosys can reach out to the corporate decision-makers (Gensler et al., 2025). The focus of messaging is sustainable innovation, carbon reduction, AI efficiency, and enterprise resilience. Real-world case study-based content marketing enhances credibility and shows quantifiable business value. This business to business promotional approach is similar to professional service branding as it is aimed at building trust, expertise, and strategic change instead of advertising to mass consumers, increasing both the number of leads and brand authority (Tiismus et al., 2025).</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pStyle w:val="Heading2"/>
        <w:rPr/>
      </w:pPr>
      <w:bookmarkStart w:colFirst="0" w:colLast="0" w:name="_52ttgel1kmg2" w:id="17"/>
      <w:bookmarkEnd w:id="17"/>
      <w:r w:rsidDel="00000000" w:rsidR="00000000" w:rsidRPr="00000000">
        <w:rPr>
          <w:rtl w:val="0"/>
        </w:rPr>
        <w:t xml:space="preserve">3.5 People Strategy</w:t>
      </w:r>
    </w:p>
    <w:p w:rsidR="00000000" w:rsidDel="00000000" w:rsidP="00000000" w:rsidRDefault="00000000" w:rsidRPr="00000000" w14:paraId="00000096">
      <w:pPr>
        <w:rPr/>
      </w:pPr>
      <w:r w:rsidDel="00000000" w:rsidR="00000000" w:rsidRPr="00000000">
        <w:rPr>
          <w:rtl w:val="0"/>
        </w:rPr>
        <w:t xml:space="preserve">The people strategy of Infosys focuses on highly skilled consultants, AI engineers, sustainability experts, and enterprise relationship managers providing high-quality strategic services. A stake in the personal experience of the employees is vital in ensuring customer loyalty, providing customized transformation, and effective execution of challenging sustainability interventions (Manjunath, 2026). Incessant AI, cloud and ESG practices upskilling of workforce also contributes to the excellence of services. Investment in talent development enhances the service quality, innovative leadership, and the satisfaction of long-term clients at Infosys.</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pStyle w:val="Heading2"/>
        <w:rPr/>
      </w:pPr>
      <w:bookmarkStart w:colFirst="0" w:colLast="0" w:name="_8gjqmyg7pyri" w:id="18"/>
      <w:bookmarkEnd w:id="18"/>
      <w:r w:rsidDel="00000000" w:rsidR="00000000" w:rsidRPr="00000000">
        <w:rPr>
          <w:rtl w:val="0"/>
        </w:rPr>
        <w:t xml:space="preserve">3.6 Process Strategy</w:t>
      </w:r>
    </w:p>
    <w:p w:rsidR="00000000" w:rsidDel="00000000" w:rsidP="00000000" w:rsidRDefault="00000000" w:rsidRPr="00000000" w14:paraId="00000099">
      <w:pPr>
        <w:rPr/>
      </w:pPr>
      <w:r w:rsidDel="00000000" w:rsidR="00000000" w:rsidRPr="00000000">
        <w:rPr/>
        <w:drawing>
          <wp:inline distB="0" distT="0" distL="0" distR="0">
            <wp:extent cx="5943600" cy="2418080"/>
            <wp:effectExtent b="0" l="0" r="0" t="0"/>
            <wp:docPr descr="Infosys - Corporate Responsibility | Information Management" id="9" name="image8.png"/>
            <a:graphic>
              <a:graphicData uri="http://schemas.openxmlformats.org/drawingml/2006/picture">
                <pic:pic>
                  <pic:nvPicPr>
                    <pic:cNvPr descr="Infosys - Corporate Responsibility | Information Management" id="0" name="image8.png"/>
                    <pic:cNvPicPr preferRelativeResize="0"/>
                  </pic:nvPicPr>
                  <pic:blipFill>
                    <a:blip r:embed="rId14"/>
                    <a:srcRect b="0" l="0" r="0" t="0"/>
                    <a:stretch>
                      <a:fillRect/>
                    </a:stretch>
                  </pic:blipFill>
                  <pic:spPr>
                    <a:xfrm>
                      <a:off x="0" y="0"/>
                      <a:ext cx="5943600" cy="241808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3qjzrmdrj8jn" w:id="19"/>
      <w:bookmarkEnd w:id="19"/>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6: Secure and Scalable Digital Process Strategy</w:t>
      </w:r>
    </w:p>
    <w:p w:rsidR="00000000" w:rsidDel="00000000" w:rsidP="00000000" w:rsidRDefault="00000000" w:rsidRPr="00000000" w14:paraId="0000009B">
      <w:pPr>
        <w:rPr/>
      </w:pPr>
      <w:r w:rsidDel="00000000" w:rsidR="00000000" w:rsidRPr="00000000">
        <w:rPr>
          <w:rtl w:val="0"/>
        </w:rPr>
        <w:t xml:space="preserve">Infosys GreenCloud Solutions underlines efficient, safe, and information-based service procedures in preliminary evaluation, implementation, and monitoring in the aftermath. Unified project management, AI and automation tools, cybersecurity measures, and sustainability performance monitoring guarantee the efficiency of operations and deliver uniform services (Adiyono et al., 2026). The transparent processes minimize the complexity of clients and enable scalability, trust, and sustainable results that are measurable (Tiismus et al., 2025).</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pStyle w:val="Heading2"/>
        <w:rPr/>
      </w:pPr>
      <w:bookmarkStart w:colFirst="0" w:colLast="0" w:name="_p49rpt8zoqdk" w:id="20"/>
      <w:bookmarkEnd w:id="20"/>
      <w:r w:rsidDel="00000000" w:rsidR="00000000" w:rsidRPr="00000000">
        <w:rPr>
          <w:rtl w:val="0"/>
        </w:rPr>
        <w:t xml:space="preserve">3.7 Physical Evidence Strategy</w:t>
      </w:r>
    </w:p>
    <w:p w:rsidR="00000000" w:rsidDel="00000000" w:rsidP="00000000" w:rsidRDefault="00000000" w:rsidRPr="00000000" w14:paraId="0000009E">
      <w:pPr>
        <w:rPr/>
      </w:pPr>
      <w:r w:rsidDel="00000000" w:rsidR="00000000" w:rsidRPr="00000000">
        <w:rPr/>
        <w:drawing>
          <wp:inline distB="0" distT="0" distL="0" distR="0">
            <wp:extent cx="5943600" cy="2150745"/>
            <wp:effectExtent b="0" l="0" r="0" t="0"/>
            <wp:docPr id="12" name="image11.png"/>
            <a:graphic>
              <a:graphicData uri="http://schemas.openxmlformats.org/drawingml/2006/picture">
                <pic:pic>
                  <pic:nvPicPr>
                    <pic:cNvPr id="0" name="image11.png"/>
                    <pic:cNvPicPr preferRelativeResize="0"/>
                  </pic:nvPicPr>
                  <pic:blipFill>
                    <a:blip r:embed="rId15"/>
                    <a:srcRect b="0" l="0" r="0" t="0"/>
                    <a:stretch>
                      <a:fillRect/>
                    </a:stretch>
                  </pic:blipFill>
                  <pic:spPr>
                    <a:xfrm>
                      <a:off x="0" y="0"/>
                      <a:ext cx="5943600" cy="2150745"/>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w0z3npob1w1k" w:id="21"/>
      <w:bookmarkEnd w:id="21"/>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7: Thought Leadership Impact</w:t>
      </w:r>
    </w:p>
    <w:p w:rsidR="00000000" w:rsidDel="00000000" w:rsidP="00000000" w:rsidRDefault="00000000" w:rsidRPr="00000000" w14:paraId="000000A0">
      <w:pPr>
        <w:rPr/>
      </w:pPr>
      <w:r w:rsidDel="00000000" w:rsidR="00000000" w:rsidRPr="00000000">
        <w:rPr>
          <w:rtl w:val="0"/>
        </w:rPr>
        <w:t xml:space="preserve">Physical evidence, as a service-based extension, would encompass professional digital platforms, sustainability dashboards, branded reports, case studies, enterprise presentations, and the global reputation of Infosys. Quality and innovation can be evidenced through visible signs, such as, ESG certifications, thought leadership publications and enhanced digital interfaces (Infosys Limited, 2025b). These physical clues enhance credibility, perceived risk, and perception of premium brand with enterprise customers.</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pStyle w:val="Heading2"/>
        <w:rPr/>
      </w:pPr>
      <w:bookmarkStart w:colFirst="0" w:colLast="0" w:name="_otl7jichyygy" w:id="22"/>
      <w:bookmarkEnd w:id="22"/>
      <w:r w:rsidDel="00000000" w:rsidR="00000000" w:rsidRPr="00000000">
        <w:rPr>
          <w:rtl w:val="0"/>
        </w:rPr>
        <w:t xml:space="preserve">3.8 Strategic Alignment of 7Ps</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49"/>
        <w:gridCol w:w="7101"/>
        <w:tblGridChange w:id="0">
          <w:tblGrid>
            <w:gridCol w:w="2249"/>
            <w:gridCol w:w="7101"/>
          </w:tblGrid>
        </w:tblGridChange>
      </w:tblGrid>
      <w:tr>
        <w:trPr>
          <w:cantSplit w:val="0"/>
          <w:tblHeader w:val="0"/>
        </w:trPr>
        <w:tc>
          <w:tcPr>
            <w:shd w:fill="00b0f0" w:val="clear"/>
            <w:vAlign w:val="center"/>
          </w:tcPr>
          <w:p w:rsidR="00000000" w:rsidDel="00000000" w:rsidP="00000000" w:rsidRDefault="00000000" w:rsidRPr="00000000" w14:paraId="000000A3">
            <w:pPr>
              <w:jc w:val="center"/>
              <w:rPr>
                <w:b w:val="1"/>
                <w:bCs w:val="1"/>
              </w:rPr>
            </w:pPr>
            <w:r w:rsidDel="00000000" w:rsidR="00000000" w:rsidRPr="00000000">
              <w:rPr>
                <w:b w:val="1"/>
                <w:bCs w:val="1"/>
                <w:rtl w:val="0"/>
              </w:rPr>
              <w:t xml:space="preserve">Marketing Mix Element</w:t>
            </w:r>
          </w:p>
        </w:tc>
        <w:tc>
          <w:tcPr>
            <w:shd w:fill="00b0f0" w:val="clear"/>
            <w:vAlign w:val="center"/>
          </w:tcPr>
          <w:p w:rsidR="00000000" w:rsidDel="00000000" w:rsidP="00000000" w:rsidRDefault="00000000" w:rsidRPr="00000000" w14:paraId="000000A4">
            <w:pPr>
              <w:jc w:val="center"/>
              <w:rPr>
                <w:b w:val="1"/>
                <w:bCs w:val="1"/>
              </w:rPr>
            </w:pPr>
            <w:r w:rsidDel="00000000" w:rsidR="00000000" w:rsidRPr="00000000">
              <w:rPr>
                <w:b w:val="1"/>
                <w:bCs w:val="1"/>
                <w:rtl w:val="0"/>
              </w:rPr>
              <w:t xml:space="preserve">Strategic Application</w:t>
            </w:r>
          </w:p>
        </w:tc>
      </w:tr>
      <w:tr>
        <w:trPr>
          <w:cantSplit w:val="0"/>
          <w:tblHeader w:val="0"/>
        </w:trPr>
        <w:tc>
          <w:tcPr/>
          <w:p w:rsidR="00000000" w:rsidDel="00000000" w:rsidP="00000000" w:rsidRDefault="00000000" w:rsidRPr="00000000" w14:paraId="000000A5">
            <w:pPr>
              <w:rPr>
                <w:b w:val="1"/>
                <w:bCs w:val="1"/>
              </w:rPr>
            </w:pPr>
            <w:r w:rsidDel="00000000" w:rsidR="00000000" w:rsidRPr="00000000">
              <w:rPr>
                <w:b w:val="1"/>
                <w:bCs w:val="1"/>
                <w:rtl w:val="0"/>
              </w:rPr>
              <w:t xml:space="preserve">Product</w:t>
            </w:r>
          </w:p>
        </w:tc>
        <w:tc>
          <w:tcPr/>
          <w:p w:rsidR="00000000" w:rsidDel="00000000" w:rsidP="00000000" w:rsidRDefault="00000000" w:rsidRPr="00000000" w14:paraId="000000A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Sustainable cloud consulting, AI optimisation, and ESG solutions </w:t>
            </w:r>
          </w:p>
          <w:p w:rsidR="00000000" w:rsidDel="00000000" w:rsidP="00000000" w:rsidRDefault="00000000" w:rsidRPr="00000000" w14:paraId="000000A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Supports enterprise digital transformation and carbon reduction</w:t>
            </w:r>
          </w:p>
        </w:tc>
      </w:tr>
      <w:tr>
        <w:trPr>
          <w:cantSplit w:val="0"/>
          <w:tblHeader w:val="0"/>
        </w:trPr>
        <w:tc>
          <w:tcPr/>
          <w:p w:rsidR="00000000" w:rsidDel="00000000" w:rsidP="00000000" w:rsidRDefault="00000000" w:rsidRPr="00000000" w14:paraId="000000A8">
            <w:pPr>
              <w:rPr>
                <w:b w:val="1"/>
                <w:bCs w:val="1"/>
              </w:rPr>
            </w:pPr>
            <w:r w:rsidDel="00000000" w:rsidR="00000000" w:rsidRPr="00000000">
              <w:rPr>
                <w:b w:val="1"/>
                <w:bCs w:val="1"/>
                <w:rtl w:val="0"/>
              </w:rPr>
              <w:t xml:space="preserve">Price</w:t>
            </w:r>
          </w:p>
        </w:tc>
        <w:tc>
          <w:tcPr/>
          <w:p w:rsidR="00000000" w:rsidDel="00000000" w:rsidP="00000000" w:rsidRDefault="00000000" w:rsidRPr="00000000" w14:paraId="000000A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Premium value-based pricing </w:t>
            </w:r>
          </w:p>
          <w:p w:rsidR="00000000" w:rsidDel="00000000" w:rsidP="00000000" w:rsidRDefault="00000000" w:rsidRPr="00000000" w14:paraId="000000A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Focuses on ROI, innovation, and long-term sustainability benefits</w:t>
            </w:r>
          </w:p>
        </w:tc>
      </w:tr>
      <w:tr>
        <w:trPr>
          <w:cantSplit w:val="0"/>
          <w:tblHeader w:val="0"/>
        </w:trPr>
        <w:tc>
          <w:tcPr/>
          <w:p w:rsidR="00000000" w:rsidDel="00000000" w:rsidP="00000000" w:rsidRDefault="00000000" w:rsidRPr="00000000" w14:paraId="000000AB">
            <w:pPr>
              <w:rPr>
                <w:b w:val="1"/>
                <w:bCs w:val="1"/>
              </w:rPr>
            </w:pPr>
            <w:r w:rsidDel="00000000" w:rsidR="00000000" w:rsidRPr="00000000">
              <w:rPr>
                <w:b w:val="1"/>
                <w:bCs w:val="1"/>
                <w:rtl w:val="0"/>
              </w:rPr>
              <w:t xml:space="preserve">Place</w:t>
            </w:r>
          </w:p>
        </w:tc>
        <w:tc>
          <w:tcPr/>
          <w:p w:rsidR="00000000" w:rsidDel="00000000" w:rsidP="00000000" w:rsidRDefault="00000000" w:rsidRPr="00000000" w14:paraId="000000A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Global omnichannel distribution through consulting offices, partnerships, and digital platforms</w:t>
            </w:r>
          </w:p>
          <w:p w:rsidR="00000000" w:rsidDel="00000000" w:rsidP="00000000" w:rsidRDefault="00000000" w:rsidRPr="00000000" w14:paraId="000000A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Targets major enterprise markets worldwide</w:t>
            </w:r>
          </w:p>
        </w:tc>
      </w:tr>
      <w:tr>
        <w:trPr>
          <w:cantSplit w:val="0"/>
          <w:tblHeader w:val="0"/>
        </w:trPr>
        <w:tc>
          <w:tcPr/>
          <w:p w:rsidR="00000000" w:rsidDel="00000000" w:rsidP="00000000" w:rsidRDefault="00000000" w:rsidRPr="00000000" w14:paraId="000000AE">
            <w:pPr>
              <w:rPr>
                <w:b w:val="1"/>
                <w:bCs w:val="1"/>
              </w:rPr>
            </w:pPr>
            <w:r w:rsidDel="00000000" w:rsidR="00000000" w:rsidRPr="00000000">
              <w:rPr>
                <w:b w:val="1"/>
                <w:bCs w:val="1"/>
                <w:rtl w:val="0"/>
              </w:rPr>
              <w:t xml:space="preserve">Promotion</w:t>
            </w:r>
          </w:p>
        </w:tc>
        <w:tc>
          <w:tcPr/>
          <w:p w:rsidR="00000000" w:rsidDel="00000000" w:rsidP="00000000" w:rsidRDefault="00000000" w:rsidRPr="00000000" w14:paraId="000000A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Thought leadership, webinars, ESG reports, LinkedIn campaigns, and case studies</w:t>
            </w:r>
          </w:p>
          <w:p w:rsidR="00000000" w:rsidDel="00000000" w:rsidP="00000000" w:rsidRDefault="00000000" w:rsidRPr="00000000" w14:paraId="000000B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Builds trust and enterprise brand authority</w:t>
            </w:r>
          </w:p>
        </w:tc>
      </w:tr>
      <w:tr>
        <w:trPr>
          <w:cantSplit w:val="0"/>
          <w:tblHeader w:val="0"/>
        </w:trPr>
        <w:tc>
          <w:tcPr/>
          <w:p w:rsidR="00000000" w:rsidDel="00000000" w:rsidP="00000000" w:rsidRDefault="00000000" w:rsidRPr="00000000" w14:paraId="000000B1">
            <w:pPr>
              <w:rPr>
                <w:b w:val="1"/>
                <w:bCs w:val="1"/>
              </w:rPr>
            </w:pPr>
            <w:r w:rsidDel="00000000" w:rsidR="00000000" w:rsidRPr="00000000">
              <w:rPr>
                <w:b w:val="1"/>
                <w:bCs w:val="1"/>
                <w:rtl w:val="0"/>
              </w:rPr>
              <w:t xml:space="preserve">People</w:t>
            </w:r>
          </w:p>
        </w:tc>
        <w:tc>
          <w:tcPr/>
          <w:p w:rsidR="00000000" w:rsidDel="00000000" w:rsidP="00000000" w:rsidRDefault="00000000" w:rsidRPr="00000000" w14:paraId="000000B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Skilled consultants, AI experts, and sustainability specialists  </w:t>
            </w:r>
          </w:p>
          <w:p w:rsidR="00000000" w:rsidDel="00000000" w:rsidP="00000000" w:rsidRDefault="00000000" w:rsidRPr="00000000" w14:paraId="000000B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Ensures service excellence and client trust</w:t>
            </w:r>
          </w:p>
        </w:tc>
      </w:tr>
      <w:tr>
        <w:trPr>
          <w:cantSplit w:val="0"/>
          <w:tblHeader w:val="0"/>
        </w:trPr>
        <w:tc>
          <w:tcPr/>
          <w:p w:rsidR="00000000" w:rsidDel="00000000" w:rsidP="00000000" w:rsidRDefault="00000000" w:rsidRPr="00000000" w14:paraId="000000B4">
            <w:pPr>
              <w:rPr>
                <w:b w:val="1"/>
                <w:bCs w:val="1"/>
              </w:rPr>
            </w:pPr>
            <w:r w:rsidDel="00000000" w:rsidR="00000000" w:rsidRPr="00000000">
              <w:rPr>
                <w:b w:val="1"/>
                <w:bCs w:val="1"/>
                <w:rtl w:val="0"/>
              </w:rPr>
              <w:t xml:space="preserve">Process</w:t>
            </w:r>
          </w:p>
        </w:tc>
        <w:tc>
          <w:tcPr/>
          <w:p w:rsidR="00000000" w:rsidDel="00000000" w:rsidP="00000000" w:rsidRDefault="00000000" w:rsidRPr="00000000" w14:paraId="000000B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Secure, standardised, data-driven implementation and monitoring</w:t>
            </w:r>
          </w:p>
          <w:p w:rsidR="00000000" w:rsidDel="00000000" w:rsidP="00000000" w:rsidRDefault="00000000" w:rsidRPr="00000000" w14:paraId="000000B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Enhances efficiency, transparency, and scalability</w:t>
            </w:r>
          </w:p>
        </w:tc>
      </w:tr>
      <w:tr>
        <w:trPr>
          <w:cantSplit w:val="0"/>
          <w:tblHeader w:val="0"/>
        </w:trPr>
        <w:tc>
          <w:tcPr/>
          <w:p w:rsidR="00000000" w:rsidDel="00000000" w:rsidP="00000000" w:rsidRDefault="00000000" w:rsidRPr="00000000" w14:paraId="000000B7">
            <w:pPr>
              <w:rPr>
                <w:b w:val="1"/>
                <w:bCs w:val="1"/>
              </w:rPr>
            </w:pPr>
            <w:r w:rsidDel="00000000" w:rsidR="00000000" w:rsidRPr="00000000">
              <w:rPr>
                <w:b w:val="1"/>
                <w:bCs w:val="1"/>
                <w:rtl w:val="0"/>
              </w:rPr>
              <w:t xml:space="preserve">Physical Evidence</w:t>
            </w:r>
          </w:p>
        </w:tc>
        <w:tc>
          <w:tcPr/>
          <w:p w:rsidR="00000000" w:rsidDel="00000000" w:rsidP="00000000" w:rsidRDefault="00000000" w:rsidRPr="00000000" w14:paraId="000000B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ESG certifications, dashboards, branded reports, and corporate reputation </w:t>
            </w:r>
          </w:p>
          <w:p w:rsidR="00000000" w:rsidDel="00000000" w:rsidP="00000000" w:rsidRDefault="00000000" w:rsidRPr="00000000" w14:paraId="000000B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Reinforces premium quality and innovation credibility</w:t>
            </w:r>
          </w:p>
        </w:tc>
      </w:tr>
    </w:tbl>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of0dcc1oem3j" w:id="23"/>
      <w:bookmarkEnd w:id="23"/>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Table 2: Marketing Mix (7Ps) for Infosys GreenCloud Solutions</w:t>
      </w:r>
    </w:p>
    <w:p w:rsidR="00000000" w:rsidDel="00000000" w:rsidP="00000000" w:rsidRDefault="00000000" w:rsidRPr="00000000" w14:paraId="000000BB">
      <w:pPr>
        <w:rPr/>
      </w:pPr>
      <w:r w:rsidDel="00000000" w:rsidR="00000000" w:rsidRPr="00000000">
        <w:rPr>
          <w:rtl w:val="0"/>
        </w:rPr>
        <w:t xml:space="preserve">The combined 7Ps approach will provide Infosys GreenCloud Solutions the ability to experience sustainable business growth through the alignment of innovative product offerings, premium pricing, global distribution, strategic promotion, expert talent, efficient processes, and excellent brand credibility to develop a differentiated, scalable, and future-focused extension of enterprise technology (Rahman et al., 2025).</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pStyle w:val="Heading1"/>
        <w:rPr/>
      </w:pPr>
      <w:bookmarkStart w:colFirst="0" w:colLast="0" w:name="_axjmq8mwzuaj" w:id="24"/>
      <w:bookmarkEnd w:id="24"/>
      <w:r w:rsidDel="00000000" w:rsidR="00000000" w:rsidRPr="00000000">
        <w:rPr>
          <w:rtl w:val="0"/>
        </w:rPr>
        <w:t xml:space="preserve">Element 4: Reflection Using Gibbs’ Reflective Cycle</w:t>
      </w:r>
    </w:p>
    <w:p w:rsidR="00000000" w:rsidDel="00000000" w:rsidP="00000000" w:rsidRDefault="00000000" w:rsidRPr="00000000" w14:paraId="000000BE">
      <w:pPr>
        <w:rPr/>
      </w:pPr>
      <w:r w:rsidDel="00000000" w:rsidR="00000000" w:rsidRPr="00000000">
        <w:rPr/>
        <w:drawing>
          <wp:inline distB="0" distT="0" distL="0" distR="0">
            <wp:extent cx="5943600" cy="3406140"/>
            <wp:effectExtent b="0" l="0" r="0" t="0"/>
            <wp:docPr descr="Gibbs Reflective Cycle Explained: A Framework for Structured Self-Reflection  - Dr Krishna Athal" id="11" name="image10.png"/>
            <a:graphic>
              <a:graphicData uri="http://schemas.openxmlformats.org/drawingml/2006/picture">
                <pic:pic>
                  <pic:nvPicPr>
                    <pic:cNvPr descr="Gibbs Reflective Cycle Explained: A Framework for Structured Self-Reflection  - Dr Krishna Athal" id="0" name="image10.png"/>
                    <pic:cNvPicPr preferRelativeResize="0"/>
                  </pic:nvPicPr>
                  <pic:blipFill>
                    <a:blip r:embed="rId16"/>
                    <a:srcRect b="0" l="0" r="0" t="14039"/>
                    <a:stretch>
                      <a:fillRect/>
                    </a:stretch>
                  </pic:blipFill>
                  <pic:spPr>
                    <a:xfrm>
                      <a:off x="0" y="0"/>
                      <a:ext cx="5943600" cy="3406140"/>
                    </a:xfrm>
                    <a:prstGeom prst="rect"/>
                    <a:ln/>
                  </pic:spPr>
                </pic:pic>
              </a:graphicData>
            </a:graphic>
          </wp:inline>
        </w:drawing>
      </w: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4610100</wp:posOffset>
                </wp:positionH>
                <wp:positionV relativeFrom="paragraph">
                  <wp:posOffset>3044825</wp:posOffset>
                </wp:positionV>
                <wp:extent cx="1203960" cy="228600"/>
                <wp:effectExtent b="0" l="0" r="0" t="0"/>
                <wp:wrapNone/>
                <wp:docPr id="2" name=""/>
                <a:graphic>
                  <a:graphicData uri="http://schemas.microsoft.com/office/word/2010/wordprocessingShape">
                    <wps:wsp>
                      <wps:cNvSpPr/>
                      <wps:spPr>
                        <a:xfrm>
                          <a:off x="0" y="0"/>
                          <a:ext cx="1203960" cy="228600"/>
                        </a:xfrm>
                        <a:prstGeom prst="rect">
                          <a:avLst/>
                        </a:prstGeom>
                        <a:solidFill>
                          <a:srgbClr val="FEE8EF"/>
                        </a:solidFill>
                        <a:ln>
                          <a:noFill/>
                        </a:ln>
                      </wps:spPr>
                      <wps:style>
                        <a:lnRef idx="2">
                          <a:schemeClr val="accent1">
                            <a:shade val="50000"/>
                          </a:schemeClr>
                        </a:lnRef>
                        <a:fillRef idx="1">
                          <a:schemeClr val="accent1"/>
                        </a:fillRef>
                        <a:effectRef idx="0">
                          <a:schemeClr val="accent1"/>
                        </a:effectRef>
                        <a:fontRef idx="minor">
                          <a:schemeClr val="lt1"/>
                        </a:fontRef>
                      </wps:style>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4610100</wp:posOffset>
                </wp:positionH>
                <wp:positionV relativeFrom="paragraph">
                  <wp:posOffset>3044825</wp:posOffset>
                </wp:positionV>
                <wp:extent cx="1203960" cy="228600"/>
                <wp:effectExtent b="0" l="0" r="0" t="0"/>
                <wp:wrapNone/>
                <wp:docPr id="2"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1203960" cy="228600"/>
                        </a:xfrm>
                        <a:prstGeom prst="rect"/>
                        <a:ln/>
                      </pic:spPr>
                    </pic:pic>
                  </a:graphicData>
                </a:graphic>
              </wp:anchor>
            </w:drawing>
          </mc:Fallback>
        </mc:AlternateConten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vxigu490u74" w:id="25"/>
      <w:bookmarkEnd w:id="25"/>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Figure 8: Gibbs Reflective Cycle Framework</w:t>
      </w:r>
    </w:p>
    <w:p w:rsidR="00000000" w:rsidDel="00000000" w:rsidP="00000000" w:rsidRDefault="00000000" w:rsidRPr="00000000" w14:paraId="000000C0">
      <w:pPr>
        <w:pStyle w:val="Heading2"/>
        <w:rPr/>
      </w:pPr>
      <w:bookmarkStart w:colFirst="0" w:colLast="0" w:name="_q26fxzs8hr7z" w:id="26"/>
      <w:bookmarkEnd w:id="26"/>
      <w:r w:rsidDel="00000000" w:rsidR="00000000" w:rsidRPr="00000000">
        <w:rPr>
          <w:rtl w:val="0"/>
        </w:rPr>
        <w:t xml:space="preserve">4.1 Description</w:t>
      </w:r>
    </w:p>
    <w:p w:rsidR="00000000" w:rsidDel="00000000" w:rsidP="00000000" w:rsidRDefault="00000000" w:rsidRPr="00000000" w14:paraId="000000C1">
      <w:pPr>
        <w:rPr/>
      </w:pPr>
      <w:r w:rsidDel="00000000" w:rsidR="00000000" w:rsidRPr="00000000">
        <w:rPr>
          <w:rtl w:val="0"/>
        </w:rPr>
        <w:t xml:space="preserve">This was a project that entailed the creation of Infosys GreenCloud Solutions as an extension brand and the creation of a convincing poster presentation. The procedure involved a lot of research on the position of Infosys in the world market, sustainability, customer segmentation and marketing strategies and implementation of academic theories like STDP and the 7ps marketing mix.</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pStyle w:val="Heading2"/>
        <w:rPr/>
      </w:pPr>
      <w:bookmarkStart w:colFirst="0" w:colLast="0" w:name="_15nurzeiy39i" w:id="27"/>
      <w:bookmarkEnd w:id="27"/>
      <w:r w:rsidDel="00000000" w:rsidR="00000000" w:rsidRPr="00000000">
        <w:rPr>
          <w:rtl w:val="0"/>
        </w:rPr>
        <w:t xml:space="preserve">4.2 Feelings</w:t>
      </w:r>
    </w:p>
    <w:p w:rsidR="00000000" w:rsidDel="00000000" w:rsidP="00000000" w:rsidRDefault="00000000" w:rsidRPr="00000000" w14:paraId="000000C4">
      <w:pPr>
        <w:rPr/>
      </w:pPr>
      <w:r w:rsidDel="00000000" w:rsidR="00000000" w:rsidRPr="00000000">
        <w:rPr>
          <w:rtl w:val="0"/>
        </w:rPr>
        <w:t xml:space="preserve">First, I was confident since Infosys is a technology powerhouse that is respected globally, has credibility in its brands and sustainability investments. But creating a realistically sound brand extension that was able to effectively integrate innovation, sustainability, and strategic market relevance was challenging intellectually. Also, the challenge to fit a coherent but convincing poster presentation into a tight space added an additional creative and analytical stressor to the task since I had to convey complicated strategic concepts in a straightforward manner without jeopardizing the professional visual appeal and audience interest.</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pStyle w:val="Heading2"/>
        <w:rPr/>
      </w:pPr>
      <w:bookmarkStart w:colFirst="0" w:colLast="0" w:name="_i9x6jr7nuv7j" w:id="28"/>
      <w:bookmarkEnd w:id="28"/>
      <w:r w:rsidDel="00000000" w:rsidR="00000000" w:rsidRPr="00000000">
        <w:rPr>
          <w:rtl w:val="0"/>
        </w:rPr>
        <w:t xml:space="preserve">4.3 Evaluation</w:t>
      </w:r>
    </w:p>
    <w:p w:rsidR="00000000" w:rsidDel="00000000" w:rsidP="00000000" w:rsidRDefault="00000000" w:rsidRPr="00000000" w14:paraId="000000C7">
      <w:pPr>
        <w:rPr/>
      </w:pPr>
      <w:r w:rsidDel="00000000" w:rsidR="00000000" w:rsidRPr="00000000">
        <w:rPr>
          <w:rtl w:val="0"/>
        </w:rPr>
        <w:t xml:space="preserve">The project has greatly enhanced my knowledge on strategic brand development, sustainability marketing and enterprise level business growth. The powerful ESG engagements and high-level digital capacities of Infosys offered a viable basis of an authoritative brand expansion. Nevertheless, the academic rigour and visual simplicity of the poster presentation proved hard to strike a balance between, which necessitated careful content selection, prioritisation, and a proper balance of communication so that the final presentation could be persuasive and professional at the same time.</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pStyle w:val="Heading2"/>
        <w:rPr/>
      </w:pPr>
      <w:bookmarkStart w:colFirst="0" w:colLast="0" w:name="_g9oyy4og7yy6" w:id="29"/>
      <w:bookmarkEnd w:id="29"/>
      <w:r w:rsidDel="00000000" w:rsidR="00000000" w:rsidRPr="00000000">
        <w:rPr>
          <w:rtl w:val="0"/>
        </w:rPr>
        <w:t xml:space="preserve">4.4 Analysis</w:t>
      </w:r>
    </w:p>
    <w:p w:rsidR="00000000" w:rsidDel="00000000" w:rsidP="00000000" w:rsidRDefault="00000000" w:rsidRPr="00000000" w14:paraId="000000CA">
      <w:pPr>
        <w:rPr/>
      </w:pPr>
      <w:r w:rsidDel="00000000" w:rsidR="00000000" w:rsidRPr="00000000">
        <w:rPr>
          <w:rtl w:val="0"/>
        </w:rPr>
        <w:t xml:space="preserve">This assignment helped me learn more about the role of segmentation, targeting, differentiation, and positioning in strategic business development in competitive technology markets (Lee et al., 2022). I also learned to be more critical in the application of the 7Ps framework to a B2B service-based situation. The reflective process emphasized the need to match innovation and sustainability and parent-brand equity to successful brand extensions (Olaleye et al., 2025). In addition, the assignment enhanced my research, critical thinking, and visual communication skills, which are very applicable in any professional marketing job in the future.</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pStyle w:val="Heading2"/>
        <w:rPr/>
      </w:pPr>
      <w:bookmarkStart w:colFirst="0" w:colLast="0" w:name="_cyyel5wnqtpe" w:id="30"/>
      <w:bookmarkEnd w:id="30"/>
      <w:r w:rsidDel="00000000" w:rsidR="00000000" w:rsidRPr="00000000">
        <w:rPr>
          <w:rtl w:val="0"/>
        </w:rPr>
        <w:t xml:space="preserve">4.5 Conclusion</w:t>
      </w:r>
    </w:p>
    <w:p w:rsidR="00000000" w:rsidDel="00000000" w:rsidP="00000000" w:rsidRDefault="00000000" w:rsidRPr="00000000" w14:paraId="000000CD">
      <w:pPr>
        <w:rPr/>
      </w:pPr>
      <w:r w:rsidDel="00000000" w:rsidR="00000000" w:rsidRPr="00000000">
        <w:rPr>
          <w:rtl w:val="0"/>
        </w:rPr>
        <w:t xml:space="preserve">On the whole, this project has helped me to improve my strategic marketing knowledge, communication skills, and reflective learning skills to a great extent. It underscored the need to incorporate innovation, sustainability, and customer-oriented approaches in coming up with effective brand extensions that reinforce long-term business expansion, as well as enhance future academic and professional performances.</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pStyle w:val="Heading2"/>
        <w:rPr/>
      </w:pPr>
      <w:bookmarkStart w:colFirst="0" w:colLast="0" w:name="_v8aai1kfqt35" w:id="31"/>
      <w:bookmarkEnd w:id="31"/>
      <w:r w:rsidDel="00000000" w:rsidR="00000000" w:rsidRPr="00000000">
        <w:rPr>
          <w:rtl w:val="0"/>
        </w:rPr>
        <w:t xml:space="preserve">4.6 Action Plan</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11"/>
        <w:gridCol w:w="1752"/>
        <w:gridCol w:w="2056"/>
        <w:gridCol w:w="1726"/>
        <w:gridCol w:w="2005"/>
        <w:tblGridChange w:id="0">
          <w:tblGrid>
            <w:gridCol w:w="1811"/>
            <w:gridCol w:w="1752"/>
            <w:gridCol w:w="2056"/>
            <w:gridCol w:w="1726"/>
            <w:gridCol w:w="2005"/>
          </w:tblGrid>
        </w:tblGridChange>
      </w:tblGrid>
      <w:tr>
        <w:trPr>
          <w:cantSplit w:val="0"/>
          <w:tblHeader w:val="0"/>
        </w:trPr>
        <w:tc>
          <w:tcPr>
            <w:shd w:fill="00b0f0" w:val="clear"/>
            <w:vAlign w:val="center"/>
          </w:tcPr>
          <w:p w:rsidR="00000000" w:rsidDel="00000000" w:rsidP="00000000" w:rsidRDefault="00000000" w:rsidRPr="00000000" w14:paraId="000000D0">
            <w:pPr>
              <w:jc w:val="center"/>
              <w:rPr>
                <w:b w:val="1"/>
                <w:bCs w:val="1"/>
              </w:rPr>
            </w:pPr>
            <w:r w:rsidDel="00000000" w:rsidR="00000000" w:rsidRPr="00000000">
              <w:rPr>
                <w:b w:val="1"/>
                <w:bCs w:val="1"/>
                <w:rtl w:val="0"/>
              </w:rPr>
              <w:t xml:space="preserve">Development Area</w:t>
            </w:r>
          </w:p>
        </w:tc>
        <w:tc>
          <w:tcPr>
            <w:shd w:fill="00b0f0" w:val="clear"/>
            <w:vAlign w:val="center"/>
          </w:tcPr>
          <w:p w:rsidR="00000000" w:rsidDel="00000000" w:rsidP="00000000" w:rsidRDefault="00000000" w:rsidRPr="00000000" w14:paraId="000000D1">
            <w:pPr>
              <w:jc w:val="center"/>
              <w:rPr>
                <w:b w:val="1"/>
                <w:bCs w:val="1"/>
              </w:rPr>
            </w:pPr>
            <w:r w:rsidDel="00000000" w:rsidR="00000000" w:rsidRPr="00000000">
              <w:rPr>
                <w:b w:val="1"/>
                <w:bCs w:val="1"/>
                <w:rtl w:val="0"/>
              </w:rPr>
              <w:t xml:space="preserve">Current Weakness Identified</w:t>
            </w:r>
          </w:p>
        </w:tc>
        <w:tc>
          <w:tcPr>
            <w:shd w:fill="00b0f0" w:val="clear"/>
            <w:vAlign w:val="center"/>
          </w:tcPr>
          <w:p w:rsidR="00000000" w:rsidDel="00000000" w:rsidP="00000000" w:rsidRDefault="00000000" w:rsidRPr="00000000" w14:paraId="000000D2">
            <w:pPr>
              <w:jc w:val="center"/>
              <w:rPr>
                <w:b w:val="1"/>
                <w:bCs w:val="1"/>
              </w:rPr>
            </w:pPr>
            <w:r w:rsidDel="00000000" w:rsidR="00000000" w:rsidRPr="00000000">
              <w:rPr>
                <w:b w:val="1"/>
                <w:bCs w:val="1"/>
                <w:rtl w:val="0"/>
              </w:rPr>
              <w:t xml:space="preserve">Action to Improve</w:t>
            </w:r>
          </w:p>
        </w:tc>
        <w:tc>
          <w:tcPr>
            <w:shd w:fill="00b0f0" w:val="clear"/>
            <w:vAlign w:val="center"/>
          </w:tcPr>
          <w:p w:rsidR="00000000" w:rsidDel="00000000" w:rsidP="00000000" w:rsidRDefault="00000000" w:rsidRPr="00000000" w14:paraId="000000D3">
            <w:pPr>
              <w:jc w:val="center"/>
              <w:rPr>
                <w:b w:val="1"/>
                <w:bCs w:val="1"/>
              </w:rPr>
            </w:pPr>
            <w:r w:rsidDel="00000000" w:rsidR="00000000" w:rsidRPr="00000000">
              <w:rPr>
                <w:b w:val="1"/>
                <w:bCs w:val="1"/>
                <w:rtl w:val="0"/>
              </w:rPr>
              <w:t xml:space="preserve">Time Frame</w:t>
            </w:r>
          </w:p>
        </w:tc>
        <w:tc>
          <w:tcPr>
            <w:shd w:fill="00b0f0" w:val="clear"/>
            <w:vAlign w:val="center"/>
          </w:tcPr>
          <w:p w:rsidR="00000000" w:rsidDel="00000000" w:rsidP="00000000" w:rsidRDefault="00000000" w:rsidRPr="00000000" w14:paraId="000000D4">
            <w:pPr>
              <w:jc w:val="center"/>
              <w:rPr>
                <w:b w:val="1"/>
                <w:bCs w:val="1"/>
              </w:rPr>
            </w:pPr>
            <w:r w:rsidDel="00000000" w:rsidR="00000000" w:rsidRPr="00000000">
              <w:rPr>
                <w:b w:val="1"/>
                <w:bCs w:val="1"/>
                <w:rtl w:val="0"/>
              </w:rPr>
              <w:t xml:space="preserve">Expected Outcome</w:t>
            </w:r>
          </w:p>
        </w:tc>
      </w:tr>
      <w:tr>
        <w:trPr>
          <w:cantSplit w:val="0"/>
          <w:tblHeader w:val="0"/>
        </w:trPr>
        <w:tc>
          <w:tcPr/>
          <w:p w:rsidR="00000000" w:rsidDel="00000000" w:rsidP="00000000" w:rsidRDefault="00000000" w:rsidRPr="00000000" w14:paraId="000000D5">
            <w:pPr>
              <w:rPr/>
            </w:pPr>
            <w:r w:rsidDel="00000000" w:rsidR="00000000" w:rsidRPr="00000000">
              <w:rPr>
                <w:rtl w:val="0"/>
              </w:rPr>
              <w:t xml:space="preserve">Competitor Benchmarking</w:t>
            </w:r>
          </w:p>
        </w:tc>
        <w:tc>
          <w:tcPr/>
          <w:p w:rsidR="00000000" w:rsidDel="00000000" w:rsidP="00000000" w:rsidRDefault="00000000" w:rsidRPr="00000000" w14:paraId="000000D6">
            <w:pPr>
              <w:rPr/>
            </w:pPr>
            <w:r w:rsidDel="00000000" w:rsidR="00000000" w:rsidRPr="00000000">
              <w:rPr>
                <w:rtl w:val="0"/>
              </w:rPr>
              <w:t xml:space="preserve">Limited depth in competitor analysis</w:t>
            </w:r>
          </w:p>
        </w:tc>
        <w:tc>
          <w:tcPr/>
          <w:p w:rsidR="00000000" w:rsidDel="00000000" w:rsidP="00000000" w:rsidRDefault="00000000" w:rsidRPr="00000000" w14:paraId="000000D7">
            <w:pPr>
              <w:rPr/>
            </w:pPr>
            <w:r w:rsidDel="00000000" w:rsidR="00000000" w:rsidRPr="00000000">
              <w:rPr>
                <w:rtl w:val="0"/>
              </w:rPr>
              <w:t xml:space="preserve">Use advanced market intelligence tools and broader benchmarking models</w:t>
            </w:r>
          </w:p>
        </w:tc>
        <w:tc>
          <w:tcPr/>
          <w:p w:rsidR="00000000" w:rsidDel="00000000" w:rsidP="00000000" w:rsidRDefault="00000000" w:rsidRPr="00000000" w14:paraId="000000D8">
            <w:pPr>
              <w:rPr/>
            </w:pPr>
            <w:r w:rsidDel="00000000" w:rsidR="00000000" w:rsidRPr="00000000">
              <w:rPr>
                <w:rtl w:val="0"/>
              </w:rPr>
              <w:t xml:space="preserve">Next project</w:t>
            </w:r>
          </w:p>
        </w:tc>
        <w:tc>
          <w:tcPr/>
          <w:p w:rsidR="00000000" w:rsidDel="00000000" w:rsidP="00000000" w:rsidRDefault="00000000" w:rsidRPr="00000000" w14:paraId="000000D9">
            <w:pPr>
              <w:rPr/>
            </w:pPr>
            <w:r w:rsidDel="00000000" w:rsidR="00000000" w:rsidRPr="00000000">
              <w:rPr>
                <w:rtl w:val="0"/>
              </w:rPr>
              <w:t xml:space="preserve">Stronger strategic comparisons</w:t>
            </w:r>
          </w:p>
        </w:tc>
      </w:tr>
      <w:tr>
        <w:trPr>
          <w:cantSplit w:val="0"/>
          <w:tblHeader w:val="0"/>
        </w:trPr>
        <w:tc>
          <w:tcPr/>
          <w:p w:rsidR="00000000" w:rsidDel="00000000" w:rsidP="00000000" w:rsidRDefault="00000000" w:rsidRPr="00000000" w14:paraId="000000DA">
            <w:pPr>
              <w:rPr/>
            </w:pPr>
            <w:r w:rsidDel="00000000" w:rsidR="00000000" w:rsidRPr="00000000">
              <w:rPr>
                <w:rtl w:val="0"/>
              </w:rPr>
              <w:t xml:space="preserve">Market Research</w:t>
            </w:r>
          </w:p>
        </w:tc>
        <w:tc>
          <w:tcPr/>
          <w:p w:rsidR="00000000" w:rsidDel="00000000" w:rsidP="00000000" w:rsidRDefault="00000000" w:rsidRPr="00000000" w14:paraId="000000DB">
            <w:pPr>
              <w:rPr/>
            </w:pPr>
            <w:r w:rsidDel="00000000" w:rsidR="00000000" w:rsidRPr="00000000">
              <w:rPr>
                <w:rtl w:val="0"/>
              </w:rPr>
              <w:t xml:space="preserve">Insufficient industry and sustainability data</w:t>
            </w:r>
          </w:p>
        </w:tc>
        <w:tc>
          <w:tcPr/>
          <w:p w:rsidR="00000000" w:rsidDel="00000000" w:rsidP="00000000" w:rsidRDefault="00000000" w:rsidRPr="00000000" w14:paraId="000000DC">
            <w:pPr>
              <w:rPr/>
            </w:pPr>
            <w:r w:rsidDel="00000000" w:rsidR="00000000" w:rsidRPr="00000000">
              <w:rPr>
                <w:rtl w:val="0"/>
              </w:rPr>
              <w:t xml:space="preserve">Integrate deeper market reports and digital transformation trends</w:t>
            </w:r>
          </w:p>
        </w:tc>
        <w:tc>
          <w:tcPr/>
          <w:p w:rsidR="00000000" w:rsidDel="00000000" w:rsidP="00000000" w:rsidRDefault="00000000" w:rsidRPr="00000000" w14:paraId="000000DD">
            <w:pPr>
              <w:rPr/>
            </w:pPr>
            <w:r w:rsidDel="00000000" w:rsidR="00000000" w:rsidRPr="00000000">
              <w:rPr>
                <w:rtl w:val="0"/>
              </w:rPr>
              <w:t xml:space="preserve">Ongoing</w:t>
            </w:r>
          </w:p>
        </w:tc>
        <w:tc>
          <w:tcPr/>
          <w:p w:rsidR="00000000" w:rsidDel="00000000" w:rsidP="00000000" w:rsidRDefault="00000000" w:rsidRPr="00000000" w14:paraId="000000DE">
            <w:pPr>
              <w:rPr/>
            </w:pPr>
            <w:r w:rsidDel="00000000" w:rsidR="00000000" w:rsidRPr="00000000">
              <w:rPr>
                <w:rtl w:val="0"/>
              </w:rPr>
              <w:t xml:space="preserve">Improved academic quality</w:t>
            </w:r>
          </w:p>
        </w:tc>
      </w:tr>
      <w:tr>
        <w:trPr>
          <w:cantSplit w:val="0"/>
          <w:tblHeader w:val="0"/>
        </w:trPr>
        <w:tc>
          <w:tcPr/>
          <w:p w:rsidR="00000000" w:rsidDel="00000000" w:rsidP="00000000" w:rsidRDefault="00000000" w:rsidRPr="00000000" w14:paraId="000000DF">
            <w:pPr>
              <w:rPr/>
            </w:pPr>
            <w:r w:rsidDel="00000000" w:rsidR="00000000" w:rsidRPr="00000000">
              <w:rPr>
                <w:rtl w:val="0"/>
              </w:rPr>
              <w:t xml:space="preserve">Visual Presentation</w:t>
            </w:r>
          </w:p>
        </w:tc>
        <w:tc>
          <w:tcPr/>
          <w:p w:rsidR="00000000" w:rsidDel="00000000" w:rsidP="00000000" w:rsidRDefault="00000000" w:rsidRPr="00000000" w14:paraId="000000E0">
            <w:pPr>
              <w:rPr/>
            </w:pPr>
            <w:r w:rsidDel="00000000" w:rsidR="00000000" w:rsidRPr="00000000">
              <w:rPr>
                <w:rtl w:val="0"/>
              </w:rPr>
              <w:t xml:space="preserve">Poster design could be more impactful</w:t>
            </w:r>
          </w:p>
        </w:tc>
        <w:tc>
          <w:tcPr/>
          <w:p w:rsidR="00000000" w:rsidDel="00000000" w:rsidP="00000000" w:rsidRDefault="00000000" w:rsidRPr="00000000" w14:paraId="000000E1">
            <w:pPr>
              <w:rPr/>
            </w:pPr>
            <w:r w:rsidDel="00000000" w:rsidR="00000000" w:rsidRPr="00000000">
              <w:rPr>
                <w:rtl w:val="0"/>
              </w:rPr>
              <w:t xml:space="preserve">Improve layout, visuals, and clarity</w:t>
            </w:r>
          </w:p>
        </w:tc>
        <w:tc>
          <w:tcPr/>
          <w:p w:rsidR="00000000" w:rsidDel="00000000" w:rsidP="00000000" w:rsidRDefault="00000000" w:rsidRPr="00000000" w14:paraId="000000E2">
            <w:pPr>
              <w:rPr/>
            </w:pPr>
            <w:r w:rsidDel="00000000" w:rsidR="00000000" w:rsidRPr="00000000">
              <w:rPr>
                <w:rtl w:val="0"/>
              </w:rPr>
              <w:t xml:space="preserve">Before future presentations</w:t>
            </w:r>
          </w:p>
        </w:tc>
        <w:tc>
          <w:tcPr/>
          <w:p w:rsidR="00000000" w:rsidDel="00000000" w:rsidP="00000000" w:rsidRDefault="00000000" w:rsidRPr="00000000" w14:paraId="000000E3">
            <w:pPr>
              <w:rPr/>
            </w:pPr>
            <w:r w:rsidDel="00000000" w:rsidR="00000000" w:rsidRPr="00000000">
              <w:rPr>
                <w:rtl w:val="0"/>
              </w:rPr>
              <w:t xml:space="preserve">More professional communication</w:t>
            </w:r>
          </w:p>
        </w:tc>
      </w:tr>
      <w:tr>
        <w:trPr>
          <w:cantSplit w:val="0"/>
          <w:tblHeader w:val="0"/>
        </w:trPr>
        <w:tc>
          <w:tcPr/>
          <w:p w:rsidR="00000000" w:rsidDel="00000000" w:rsidP="00000000" w:rsidRDefault="00000000" w:rsidRPr="00000000" w14:paraId="000000E4">
            <w:pPr>
              <w:rPr/>
            </w:pPr>
            <w:r w:rsidDel="00000000" w:rsidR="00000000" w:rsidRPr="00000000">
              <w:rPr>
                <w:rtl w:val="0"/>
              </w:rPr>
              <w:t xml:space="preserve">Public Speaking</w:t>
            </w:r>
          </w:p>
        </w:tc>
        <w:tc>
          <w:tcPr/>
          <w:p w:rsidR="00000000" w:rsidDel="00000000" w:rsidP="00000000" w:rsidRDefault="00000000" w:rsidRPr="00000000" w14:paraId="000000E5">
            <w:pPr>
              <w:rPr/>
            </w:pPr>
            <w:r w:rsidDel="00000000" w:rsidR="00000000" w:rsidRPr="00000000">
              <w:rPr>
                <w:rtl w:val="0"/>
              </w:rPr>
              <w:t xml:space="preserve">Moderate presentation confidence</w:t>
            </w:r>
          </w:p>
        </w:tc>
        <w:tc>
          <w:tcPr/>
          <w:p w:rsidR="00000000" w:rsidDel="00000000" w:rsidP="00000000" w:rsidRDefault="00000000" w:rsidRPr="00000000" w14:paraId="000000E6">
            <w:pPr>
              <w:rPr/>
            </w:pPr>
            <w:r w:rsidDel="00000000" w:rsidR="00000000" w:rsidRPr="00000000">
              <w:rPr>
                <w:rtl w:val="0"/>
              </w:rPr>
              <w:t xml:space="preserve">Increase rehearsal and audience-focused speaking practice</w:t>
            </w:r>
          </w:p>
        </w:tc>
        <w:tc>
          <w:tcPr/>
          <w:p w:rsidR="00000000" w:rsidDel="00000000" w:rsidP="00000000" w:rsidRDefault="00000000" w:rsidRPr="00000000" w14:paraId="000000E7">
            <w:pPr>
              <w:rPr/>
            </w:pPr>
            <w:r w:rsidDel="00000000" w:rsidR="00000000" w:rsidRPr="00000000">
              <w:rPr>
                <w:rtl w:val="0"/>
              </w:rPr>
              <w:t xml:space="preserve">Short-term</w:t>
            </w:r>
          </w:p>
        </w:tc>
        <w:tc>
          <w:tcPr/>
          <w:p w:rsidR="00000000" w:rsidDel="00000000" w:rsidP="00000000" w:rsidRDefault="00000000" w:rsidRPr="00000000" w14:paraId="000000E8">
            <w:pPr>
              <w:rPr/>
            </w:pPr>
            <w:r w:rsidDel="00000000" w:rsidR="00000000" w:rsidRPr="00000000">
              <w:rPr>
                <w:rtl w:val="0"/>
              </w:rPr>
              <w:t xml:space="preserve">Better clarity and engagement</w:t>
            </w:r>
          </w:p>
        </w:tc>
      </w:tr>
      <w:tr>
        <w:trPr>
          <w:cantSplit w:val="0"/>
          <w:tblHeader w:val="0"/>
        </w:trPr>
        <w:tc>
          <w:tcPr/>
          <w:p w:rsidR="00000000" w:rsidDel="00000000" w:rsidP="00000000" w:rsidRDefault="00000000" w:rsidRPr="00000000" w14:paraId="000000E9">
            <w:pPr>
              <w:rPr/>
            </w:pPr>
            <w:r w:rsidDel="00000000" w:rsidR="00000000" w:rsidRPr="00000000">
              <w:rPr>
                <w:rtl w:val="0"/>
              </w:rPr>
              <w:t xml:space="preserve">Professional Knowledge</w:t>
            </w:r>
          </w:p>
        </w:tc>
        <w:tc>
          <w:tcPr/>
          <w:p w:rsidR="00000000" w:rsidDel="00000000" w:rsidP="00000000" w:rsidRDefault="00000000" w:rsidRPr="00000000" w14:paraId="000000EA">
            <w:pPr>
              <w:rPr/>
            </w:pPr>
            <w:r w:rsidDel="00000000" w:rsidR="00000000" w:rsidRPr="00000000">
              <w:rPr>
                <w:rtl w:val="0"/>
              </w:rPr>
              <w:t xml:space="preserve">Need stronger sustainability and AI expertise</w:t>
            </w:r>
          </w:p>
        </w:tc>
        <w:tc>
          <w:tcPr/>
          <w:p w:rsidR="00000000" w:rsidDel="00000000" w:rsidP="00000000" w:rsidRDefault="00000000" w:rsidRPr="00000000" w14:paraId="000000EB">
            <w:pPr>
              <w:rPr/>
            </w:pPr>
            <w:r w:rsidDel="00000000" w:rsidR="00000000" w:rsidRPr="00000000">
              <w:rPr>
                <w:rtl w:val="0"/>
              </w:rPr>
              <w:t xml:space="preserve">Expand learning in green marketing and digital innovation</w:t>
            </w:r>
          </w:p>
        </w:tc>
        <w:tc>
          <w:tcPr/>
          <w:p w:rsidR="00000000" w:rsidDel="00000000" w:rsidP="00000000" w:rsidRDefault="00000000" w:rsidRPr="00000000" w14:paraId="000000EC">
            <w:pPr>
              <w:rPr/>
            </w:pPr>
            <w:r w:rsidDel="00000000" w:rsidR="00000000" w:rsidRPr="00000000">
              <w:rPr>
                <w:rtl w:val="0"/>
              </w:rPr>
              <w:t xml:space="preserve">Long-term</w:t>
            </w:r>
          </w:p>
        </w:tc>
        <w:tc>
          <w:tcPr/>
          <w:p w:rsidR="00000000" w:rsidDel="00000000" w:rsidP="00000000" w:rsidRDefault="00000000" w:rsidRPr="00000000" w14:paraId="000000ED">
            <w:pPr>
              <w:rPr/>
            </w:pPr>
            <w:r w:rsidDel="00000000" w:rsidR="00000000" w:rsidRPr="00000000">
              <w:rPr>
                <w:rtl w:val="0"/>
              </w:rPr>
              <w:t xml:space="preserve">Enhanced strategic capability</w:t>
            </w:r>
          </w:p>
        </w:tc>
      </w:tr>
      <w:tr>
        <w:trPr>
          <w:cantSplit w:val="0"/>
          <w:tblHeader w:val="0"/>
        </w:trPr>
        <w:tc>
          <w:tcPr/>
          <w:p w:rsidR="00000000" w:rsidDel="00000000" w:rsidP="00000000" w:rsidRDefault="00000000" w:rsidRPr="00000000" w14:paraId="000000EE">
            <w:pPr>
              <w:rPr/>
            </w:pPr>
            <w:r w:rsidDel="00000000" w:rsidR="00000000" w:rsidRPr="00000000">
              <w:rPr>
                <w:rtl w:val="0"/>
              </w:rPr>
              <w:t xml:space="preserve">Reflective Practice</w:t>
            </w:r>
          </w:p>
        </w:tc>
        <w:tc>
          <w:tcPr/>
          <w:p w:rsidR="00000000" w:rsidDel="00000000" w:rsidP="00000000" w:rsidRDefault="00000000" w:rsidRPr="00000000" w14:paraId="000000EF">
            <w:pPr>
              <w:rPr/>
            </w:pPr>
            <w:r w:rsidDel="00000000" w:rsidR="00000000" w:rsidRPr="00000000">
              <w:rPr>
                <w:rtl w:val="0"/>
              </w:rPr>
              <w:t xml:space="preserve">Reflection not consistently structured</w:t>
            </w:r>
          </w:p>
        </w:tc>
        <w:tc>
          <w:tcPr/>
          <w:p w:rsidR="00000000" w:rsidDel="00000000" w:rsidP="00000000" w:rsidRDefault="00000000" w:rsidRPr="00000000" w14:paraId="000000F0">
            <w:pPr>
              <w:rPr/>
            </w:pPr>
            <w:r w:rsidDel="00000000" w:rsidR="00000000" w:rsidRPr="00000000">
              <w:rPr>
                <w:rtl w:val="0"/>
              </w:rPr>
              <w:t xml:space="preserve">Apply Gibbs’ reflective cycle regularly</w:t>
            </w:r>
          </w:p>
        </w:tc>
        <w:tc>
          <w:tcPr/>
          <w:p w:rsidR="00000000" w:rsidDel="00000000" w:rsidP="00000000" w:rsidRDefault="00000000" w:rsidRPr="00000000" w14:paraId="000000F1">
            <w:pPr>
              <w:rPr/>
            </w:pPr>
            <w:r w:rsidDel="00000000" w:rsidR="00000000" w:rsidRPr="00000000">
              <w:rPr>
                <w:rtl w:val="0"/>
              </w:rPr>
              <w:t xml:space="preserve">Continuous</w:t>
            </w:r>
          </w:p>
        </w:tc>
        <w:tc>
          <w:tcPr/>
          <w:p w:rsidR="00000000" w:rsidDel="00000000" w:rsidP="00000000" w:rsidRDefault="00000000" w:rsidRPr="00000000" w14:paraId="000000F2">
            <w:pPr>
              <w:rPr/>
            </w:pPr>
            <w:r w:rsidDel="00000000" w:rsidR="00000000" w:rsidRPr="00000000">
              <w:rPr>
                <w:rtl w:val="0"/>
              </w:rPr>
              <w:t xml:space="preserve">Improved personal and professional development</w:t>
            </w:r>
          </w:p>
        </w:tc>
      </w:tr>
    </w:tbl>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1"/>
          <w:iCs w:val="1"/>
          <w:smallCaps w:val="0"/>
          <w:strike w:val="0"/>
          <w:color w:val="44546a"/>
          <w:sz w:val="18"/>
          <w:szCs w:val="18"/>
          <w:u w:val="none"/>
          <w:shd w:fill="auto" w:val="clear"/>
          <w:vertAlign w:val="baseline"/>
        </w:rPr>
      </w:pPr>
      <w:bookmarkStart w:colFirst="0" w:colLast="0" w:name="_gbnmfx58n34m" w:id="32"/>
      <w:bookmarkEnd w:id="32"/>
      <w:r w:rsidDel="00000000" w:rsidR="00000000" w:rsidRPr="00000000">
        <w:rPr>
          <w:rFonts w:ascii="Arial" w:cs="Arial" w:eastAsia="Arial" w:hAnsi="Arial"/>
          <w:b w:val="0"/>
          <w:bCs w:val="0"/>
          <w:i w:val="1"/>
          <w:iCs w:val="1"/>
          <w:smallCaps w:val="0"/>
          <w:strike w:val="0"/>
          <w:color w:val="44546a"/>
          <w:sz w:val="18"/>
          <w:szCs w:val="18"/>
          <w:u w:val="none"/>
          <w:shd w:fill="auto" w:val="clear"/>
          <w:vertAlign w:val="baseline"/>
          <w:rtl w:val="0"/>
        </w:rPr>
        <w:t xml:space="preserve">Table 3: Action Plan</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pStyle w:val="Heading1"/>
        <w:rPr>
          <w:rFonts w:ascii="Times New Roman" w:cs="Times New Roman" w:eastAsia="Times New Roman" w:hAnsi="Times New Roman"/>
        </w:rPr>
      </w:pPr>
      <w:bookmarkStart w:colFirst="0" w:colLast="0" w:name="_wfg42eie3hhu" w:id="33"/>
      <w:bookmarkEnd w:id="33"/>
      <w:r w:rsidDel="00000000" w:rsidR="00000000" w:rsidRPr="00000000">
        <w:rPr>
          <w:rtl w:val="0"/>
        </w:rPr>
        <w:t xml:space="preserve">Overall Conclusion</w:t>
      </w: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Infosys GreenCloud Solutions is a strategically valuable brand extension that can leverage well Infosys technological experience, sustainability leadership, and enterprise brand equity to meet the increasing demand in green digital transformation services. With a well-coordinated STDP analysis and a combined 7p marketing plan, the extension reveals a great potential of long-term business development, competitive differentiation, and premium positioning in the market. The project further deepened my knowledge on strategic marketing, sustainability innovation, and brand development and sharpened my research, critical thinking and presentation skills. In general, this assignment has shown the value of integration of innovation, market insight, and reflective learning as a means of strategic business development.</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br w:type="page"/>
      </w:r>
      <w:r w:rsidDel="00000000" w:rsidR="00000000" w:rsidRPr="00000000">
        <w:rPr>
          <w:rtl w:val="0"/>
        </w:rPr>
      </w:r>
    </w:p>
    <w:p w:rsidR="00000000" w:rsidDel="00000000" w:rsidP="00000000" w:rsidRDefault="00000000" w:rsidRPr="00000000" w14:paraId="000000F9">
      <w:pPr>
        <w:pStyle w:val="Heading1"/>
        <w:rPr/>
      </w:pPr>
      <w:bookmarkStart w:colFirst="0" w:colLast="0" w:name="_s2e1p6pjnne3" w:id="34"/>
      <w:bookmarkEnd w:id="34"/>
      <w:r w:rsidDel="00000000" w:rsidR="00000000" w:rsidRPr="00000000">
        <w:rPr>
          <w:rtl w:val="0"/>
        </w:rPr>
        <w:t xml:space="preserve">References</w:t>
      </w:r>
    </w:p>
    <w:p w:rsidR="00000000" w:rsidDel="00000000" w:rsidP="00000000" w:rsidRDefault="00000000" w:rsidRPr="00000000" w14:paraId="000000FA">
      <w:pPr>
        <w:rPr>
          <w:rFonts w:ascii="Times New Roman" w:cs="Times New Roman" w:eastAsia="Times New Roman" w:hAnsi="Times New Roman"/>
        </w:rPr>
      </w:pPr>
      <w:r w:rsidDel="00000000" w:rsidR="00000000" w:rsidRPr="00000000">
        <w:rPr>
          <w:rtl w:val="0"/>
        </w:rPr>
        <w:t xml:space="preserve">Adiyono, S. and Arifin, M. (2026) ‘AI and digital transformation trends: A systematic review with multi-criteria analysis’, </w:t>
      </w:r>
      <w:r w:rsidDel="00000000" w:rsidR="00000000" w:rsidRPr="00000000">
        <w:rPr>
          <w:i w:val="1"/>
          <w:iCs w:val="1"/>
          <w:rtl w:val="0"/>
        </w:rPr>
        <w:t xml:space="preserve">Journal of Information Systems and Informatics</w:t>
      </w:r>
      <w:r w:rsidDel="00000000" w:rsidR="00000000" w:rsidRPr="00000000">
        <w:rPr>
          <w:rtl w:val="0"/>
        </w:rPr>
        <w:t xml:space="preserve">, 8(1). Available at: </w:t>
      </w:r>
      <w:hyperlink r:id="rId18">
        <w:r w:rsidDel="00000000" w:rsidR="00000000" w:rsidRPr="00000000">
          <w:rPr>
            <w:color w:val="0563c1"/>
            <w:u w:val="single"/>
            <w:rtl w:val="0"/>
          </w:rPr>
          <w:t xml:space="preserve">https://doi.org/10.63158/journalisi.v8i1.1462</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Aithal, S. and Venugopala, P.S. (2024) </w:t>
      </w:r>
      <w:r w:rsidDel="00000000" w:rsidR="00000000" w:rsidRPr="00000000">
        <w:rPr>
          <w:i w:val="1"/>
          <w:iCs w:val="1"/>
          <w:rtl w:val="0"/>
        </w:rPr>
        <w:t xml:space="preserve">Infosys: A case study of IT service evolution, technology adoption &amp; innovation strategies</w:t>
      </w:r>
      <w:r w:rsidDel="00000000" w:rsidR="00000000" w:rsidRPr="00000000">
        <w:rPr>
          <w:rtl w:val="0"/>
        </w:rPr>
        <w:t xml:space="preserve">. Available at: </w:t>
      </w:r>
      <w:hyperlink r:id="rId19">
        <w:r w:rsidDel="00000000" w:rsidR="00000000" w:rsidRPr="00000000">
          <w:rPr>
            <w:color w:val="0563c1"/>
            <w:u w:val="single"/>
            <w:rtl w:val="0"/>
          </w:rPr>
          <w:t xml:space="preserve">https://doi.org/10.5281/zenodo.13941721</w:t>
        </w:r>
      </w:hyperlink>
      <w:r w:rsidDel="00000000" w:rsidR="00000000" w:rsidRPr="00000000">
        <w:rPr>
          <w:rtl w:val="0"/>
        </w:rPr>
        <w:t xml:space="preserve">. </w:t>
      </w:r>
    </w:p>
    <w:p w:rsidR="00000000" w:rsidDel="00000000" w:rsidP="00000000" w:rsidRDefault="00000000" w:rsidRPr="00000000" w14:paraId="000000FC">
      <w:pPr>
        <w:rPr/>
      </w:pPr>
      <w:r w:rsidDel="00000000" w:rsidR="00000000" w:rsidRPr="00000000">
        <w:rPr>
          <w:rtl w:val="0"/>
        </w:rPr>
        <w:t xml:space="preserve">Bernykov, V., Bilousko, T., Bilousko, R., Pitel, N. and Starovoyit, V. (2025) ‘Green technologies and their contribution to a sustainable global economy in 2020–2025: A literature review’, </w:t>
      </w:r>
      <w:r w:rsidDel="00000000" w:rsidR="00000000" w:rsidRPr="00000000">
        <w:rPr>
          <w:i w:val="1"/>
          <w:iCs w:val="1"/>
          <w:rtl w:val="0"/>
        </w:rPr>
        <w:t xml:space="preserve">Futurity Economics &amp; Law</w:t>
      </w:r>
      <w:r w:rsidDel="00000000" w:rsidR="00000000" w:rsidRPr="00000000">
        <w:rPr>
          <w:rtl w:val="0"/>
        </w:rPr>
        <w:t xml:space="preserve">, 5. Available at: </w:t>
      </w:r>
      <w:hyperlink r:id="rId20">
        <w:r w:rsidDel="00000000" w:rsidR="00000000" w:rsidRPr="00000000">
          <w:rPr>
            <w:color w:val="0563c1"/>
            <w:u w:val="single"/>
            <w:rtl w:val="0"/>
          </w:rPr>
          <w:t xml:space="preserve">https://doi.org/10.57125/FEL.2025.03.25.09</w:t>
        </w:r>
      </w:hyperlink>
      <w:r w:rsidDel="00000000" w:rsidR="00000000" w:rsidRPr="00000000">
        <w:rPr>
          <w:rtl w:val="0"/>
        </w:rPr>
        <w:t xml:space="preserve">. </w:t>
      </w:r>
    </w:p>
    <w:p w:rsidR="00000000" w:rsidDel="00000000" w:rsidP="00000000" w:rsidRDefault="00000000" w:rsidRPr="00000000" w14:paraId="000000FD">
      <w:pPr>
        <w:rPr/>
      </w:pPr>
      <w:r w:rsidDel="00000000" w:rsidR="00000000" w:rsidRPr="00000000">
        <w:rPr>
          <w:rtl w:val="0"/>
        </w:rPr>
        <w:t xml:space="preserve">Carter, E., Reynolds, J., Martinez, S., Thompson, M. and James, C. (2024) ‘AI-driven behavioral segmentation for circular micro-entrepreneurship adoption’.</w:t>
      </w:r>
    </w:p>
    <w:p w:rsidR="00000000" w:rsidDel="00000000" w:rsidP="00000000" w:rsidRDefault="00000000" w:rsidRPr="00000000" w14:paraId="000000FE">
      <w:pPr>
        <w:rPr/>
      </w:pPr>
      <w:r w:rsidDel="00000000" w:rsidR="00000000" w:rsidRPr="00000000">
        <w:rPr>
          <w:rtl w:val="0"/>
        </w:rPr>
        <w:t xml:space="preserve">Choi, I., Pinsonneault, A. and Han, K. (2026) ‘IT investment differentiation, strategic distinctiveness, and firm performance’, </w:t>
      </w:r>
      <w:r w:rsidDel="00000000" w:rsidR="00000000" w:rsidRPr="00000000">
        <w:rPr>
          <w:i w:val="1"/>
          <w:iCs w:val="1"/>
          <w:rtl w:val="0"/>
        </w:rPr>
        <w:t xml:space="preserve">The Journal of Strategic Information Systems</w:t>
      </w:r>
      <w:r w:rsidDel="00000000" w:rsidR="00000000" w:rsidRPr="00000000">
        <w:rPr>
          <w:rtl w:val="0"/>
        </w:rPr>
        <w:t xml:space="preserve">, 35(1). Available at: </w:t>
      </w:r>
      <w:hyperlink r:id="rId21">
        <w:r w:rsidDel="00000000" w:rsidR="00000000" w:rsidRPr="00000000">
          <w:rPr>
            <w:color w:val="0563c1"/>
            <w:u w:val="single"/>
            <w:rtl w:val="0"/>
          </w:rPr>
          <w:t xml:space="preserve">https://doi.org/10.1016/j.jsis.2025.101925</w:t>
        </w:r>
      </w:hyperlink>
      <w:r w:rsidDel="00000000" w:rsidR="00000000" w:rsidRPr="00000000">
        <w:rPr>
          <w:rtl w:val="0"/>
        </w:rPr>
        <w:t xml:space="preserve">.</w:t>
      </w:r>
    </w:p>
    <w:p w:rsidR="00000000" w:rsidDel="00000000" w:rsidP="00000000" w:rsidRDefault="00000000" w:rsidRPr="00000000" w14:paraId="000000FF">
      <w:pPr>
        <w:rPr/>
      </w:pPr>
      <w:r w:rsidDel="00000000" w:rsidR="00000000" w:rsidRPr="00000000">
        <w:rPr>
          <w:rtl w:val="0"/>
        </w:rPr>
        <w:t xml:space="preserve">Gensler, S. and Rangaswamy, A. (2025) ‘An emerging future for digital marketing: From products and services to sequenced solutions’, </w:t>
      </w:r>
      <w:r w:rsidDel="00000000" w:rsidR="00000000" w:rsidRPr="00000000">
        <w:rPr>
          <w:i w:val="1"/>
          <w:iCs w:val="1"/>
          <w:rtl w:val="0"/>
        </w:rPr>
        <w:t xml:space="preserve">Journal of Business Research</w:t>
      </w:r>
      <w:r w:rsidDel="00000000" w:rsidR="00000000" w:rsidRPr="00000000">
        <w:rPr>
          <w:rtl w:val="0"/>
        </w:rPr>
        <w:t xml:space="preserve">, 190. Available at: </w:t>
      </w:r>
      <w:hyperlink r:id="rId22">
        <w:r w:rsidDel="00000000" w:rsidR="00000000" w:rsidRPr="00000000">
          <w:rPr>
            <w:color w:val="0563c1"/>
            <w:u w:val="single"/>
            <w:rtl w:val="0"/>
          </w:rPr>
          <w:t xml:space="preserve">https://doi.org/10.1016/j.jbusres.2025.115230</w:t>
        </w:r>
      </w:hyperlink>
      <w:r w:rsidDel="00000000" w:rsidR="00000000" w:rsidRPr="00000000">
        <w:rPr>
          <w:rtl w:val="0"/>
        </w:rPr>
        <w:t xml:space="preserve">.</w:t>
      </w:r>
    </w:p>
    <w:p w:rsidR="00000000" w:rsidDel="00000000" w:rsidP="00000000" w:rsidRDefault="00000000" w:rsidRPr="00000000" w14:paraId="00000100">
      <w:pPr>
        <w:rPr/>
      </w:pPr>
      <w:r w:rsidDel="00000000" w:rsidR="00000000" w:rsidRPr="00000000">
        <w:rPr>
          <w:rtl w:val="0"/>
        </w:rPr>
        <w:t xml:space="preserve">Ghazaryan, E. (2025) ‘Cloud computing as a catalyst for digital transformation in enterprises’, </w:t>
      </w:r>
      <w:r w:rsidDel="00000000" w:rsidR="00000000" w:rsidRPr="00000000">
        <w:rPr>
          <w:i w:val="1"/>
          <w:iCs w:val="1"/>
          <w:rtl w:val="0"/>
        </w:rPr>
        <w:t xml:space="preserve">The American Journal of Engineering and Technology</w:t>
      </w:r>
      <w:r w:rsidDel="00000000" w:rsidR="00000000" w:rsidRPr="00000000">
        <w:rPr>
          <w:rtl w:val="0"/>
        </w:rPr>
        <w:t xml:space="preserve">, 7(6), pp. 170–177. Available at: </w:t>
      </w:r>
      <w:hyperlink r:id="rId23">
        <w:r w:rsidDel="00000000" w:rsidR="00000000" w:rsidRPr="00000000">
          <w:rPr>
            <w:color w:val="0563c1"/>
            <w:u w:val="single"/>
            <w:rtl w:val="0"/>
          </w:rPr>
          <w:t xml:space="preserve">https://doi.org/10.37547/tajet/Volume07Issue06-19</w:t>
        </w:r>
      </w:hyperlink>
      <w:r w:rsidDel="00000000" w:rsidR="00000000" w:rsidRPr="00000000">
        <w:rPr>
          <w:rtl w:val="0"/>
        </w:rPr>
        <w:t xml:space="preserve">.</w:t>
      </w:r>
    </w:p>
    <w:p w:rsidR="00000000" w:rsidDel="00000000" w:rsidP="00000000" w:rsidRDefault="00000000" w:rsidRPr="00000000" w14:paraId="00000101">
      <w:pPr>
        <w:rPr/>
      </w:pPr>
      <w:r w:rsidDel="00000000" w:rsidR="00000000" w:rsidRPr="00000000">
        <w:rPr>
          <w:rtl w:val="0"/>
        </w:rPr>
        <w:t xml:space="preserve">Hossain Uzir, M.U., Bukari, Z., Wahab, S.N., Jerin, I., Rasul, T. and Amin, M.B. (2025) ‘Investigation of customer satisfaction, brand trust and brand loyalty in electronics home appliances’, </w:t>
      </w:r>
      <w:r w:rsidDel="00000000" w:rsidR="00000000" w:rsidRPr="00000000">
        <w:rPr>
          <w:i w:val="1"/>
          <w:iCs w:val="1"/>
          <w:rtl w:val="0"/>
        </w:rPr>
        <w:t xml:space="preserve">Social Sciences &amp; Humanities Open</w:t>
      </w:r>
      <w:r w:rsidDel="00000000" w:rsidR="00000000" w:rsidRPr="00000000">
        <w:rPr>
          <w:rtl w:val="0"/>
        </w:rPr>
        <w:t xml:space="preserve">, 12. Available at: </w:t>
      </w:r>
      <w:hyperlink r:id="rId24">
        <w:r w:rsidDel="00000000" w:rsidR="00000000" w:rsidRPr="00000000">
          <w:rPr>
            <w:color w:val="0563c1"/>
            <w:u w:val="single"/>
            <w:rtl w:val="0"/>
          </w:rPr>
          <w:t xml:space="preserve">https://doi.org/10.1016/j.ssaho.2025.101943</w:t>
        </w:r>
      </w:hyperlink>
      <w:r w:rsidDel="00000000" w:rsidR="00000000" w:rsidRPr="00000000">
        <w:rPr>
          <w:rtl w:val="0"/>
        </w:rPr>
        <w:t xml:space="preserve">.</w:t>
      </w:r>
    </w:p>
    <w:p w:rsidR="00000000" w:rsidDel="00000000" w:rsidP="00000000" w:rsidRDefault="00000000" w:rsidRPr="00000000" w14:paraId="00000102">
      <w:pPr>
        <w:rPr/>
      </w:pPr>
      <w:r w:rsidDel="00000000" w:rsidR="00000000" w:rsidRPr="00000000">
        <w:rPr>
          <w:rtl w:val="0"/>
        </w:rPr>
        <w:t xml:space="preserve">Infosys Limited (2025a) </w:t>
      </w:r>
      <w:r w:rsidDel="00000000" w:rsidR="00000000" w:rsidRPr="00000000">
        <w:rPr>
          <w:i w:val="1"/>
          <w:iCs w:val="1"/>
          <w:rtl w:val="0"/>
        </w:rPr>
        <w:t xml:space="preserve">Infosys Annual Report 2024–25</w:t>
      </w:r>
      <w:r w:rsidDel="00000000" w:rsidR="00000000" w:rsidRPr="00000000">
        <w:rPr>
          <w:rtl w:val="0"/>
        </w:rPr>
        <w:t xml:space="preserve">. Available at: </w:t>
      </w:r>
      <w:hyperlink r:id="rId25">
        <w:r w:rsidDel="00000000" w:rsidR="00000000" w:rsidRPr="00000000">
          <w:rPr>
            <w:color w:val="0563c1"/>
            <w:u w:val="single"/>
            <w:rtl w:val="0"/>
          </w:rPr>
          <w:t xml:space="preserve">https://www.infosys.com/investors/reports-filings/annual-report/annual/documents/infosys-ar-25.pdf</w:t>
        </w:r>
      </w:hyperlink>
      <w:r w:rsidDel="00000000" w:rsidR="00000000" w:rsidRPr="00000000">
        <w:rPr>
          <w:rtl w:val="0"/>
        </w:rPr>
        <w:t xml:space="preserve">. (Accessed: 1 May 2026).</w:t>
      </w:r>
    </w:p>
    <w:p w:rsidR="00000000" w:rsidDel="00000000" w:rsidP="00000000" w:rsidRDefault="00000000" w:rsidRPr="00000000" w14:paraId="00000103">
      <w:pPr>
        <w:rPr/>
      </w:pPr>
      <w:r w:rsidDel="00000000" w:rsidR="00000000" w:rsidRPr="00000000">
        <w:rPr>
          <w:rtl w:val="0"/>
        </w:rPr>
        <w:t xml:space="preserve">Infosys Limited (2025b) </w:t>
      </w:r>
      <w:r w:rsidDel="00000000" w:rsidR="00000000" w:rsidRPr="00000000">
        <w:rPr>
          <w:i w:val="1"/>
          <w:iCs w:val="1"/>
          <w:rtl w:val="0"/>
        </w:rPr>
        <w:t xml:space="preserve">Infosys ESG Report 2024–25</w:t>
      </w:r>
      <w:r w:rsidDel="00000000" w:rsidR="00000000" w:rsidRPr="00000000">
        <w:rPr>
          <w:rtl w:val="0"/>
        </w:rPr>
        <w:t xml:space="preserve">. Available at: </w:t>
      </w:r>
      <w:hyperlink r:id="rId26">
        <w:r w:rsidDel="00000000" w:rsidR="00000000" w:rsidRPr="00000000">
          <w:rPr>
            <w:color w:val="0563c1"/>
            <w:u w:val="single"/>
            <w:rtl w:val="0"/>
          </w:rPr>
          <w:t xml:space="preserve">https://www.infosys.com/sustainability/documents/infosys-esg-report-2024-25.pdf</w:t>
        </w:r>
      </w:hyperlink>
      <w:r w:rsidDel="00000000" w:rsidR="00000000" w:rsidRPr="00000000">
        <w:rPr>
          <w:rtl w:val="0"/>
        </w:rPr>
        <w:t xml:space="preserve">. (Accessed: 1 May 2026).</w:t>
      </w:r>
    </w:p>
    <w:p w:rsidR="00000000" w:rsidDel="00000000" w:rsidP="00000000" w:rsidRDefault="00000000" w:rsidRPr="00000000" w14:paraId="00000104">
      <w:pPr>
        <w:rPr/>
      </w:pPr>
      <w:r w:rsidDel="00000000" w:rsidR="00000000" w:rsidRPr="00000000">
        <w:rPr>
          <w:rtl w:val="0"/>
        </w:rPr>
        <w:t xml:space="preserve">Infosys Knowledge Institute (2025) </w:t>
      </w:r>
      <w:r w:rsidDel="00000000" w:rsidR="00000000" w:rsidRPr="00000000">
        <w:rPr>
          <w:i w:val="1"/>
          <w:iCs w:val="1"/>
          <w:rtl w:val="0"/>
        </w:rPr>
        <w:t xml:space="preserve">AI Business Value Radar 2025</w:t>
      </w:r>
      <w:r w:rsidDel="00000000" w:rsidR="00000000" w:rsidRPr="00000000">
        <w:rPr>
          <w:rtl w:val="0"/>
        </w:rPr>
        <w:t xml:space="preserve">. Available at: </w:t>
      </w:r>
      <w:hyperlink r:id="rId27">
        <w:r w:rsidDel="00000000" w:rsidR="00000000" w:rsidRPr="00000000">
          <w:rPr>
            <w:color w:val="0563c1"/>
            <w:u w:val="single"/>
            <w:rtl w:val="0"/>
          </w:rPr>
          <w:t xml:space="preserve">https://www.infosys.com/iki/research/ai-business-value-radar2025.html</w:t>
        </w:r>
      </w:hyperlink>
      <w:r w:rsidDel="00000000" w:rsidR="00000000" w:rsidRPr="00000000">
        <w:rPr>
          <w:rtl w:val="0"/>
        </w:rPr>
        <w:t xml:space="preserve">. (Accessed: 1 May 2026).</w:t>
      </w:r>
    </w:p>
    <w:p w:rsidR="00000000" w:rsidDel="00000000" w:rsidP="00000000" w:rsidRDefault="00000000" w:rsidRPr="00000000" w14:paraId="00000105">
      <w:pPr>
        <w:rPr/>
      </w:pPr>
      <w:r w:rsidDel="00000000" w:rsidR="00000000" w:rsidRPr="00000000">
        <w:rPr>
          <w:rtl w:val="0"/>
        </w:rPr>
        <w:t xml:space="preserve">Khan, J., Muhib, I. and Adnan, T. (2026) ‘Brand positioning beyond marketing: A strategic management perspective on competitive advantage’, </w:t>
      </w:r>
      <w:r w:rsidDel="00000000" w:rsidR="00000000" w:rsidRPr="00000000">
        <w:rPr>
          <w:i w:val="1"/>
          <w:iCs w:val="1"/>
          <w:rtl w:val="0"/>
        </w:rPr>
        <w:t xml:space="preserve">International Journal of Research and Scientific Innovation</w:t>
      </w:r>
      <w:r w:rsidDel="00000000" w:rsidR="00000000" w:rsidRPr="00000000">
        <w:rPr>
          <w:rtl w:val="0"/>
        </w:rPr>
        <w:t xml:space="preserve">, 13(2). Available at: </w:t>
      </w:r>
      <w:hyperlink r:id="rId28">
        <w:r w:rsidDel="00000000" w:rsidR="00000000" w:rsidRPr="00000000">
          <w:rPr>
            <w:color w:val="0563c1"/>
            <w:u w:val="single"/>
            <w:rtl w:val="0"/>
          </w:rPr>
          <w:t xml:space="preserve">https://doi.org/10.51244/IJRSI.2026.13020033</w:t>
        </w:r>
      </w:hyperlink>
      <w:r w:rsidDel="00000000" w:rsidR="00000000" w:rsidRPr="00000000">
        <w:rPr>
          <w:rtl w:val="0"/>
        </w:rPr>
        <w:t xml:space="preserve">.</w:t>
      </w:r>
    </w:p>
    <w:p w:rsidR="00000000" w:rsidDel="00000000" w:rsidP="00000000" w:rsidRDefault="00000000" w:rsidRPr="00000000" w14:paraId="00000106">
      <w:pPr>
        <w:rPr/>
      </w:pPr>
      <w:r w:rsidDel="00000000" w:rsidR="00000000" w:rsidRPr="00000000">
        <w:rPr>
          <w:rtl w:val="0"/>
        </w:rPr>
        <w:t xml:space="preserve">Khan, S.L., Kulkarni, S. and Sharma, B. (2025) ‘Literature review on marketing strategy: The 7Ps framework’, </w:t>
      </w:r>
      <w:r w:rsidDel="00000000" w:rsidR="00000000" w:rsidRPr="00000000">
        <w:rPr>
          <w:i w:val="1"/>
          <w:iCs w:val="1"/>
          <w:rtl w:val="0"/>
        </w:rPr>
        <w:t xml:space="preserve">International Journal of Commerce and Management Research</w:t>
      </w:r>
      <w:r w:rsidDel="00000000" w:rsidR="00000000" w:rsidRPr="00000000">
        <w:rPr>
          <w:rtl w:val="0"/>
        </w:rPr>
        <w:t xml:space="preserve">, 11(12), pp. 107–110.</w:t>
      </w:r>
    </w:p>
    <w:p w:rsidR="00000000" w:rsidDel="00000000" w:rsidP="00000000" w:rsidRDefault="00000000" w:rsidRPr="00000000" w14:paraId="00000107">
      <w:pPr>
        <w:rPr/>
      </w:pPr>
      <w:r w:rsidDel="00000000" w:rsidR="00000000" w:rsidRPr="00000000">
        <w:rPr>
          <w:rtl w:val="0"/>
        </w:rPr>
        <w:t xml:space="preserve">Lee, J. and Yoon, E. (2022) ‘Effects of parent brand equity on perceived fit and customer behavior of extended brand’,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19(8), p. 4540. Available at: </w:t>
      </w:r>
      <w:hyperlink r:id="rId29">
        <w:r w:rsidDel="00000000" w:rsidR="00000000" w:rsidRPr="00000000">
          <w:rPr>
            <w:color w:val="0563c1"/>
            <w:u w:val="single"/>
            <w:rtl w:val="0"/>
          </w:rPr>
          <w:t xml:space="preserve">https://doi.org/10.3390/ijerph19084540</w:t>
        </w:r>
      </w:hyperlink>
      <w:r w:rsidDel="00000000" w:rsidR="00000000" w:rsidRPr="00000000">
        <w:rPr>
          <w:rtl w:val="0"/>
        </w:rPr>
        <w:t xml:space="preserve">. </w:t>
      </w:r>
    </w:p>
    <w:p w:rsidR="00000000" w:rsidDel="00000000" w:rsidP="00000000" w:rsidRDefault="00000000" w:rsidRPr="00000000" w14:paraId="00000108">
      <w:pPr>
        <w:rPr/>
      </w:pPr>
      <w:r w:rsidDel="00000000" w:rsidR="00000000" w:rsidRPr="00000000">
        <w:rPr>
          <w:rtl w:val="0"/>
        </w:rPr>
        <w:t xml:space="preserve">Manjunath, T. (2026) ‘Integrating technology and customer insights in B2B marketing: A comprehensive review’, </w:t>
      </w:r>
      <w:r w:rsidDel="00000000" w:rsidR="00000000" w:rsidRPr="00000000">
        <w:rPr>
          <w:i w:val="1"/>
          <w:iCs w:val="1"/>
          <w:rtl w:val="0"/>
        </w:rPr>
        <w:t xml:space="preserve">Journal of Business Ecosystems</w:t>
      </w:r>
      <w:r w:rsidDel="00000000" w:rsidR="00000000" w:rsidRPr="00000000">
        <w:rPr>
          <w:rtl w:val="0"/>
        </w:rPr>
        <w:t xml:space="preserve">, 6. Available at: </w:t>
      </w:r>
      <w:hyperlink r:id="rId30">
        <w:r w:rsidDel="00000000" w:rsidR="00000000" w:rsidRPr="00000000">
          <w:rPr>
            <w:color w:val="0563c1"/>
            <w:u w:val="single"/>
            <w:rtl w:val="0"/>
          </w:rPr>
          <w:t xml:space="preserve">https://doi.org/10.4018/JBE.388945</w:t>
        </w:r>
      </w:hyperlink>
      <w:r w:rsidDel="00000000" w:rsidR="00000000" w:rsidRPr="00000000">
        <w:rPr>
          <w:rtl w:val="0"/>
        </w:rPr>
        <w:t xml:space="preserve">. </w:t>
      </w:r>
    </w:p>
    <w:p w:rsidR="00000000" w:rsidDel="00000000" w:rsidP="00000000" w:rsidRDefault="00000000" w:rsidRPr="00000000" w14:paraId="00000109">
      <w:pPr>
        <w:rPr/>
      </w:pPr>
      <w:r w:rsidDel="00000000" w:rsidR="00000000" w:rsidRPr="00000000">
        <w:rPr>
          <w:rtl w:val="0"/>
        </w:rPr>
        <w:t xml:space="preserve">Molnár, L. and Horváth, K. (2026) ‘Examining demographic and psychographic factors in AI perception’, </w:t>
      </w:r>
      <w:r w:rsidDel="00000000" w:rsidR="00000000" w:rsidRPr="00000000">
        <w:rPr>
          <w:i w:val="1"/>
          <w:iCs w:val="1"/>
          <w:rtl w:val="0"/>
        </w:rPr>
        <w:t xml:space="preserve">Social Sciences &amp; Humanities Open</w:t>
      </w:r>
      <w:r w:rsidDel="00000000" w:rsidR="00000000" w:rsidRPr="00000000">
        <w:rPr>
          <w:rtl w:val="0"/>
        </w:rPr>
        <w:t xml:space="preserve">, 13. Available at: </w:t>
      </w:r>
      <w:hyperlink r:id="rId31">
        <w:r w:rsidDel="00000000" w:rsidR="00000000" w:rsidRPr="00000000">
          <w:rPr>
            <w:color w:val="0563c1"/>
            <w:u w:val="single"/>
            <w:rtl w:val="0"/>
          </w:rPr>
          <w:t xml:space="preserve">https://doi.org/10.1016/j.ssaho.2025.102368</w:t>
        </w:r>
      </w:hyperlink>
      <w:r w:rsidDel="00000000" w:rsidR="00000000" w:rsidRPr="00000000">
        <w:rPr>
          <w:rtl w:val="0"/>
        </w:rPr>
        <w:t xml:space="preserve">.</w:t>
      </w:r>
    </w:p>
    <w:p w:rsidR="00000000" w:rsidDel="00000000" w:rsidP="00000000" w:rsidRDefault="00000000" w:rsidRPr="00000000" w14:paraId="0000010A">
      <w:pPr>
        <w:rPr/>
      </w:pPr>
      <w:r w:rsidDel="00000000" w:rsidR="00000000" w:rsidRPr="00000000">
        <w:rPr>
          <w:rtl w:val="0"/>
        </w:rPr>
        <w:t xml:space="preserve">Mora Cortez, R., Clarke, A.H. and Freytag, P.V. (2025) ‘B2B market segmentation: An analysis of current practices and their implications’, </w:t>
      </w:r>
      <w:r w:rsidDel="00000000" w:rsidR="00000000" w:rsidRPr="00000000">
        <w:rPr>
          <w:i w:val="1"/>
          <w:iCs w:val="1"/>
          <w:rtl w:val="0"/>
        </w:rPr>
        <w:t xml:space="preserve">Journal of Business Research</w:t>
      </w:r>
      <w:r w:rsidDel="00000000" w:rsidR="00000000" w:rsidRPr="00000000">
        <w:rPr>
          <w:rtl w:val="0"/>
        </w:rPr>
        <w:t xml:space="preserve">, 189. Available at: </w:t>
      </w:r>
      <w:hyperlink r:id="rId32">
        <w:r w:rsidDel="00000000" w:rsidR="00000000" w:rsidRPr="00000000">
          <w:rPr>
            <w:color w:val="0563c1"/>
            <w:u w:val="single"/>
            <w:rtl w:val="0"/>
          </w:rPr>
          <w:t xml:space="preserve">https://doi.org/10.1016/j.jbusres.2024.115144</w:t>
        </w:r>
      </w:hyperlink>
      <w:r w:rsidDel="00000000" w:rsidR="00000000" w:rsidRPr="00000000">
        <w:rPr>
          <w:rtl w:val="0"/>
        </w:rPr>
        <w:t xml:space="preserve">.</w:t>
      </w:r>
    </w:p>
    <w:p w:rsidR="00000000" w:rsidDel="00000000" w:rsidP="00000000" w:rsidRDefault="00000000" w:rsidRPr="00000000" w14:paraId="0000010B">
      <w:pPr>
        <w:rPr/>
      </w:pPr>
      <w:r w:rsidDel="00000000" w:rsidR="00000000" w:rsidRPr="00000000">
        <w:rPr>
          <w:rtl w:val="0"/>
        </w:rPr>
        <w:t xml:space="preserve">Muanmeevit, C. and Pankham, S. (2025) ‘A new online marketing mix strategy to unlock digital commerce success’, </w:t>
      </w:r>
      <w:r w:rsidDel="00000000" w:rsidR="00000000" w:rsidRPr="00000000">
        <w:rPr>
          <w:i w:val="1"/>
          <w:iCs w:val="1"/>
          <w:rtl w:val="0"/>
        </w:rPr>
        <w:t xml:space="preserve">International Journal of Advanced and Applied Sciences</w:t>
      </w:r>
      <w:r w:rsidDel="00000000" w:rsidR="00000000" w:rsidRPr="00000000">
        <w:rPr>
          <w:rtl w:val="0"/>
        </w:rPr>
        <w:t xml:space="preserve">, 12(5), pp. 27–35.</w:t>
      </w:r>
    </w:p>
    <w:p w:rsidR="00000000" w:rsidDel="00000000" w:rsidP="00000000" w:rsidRDefault="00000000" w:rsidRPr="00000000" w14:paraId="0000010C">
      <w:pPr>
        <w:rPr/>
      </w:pPr>
      <w:r w:rsidDel="00000000" w:rsidR="00000000" w:rsidRPr="00000000">
        <w:rPr>
          <w:rtl w:val="0"/>
        </w:rPr>
        <w:t xml:space="preserve">Ndwandwe, N.H. and Khoza, F. (2026) ‘The impact of pricing strategies on the growth and sustainability of SMEs’, </w:t>
      </w:r>
      <w:r w:rsidDel="00000000" w:rsidR="00000000" w:rsidRPr="00000000">
        <w:rPr>
          <w:i w:val="1"/>
          <w:iCs w:val="1"/>
          <w:rtl w:val="0"/>
        </w:rPr>
        <w:t xml:space="preserve">Businesses</w:t>
      </w:r>
      <w:r w:rsidDel="00000000" w:rsidR="00000000" w:rsidRPr="00000000">
        <w:rPr>
          <w:rtl w:val="0"/>
        </w:rPr>
        <w:t xml:space="preserve">, 6(1), p. 10. Available at: </w:t>
      </w:r>
      <w:hyperlink r:id="rId33">
        <w:r w:rsidDel="00000000" w:rsidR="00000000" w:rsidRPr="00000000">
          <w:rPr>
            <w:color w:val="0563c1"/>
            <w:u w:val="single"/>
            <w:rtl w:val="0"/>
          </w:rPr>
          <w:t xml:space="preserve">https://doi.org/10.3390/businesses6010010</w:t>
        </w:r>
      </w:hyperlink>
      <w:r w:rsidDel="00000000" w:rsidR="00000000" w:rsidRPr="00000000">
        <w:rPr>
          <w:rtl w:val="0"/>
        </w:rPr>
        <w:t xml:space="preserve">.</w:t>
      </w:r>
    </w:p>
    <w:p w:rsidR="00000000" w:rsidDel="00000000" w:rsidP="00000000" w:rsidRDefault="00000000" w:rsidRPr="00000000" w14:paraId="0000010D">
      <w:pPr>
        <w:rPr/>
      </w:pPr>
      <w:r w:rsidDel="00000000" w:rsidR="00000000" w:rsidRPr="00000000">
        <w:rPr>
          <w:rtl w:val="0"/>
        </w:rPr>
        <w:t xml:space="preserve">Nguyen, D., Klibi, W. and Ben Mohamed, I. (2025) ‘Designing profit-maximizing omnichannel distribution networks for high responsiveness’, </w:t>
      </w:r>
      <w:r w:rsidDel="00000000" w:rsidR="00000000" w:rsidRPr="00000000">
        <w:rPr>
          <w:i w:val="1"/>
          <w:iCs w:val="1"/>
          <w:rtl w:val="0"/>
        </w:rPr>
        <w:t xml:space="preserve">International Journal of Production Economics</w:t>
      </w:r>
      <w:r w:rsidDel="00000000" w:rsidR="00000000" w:rsidRPr="00000000">
        <w:rPr>
          <w:rtl w:val="0"/>
        </w:rPr>
        <w:t xml:space="preserve">, 286. Available at: </w:t>
      </w:r>
      <w:hyperlink r:id="rId34">
        <w:r w:rsidDel="00000000" w:rsidR="00000000" w:rsidRPr="00000000">
          <w:rPr>
            <w:color w:val="0563c1"/>
            <w:u w:val="single"/>
            <w:rtl w:val="0"/>
          </w:rPr>
          <w:t xml:space="preserve">https://doi.org/10.1016/j.ijpe.2025.109636</w:t>
        </w:r>
      </w:hyperlink>
      <w:r w:rsidDel="00000000" w:rsidR="00000000" w:rsidRPr="00000000">
        <w:rPr>
          <w:rtl w:val="0"/>
        </w:rPr>
        <w:t xml:space="preserve">.</w:t>
      </w:r>
    </w:p>
    <w:p w:rsidR="00000000" w:rsidDel="00000000" w:rsidP="00000000" w:rsidRDefault="00000000" w:rsidRPr="00000000" w14:paraId="0000010E">
      <w:pPr>
        <w:rPr/>
      </w:pPr>
      <w:r w:rsidDel="00000000" w:rsidR="00000000" w:rsidRPr="00000000">
        <w:rPr>
          <w:rtl w:val="0"/>
        </w:rPr>
        <w:t xml:space="preserve">Olaleye, B.R., Sekhampu, T.J., Lekunze, J.N. and Khumalo, N. (2025) ‘Brand extension strategies and customer loyalty’, </w:t>
      </w:r>
      <w:r w:rsidDel="00000000" w:rsidR="00000000" w:rsidRPr="00000000">
        <w:rPr>
          <w:i w:val="1"/>
          <w:iCs w:val="1"/>
          <w:rtl w:val="0"/>
        </w:rPr>
        <w:t xml:space="preserve">Innovative Marketing</w:t>
      </w:r>
      <w:r w:rsidDel="00000000" w:rsidR="00000000" w:rsidRPr="00000000">
        <w:rPr>
          <w:rtl w:val="0"/>
        </w:rPr>
        <w:t xml:space="preserve">, 21(1), pp. 270–280. Available at: </w:t>
      </w:r>
      <w:hyperlink r:id="rId35">
        <w:r w:rsidDel="00000000" w:rsidR="00000000" w:rsidRPr="00000000">
          <w:rPr>
            <w:color w:val="0563c1"/>
            <w:u w:val="single"/>
            <w:rtl w:val="0"/>
          </w:rPr>
          <w:t xml:space="preserve">https://doi.org/10.21511/im.21(1).2025.22</w:t>
        </w:r>
      </w:hyperlink>
      <w:r w:rsidDel="00000000" w:rsidR="00000000" w:rsidRPr="00000000">
        <w:rPr>
          <w:rtl w:val="0"/>
        </w:rPr>
        <w:t xml:space="preserve">. </w:t>
      </w:r>
    </w:p>
    <w:p w:rsidR="00000000" w:rsidDel="00000000" w:rsidP="00000000" w:rsidRDefault="00000000" w:rsidRPr="00000000" w14:paraId="0000010F">
      <w:pPr>
        <w:rPr/>
      </w:pPr>
      <w:r w:rsidDel="00000000" w:rsidR="00000000" w:rsidRPr="00000000">
        <w:rPr>
          <w:rtl w:val="0"/>
        </w:rPr>
        <w:t xml:space="preserve">Rahman, N.A. and Yusoff, N. (2025) ‘Modulated spike-time dependent plasticity (STDP)-based learning for spiking neural networks: A review’, </w:t>
      </w:r>
      <w:r w:rsidDel="00000000" w:rsidR="00000000" w:rsidRPr="00000000">
        <w:rPr>
          <w:i w:val="1"/>
          <w:iCs w:val="1"/>
          <w:rtl w:val="0"/>
        </w:rPr>
        <w:t xml:space="preserve">Neurocomputing</w:t>
      </w:r>
      <w:r w:rsidDel="00000000" w:rsidR="00000000" w:rsidRPr="00000000">
        <w:rPr>
          <w:rtl w:val="0"/>
        </w:rPr>
        <w:t xml:space="preserve">, 618. Available at: </w:t>
      </w:r>
      <w:hyperlink r:id="rId36">
        <w:r w:rsidDel="00000000" w:rsidR="00000000" w:rsidRPr="00000000">
          <w:rPr>
            <w:color w:val="0563c1"/>
            <w:u w:val="single"/>
            <w:rtl w:val="0"/>
          </w:rPr>
          <w:t xml:space="preserve">https://doi.org/10.1016/j.neucom.2024.129170</w:t>
        </w:r>
      </w:hyperlink>
      <w:r w:rsidDel="00000000" w:rsidR="00000000" w:rsidRPr="00000000">
        <w:rPr>
          <w:rtl w:val="0"/>
        </w:rPr>
        <w:t xml:space="preserve">.</w:t>
      </w:r>
    </w:p>
    <w:p w:rsidR="00000000" w:rsidDel="00000000" w:rsidP="00000000" w:rsidRDefault="00000000" w:rsidRPr="00000000" w14:paraId="00000110">
      <w:pPr>
        <w:rPr/>
      </w:pPr>
      <w:r w:rsidDel="00000000" w:rsidR="00000000" w:rsidRPr="00000000">
        <w:rPr>
          <w:rtl w:val="0"/>
        </w:rPr>
        <w:t xml:space="preserve">Research and Markets (2025) </w:t>
      </w:r>
      <w:r w:rsidDel="00000000" w:rsidR="00000000" w:rsidRPr="00000000">
        <w:rPr>
          <w:i w:val="1"/>
          <w:iCs w:val="1"/>
          <w:rtl w:val="0"/>
        </w:rPr>
        <w:t xml:space="preserve">IT consulting global market opportunities and strategies to 2034</w:t>
      </w:r>
      <w:r w:rsidDel="00000000" w:rsidR="00000000" w:rsidRPr="00000000">
        <w:rPr>
          <w:rtl w:val="0"/>
        </w:rPr>
        <w:t xml:space="preserve">. Available at: </w:t>
      </w:r>
      <w:hyperlink r:id="rId37">
        <w:r w:rsidDel="00000000" w:rsidR="00000000" w:rsidRPr="00000000">
          <w:rPr>
            <w:color w:val="0563c1"/>
            <w:u w:val="single"/>
            <w:rtl w:val="0"/>
          </w:rPr>
          <w:t xml:space="preserve">https://www.researchandmarkets.com/reports/5973947/it-consulting-global-market-opportunities</w:t>
        </w:r>
      </w:hyperlink>
      <w:r w:rsidDel="00000000" w:rsidR="00000000" w:rsidRPr="00000000">
        <w:rPr>
          <w:rtl w:val="0"/>
        </w:rPr>
        <w:t xml:space="preserve">.</w:t>
      </w:r>
    </w:p>
    <w:p w:rsidR="00000000" w:rsidDel="00000000" w:rsidP="00000000" w:rsidRDefault="00000000" w:rsidRPr="00000000" w14:paraId="00000111">
      <w:pPr>
        <w:rPr/>
      </w:pPr>
      <w:r w:rsidDel="00000000" w:rsidR="00000000" w:rsidRPr="00000000">
        <w:rPr>
          <w:rtl w:val="0"/>
        </w:rPr>
        <w:t xml:space="preserve">Tiismus, H., Maask, V., Astapov, V., Korõtko, T. and Rosin, A. (2025) ‘State-of-the-art review of emerging trends in renewable energy generation technologies’, </w:t>
      </w:r>
      <w:r w:rsidDel="00000000" w:rsidR="00000000" w:rsidRPr="00000000">
        <w:rPr>
          <w:i w:val="1"/>
          <w:iCs w:val="1"/>
          <w:rtl w:val="0"/>
        </w:rPr>
        <w:t xml:space="preserve">IEEE Access</w:t>
      </w:r>
      <w:r w:rsidDel="00000000" w:rsidR="00000000" w:rsidRPr="00000000">
        <w:rPr>
          <w:rtl w:val="0"/>
        </w:rPr>
        <w:t xml:space="preserve">. Available at: </w:t>
      </w:r>
      <w:hyperlink r:id="rId38">
        <w:r w:rsidDel="00000000" w:rsidR="00000000" w:rsidRPr="00000000">
          <w:rPr>
            <w:color w:val="0563c1"/>
            <w:u w:val="single"/>
            <w:rtl w:val="0"/>
          </w:rPr>
          <w:t xml:space="preserve">https://doi.org/10.1109/ACCESS.2025.3528640</w:t>
        </w:r>
      </w:hyperlink>
      <w:r w:rsidDel="00000000" w:rsidR="00000000" w:rsidRPr="00000000">
        <w:rPr>
          <w:rtl w:val="0"/>
        </w:rPr>
        <w:t xml:space="preserve">. </w:t>
      </w:r>
    </w:p>
    <w:p w:rsidR="00000000" w:rsidDel="00000000" w:rsidP="00000000" w:rsidRDefault="00000000" w:rsidRPr="00000000" w14:paraId="00000112">
      <w:pPr>
        <w:rPr/>
      </w:pPr>
      <w:r w:rsidDel="00000000" w:rsidR="00000000" w:rsidRPr="00000000">
        <w:rPr>
          <w:rtl w:val="0"/>
        </w:rPr>
        <w:t xml:space="preserve">Adeani, I., Febriani, R. and Syafryadin (2020) ‘Using Gibbs’ reflective cycle in making reflections of literary analysis’, </w:t>
      </w:r>
      <w:r w:rsidDel="00000000" w:rsidR="00000000" w:rsidRPr="00000000">
        <w:rPr>
          <w:i w:val="1"/>
          <w:iCs w:val="1"/>
          <w:rtl w:val="0"/>
        </w:rPr>
        <w:t xml:space="preserve">Indonesian EFL Journal</w:t>
      </w:r>
      <w:r w:rsidDel="00000000" w:rsidR="00000000" w:rsidRPr="00000000">
        <w:rPr>
          <w:rtl w:val="0"/>
        </w:rPr>
        <w:t xml:space="preserve">, 6(2), pp. 139–148. Available at: </w:t>
      </w:r>
      <w:hyperlink r:id="rId39">
        <w:r w:rsidDel="00000000" w:rsidR="00000000" w:rsidRPr="00000000">
          <w:rPr>
            <w:color w:val="0563c1"/>
            <w:u w:val="single"/>
            <w:rtl w:val="0"/>
          </w:rPr>
          <w:t xml:space="preserve">https://doi.org/10.25134/ieflj.v6i2.3382</w:t>
        </w:r>
      </w:hyperlink>
      <w:r w:rsidDel="00000000" w:rsidR="00000000" w:rsidRPr="00000000">
        <w:rPr>
          <w:rtl w:val="0"/>
        </w:rPr>
        <w:t xml:space="preserve">. </w:t>
      </w:r>
    </w:p>
    <w:p w:rsidR="00000000" w:rsidDel="00000000" w:rsidP="00000000" w:rsidRDefault="00000000" w:rsidRPr="00000000" w14:paraId="00000113">
      <w:pPr>
        <w:spacing w:line="278.00000000000006" w:lineRule="auto"/>
        <w:jc w:val="left"/>
        <w:rPr>
          <w:b w:val="1"/>
          <w:bCs w:val="1"/>
          <w:color w:val="000000"/>
          <w:sz w:val="32"/>
          <w:szCs w:val="32"/>
        </w:rPr>
        <w:sectPr>
          <w:footerReference r:id="rId40" w:type="default"/>
          <w:pgSz w:h="15840" w:w="12240" w:orient="portrait"/>
          <w:pgMar w:bottom="1440" w:top="1440" w:left="1440" w:right="1440" w:header="720" w:footer="720"/>
          <w:pgNumType w:start="1"/>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114">
      <w:pPr>
        <w:pStyle w:val="Heading1"/>
        <w:rPr/>
      </w:pPr>
      <w:bookmarkStart w:colFirst="0" w:colLast="0" w:name="_vvnalilm2bxi" w:id="35"/>
      <w:bookmarkEnd w:id="35"/>
      <w:r w:rsidDel="00000000" w:rsidR="00000000" w:rsidRPr="00000000">
        <w:rPr>
          <w:rtl w:val="0"/>
        </w:rPr>
        <w:t xml:space="preserve">Appendix - Element 3 (the poster)</w:t>
      </w:r>
    </w:p>
    <w:p w:rsidR="00000000" w:rsidDel="00000000" w:rsidP="00000000" w:rsidRDefault="00000000" w:rsidRPr="00000000" w14:paraId="00000115">
      <w:pPr>
        <w:jc w:val="center"/>
        <w:rPr/>
      </w:pPr>
      <w:r w:rsidDel="00000000" w:rsidR="00000000" w:rsidRPr="00000000">
        <w:rPr/>
        <w:drawing>
          <wp:inline distB="0" distT="0" distL="0" distR="0">
            <wp:extent cx="7680960" cy="5120640"/>
            <wp:effectExtent b="0" l="0" r="0" t="0"/>
            <wp:docPr id="13" name="image12.png"/>
            <a:graphic>
              <a:graphicData uri="http://schemas.openxmlformats.org/drawingml/2006/picture">
                <pic:pic>
                  <pic:nvPicPr>
                    <pic:cNvPr id="0" name="image12.png"/>
                    <pic:cNvPicPr preferRelativeResize="0"/>
                  </pic:nvPicPr>
                  <pic:blipFill>
                    <a:blip r:embed="rId41"/>
                    <a:srcRect b="0" l="0" r="0" t="0"/>
                    <a:stretch>
                      <a:fillRect/>
                    </a:stretch>
                  </pic:blipFill>
                  <pic:spPr>
                    <a:xfrm>
                      <a:off x="0" y="0"/>
                      <a:ext cx="7680960" cy="5120640"/>
                    </a:xfrm>
                    <a:prstGeom prst="rect"/>
                    <a:ln/>
                  </pic:spPr>
                </pic:pic>
              </a:graphicData>
            </a:graphic>
          </wp:inline>
        </w:drawing>
      </w:r>
      <w:r w:rsidDel="00000000" w:rsidR="00000000" w:rsidRPr="00000000">
        <w:rPr>
          <w:rtl w:val="0"/>
        </w:rPr>
      </w:r>
    </w:p>
    <w:sectPr>
      <w:type w:val="nextPage"/>
      <w:pgSz w:h="12240" w:w="15840" w:orient="landscape"/>
      <w:pgMar w:bottom="1440" w:top="1440" w:left="1440" w:right="1440" w:header="720" w:footer="72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00000"/>
      <w:sz w:val="32"/>
      <w:szCs w:val="32"/>
    </w:rPr>
  </w:style>
  <w:style w:type="paragraph" w:styleId="Heading2">
    <w:name w:val="heading 2"/>
    <w:basedOn w:val="Normal"/>
    <w:next w:val="Normal"/>
    <w:pPr>
      <w:keepNext w:val="1"/>
      <w:keepLines w:val="1"/>
      <w:spacing w:after="80" w:before="160" w:lineRule="auto"/>
    </w:pPr>
    <w:rPr>
      <w:b w:val="1"/>
      <w:bCs w:val="1"/>
      <w:color w:val="000000"/>
      <w:sz w:val="28"/>
      <w:szCs w:val="28"/>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footer" Target="footer1.xml"/><Relationship Id="rId20" Type="http://schemas.openxmlformats.org/officeDocument/2006/relationships/hyperlink" Target="https://doi.org/10.57125/FEL.2025.03.25.09" TargetMode="External"/><Relationship Id="rId41" Type="http://schemas.openxmlformats.org/officeDocument/2006/relationships/image" Target="media/image12.png"/><Relationship Id="rId22" Type="http://schemas.openxmlformats.org/officeDocument/2006/relationships/hyperlink" Target="https://doi.org/10.1016/j.jbusres.2025.115230" TargetMode="External"/><Relationship Id="rId21" Type="http://schemas.openxmlformats.org/officeDocument/2006/relationships/hyperlink" Target="https://doi.org/10.1016/j.jsis.2025.101925" TargetMode="External"/><Relationship Id="rId24" Type="http://schemas.openxmlformats.org/officeDocument/2006/relationships/hyperlink" Target="https://doi.org/10.1016/j.ssaho.2025.101943" TargetMode="External"/><Relationship Id="rId23" Type="http://schemas.openxmlformats.org/officeDocument/2006/relationships/hyperlink" Target="https://doi.org/10.37547/tajet/Volume07Issue06-1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www.infosys.com/sustainability/documents/infosys-esg-report-2024-25.pdf" TargetMode="External"/><Relationship Id="rId25" Type="http://schemas.openxmlformats.org/officeDocument/2006/relationships/hyperlink" Target="https://www.infosys.com/investors/reports-filings/annual-report/annual/documents/infosys-ar-25.pdf" TargetMode="External"/><Relationship Id="rId28" Type="http://schemas.openxmlformats.org/officeDocument/2006/relationships/hyperlink" Target="https://doi.org/10.51244/IJRSI.2026.13020033" TargetMode="External"/><Relationship Id="rId27" Type="http://schemas.openxmlformats.org/officeDocument/2006/relationships/hyperlink" Target="https://www.infosys.com/iki/research/ai-business-value-radar2025.html" TargetMode="External"/><Relationship Id="rId5" Type="http://schemas.openxmlformats.org/officeDocument/2006/relationships/styles" Target="styles.xml"/><Relationship Id="rId6" Type="http://schemas.openxmlformats.org/officeDocument/2006/relationships/image" Target="media/image3.png"/><Relationship Id="rId29" Type="http://schemas.openxmlformats.org/officeDocument/2006/relationships/hyperlink" Target="https://doi.org/10.3390/ijerph19084540" TargetMode="External"/><Relationship Id="rId7" Type="http://schemas.openxmlformats.org/officeDocument/2006/relationships/image" Target="media/image4.png"/><Relationship Id="rId8" Type="http://schemas.openxmlformats.org/officeDocument/2006/relationships/image" Target="media/image1.png"/><Relationship Id="rId31" Type="http://schemas.openxmlformats.org/officeDocument/2006/relationships/hyperlink" Target="https://doi.org/10.1016/j.ssaho.2025.102368" TargetMode="External"/><Relationship Id="rId30" Type="http://schemas.openxmlformats.org/officeDocument/2006/relationships/hyperlink" Target="https://doi.org/10.4018/JBE.388945" TargetMode="External"/><Relationship Id="rId11" Type="http://schemas.openxmlformats.org/officeDocument/2006/relationships/image" Target="media/image7.png"/><Relationship Id="rId33" Type="http://schemas.openxmlformats.org/officeDocument/2006/relationships/hyperlink" Target="https://doi.org/10.3390/businesses6010010" TargetMode="External"/><Relationship Id="rId10" Type="http://schemas.openxmlformats.org/officeDocument/2006/relationships/image" Target="media/image13.png"/><Relationship Id="rId32" Type="http://schemas.openxmlformats.org/officeDocument/2006/relationships/hyperlink" Target="https://doi.org/10.1016/j.jbusres.2024.115144" TargetMode="External"/><Relationship Id="rId13" Type="http://schemas.openxmlformats.org/officeDocument/2006/relationships/image" Target="media/image9.png"/><Relationship Id="rId35" Type="http://schemas.openxmlformats.org/officeDocument/2006/relationships/hyperlink" Target="https://doi.org/10.21511/im.21(1).2025.22" TargetMode="External"/><Relationship Id="rId12" Type="http://schemas.openxmlformats.org/officeDocument/2006/relationships/image" Target="media/image6.png"/><Relationship Id="rId34" Type="http://schemas.openxmlformats.org/officeDocument/2006/relationships/hyperlink" Target="https://doi.org/10.1016/j.ijpe.2025.109636" TargetMode="External"/><Relationship Id="rId15" Type="http://schemas.openxmlformats.org/officeDocument/2006/relationships/image" Target="media/image11.png"/><Relationship Id="rId37" Type="http://schemas.openxmlformats.org/officeDocument/2006/relationships/hyperlink" Target="https://www.researchandmarkets.com/reports/5973947/it-consulting-global-market-opportunities" TargetMode="External"/><Relationship Id="rId14" Type="http://schemas.openxmlformats.org/officeDocument/2006/relationships/image" Target="media/image8.png"/><Relationship Id="rId36" Type="http://schemas.openxmlformats.org/officeDocument/2006/relationships/hyperlink" Target="https://doi.org/10.1016/j.neucom.2024.129170" TargetMode="External"/><Relationship Id="rId17" Type="http://schemas.openxmlformats.org/officeDocument/2006/relationships/image" Target="media/image2.png"/><Relationship Id="rId39" Type="http://schemas.openxmlformats.org/officeDocument/2006/relationships/hyperlink" Target="https://doi.org/10.25134/ieflj.v6i2.3382" TargetMode="External"/><Relationship Id="rId16" Type="http://schemas.openxmlformats.org/officeDocument/2006/relationships/image" Target="media/image10.png"/><Relationship Id="rId38" Type="http://schemas.openxmlformats.org/officeDocument/2006/relationships/hyperlink" Target="https://doi.org/10.1109/ACCESS.2025.3528640" TargetMode="External"/><Relationship Id="rId19" Type="http://schemas.openxmlformats.org/officeDocument/2006/relationships/hyperlink" Target="https://doi.org/10.5281/zenodo.13941721" TargetMode="External"/><Relationship Id="rId18" Type="http://schemas.openxmlformats.org/officeDocument/2006/relationships/hyperlink" Target="https://doi.org/10.63158/journalisi.v8i1.14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