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B2026" w14:textId="77777777" w:rsidR="00A771CF" w:rsidRDefault="00A771CF" w:rsidP="00A771CF">
      <w:r>
        <w:rPr>
          <w:noProof/>
        </w:rPr>
        <w:drawing>
          <wp:inline distT="0" distB="0" distL="0" distR="0" wp14:anchorId="34C5C4FF" wp14:editId="222340BC">
            <wp:extent cx="3209925" cy="14922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09925" cy="1492250"/>
                    </a:xfrm>
                    <a:prstGeom prst="rect">
                      <a:avLst/>
                    </a:prstGeom>
                    <a:noFill/>
                    <a:ln>
                      <a:noFill/>
                    </a:ln>
                  </pic:spPr>
                </pic:pic>
              </a:graphicData>
            </a:graphic>
          </wp:inline>
        </w:drawing>
      </w:r>
    </w:p>
    <w:p w14:paraId="6574B4F4" w14:textId="134F3BAD" w:rsidR="003C57BB" w:rsidRPr="00A771CF" w:rsidRDefault="00A771CF" w:rsidP="00A771CF">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A771CF">
        <w:rPr>
          <w:rStyle w:val="Strong"/>
          <w:rFonts w:ascii="Arial" w:hAnsi="Arial" w:cs="Arial"/>
          <w:sz w:val="22"/>
          <w:szCs w:val="22"/>
        </w:rPr>
        <w:t>Name:</w:t>
      </w:r>
      <w:r w:rsidRPr="00A771CF">
        <w:rPr>
          <w:rFonts w:ascii="Arial" w:hAnsi="Arial" w:cs="Arial"/>
          <w:sz w:val="22"/>
          <w:szCs w:val="22"/>
        </w:rPr>
        <w:t xml:space="preserve"> Evelyn Alexander</w:t>
      </w:r>
      <w:r w:rsidRPr="00A771CF">
        <w:rPr>
          <w:rFonts w:ascii="Arial" w:hAnsi="Arial" w:cs="Arial"/>
          <w:sz w:val="22"/>
          <w:szCs w:val="22"/>
        </w:rPr>
        <w:br/>
      </w:r>
      <w:r w:rsidRPr="00A771CF">
        <w:rPr>
          <w:rStyle w:val="Strong"/>
          <w:rFonts w:ascii="Arial" w:hAnsi="Arial" w:cs="Arial"/>
          <w:sz w:val="22"/>
          <w:szCs w:val="22"/>
        </w:rPr>
        <w:t>Student Number:</w:t>
      </w:r>
      <w:r w:rsidRPr="00A771CF">
        <w:rPr>
          <w:rFonts w:ascii="Arial" w:hAnsi="Arial" w:cs="Arial"/>
          <w:sz w:val="22"/>
          <w:szCs w:val="22"/>
        </w:rPr>
        <w:t xml:space="preserve"> 2417638</w:t>
      </w:r>
      <w:r w:rsidR="003C57BB" w:rsidRPr="00A771CF">
        <w:rPr>
          <w:rFonts w:ascii="Arial" w:eastAsia="Times New Roman" w:hAnsi="Arial" w:cs="Arial"/>
          <w:color w:val="000000"/>
          <w:kern w:val="0"/>
          <w:sz w:val="22"/>
          <w:szCs w:val="22"/>
          <w:lang w:eastAsia="en-GB"/>
          <w14:ligatures w14:val="none"/>
        </w:rPr>
        <w:br/>
      </w:r>
      <w:r w:rsidR="003C57BB" w:rsidRPr="00A771CF">
        <w:rPr>
          <w:rFonts w:ascii="Arial" w:eastAsia="Times New Roman" w:hAnsi="Arial" w:cs="Arial"/>
          <w:b/>
          <w:bCs/>
          <w:color w:val="000000"/>
          <w:kern w:val="0"/>
          <w:sz w:val="22"/>
          <w:szCs w:val="22"/>
          <w:lang w:eastAsia="en-GB"/>
          <w14:ligatures w14:val="none"/>
        </w:rPr>
        <w:t>Module:</w:t>
      </w:r>
      <w:r w:rsidR="003C57BB" w:rsidRPr="00A771CF">
        <w:rPr>
          <w:rFonts w:ascii="Arial" w:eastAsia="Times New Roman" w:hAnsi="Arial" w:cs="Arial"/>
          <w:color w:val="000000"/>
          <w:kern w:val="0"/>
          <w:sz w:val="22"/>
          <w:szCs w:val="22"/>
          <w:lang w:eastAsia="en-GB"/>
          <w14:ligatures w14:val="none"/>
        </w:rPr>
        <w:t> Psycholog</w:t>
      </w:r>
      <w:r w:rsidRPr="00A771CF">
        <w:rPr>
          <w:rFonts w:ascii="Arial" w:eastAsia="Times New Roman" w:hAnsi="Arial" w:cs="Arial"/>
          <w:color w:val="000000"/>
          <w:kern w:val="0"/>
          <w:sz w:val="22"/>
          <w:szCs w:val="22"/>
          <w:lang w:eastAsia="en-GB"/>
          <w14:ligatures w14:val="none"/>
        </w:rPr>
        <w:t>y</w:t>
      </w:r>
      <w:r w:rsidR="003C57BB" w:rsidRPr="00A771CF">
        <w:rPr>
          <w:rFonts w:ascii="Arial" w:eastAsia="Times New Roman" w:hAnsi="Arial" w:cs="Arial"/>
          <w:color w:val="000000"/>
          <w:kern w:val="0"/>
          <w:sz w:val="22"/>
          <w:szCs w:val="22"/>
          <w:lang w:eastAsia="en-GB"/>
          <w14:ligatures w14:val="none"/>
        </w:rPr>
        <w:t xml:space="preserve"> in Health and Social Care</w:t>
      </w:r>
      <w:r w:rsidR="003C57BB" w:rsidRPr="00A771CF">
        <w:rPr>
          <w:rFonts w:ascii="Arial" w:eastAsia="Times New Roman" w:hAnsi="Arial" w:cs="Arial"/>
          <w:color w:val="000000"/>
          <w:kern w:val="0"/>
          <w:sz w:val="22"/>
          <w:szCs w:val="22"/>
          <w:lang w:eastAsia="en-GB"/>
          <w14:ligatures w14:val="none"/>
        </w:rPr>
        <w:br/>
      </w:r>
      <w:r w:rsidR="003C57BB" w:rsidRPr="00A771CF">
        <w:rPr>
          <w:rFonts w:ascii="Arial" w:eastAsia="Times New Roman" w:hAnsi="Arial" w:cs="Arial"/>
          <w:b/>
          <w:bCs/>
          <w:color w:val="000000"/>
          <w:kern w:val="0"/>
          <w:sz w:val="22"/>
          <w:szCs w:val="22"/>
          <w:lang w:eastAsia="en-GB"/>
          <w14:ligatures w14:val="none"/>
        </w:rPr>
        <w:t>Assignment Title:</w:t>
      </w:r>
      <w:r w:rsidR="003C57BB" w:rsidRPr="00A771CF">
        <w:rPr>
          <w:rFonts w:ascii="Arial" w:eastAsia="Times New Roman" w:hAnsi="Arial" w:cs="Arial"/>
          <w:color w:val="000000"/>
          <w:kern w:val="0"/>
          <w:sz w:val="22"/>
          <w:szCs w:val="22"/>
          <w:lang w:eastAsia="en-GB"/>
          <w14:ligatures w14:val="none"/>
        </w:rPr>
        <w:t> Application of Psychological Theories to Support Adults Aged 65 and Over</w:t>
      </w:r>
      <w:r w:rsidR="003C57BB" w:rsidRPr="00A771CF">
        <w:rPr>
          <w:rFonts w:ascii="Arial" w:eastAsia="Times New Roman" w:hAnsi="Arial" w:cs="Arial"/>
          <w:color w:val="000000"/>
          <w:kern w:val="0"/>
          <w:sz w:val="22"/>
          <w:szCs w:val="22"/>
          <w:lang w:eastAsia="en-GB"/>
          <w14:ligatures w14:val="none"/>
        </w:rPr>
        <w:br/>
      </w:r>
      <w:r w:rsidRPr="00A771CF">
        <w:rPr>
          <w:rStyle w:val="Strong"/>
          <w:rFonts w:ascii="Arial" w:hAnsi="Arial" w:cs="Arial"/>
          <w:sz w:val="22"/>
          <w:szCs w:val="22"/>
        </w:rPr>
        <w:t>Lecturer:</w:t>
      </w:r>
      <w:r w:rsidRPr="00A771CF">
        <w:rPr>
          <w:rFonts w:ascii="Arial" w:hAnsi="Arial" w:cs="Arial"/>
          <w:sz w:val="22"/>
          <w:szCs w:val="22"/>
        </w:rPr>
        <w:t xml:space="preserve"> </w:t>
      </w:r>
      <w:r w:rsidRPr="00A771CF">
        <w:rPr>
          <w:rFonts w:ascii="Arial" w:hAnsi="Arial" w:cs="Arial"/>
          <w:sz w:val="22"/>
          <w:szCs w:val="22"/>
        </w:rPr>
        <w:t>Shaila Hussain</w:t>
      </w:r>
    </w:p>
    <w:p w14:paraId="494EDCCA" w14:textId="77777777" w:rsidR="003C57BB" w:rsidRDefault="003C57BB"/>
    <w:p w14:paraId="0F9F19A9" w14:textId="77777777" w:rsidR="005A5E6F" w:rsidRDefault="005A5E6F"/>
    <w:p w14:paraId="005B67FE" w14:textId="77777777" w:rsidR="005A5E6F" w:rsidRDefault="005A5E6F"/>
    <w:p w14:paraId="234F76EC" w14:textId="77777777" w:rsidR="005A5E6F" w:rsidRDefault="005A5E6F"/>
    <w:p w14:paraId="0F6F8FCE" w14:textId="77777777" w:rsidR="005A5E6F" w:rsidRDefault="005A5E6F"/>
    <w:p w14:paraId="1DF6DD69" w14:textId="77777777" w:rsidR="005A5E6F" w:rsidRDefault="005A5E6F"/>
    <w:p w14:paraId="583FF9D0" w14:textId="77777777" w:rsidR="005A5E6F" w:rsidRDefault="005A5E6F"/>
    <w:p w14:paraId="4ECAD462" w14:textId="77777777" w:rsidR="005A5E6F" w:rsidRDefault="005A5E6F"/>
    <w:p w14:paraId="5294F595" w14:textId="77777777" w:rsidR="005A5E6F" w:rsidRDefault="005A5E6F"/>
    <w:p w14:paraId="4DA74D4C" w14:textId="77777777" w:rsidR="005A5E6F" w:rsidRDefault="005A5E6F"/>
    <w:p w14:paraId="796E3F9F" w14:textId="77777777" w:rsidR="005A5E6F" w:rsidRDefault="005A5E6F"/>
    <w:p w14:paraId="2A81444B" w14:textId="77777777" w:rsidR="005A5E6F" w:rsidRDefault="005A5E6F"/>
    <w:p w14:paraId="0BF375F5" w14:textId="77777777" w:rsidR="005A5E6F" w:rsidRDefault="005A5E6F"/>
    <w:p w14:paraId="3FA69934" w14:textId="77777777" w:rsidR="005A5E6F" w:rsidRDefault="005A5E6F"/>
    <w:p w14:paraId="237B58D2" w14:textId="77777777" w:rsidR="005A5E6F" w:rsidRDefault="005A5E6F"/>
    <w:p w14:paraId="1F984326" w14:textId="77777777" w:rsidR="005A5E6F" w:rsidRDefault="005A5E6F"/>
    <w:p w14:paraId="638B0803" w14:textId="77777777" w:rsidR="005A5E6F" w:rsidRDefault="005A5E6F"/>
    <w:p w14:paraId="309A3AE3" w14:textId="77777777" w:rsidR="005A5E6F" w:rsidRDefault="005A5E6F"/>
    <w:p w14:paraId="3C476EA5" w14:textId="77777777" w:rsidR="005A5E6F" w:rsidRDefault="005A5E6F"/>
    <w:p w14:paraId="2F0E0266" w14:textId="77777777" w:rsidR="005A5E6F" w:rsidRDefault="005A5E6F"/>
    <w:p w14:paraId="79F139CA" w14:textId="77777777" w:rsidR="00C7460B" w:rsidRPr="00B478FD" w:rsidRDefault="00C7460B" w:rsidP="00C7460B">
      <w:pPr>
        <w:rPr>
          <w:rFonts w:ascii="Times New Roman" w:hAnsi="Times New Roman" w:cs="Times New Roman"/>
          <w:b/>
          <w:bCs/>
          <w:sz w:val="36"/>
          <w:szCs w:val="36"/>
        </w:rPr>
      </w:pPr>
      <w:r w:rsidRPr="00B478FD">
        <w:rPr>
          <w:rFonts w:ascii="Times New Roman" w:hAnsi="Times New Roman" w:cs="Times New Roman"/>
          <w:b/>
          <w:bCs/>
          <w:sz w:val="36"/>
          <w:szCs w:val="36"/>
        </w:rPr>
        <w:t>Table of Contents</w:t>
      </w:r>
    </w:p>
    <w:p w14:paraId="3642E17C"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Introduction and Context</w:t>
      </w:r>
    </w:p>
    <w:p w14:paraId="3ED1297D"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Psychological Theory One: Erikson’s Psychosocial Theory of Development</w:t>
      </w:r>
    </w:p>
    <w:p w14:paraId="79317946"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2.1 Overview of the Theory</w:t>
      </w:r>
    </w:p>
    <w:p w14:paraId="7A065C9A"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2.2 Relevance to Adults Aged 65 and Over</w:t>
      </w:r>
    </w:p>
    <w:p w14:paraId="611B689E"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2.3 Application in a Dementia Care Home</w:t>
      </w:r>
    </w:p>
    <w:p w14:paraId="73896C28"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2.4 Challenges and Management Strategies</w:t>
      </w:r>
    </w:p>
    <w:p w14:paraId="7A0736E9"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 xml:space="preserve">Psychological Theory Two: </w:t>
      </w:r>
      <w:proofErr w:type="spellStart"/>
      <w:r w:rsidRPr="00B478FD">
        <w:rPr>
          <w:rFonts w:ascii="Times New Roman" w:hAnsi="Times New Roman" w:cs="Times New Roman"/>
          <w:sz w:val="32"/>
          <w:szCs w:val="32"/>
        </w:rPr>
        <w:t>Kitwood’s</w:t>
      </w:r>
      <w:proofErr w:type="spellEnd"/>
      <w:r w:rsidRPr="00B478FD">
        <w:rPr>
          <w:rFonts w:ascii="Times New Roman" w:hAnsi="Times New Roman" w:cs="Times New Roman"/>
          <w:sz w:val="32"/>
          <w:szCs w:val="32"/>
        </w:rPr>
        <w:t xml:space="preserve"> Person-Centred Theory of Dementia Care</w:t>
      </w:r>
    </w:p>
    <w:p w14:paraId="01D27692"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3.1 Overview of the Theory</w:t>
      </w:r>
    </w:p>
    <w:p w14:paraId="021B5E23"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3.2 Relevance to Adults Aged 65 and Over</w:t>
      </w:r>
    </w:p>
    <w:p w14:paraId="6EF726CD"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3.3 Application in a Dementia Care Home</w:t>
      </w:r>
    </w:p>
    <w:p w14:paraId="1A987F41"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3.4 Challenges and Management Strategies</w:t>
      </w:r>
    </w:p>
    <w:p w14:paraId="6756AB51"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Critical Comparison of the Two Theories</w:t>
      </w:r>
    </w:p>
    <w:p w14:paraId="02F71FF1" w14:textId="77777777" w:rsidR="00C7460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Conclusion</w:t>
      </w:r>
    </w:p>
    <w:p w14:paraId="71791DA7" w14:textId="5D910809" w:rsidR="003C57BB" w:rsidRPr="00B478FD" w:rsidRDefault="00C7460B" w:rsidP="00C7460B">
      <w:pPr>
        <w:rPr>
          <w:rFonts w:ascii="Times New Roman" w:hAnsi="Times New Roman" w:cs="Times New Roman"/>
          <w:sz w:val="32"/>
          <w:szCs w:val="32"/>
        </w:rPr>
      </w:pPr>
      <w:r w:rsidRPr="00B478FD">
        <w:rPr>
          <w:rFonts w:ascii="Times New Roman" w:hAnsi="Times New Roman" w:cs="Times New Roman"/>
          <w:sz w:val="32"/>
          <w:szCs w:val="32"/>
        </w:rPr>
        <w:t>References</w:t>
      </w:r>
    </w:p>
    <w:p w14:paraId="4E737B90" w14:textId="61C46F51" w:rsidR="009A78DC" w:rsidRPr="00B478FD" w:rsidRDefault="009A78DC">
      <w:pPr>
        <w:rPr>
          <w:sz w:val="32"/>
          <w:szCs w:val="32"/>
        </w:rPr>
      </w:pPr>
      <w:r w:rsidRPr="00B478FD">
        <w:rPr>
          <w:sz w:val="32"/>
          <w:szCs w:val="32"/>
        </w:rPr>
        <w:br w:type="page"/>
      </w:r>
    </w:p>
    <w:p w14:paraId="2B6E7A74" w14:textId="77777777" w:rsidR="00300202" w:rsidRPr="00B478FD" w:rsidRDefault="00300202" w:rsidP="00300202">
      <w:pPr>
        <w:rPr>
          <w:rFonts w:ascii="Times New Roman" w:hAnsi="Times New Roman" w:cs="Times New Roman"/>
          <w:b/>
          <w:bCs/>
          <w:sz w:val="36"/>
          <w:szCs w:val="36"/>
        </w:rPr>
      </w:pPr>
      <w:r w:rsidRPr="00B478FD">
        <w:rPr>
          <w:rFonts w:ascii="Times New Roman" w:hAnsi="Times New Roman" w:cs="Times New Roman"/>
          <w:b/>
          <w:bCs/>
          <w:sz w:val="36"/>
          <w:szCs w:val="36"/>
        </w:rPr>
        <w:lastRenderedPageBreak/>
        <w:t>1. Introduction and Context</w:t>
      </w:r>
    </w:p>
    <w:p w14:paraId="485C7A5A" w14:textId="5B77B7AC" w:rsidR="00300202" w:rsidRPr="00B478FD" w:rsidRDefault="00300202" w:rsidP="00300202">
      <w:pPr>
        <w:jc w:val="both"/>
        <w:rPr>
          <w:rFonts w:ascii="Times New Roman" w:hAnsi="Times New Roman" w:cs="Times New Roman"/>
          <w:sz w:val="32"/>
          <w:szCs w:val="32"/>
        </w:rPr>
      </w:pPr>
      <w:r w:rsidRPr="00B478FD">
        <w:rPr>
          <w:rFonts w:ascii="Times New Roman" w:hAnsi="Times New Roman" w:cs="Times New Roman"/>
          <w:sz w:val="32"/>
          <w:szCs w:val="32"/>
        </w:rPr>
        <w:t>The ageing population creates major difficulties for healthcare systems, which need to address psychological health issues that affect people aged 65 and older (Livingston et al., 2020). The most common and challenging health issue affecting people in this age range is dementia, which affects their mental abilities, their emotional state and their behaviour, their sense of self and their ability to connect with others (NICE, 2018). People with dementia develop anxiety and depression, confusion and agitation and behavioural and psychological symptoms of dementia (BPSD), which need experienced psychological and social care assistance.</w:t>
      </w:r>
    </w:p>
    <w:p w14:paraId="1ECEA0BF" w14:textId="4056C2B0" w:rsidR="00300202" w:rsidRPr="00B478FD" w:rsidRDefault="00300202" w:rsidP="00300202">
      <w:pPr>
        <w:jc w:val="both"/>
        <w:rPr>
          <w:rFonts w:ascii="Times New Roman" w:hAnsi="Times New Roman" w:cs="Times New Roman"/>
          <w:sz w:val="32"/>
          <w:szCs w:val="32"/>
        </w:rPr>
      </w:pPr>
      <w:r w:rsidRPr="00B478FD">
        <w:rPr>
          <w:rFonts w:ascii="Times New Roman" w:hAnsi="Times New Roman" w:cs="Times New Roman"/>
          <w:sz w:val="32"/>
          <w:szCs w:val="32"/>
        </w:rPr>
        <w:t>Dementia care homes serve as essential facilities which provide support to elderly people who need assistance beyond what they can manage at home or in their community. Health and social care professionals who work in these environments need to use methods which deliver clinical success while being both psychologically aware and centred on individual needs. The study of psychological theories helps healthcare professionals understand how people behave and what their emotional requirements are while also understanding their personal identity, which enables them to provide caring, evidence-driven medical services.</w:t>
      </w:r>
    </w:p>
    <w:p w14:paraId="47EF5390" w14:textId="1494B7FC" w:rsidR="003C57BB" w:rsidRPr="00B478FD" w:rsidRDefault="00300202" w:rsidP="00300202">
      <w:pPr>
        <w:jc w:val="both"/>
        <w:rPr>
          <w:rFonts w:ascii="Times New Roman" w:hAnsi="Times New Roman" w:cs="Times New Roman"/>
          <w:sz w:val="32"/>
          <w:szCs w:val="32"/>
        </w:rPr>
      </w:pPr>
      <w:r w:rsidRPr="00B478FD">
        <w:rPr>
          <w:rFonts w:ascii="Times New Roman" w:hAnsi="Times New Roman" w:cs="Times New Roman"/>
          <w:sz w:val="32"/>
          <w:szCs w:val="32"/>
        </w:rPr>
        <w:t xml:space="preserve">The research investigates older adults who reside in dementia care facilities at ages 65 and above. The research evaluates two psychological models which study adult development and mental wellness through Erikson’s Psychosocial Theory of Development and </w:t>
      </w:r>
      <w:proofErr w:type="spellStart"/>
      <w:r w:rsidRPr="00B478FD">
        <w:rPr>
          <w:rFonts w:ascii="Times New Roman" w:hAnsi="Times New Roman" w:cs="Times New Roman"/>
          <w:sz w:val="32"/>
          <w:szCs w:val="32"/>
        </w:rPr>
        <w:t>Kitwood’s</w:t>
      </w:r>
      <w:proofErr w:type="spellEnd"/>
      <w:r w:rsidRPr="00B478FD">
        <w:rPr>
          <w:rFonts w:ascii="Times New Roman" w:hAnsi="Times New Roman" w:cs="Times New Roman"/>
          <w:sz w:val="32"/>
          <w:szCs w:val="32"/>
        </w:rPr>
        <w:t xml:space="preserve"> Person-Centred Theory of Dementia Care. The research examines how these theories enable professionals to support psychological well-being and handle behavioural problems and maintain dignity for their clients, while it discusses both theoretical boundaries and working difficulties.</w:t>
      </w:r>
    </w:p>
    <w:p w14:paraId="7151216F" w14:textId="77777777" w:rsidR="00300202" w:rsidRDefault="00300202" w:rsidP="00300202">
      <w:pPr>
        <w:jc w:val="both"/>
        <w:rPr>
          <w:rFonts w:ascii="Times New Roman" w:hAnsi="Times New Roman" w:cs="Times New Roman"/>
        </w:rPr>
      </w:pPr>
    </w:p>
    <w:p w14:paraId="771D4AC4" w14:textId="7953D0A4" w:rsidR="00374599" w:rsidRPr="00B478FD" w:rsidRDefault="00300202" w:rsidP="00B478FD">
      <w:pPr>
        <w:rPr>
          <w:rFonts w:ascii="Times New Roman" w:hAnsi="Times New Roman" w:cs="Times New Roman"/>
        </w:rPr>
      </w:pPr>
      <w:r>
        <w:rPr>
          <w:rFonts w:ascii="Times New Roman" w:hAnsi="Times New Roman" w:cs="Times New Roman"/>
        </w:rPr>
        <w:br w:type="page"/>
      </w:r>
      <w:r w:rsidR="00374599" w:rsidRPr="008C474B">
        <w:rPr>
          <w:rFonts w:ascii="Times New Roman" w:hAnsi="Times New Roman" w:cs="Times New Roman"/>
          <w:b/>
          <w:bCs/>
          <w:sz w:val="36"/>
          <w:szCs w:val="36"/>
        </w:rPr>
        <w:lastRenderedPageBreak/>
        <w:t>2. Psychological Theory One: Erikson’s Psychosocial Theory of Development</w:t>
      </w:r>
    </w:p>
    <w:p w14:paraId="39CA2C34"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2.1 Overview of the Theory</w:t>
      </w:r>
    </w:p>
    <w:p w14:paraId="1C0E890E"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Erikson’s Psychosocial Theory of Development describes how people develop through eight life stages which present essential psychosocial challenges that need resolution for proper mental growth (Erikson, 1982). The last developmental phase of Ego Integrity versus Despair takes place during later adulthood specifically affecting people who are 65 years old or older.</w:t>
      </w:r>
    </w:p>
    <w:p w14:paraId="74ACA078"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People at this stage review their entire life journey to determine if their existence brought purpose and value to their existence. The process of successful conflict resolution leads to ego integrity which brings people to accept their life journey while feeling accomplished and experiencing decreased anxiety about their mortality. The inability to complete this developmental phase will result in feelings of hopelessness and self-reproach which can develop into depression and anxiety according to Erikson (1982).</w:t>
      </w:r>
    </w:p>
    <w:p w14:paraId="1D951940"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2.2 The research findings have direct value for adults who reach age 65 and beyond.</w:t>
      </w:r>
    </w:p>
    <w:p w14:paraId="7BF67740"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The residents of dementia care facilities who are older than others must deal with various types of loss which include their ability to be self-sufficient and their physical health deterioration and the loss of loved ones and their diminished social position. The development of dementia creates additional challenges for memory and communication and identity which lead to higher chances of experiencing despair and psychological distress. According to Erikson's theory we need to help elderly people preserve their identity and life purpose and self-esteem during their mental function deterioration.</w:t>
      </w:r>
    </w:p>
    <w:p w14:paraId="3949CBA2"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 xml:space="preserve">Research indicates that emotional memory and the requirement for validation continue to function in dementia patients which makes </w:t>
      </w:r>
      <w:r w:rsidRPr="00B478FD">
        <w:rPr>
          <w:rFonts w:ascii="Times New Roman" w:hAnsi="Times New Roman" w:cs="Times New Roman"/>
          <w:sz w:val="32"/>
          <w:szCs w:val="32"/>
        </w:rPr>
        <w:lastRenderedPageBreak/>
        <w:t>psychosocial support an essential need (Woods et al., 2018). The development of ego integrity through support will lead to better mood and decreased depression and better wellbeing for older adults who have dementia.</w:t>
      </w:r>
    </w:p>
    <w:p w14:paraId="5F15E994"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2.3 Application in a Dementia Care Home</w:t>
      </w:r>
    </w:p>
    <w:p w14:paraId="66AEC9E6"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The dementia care home can use Erikson's theory through interventions which help residents maintain their life stories and validate their personal identities. The program includes reminiscence therapy which uses photographs and music and familiar objects to help residents remember their positive life experiences (Woods et al., 2018). Staff use life history work to develop personalized care approaches through the creation of life story books and memory boxes which focus on resident past experiences.</w:t>
      </w:r>
    </w:p>
    <w:p w14:paraId="5A84756A"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Staff should recognize residents through their previous work experience and family connections because this practice helps them maintain their identity while showing respect for their dignity. The resident who used to work as a caregiver will experience value when staff members let him participate in supportive tasks which include resident comfort work thus supporting his ego integrity.</w:t>
      </w:r>
    </w:p>
    <w:p w14:paraId="3288AA2C" w14:textId="77777777" w:rsidR="007360BE" w:rsidRDefault="007360BE" w:rsidP="00374599">
      <w:pPr>
        <w:jc w:val="both"/>
        <w:rPr>
          <w:rFonts w:ascii="Times New Roman" w:hAnsi="Times New Roman" w:cs="Times New Roman"/>
          <w:b/>
          <w:bCs/>
        </w:rPr>
      </w:pPr>
    </w:p>
    <w:p w14:paraId="3CC677D8" w14:textId="77777777" w:rsidR="007360BE" w:rsidRDefault="007360BE" w:rsidP="00374599">
      <w:pPr>
        <w:jc w:val="both"/>
        <w:rPr>
          <w:rFonts w:ascii="Times New Roman" w:hAnsi="Times New Roman" w:cs="Times New Roman"/>
          <w:b/>
          <w:bCs/>
        </w:rPr>
      </w:pPr>
    </w:p>
    <w:p w14:paraId="26993CD3" w14:textId="3FF53386"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2.4 Challenges and Management Strategies</w:t>
      </w:r>
    </w:p>
    <w:p w14:paraId="5FBF31E8" w14:textId="77777777" w:rsidR="00374599" w:rsidRPr="00B478FD" w:rsidRDefault="00374599" w:rsidP="00374599">
      <w:pPr>
        <w:jc w:val="both"/>
        <w:rPr>
          <w:rFonts w:ascii="Times New Roman" w:hAnsi="Times New Roman" w:cs="Times New Roman"/>
          <w:sz w:val="32"/>
          <w:szCs w:val="32"/>
        </w:rPr>
      </w:pPr>
      <w:r w:rsidRPr="00B478FD">
        <w:rPr>
          <w:rFonts w:ascii="Times New Roman" w:hAnsi="Times New Roman" w:cs="Times New Roman"/>
          <w:sz w:val="32"/>
          <w:szCs w:val="32"/>
        </w:rPr>
        <w:t xml:space="preserve">The main restriction of Erikson's theory stems from its requirement for reflective abilities which dementia patients at advanced stages cannot perform. The implementation process faces three major challenges which include restricted time availability and insufficient employee training and missing details about animal life cycles. The solution to these problems requires healthcare professionals to share biographical data with family members while they learn about non-verbal communication and emotional validation techniques and should </w:t>
      </w:r>
      <w:r w:rsidRPr="00B478FD">
        <w:rPr>
          <w:rFonts w:ascii="Times New Roman" w:hAnsi="Times New Roman" w:cs="Times New Roman"/>
          <w:sz w:val="32"/>
          <w:szCs w:val="32"/>
        </w:rPr>
        <w:lastRenderedPageBreak/>
        <w:t>perform reminiscence activities as part of their standard care duties instead of considering it an extra responsibility.</w:t>
      </w:r>
    </w:p>
    <w:p w14:paraId="44EA8785"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 xml:space="preserve">3. Psychological Theory Two: </w:t>
      </w:r>
      <w:proofErr w:type="spellStart"/>
      <w:r w:rsidRPr="008C474B">
        <w:rPr>
          <w:rFonts w:ascii="Times New Roman" w:hAnsi="Times New Roman" w:cs="Times New Roman"/>
          <w:b/>
          <w:bCs/>
          <w:sz w:val="36"/>
          <w:szCs w:val="36"/>
        </w:rPr>
        <w:t>Kitwood’s</w:t>
      </w:r>
      <w:proofErr w:type="spellEnd"/>
      <w:r w:rsidRPr="008C474B">
        <w:rPr>
          <w:rFonts w:ascii="Times New Roman" w:hAnsi="Times New Roman" w:cs="Times New Roman"/>
          <w:b/>
          <w:bCs/>
          <w:sz w:val="36"/>
          <w:szCs w:val="36"/>
        </w:rPr>
        <w:t xml:space="preserve"> Person-Centred Theory of Dementia Care</w:t>
      </w:r>
    </w:p>
    <w:p w14:paraId="745DC4EB"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3.1 Overview of the Theory</w:t>
      </w:r>
    </w:p>
    <w:p w14:paraId="4C584FC6" w14:textId="65A31DA6" w:rsidR="00374599" w:rsidRPr="002B48BA" w:rsidRDefault="00374599" w:rsidP="00374599">
      <w:pPr>
        <w:jc w:val="both"/>
        <w:rPr>
          <w:rFonts w:ascii="Times New Roman" w:hAnsi="Times New Roman" w:cs="Times New Roman"/>
          <w:sz w:val="32"/>
          <w:szCs w:val="32"/>
        </w:rPr>
      </w:pPr>
      <w:proofErr w:type="spellStart"/>
      <w:r w:rsidRPr="002B48BA">
        <w:rPr>
          <w:rFonts w:ascii="Times New Roman" w:hAnsi="Times New Roman" w:cs="Times New Roman"/>
          <w:sz w:val="32"/>
          <w:szCs w:val="32"/>
        </w:rPr>
        <w:t>Kitwood’s</w:t>
      </w:r>
      <w:proofErr w:type="spellEnd"/>
      <w:r w:rsidRPr="002B48BA">
        <w:rPr>
          <w:rFonts w:ascii="Times New Roman" w:hAnsi="Times New Roman" w:cs="Times New Roman"/>
          <w:sz w:val="32"/>
          <w:szCs w:val="32"/>
        </w:rPr>
        <w:t xml:space="preserve"> Person-Centred Theory of Dementia Care presents dementia as an experience which develops through social interactions and care practices and environmental factors (</w:t>
      </w:r>
      <w:proofErr w:type="spellStart"/>
      <w:r w:rsidRPr="002B48BA">
        <w:rPr>
          <w:rFonts w:ascii="Times New Roman" w:hAnsi="Times New Roman" w:cs="Times New Roman"/>
          <w:sz w:val="32"/>
          <w:szCs w:val="32"/>
        </w:rPr>
        <w:t>Kitwood</w:t>
      </w:r>
      <w:proofErr w:type="spellEnd"/>
      <w:r w:rsidRPr="002B48BA">
        <w:rPr>
          <w:rFonts w:ascii="Times New Roman" w:hAnsi="Times New Roman" w:cs="Times New Roman"/>
          <w:sz w:val="32"/>
          <w:szCs w:val="32"/>
        </w:rPr>
        <w:t>, 1997). The theory cent</w:t>
      </w:r>
      <w:r w:rsidR="005F2909">
        <w:rPr>
          <w:rFonts w:ascii="Times New Roman" w:hAnsi="Times New Roman" w:cs="Times New Roman"/>
          <w:sz w:val="32"/>
          <w:szCs w:val="32"/>
        </w:rPr>
        <w:t>re</w:t>
      </w:r>
      <w:r w:rsidRPr="002B48BA">
        <w:rPr>
          <w:rFonts w:ascii="Times New Roman" w:hAnsi="Times New Roman" w:cs="Times New Roman"/>
          <w:sz w:val="32"/>
          <w:szCs w:val="32"/>
        </w:rPr>
        <w:t>s on personhood</w:t>
      </w:r>
      <w:r w:rsidR="005F2909">
        <w:rPr>
          <w:rFonts w:ascii="Times New Roman" w:hAnsi="Times New Roman" w:cs="Times New Roman"/>
          <w:sz w:val="32"/>
          <w:szCs w:val="32"/>
        </w:rPr>
        <w:t>,</w:t>
      </w:r>
      <w:r w:rsidRPr="002B48BA">
        <w:rPr>
          <w:rFonts w:ascii="Times New Roman" w:hAnsi="Times New Roman" w:cs="Times New Roman"/>
          <w:sz w:val="32"/>
          <w:szCs w:val="32"/>
        </w:rPr>
        <w:t xml:space="preserve"> which researchers define as the social position people receive when others recogni</w:t>
      </w:r>
      <w:r w:rsidR="005F2909">
        <w:rPr>
          <w:rFonts w:ascii="Times New Roman" w:hAnsi="Times New Roman" w:cs="Times New Roman"/>
          <w:sz w:val="32"/>
          <w:szCs w:val="32"/>
        </w:rPr>
        <w:t>s</w:t>
      </w:r>
      <w:r w:rsidRPr="002B48BA">
        <w:rPr>
          <w:rFonts w:ascii="Times New Roman" w:hAnsi="Times New Roman" w:cs="Times New Roman"/>
          <w:sz w:val="32"/>
          <w:szCs w:val="32"/>
        </w:rPr>
        <w:t>e them and show respect and trust.</w:t>
      </w:r>
    </w:p>
    <w:p w14:paraId="72F9480D" w14:textId="511B54AB" w:rsidR="00374599" w:rsidRPr="002B48BA" w:rsidRDefault="00374599" w:rsidP="00374599">
      <w:pPr>
        <w:jc w:val="both"/>
        <w:rPr>
          <w:rFonts w:ascii="Times New Roman" w:hAnsi="Times New Roman" w:cs="Times New Roman"/>
          <w:sz w:val="32"/>
          <w:szCs w:val="32"/>
        </w:rPr>
      </w:pPr>
      <w:proofErr w:type="spellStart"/>
      <w:r w:rsidRPr="002B48BA">
        <w:rPr>
          <w:rFonts w:ascii="Times New Roman" w:hAnsi="Times New Roman" w:cs="Times New Roman"/>
          <w:sz w:val="32"/>
          <w:szCs w:val="32"/>
        </w:rPr>
        <w:t>Kitwood</w:t>
      </w:r>
      <w:proofErr w:type="spellEnd"/>
      <w:r w:rsidRPr="002B48BA">
        <w:rPr>
          <w:rFonts w:ascii="Times New Roman" w:hAnsi="Times New Roman" w:cs="Times New Roman"/>
          <w:sz w:val="32"/>
          <w:szCs w:val="32"/>
        </w:rPr>
        <w:t xml:space="preserve"> established that negative care practices which he called malignant social psychology</w:t>
      </w:r>
      <w:r w:rsidR="005F2909">
        <w:rPr>
          <w:rFonts w:ascii="Times New Roman" w:hAnsi="Times New Roman" w:cs="Times New Roman"/>
          <w:sz w:val="32"/>
          <w:szCs w:val="32"/>
        </w:rPr>
        <w:t>,</w:t>
      </w:r>
      <w:r w:rsidRPr="002B48BA">
        <w:rPr>
          <w:rFonts w:ascii="Times New Roman" w:hAnsi="Times New Roman" w:cs="Times New Roman"/>
          <w:sz w:val="32"/>
          <w:szCs w:val="32"/>
        </w:rPr>
        <w:t xml:space="preserve"> work to destroy personhood while making people experience more distress. The theory by </w:t>
      </w:r>
      <w:proofErr w:type="spellStart"/>
      <w:r w:rsidRPr="002B48BA">
        <w:rPr>
          <w:rFonts w:ascii="Times New Roman" w:hAnsi="Times New Roman" w:cs="Times New Roman"/>
          <w:sz w:val="32"/>
          <w:szCs w:val="32"/>
        </w:rPr>
        <w:t>Kitwood</w:t>
      </w:r>
      <w:proofErr w:type="spellEnd"/>
      <w:r w:rsidRPr="002B48BA">
        <w:rPr>
          <w:rFonts w:ascii="Times New Roman" w:hAnsi="Times New Roman" w:cs="Times New Roman"/>
          <w:sz w:val="32"/>
          <w:szCs w:val="32"/>
        </w:rPr>
        <w:t xml:space="preserve"> (1997) identifies five essential psychological requirements which people with dementia need to fulfil: comfort and attachment</w:t>
      </w:r>
      <w:r w:rsidR="005F2909">
        <w:rPr>
          <w:rFonts w:ascii="Times New Roman" w:hAnsi="Times New Roman" w:cs="Times New Roman"/>
          <w:sz w:val="32"/>
          <w:szCs w:val="32"/>
        </w:rPr>
        <w:t>,</w:t>
      </w:r>
      <w:r w:rsidRPr="002B48BA">
        <w:rPr>
          <w:rFonts w:ascii="Times New Roman" w:hAnsi="Times New Roman" w:cs="Times New Roman"/>
          <w:sz w:val="32"/>
          <w:szCs w:val="32"/>
        </w:rPr>
        <w:t xml:space="preserve"> inclusion and occupation</w:t>
      </w:r>
      <w:r w:rsidR="005F2909">
        <w:rPr>
          <w:rFonts w:ascii="Times New Roman" w:hAnsi="Times New Roman" w:cs="Times New Roman"/>
          <w:sz w:val="32"/>
          <w:szCs w:val="32"/>
        </w:rPr>
        <w:t>,</w:t>
      </w:r>
      <w:r w:rsidRPr="002B48BA">
        <w:rPr>
          <w:rFonts w:ascii="Times New Roman" w:hAnsi="Times New Roman" w:cs="Times New Roman"/>
          <w:sz w:val="32"/>
          <w:szCs w:val="32"/>
        </w:rPr>
        <w:t xml:space="preserve"> and identity.</w:t>
      </w:r>
    </w:p>
    <w:p w14:paraId="604E14DB" w14:textId="77777777" w:rsidR="00374599" w:rsidRPr="00B478FD" w:rsidRDefault="00374599" w:rsidP="00374599">
      <w:pPr>
        <w:jc w:val="both"/>
        <w:rPr>
          <w:rFonts w:ascii="Times New Roman" w:hAnsi="Times New Roman" w:cs="Times New Roman"/>
          <w:b/>
          <w:bCs/>
          <w:sz w:val="36"/>
          <w:szCs w:val="36"/>
        </w:rPr>
      </w:pPr>
      <w:r w:rsidRPr="00B478FD">
        <w:rPr>
          <w:rFonts w:ascii="Times New Roman" w:hAnsi="Times New Roman" w:cs="Times New Roman"/>
          <w:b/>
          <w:bCs/>
          <w:sz w:val="36"/>
          <w:szCs w:val="36"/>
        </w:rPr>
        <w:t>3.2 Relevance to Adults Aged 65 and Over</w:t>
      </w:r>
    </w:p>
    <w:p w14:paraId="2E82F23F" w14:textId="0F2554C4" w:rsidR="00374599" w:rsidRPr="002B48BA" w:rsidRDefault="00374599" w:rsidP="00374599">
      <w:pPr>
        <w:jc w:val="both"/>
        <w:rPr>
          <w:rFonts w:ascii="Times New Roman" w:hAnsi="Times New Roman" w:cs="Times New Roman"/>
          <w:sz w:val="32"/>
          <w:szCs w:val="32"/>
        </w:rPr>
      </w:pPr>
      <w:r w:rsidRPr="002B48BA">
        <w:rPr>
          <w:rFonts w:ascii="Times New Roman" w:hAnsi="Times New Roman" w:cs="Times New Roman"/>
          <w:sz w:val="32"/>
          <w:szCs w:val="32"/>
        </w:rPr>
        <w:t>The institutional environment creates special risks for dementia patients who are elderly because it leads to their loss of personal identity</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their loss of self-governance and their separation from society. The theory of </w:t>
      </w:r>
      <w:proofErr w:type="spellStart"/>
      <w:r w:rsidRPr="002B48BA">
        <w:rPr>
          <w:rFonts w:ascii="Times New Roman" w:hAnsi="Times New Roman" w:cs="Times New Roman"/>
          <w:sz w:val="32"/>
          <w:szCs w:val="32"/>
        </w:rPr>
        <w:t>Kitwood</w:t>
      </w:r>
      <w:proofErr w:type="spellEnd"/>
      <w:r w:rsidRPr="002B48BA">
        <w:rPr>
          <w:rFonts w:ascii="Times New Roman" w:hAnsi="Times New Roman" w:cs="Times New Roman"/>
          <w:sz w:val="32"/>
          <w:szCs w:val="32"/>
        </w:rPr>
        <w:t xml:space="preserve"> remains important because it opposes task-centred care approaches by supporting complete relationship-based practice</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which matches current health and social care principles that value dignity and respect and empowerment (Brooker, 2007).</w:t>
      </w:r>
    </w:p>
    <w:p w14:paraId="709428CF" w14:textId="77777777"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3.3 Application in a Dementia Care Home</w:t>
      </w:r>
    </w:p>
    <w:p w14:paraId="7EEE89CD" w14:textId="5383ABB7" w:rsidR="00374599" w:rsidRPr="002B48BA" w:rsidRDefault="00374599" w:rsidP="00374599">
      <w:pPr>
        <w:jc w:val="both"/>
        <w:rPr>
          <w:rFonts w:ascii="Times New Roman" w:hAnsi="Times New Roman" w:cs="Times New Roman"/>
          <w:sz w:val="32"/>
          <w:szCs w:val="32"/>
        </w:rPr>
      </w:pPr>
      <w:r w:rsidRPr="002B48BA">
        <w:rPr>
          <w:rFonts w:ascii="Times New Roman" w:hAnsi="Times New Roman" w:cs="Times New Roman"/>
          <w:sz w:val="32"/>
          <w:szCs w:val="32"/>
        </w:rPr>
        <w:t>Person-centred care becomes possible through the development of customi</w:t>
      </w:r>
      <w:r w:rsidR="00E421D7">
        <w:rPr>
          <w:rFonts w:ascii="Times New Roman" w:hAnsi="Times New Roman" w:cs="Times New Roman"/>
          <w:sz w:val="32"/>
          <w:szCs w:val="32"/>
        </w:rPr>
        <w:t>s</w:t>
      </w:r>
      <w:r w:rsidRPr="002B48BA">
        <w:rPr>
          <w:rFonts w:ascii="Times New Roman" w:hAnsi="Times New Roman" w:cs="Times New Roman"/>
          <w:sz w:val="32"/>
          <w:szCs w:val="32"/>
        </w:rPr>
        <w:t>ed care plans which incorporate resident preferences and routines</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their cultural heritage</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and their individual capabilities. Staff members should use empathetic communication and validation</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and </w:t>
      </w:r>
      <w:r w:rsidRPr="002B48BA">
        <w:rPr>
          <w:rFonts w:ascii="Times New Roman" w:hAnsi="Times New Roman" w:cs="Times New Roman"/>
          <w:sz w:val="32"/>
          <w:szCs w:val="32"/>
        </w:rPr>
        <w:lastRenderedPageBreak/>
        <w:t>reassurance instead of confrontational or corrective approaches. The implementation of activities which match personal interests helps people maintain their occupations and feel included in society</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while environments that provide support help people understand things better and stay calm (Brooker, 2007).</w:t>
      </w:r>
    </w:p>
    <w:p w14:paraId="20298060" w14:textId="247C2AD8" w:rsidR="00374599" w:rsidRPr="002B48BA" w:rsidRDefault="00374599" w:rsidP="00374599">
      <w:pPr>
        <w:jc w:val="both"/>
        <w:rPr>
          <w:rFonts w:ascii="Times New Roman" w:hAnsi="Times New Roman" w:cs="Times New Roman"/>
          <w:sz w:val="32"/>
          <w:szCs w:val="32"/>
        </w:rPr>
      </w:pPr>
      <w:r w:rsidRPr="002B48BA">
        <w:rPr>
          <w:rFonts w:ascii="Times New Roman" w:hAnsi="Times New Roman" w:cs="Times New Roman"/>
          <w:sz w:val="32"/>
          <w:szCs w:val="32"/>
        </w:rPr>
        <w:t>Staff members can recogni</w:t>
      </w:r>
      <w:r w:rsidR="00E421D7">
        <w:rPr>
          <w:rFonts w:ascii="Times New Roman" w:hAnsi="Times New Roman" w:cs="Times New Roman"/>
          <w:sz w:val="32"/>
          <w:szCs w:val="32"/>
        </w:rPr>
        <w:t>s</w:t>
      </w:r>
      <w:r w:rsidRPr="002B48BA">
        <w:rPr>
          <w:rFonts w:ascii="Times New Roman" w:hAnsi="Times New Roman" w:cs="Times New Roman"/>
          <w:sz w:val="32"/>
          <w:szCs w:val="32"/>
        </w:rPr>
        <w:t>e the emotional need behind a resident's statement about needing to go home or work so they can redirect the person to a comforting or purposeful activity</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which helps decrease their agitation and distress.</w:t>
      </w:r>
    </w:p>
    <w:p w14:paraId="44C68494" w14:textId="77777777" w:rsidR="00E1037F" w:rsidRDefault="00E1037F" w:rsidP="00374599">
      <w:pPr>
        <w:jc w:val="both"/>
        <w:rPr>
          <w:rFonts w:ascii="Times New Roman" w:hAnsi="Times New Roman" w:cs="Times New Roman"/>
        </w:rPr>
      </w:pPr>
    </w:p>
    <w:p w14:paraId="732EA2F0" w14:textId="55E1715B" w:rsidR="00374599" w:rsidRPr="008C474B" w:rsidRDefault="00374599" w:rsidP="00374599">
      <w:pPr>
        <w:jc w:val="both"/>
        <w:rPr>
          <w:rFonts w:ascii="Times New Roman" w:hAnsi="Times New Roman" w:cs="Times New Roman"/>
          <w:b/>
          <w:bCs/>
          <w:sz w:val="36"/>
          <w:szCs w:val="36"/>
        </w:rPr>
      </w:pPr>
      <w:r w:rsidRPr="008C474B">
        <w:rPr>
          <w:rFonts w:ascii="Times New Roman" w:hAnsi="Times New Roman" w:cs="Times New Roman"/>
          <w:b/>
          <w:bCs/>
          <w:sz w:val="36"/>
          <w:szCs w:val="36"/>
        </w:rPr>
        <w:t>3.4 Challenges and Management Strategies</w:t>
      </w:r>
    </w:p>
    <w:p w14:paraId="00106A11" w14:textId="68216E81" w:rsidR="00300202" w:rsidRPr="002B48BA" w:rsidRDefault="00374599" w:rsidP="00374599">
      <w:pPr>
        <w:jc w:val="both"/>
        <w:rPr>
          <w:rFonts w:ascii="Times New Roman" w:hAnsi="Times New Roman" w:cs="Times New Roman"/>
          <w:sz w:val="32"/>
          <w:szCs w:val="32"/>
        </w:rPr>
      </w:pPr>
      <w:r w:rsidRPr="002B48BA">
        <w:rPr>
          <w:rFonts w:ascii="Times New Roman" w:hAnsi="Times New Roman" w:cs="Times New Roman"/>
          <w:sz w:val="32"/>
          <w:szCs w:val="32"/>
        </w:rPr>
        <w:t>Person-centred care implementation faces multiple obstacles because staff shortages exist alongside heavy workloads and insufficient training</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and organi</w:t>
      </w:r>
      <w:r w:rsidR="00E421D7">
        <w:rPr>
          <w:rFonts w:ascii="Times New Roman" w:hAnsi="Times New Roman" w:cs="Times New Roman"/>
          <w:sz w:val="32"/>
          <w:szCs w:val="32"/>
        </w:rPr>
        <w:t>s</w:t>
      </w:r>
      <w:r w:rsidRPr="002B48BA">
        <w:rPr>
          <w:rFonts w:ascii="Times New Roman" w:hAnsi="Times New Roman" w:cs="Times New Roman"/>
          <w:sz w:val="32"/>
          <w:szCs w:val="32"/>
        </w:rPr>
        <w:t>ations that prioriti</w:t>
      </w:r>
      <w:r w:rsidR="00E421D7">
        <w:rPr>
          <w:rFonts w:ascii="Times New Roman" w:hAnsi="Times New Roman" w:cs="Times New Roman"/>
          <w:sz w:val="32"/>
          <w:szCs w:val="32"/>
        </w:rPr>
        <w:t>s</w:t>
      </w:r>
      <w:r w:rsidRPr="002B48BA">
        <w:rPr>
          <w:rFonts w:ascii="Times New Roman" w:hAnsi="Times New Roman" w:cs="Times New Roman"/>
          <w:sz w:val="32"/>
          <w:szCs w:val="32"/>
        </w:rPr>
        <w:t>e efficiency over relationship development. The barriers can be overcome through three strategies which combine staff education programs with leadership that supports person-centred values and reflective practice for staff emotional wellbeing and ethical decision-making (NICE, 2018).</w:t>
      </w:r>
    </w:p>
    <w:p w14:paraId="608FE6A0" w14:textId="77777777" w:rsidR="006E3C73" w:rsidRPr="002B48BA" w:rsidRDefault="006E3C73" w:rsidP="00374599">
      <w:pPr>
        <w:jc w:val="both"/>
        <w:rPr>
          <w:rFonts w:ascii="Times New Roman" w:hAnsi="Times New Roman" w:cs="Times New Roman"/>
          <w:sz w:val="32"/>
          <w:szCs w:val="32"/>
        </w:rPr>
      </w:pPr>
    </w:p>
    <w:p w14:paraId="19B90F5C" w14:textId="6B8EEB2D" w:rsidR="006E3C73" w:rsidRPr="002B48BA" w:rsidRDefault="006E3C73">
      <w:pPr>
        <w:rPr>
          <w:rFonts w:ascii="Times New Roman" w:hAnsi="Times New Roman" w:cs="Times New Roman"/>
          <w:sz w:val="32"/>
          <w:szCs w:val="32"/>
        </w:rPr>
      </w:pPr>
      <w:r w:rsidRPr="002B48BA">
        <w:rPr>
          <w:rFonts w:ascii="Times New Roman" w:hAnsi="Times New Roman" w:cs="Times New Roman"/>
          <w:sz w:val="32"/>
          <w:szCs w:val="32"/>
        </w:rPr>
        <w:br w:type="page"/>
      </w:r>
    </w:p>
    <w:p w14:paraId="6A87E6F6" w14:textId="77777777" w:rsidR="006E3C73" w:rsidRPr="008C474B" w:rsidRDefault="006E3C73" w:rsidP="006E3C73">
      <w:pPr>
        <w:jc w:val="both"/>
        <w:rPr>
          <w:rFonts w:ascii="Times New Roman" w:hAnsi="Times New Roman" w:cs="Times New Roman"/>
          <w:b/>
          <w:bCs/>
          <w:sz w:val="36"/>
          <w:szCs w:val="36"/>
        </w:rPr>
      </w:pPr>
      <w:r w:rsidRPr="008C474B">
        <w:rPr>
          <w:rFonts w:ascii="Times New Roman" w:hAnsi="Times New Roman" w:cs="Times New Roman"/>
          <w:b/>
          <w:bCs/>
          <w:sz w:val="36"/>
          <w:szCs w:val="36"/>
        </w:rPr>
        <w:lastRenderedPageBreak/>
        <w:t>4. Critical Comparison of the Two Theories</w:t>
      </w:r>
    </w:p>
    <w:p w14:paraId="7AB462F3" w14:textId="2ACF9C8F" w:rsidR="006E3C73" w:rsidRPr="002B48BA" w:rsidRDefault="006E3C73" w:rsidP="006E3C73">
      <w:pPr>
        <w:jc w:val="both"/>
        <w:rPr>
          <w:rFonts w:ascii="Times New Roman" w:hAnsi="Times New Roman" w:cs="Times New Roman"/>
          <w:sz w:val="32"/>
          <w:szCs w:val="32"/>
        </w:rPr>
      </w:pPr>
      <w:r w:rsidRPr="002B48BA">
        <w:rPr>
          <w:rFonts w:ascii="Times New Roman" w:hAnsi="Times New Roman" w:cs="Times New Roman"/>
          <w:sz w:val="32"/>
          <w:szCs w:val="32"/>
        </w:rPr>
        <w:t xml:space="preserve">The two theories of Erikson and </w:t>
      </w:r>
      <w:proofErr w:type="spellStart"/>
      <w:r w:rsidRPr="002B48BA">
        <w:rPr>
          <w:rFonts w:ascii="Times New Roman" w:hAnsi="Times New Roman" w:cs="Times New Roman"/>
          <w:sz w:val="32"/>
          <w:szCs w:val="32"/>
        </w:rPr>
        <w:t>Kitwood</w:t>
      </w:r>
      <w:proofErr w:type="spellEnd"/>
      <w:r w:rsidRPr="002B48BA">
        <w:rPr>
          <w:rFonts w:ascii="Times New Roman" w:hAnsi="Times New Roman" w:cs="Times New Roman"/>
          <w:sz w:val="32"/>
          <w:szCs w:val="32"/>
        </w:rPr>
        <w:t xml:space="preserve"> share commonalities</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which focus on how people develop their identity and maintain dignity while achieving psychological wellness during their older years. The developmental framework of Erikson's theory helps people understand their emotional requirements and their level of life contentment</w:t>
      </w:r>
      <w:r w:rsidR="00E421D7">
        <w:rPr>
          <w:rFonts w:ascii="Times New Roman" w:hAnsi="Times New Roman" w:cs="Times New Roman"/>
          <w:sz w:val="32"/>
          <w:szCs w:val="32"/>
        </w:rPr>
        <w:t>,</w:t>
      </w:r>
      <w:r w:rsidRPr="002B48BA">
        <w:rPr>
          <w:rFonts w:ascii="Times New Roman" w:hAnsi="Times New Roman" w:cs="Times New Roman"/>
          <w:sz w:val="32"/>
          <w:szCs w:val="32"/>
        </w:rPr>
        <w:t xml:space="preserve"> but </w:t>
      </w:r>
      <w:proofErr w:type="spellStart"/>
      <w:r w:rsidRPr="002B48BA">
        <w:rPr>
          <w:rFonts w:ascii="Times New Roman" w:hAnsi="Times New Roman" w:cs="Times New Roman"/>
          <w:sz w:val="32"/>
          <w:szCs w:val="32"/>
        </w:rPr>
        <w:t>Kitwood's</w:t>
      </w:r>
      <w:proofErr w:type="spellEnd"/>
      <w:r w:rsidRPr="002B48BA">
        <w:rPr>
          <w:rFonts w:ascii="Times New Roman" w:hAnsi="Times New Roman" w:cs="Times New Roman"/>
          <w:sz w:val="32"/>
          <w:szCs w:val="32"/>
        </w:rPr>
        <w:t xml:space="preserve"> theory provides specific methods to enhance wellbeing through environmental and interactional approaches. The combination of these theories enables professionals to study both </w:t>
      </w:r>
      <w:r w:rsidR="00E421D7">
        <w:rPr>
          <w:rFonts w:ascii="Times New Roman" w:hAnsi="Times New Roman" w:cs="Times New Roman"/>
          <w:sz w:val="32"/>
          <w:szCs w:val="32"/>
        </w:rPr>
        <w:t xml:space="preserve">the </w:t>
      </w:r>
      <w:r w:rsidRPr="002B48BA">
        <w:rPr>
          <w:rFonts w:ascii="Times New Roman" w:hAnsi="Times New Roman" w:cs="Times New Roman"/>
          <w:sz w:val="32"/>
          <w:szCs w:val="32"/>
        </w:rPr>
        <w:t>psychological processes which occur within older adults with dementia and the social elements which affect their behavio</w:t>
      </w:r>
      <w:r w:rsidR="00E421D7">
        <w:rPr>
          <w:rFonts w:ascii="Times New Roman" w:hAnsi="Times New Roman" w:cs="Times New Roman"/>
          <w:sz w:val="32"/>
          <w:szCs w:val="32"/>
        </w:rPr>
        <w:t>u</w:t>
      </w:r>
      <w:r w:rsidRPr="002B48BA">
        <w:rPr>
          <w:rFonts w:ascii="Times New Roman" w:hAnsi="Times New Roman" w:cs="Times New Roman"/>
          <w:sz w:val="32"/>
          <w:szCs w:val="32"/>
        </w:rPr>
        <w:t>r.</w:t>
      </w:r>
    </w:p>
    <w:p w14:paraId="64E1045F" w14:textId="0E962297" w:rsidR="006E3C73" w:rsidRPr="002B48BA" w:rsidRDefault="006E3C73" w:rsidP="006E3C73">
      <w:pPr>
        <w:jc w:val="both"/>
        <w:rPr>
          <w:rFonts w:ascii="Times New Roman" w:hAnsi="Times New Roman" w:cs="Times New Roman"/>
          <w:sz w:val="32"/>
          <w:szCs w:val="32"/>
        </w:rPr>
      </w:pPr>
      <w:r w:rsidRPr="002B48BA">
        <w:rPr>
          <w:rFonts w:ascii="Times New Roman" w:hAnsi="Times New Roman" w:cs="Times New Roman"/>
          <w:sz w:val="32"/>
          <w:szCs w:val="32"/>
        </w:rPr>
        <w:t>The two theories need modifications when patients have severe cognitive problems because healthcare professionals need to use flexible person-centred approaches which combine their professional expertise with team-based decision making.</w:t>
      </w:r>
    </w:p>
    <w:p w14:paraId="35CE3E15" w14:textId="4430694C" w:rsidR="006E3C73" w:rsidRPr="002B48BA" w:rsidRDefault="006E3C73">
      <w:pPr>
        <w:rPr>
          <w:rFonts w:ascii="Times New Roman" w:hAnsi="Times New Roman" w:cs="Times New Roman"/>
          <w:sz w:val="32"/>
          <w:szCs w:val="32"/>
        </w:rPr>
      </w:pPr>
      <w:r w:rsidRPr="002B48BA">
        <w:rPr>
          <w:rFonts w:ascii="Times New Roman" w:hAnsi="Times New Roman" w:cs="Times New Roman"/>
          <w:sz w:val="32"/>
          <w:szCs w:val="32"/>
        </w:rPr>
        <w:br w:type="page"/>
      </w:r>
    </w:p>
    <w:p w14:paraId="717CE000" w14:textId="77777777" w:rsidR="00520163" w:rsidRPr="008C474B" w:rsidRDefault="00520163" w:rsidP="00520163">
      <w:pPr>
        <w:jc w:val="both"/>
        <w:rPr>
          <w:rFonts w:ascii="Times New Roman" w:hAnsi="Times New Roman" w:cs="Times New Roman"/>
          <w:b/>
          <w:bCs/>
          <w:sz w:val="36"/>
          <w:szCs w:val="36"/>
        </w:rPr>
      </w:pPr>
      <w:r w:rsidRPr="008C474B">
        <w:rPr>
          <w:rFonts w:ascii="Times New Roman" w:hAnsi="Times New Roman" w:cs="Times New Roman"/>
          <w:b/>
          <w:bCs/>
          <w:sz w:val="36"/>
          <w:szCs w:val="36"/>
        </w:rPr>
        <w:lastRenderedPageBreak/>
        <w:t>5. Conclusion</w:t>
      </w:r>
    </w:p>
    <w:p w14:paraId="10444EE5" w14:textId="6DE25207" w:rsidR="006E3C73" w:rsidRPr="00E421D7" w:rsidRDefault="00520163" w:rsidP="00520163">
      <w:pPr>
        <w:jc w:val="both"/>
        <w:rPr>
          <w:rFonts w:ascii="Times New Roman" w:hAnsi="Times New Roman" w:cs="Times New Roman"/>
          <w:sz w:val="36"/>
          <w:szCs w:val="36"/>
        </w:rPr>
      </w:pPr>
      <w:r w:rsidRPr="00E421D7">
        <w:rPr>
          <w:rFonts w:ascii="Times New Roman" w:hAnsi="Times New Roman" w:cs="Times New Roman"/>
          <w:sz w:val="36"/>
          <w:szCs w:val="36"/>
        </w:rPr>
        <w:t xml:space="preserve">Psychological theories serve as a critical base which enables staff to deliver both effective and compassionate care for elderly dementia patients who live in care homes and experience psychological health issues. The Psychosocial Theory of Development by Erikson helps people understand their emotional requirements for developing their sense of self and finding purpose in life. The Person-Centred Theory of </w:t>
      </w:r>
      <w:proofErr w:type="spellStart"/>
      <w:r w:rsidRPr="00E421D7">
        <w:rPr>
          <w:rFonts w:ascii="Times New Roman" w:hAnsi="Times New Roman" w:cs="Times New Roman"/>
          <w:sz w:val="36"/>
          <w:szCs w:val="36"/>
        </w:rPr>
        <w:t>Kitwood</w:t>
      </w:r>
      <w:proofErr w:type="spellEnd"/>
      <w:r w:rsidRPr="00E421D7">
        <w:rPr>
          <w:rFonts w:ascii="Times New Roman" w:hAnsi="Times New Roman" w:cs="Times New Roman"/>
          <w:sz w:val="36"/>
          <w:szCs w:val="36"/>
        </w:rPr>
        <w:t xml:space="preserve"> provides healthcare professionals with a useful method to preserve dignity and personhood and support psychological wellness. The application of these theories at a critical level will help decrease distress while creating better behavio</w:t>
      </w:r>
      <w:r w:rsidR="00E421D7">
        <w:rPr>
          <w:rFonts w:ascii="Times New Roman" w:hAnsi="Times New Roman" w:cs="Times New Roman"/>
          <w:sz w:val="36"/>
          <w:szCs w:val="36"/>
        </w:rPr>
        <w:t>u</w:t>
      </w:r>
      <w:r w:rsidRPr="00E421D7">
        <w:rPr>
          <w:rFonts w:ascii="Times New Roman" w:hAnsi="Times New Roman" w:cs="Times New Roman"/>
          <w:sz w:val="36"/>
          <w:szCs w:val="36"/>
        </w:rPr>
        <w:t>ral results and improving life quality for elderly dementia patients. Health and social care professionals can successfully use psychological theory in their daily work through proper training</w:t>
      </w:r>
      <w:r w:rsidR="00E421D7">
        <w:rPr>
          <w:rFonts w:ascii="Times New Roman" w:hAnsi="Times New Roman" w:cs="Times New Roman"/>
          <w:sz w:val="36"/>
          <w:szCs w:val="36"/>
        </w:rPr>
        <w:t>,</w:t>
      </w:r>
      <w:r w:rsidRPr="00E421D7">
        <w:rPr>
          <w:rFonts w:ascii="Times New Roman" w:hAnsi="Times New Roman" w:cs="Times New Roman"/>
          <w:sz w:val="36"/>
          <w:szCs w:val="36"/>
        </w:rPr>
        <w:t xml:space="preserve"> reflective practice and organi</w:t>
      </w:r>
      <w:r w:rsidR="00E421D7">
        <w:rPr>
          <w:rFonts w:ascii="Times New Roman" w:hAnsi="Times New Roman" w:cs="Times New Roman"/>
          <w:sz w:val="36"/>
          <w:szCs w:val="36"/>
        </w:rPr>
        <w:t>s</w:t>
      </w:r>
      <w:r w:rsidRPr="00E421D7">
        <w:rPr>
          <w:rFonts w:ascii="Times New Roman" w:hAnsi="Times New Roman" w:cs="Times New Roman"/>
          <w:sz w:val="36"/>
          <w:szCs w:val="36"/>
        </w:rPr>
        <w:t>ational backing despite operational difficulties.</w:t>
      </w:r>
    </w:p>
    <w:p w14:paraId="1437866C" w14:textId="312C95CE" w:rsidR="00520163" w:rsidRDefault="00520163">
      <w:pPr>
        <w:rPr>
          <w:rFonts w:ascii="Times New Roman" w:hAnsi="Times New Roman" w:cs="Times New Roman"/>
        </w:rPr>
      </w:pPr>
      <w:r>
        <w:rPr>
          <w:rFonts w:ascii="Times New Roman" w:hAnsi="Times New Roman" w:cs="Times New Roman"/>
        </w:rPr>
        <w:br w:type="page"/>
      </w:r>
    </w:p>
    <w:p w14:paraId="27D5902E" w14:textId="77777777" w:rsidR="00D61F33" w:rsidRPr="00D61F33" w:rsidRDefault="00D61F33" w:rsidP="00D61F3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D61F33">
        <w:rPr>
          <w:rFonts w:ascii="Times New Roman" w:eastAsia="Times New Roman" w:hAnsi="Times New Roman" w:cs="Times New Roman"/>
          <w:b/>
          <w:bCs/>
          <w:color w:val="000000"/>
          <w:kern w:val="0"/>
          <w:sz w:val="36"/>
          <w:szCs w:val="36"/>
          <w:lang w:eastAsia="en-GB"/>
          <w14:ligatures w14:val="none"/>
        </w:rPr>
        <w:lastRenderedPageBreak/>
        <w:t>6. References</w:t>
      </w:r>
    </w:p>
    <w:p w14:paraId="4708F2D4"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D61F33">
        <w:rPr>
          <w:rFonts w:ascii="Times New Roman" w:eastAsia="Times New Roman" w:hAnsi="Times New Roman" w:cs="Times New Roman"/>
          <w:color w:val="000000"/>
          <w:kern w:val="0"/>
          <w:sz w:val="32"/>
          <w:szCs w:val="32"/>
          <w:lang w:eastAsia="en-GB"/>
          <w14:ligatures w14:val="none"/>
        </w:rPr>
        <w:t>Brooker, D. (2007) </w:t>
      </w:r>
      <w:r w:rsidRPr="00D61F33">
        <w:rPr>
          <w:rFonts w:ascii="Times New Roman" w:eastAsia="Times New Roman" w:hAnsi="Times New Roman" w:cs="Times New Roman"/>
          <w:i/>
          <w:iCs/>
          <w:color w:val="000000"/>
          <w:kern w:val="0"/>
          <w:sz w:val="32"/>
          <w:szCs w:val="32"/>
          <w:lang w:eastAsia="en-GB"/>
          <w14:ligatures w14:val="none"/>
        </w:rPr>
        <w:t>Person-Centred Dementia Care: Making Services Better</w:t>
      </w:r>
      <w:r w:rsidRPr="00D61F33">
        <w:rPr>
          <w:rFonts w:ascii="Times New Roman" w:eastAsia="Times New Roman" w:hAnsi="Times New Roman" w:cs="Times New Roman"/>
          <w:color w:val="000000"/>
          <w:kern w:val="0"/>
          <w:sz w:val="32"/>
          <w:szCs w:val="32"/>
          <w:lang w:eastAsia="en-GB"/>
          <w14:ligatures w14:val="none"/>
        </w:rPr>
        <w:t>. London: Jessica Kingsley Publishers.</w:t>
      </w:r>
    </w:p>
    <w:p w14:paraId="3D5878BF"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D61F33">
        <w:rPr>
          <w:rFonts w:ascii="Times New Roman" w:eastAsia="Times New Roman" w:hAnsi="Times New Roman" w:cs="Times New Roman"/>
          <w:color w:val="000000"/>
          <w:kern w:val="0"/>
          <w:sz w:val="32"/>
          <w:szCs w:val="32"/>
          <w:lang w:eastAsia="en-GB"/>
          <w14:ligatures w14:val="none"/>
        </w:rPr>
        <w:t>Erikson, E.H. (1982) </w:t>
      </w:r>
      <w:r w:rsidRPr="00D61F33">
        <w:rPr>
          <w:rFonts w:ascii="Times New Roman" w:eastAsia="Times New Roman" w:hAnsi="Times New Roman" w:cs="Times New Roman"/>
          <w:i/>
          <w:iCs/>
          <w:color w:val="000000"/>
          <w:kern w:val="0"/>
          <w:sz w:val="32"/>
          <w:szCs w:val="32"/>
          <w:lang w:eastAsia="en-GB"/>
          <w14:ligatures w14:val="none"/>
        </w:rPr>
        <w:t>The Life Cycle Completed</w:t>
      </w:r>
      <w:r w:rsidRPr="00D61F33">
        <w:rPr>
          <w:rFonts w:ascii="Times New Roman" w:eastAsia="Times New Roman" w:hAnsi="Times New Roman" w:cs="Times New Roman"/>
          <w:color w:val="000000"/>
          <w:kern w:val="0"/>
          <w:sz w:val="32"/>
          <w:szCs w:val="32"/>
          <w:lang w:eastAsia="en-GB"/>
          <w14:ligatures w14:val="none"/>
        </w:rPr>
        <w:t>. New York: W.W. Norton &amp; Company.</w:t>
      </w:r>
    </w:p>
    <w:p w14:paraId="061D070A"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roofErr w:type="spellStart"/>
      <w:r w:rsidRPr="00D61F33">
        <w:rPr>
          <w:rFonts w:ascii="Times New Roman" w:eastAsia="Times New Roman" w:hAnsi="Times New Roman" w:cs="Times New Roman"/>
          <w:color w:val="000000"/>
          <w:kern w:val="0"/>
          <w:sz w:val="32"/>
          <w:szCs w:val="32"/>
          <w:lang w:eastAsia="en-GB"/>
          <w14:ligatures w14:val="none"/>
        </w:rPr>
        <w:t>Kitwood</w:t>
      </w:r>
      <w:proofErr w:type="spellEnd"/>
      <w:r w:rsidRPr="00D61F33">
        <w:rPr>
          <w:rFonts w:ascii="Times New Roman" w:eastAsia="Times New Roman" w:hAnsi="Times New Roman" w:cs="Times New Roman"/>
          <w:color w:val="000000"/>
          <w:kern w:val="0"/>
          <w:sz w:val="32"/>
          <w:szCs w:val="32"/>
          <w:lang w:eastAsia="en-GB"/>
          <w14:ligatures w14:val="none"/>
        </w:rPr>
        <w:t>, T. (1997) </w:t>
      </w:r>
      <w:r w:rsidRPr="00D61F33">
        <w:rPr>
          <w:rFonts w:ascii="Times New Roman" w:eastAsia="Times New Roman" w:hAnsi="Times New Roman" w:cs="Times New Roman"/>
          <w:i/>
          <w:iCs/>
          <w:color w:val="000000"/>
          <w:kern w:val="0"/>
          <w:sz w:val="32"/>
          <w:szCs w:val="32"/>
          <w:lang w:eastAsia="en-GB"/>
          <w14:ligatures w14:val="none"/>
        </w:rPr>
        <w:t>Dementia Reconsidered: The Person Comes First</w:t>
      </w:r>
      <w:r w:rsidRPr="00D61F33">
        <w:rPr>
          <w:rFonts w:ascii="Times New Roman" w:eastAsia="Times New Roman" w:hAnsi="Times New Roman" w:cs="Times New Roman"/>
          <w:color w:val="000000"/>
          <w:kern w:val="0"/>
          <w:sz w:val="32"/>
          <w:szCs w:val="32"/>
          <w:lang w:eastAsia="en-GB"/>
          <w14:ligatures w14:val="none"/>
        </w:rPr>
        <w:t>. Buckingham: Open University Press.</w:t>
      </w:r>
    </w:p>
    <w:p w14:paraId="22A3C155"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D61F33">
        <w:rPr>
          <w:rFonts w:ascii="Times New Roman" w:eastAsia="Times New Roman" w:hAnsi="Times New Roman" w:cs="Times New Roman"/>
          <w:color w:val="000000"/>
          <w:kern w:val="0"/>
          <w:sz w:val="32"/>
          <w:szCs w:val="32"/>
          <w:lang w:eastAsia="en-GB"/>
          <w14:ligatures w14:val="none"/>
        </w:rPr>
        <w:t xml:space="preserve">Livingston, G., Huntley, J., </w:t>
      </w:r>
      <w:proofErr w:type="spellStart"/>
      <w:r w:rsidRPr="00D61F33">
        <w:rPr>
          <w:rFonts w:ascii="Times New Roman" w:eastAsia="Times New Roman" w:hAnsi="Times New Roman" w:cs="Times New Roman"/>
          <w:color w:val="000000"/>
          <w:kern w:val="0"/>
          <w:sz w:val="32"/>
          <w:szCs w:val="32"/>
          <w:lang w:eastAsia="en-GB"/>
          <w14:ligatures w14:val="none"/>
        </w:rPr>
        <w:t>Sommerlad</w:t>
      </w:r>
      <w:proofErr w:type="spellEnd"/>
      <w:r w:rsidRPr="00D61F33">
        <w:rPr>
          <w:rFonts w:ascii="Times New Roman" w:eastAsia="Times New Roman" w:hAnsi="Times New Roman" w:cs="Times New Roman"/>
          <w:color w:val="000000"/>
          <w:kern w:val="0"/>
          <w:sz w:val="32"/>
          <w:szCs w:val="32"/>
          <w:lang w:eastAsia="en-GB"/>
          <w14:ligatures w14:val="none"/>
        </w:rPr>
        <w:t xml:space="preserve">, A., Ames, D., Ballard, C., Banerjee, S., </w:t>
      </w:r>
      <w:proofErr w:type="spellStart"/>
      <w:r w:rsidRPr="00D61F33">
        <w:rPr>
          <w:rFonts w:ascii="Times New Roman" w:eastAsia="Times New Roman" w:hAnsi="Times New Roman" w:cs="Times New Roman"/>
          <w:color w:val="000000"/>
          <w:kern w:val="0"/>
          <w:sz w:val="32"/>
          <w:szCs w:val="32"/>
          <w:lang w:eastAsia="en-GB"/>
          <w14:ligatures w14:val="none"/>
        </w:rPr>
        <w:t>Brayne</w:t>
      </w:r>
      <w:proofErr w:type="spellEnd"/>
      <w:r w:rsidRPr="00D61F33">
        <w:rPr>
          <w:rFonts w:ascii="Times New Roman" w:eastAsia="Times New Roman" w:hAnsi="Times New Roman" w:cs="Times New Roman"/>
          <w:color w:val="000000"/>
          <w:kern w:val="0"/>
          <w:sz w:val="32"/>
          <w:szCs w:val="32"/>
          <w:lang w:eastAsia="en-GB"/>
          <w14:ligatures w14:val="none"/>
        </w:rPr>
        <w:t>, C. and Burns, A. (2020) ‘Dementia prevention, intervention, and care’, </w:t>
      </w:r>
      <w:r w:rsidRPr="00D61F33">
        <w:rPr>
          <w:rFonts w:ascii="Times New Roman" w:eastAsia="Times New Roman" w:hAnsi="Times New Roman" w:cs="Times New Roman"/>
          <w:i/>
          <w:iCs/>
          <w:color w:val="000000"/>
          <w:kern w:val="0"/>
          <w:sz w:val="32"/>
          <w:szCs w:val="32"/>
          <w:lang w:eastAsia="en-GB"/>
          <w14:ligatures w14:val="none"/>
        </w:rPr>
        <w:t>The Lancet</w:t>
      </w:r>
      <w:r w:rsidRPr="00D61F33">
        <w:rPr>
          <w:rFonts w:ascii="Times New Roman" w:eastAsia="Times New Roman" w:hAnsi="Times New Roman" w:cs="Times New Roman"/>
          <w:color w:val="000000"/>
          <w:kern w:val="0"/>
          <w:sz w:val="32"/>
          <w:szCs w:val="32"/>
          <w:lang w:eastAsia="en-GB"/>
          <w14:ligatures w14:val="none"/>
        </w:rPr>
        <w:t>, 396(10248), pp. 413–446.</w:t>
      </w:r>
    </w:p>
    <w:p w14:paraId="7F3CA447"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D61F33">
        <w:rPr>
          <w:rFonts w:ascii="Times New Roman" w:eastAsia="Times New Roman" w:hAnsi="Times New Roman" w:cs="Times New Roman"/>
          <w:color w:val="000000"/>
          <w:kern w:val="0"/>
          <w:sz w:val="32"/>
          <w:szCs w:val="32"/>
          <w:lang w:eastAsia="en-GB"/>
          <w14:ligatures w14:val="none"/>
        </w:rPr>
        <w:t>National Institute for Health and Care Excellence (NICE) (2018) </w:t>
      </w:r>
      <w:r w:rsidRPr="00D61F33">
        <w:rPr>
          <w:rFonts w:ascii="Times New Roman" w:eastAsia="Times New Roman" w:hAnsi="Times New Roman" w:cs="Times New Roman"/>
          <w:i/>
          <w:iCs/>
          <w:color w:val="000000"/>
          <w:kern w:val="0"/>
          <w:sz w:val="32"/>
          <w:szCs w:val="32"/>
          <w:lang w:eastAsia="en-GB"/>
          <w14:ligatures w14:val="none"/>
        </w:rPr>
        <w:t>Dementia: Assessment, Management and Support for People Living with Dementia and Their Carers</w:t>
      </w:r>
      <w:r w:rsidRPr="00D61F33">
        <w:rPr>
          <w:rFonts w:ascii="Times New Roman" w:eastAsia="Times New Roman" w:hAnsi="Times New Roman" w:cs="Times New Roman"/>
          <w:color w:val="000000"/>
          <w:kern w:val="0"/>
          <w:sz w:val="32"/>
          <w:szCs w:val="32"/>
          <w:lang w:eastAsia="en-GB"/>
          <w14:ligatures w14:val="none"/>
        </w:rPr>
        <w:t>. London: NICE.</w:t>
      </w:r>
    </w:p>
    <w:p w14:paraId="54774628" w14:textId="77777777" w:rsidR="00D61F33" w:rsidRPr="00D61F33" w:rsidRDefault="00D61F33" w:rsidP="00D61F33">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D61F33">
        <w:rPr>
          <w:rFonts w:ascii="Times New Roman" w:eastAsia="Times New Roman" w:hAnsi="Times New Roman" w:cs="Times New Roman"/>
          <w:color w:val="000000"/>
          <w:kern w:val="0"/>
          <w:sz w:val="32"/>
          <w:szCs w:val="32"/>
          <w:lang w:eastAsia="en-GB"/>
          <w14:ligatures w14:val="none"/>
        </w:rPr>
        <w:t xml:space="preserve">Woods, B., </w:t>
      </w:r>
      <w:proofErr w:type="spellStart"/>
      <w:r w:rsidRPr="00D61F33">
        <w:rPr>
          <w:rFonts w:ascii="Times New Roman" w:eastAsia="Times New Roman" w:hAnsi="Times New Roman" w:cs="Times New Roman"/>
          <w:color w:val="000000"/>
          <w:kern w:val="0"/>
          <w:sz w:val="32"/>
          <w:szCs w:val="32"/>
          <w:lang w:eastAsia="en-GB"/>
          <w14:ligatures w14:val="none"/>
        </w:rPr>
        <w:t>O’Philbin</w:t>
      </w:r>
      <w:proofErr w:type="spellEnd"/>
      <w:r w:rsidRPr="00D61F33">
        <w:rPr>
          <w:rFonts w:ascii="Times New Roman" w:eastAsia="Times New Roman" w:hAnsi="Times New Roman" w:cs="Times New Roman"/>
          <w:color w:val="000000"/>
          <w:kern w:val="0"/>
          <w:sz w:val="32"/>
          <w:szCs w:val="32"/>
          <w:lang w:eastAsia="en-GB"/>
          <w14:ligatures w14:val="none"/>
        </w:rPr>
        <w:t>, L., Farrell, E.M., Spector, A.E. and Orrell, M. (2018) ‘Reminiscence therapy for dementia’, </w:t>
      </w:r>
      <w:r w:rsidRPr="00D61F33">
        <w:rPr>
          <w:rFonts w:ascii="Times New Roman" w:eastAsia="Times New Roman" w:hAnsi="Times New Roman" w:cs="Times New Roman"/>
          <w:i/>
          <w:iCs/>
          <w:color w:val="000000"/>
          <w:kern w:val="0"/>
          <w:sz w:val="32"/>
          <w:szCs w:val="32"/>
          <w:lang w:eastAsia="en-GB"/>
          <w14:ligatures w14:val="none"/>
        </w:rPr>
        <w:t>Cochrane Database of Systematic Reviews</w:t>
      </w:r>
      <w:r w:rsidRPr="00D61F33">
        <w:rPr>
          <w:rFonts w:ascii="Times New Roman" w:eastAsia="Times New Roman" w:hAnsi="Times New Roman" w:cs="Times New Roman"/>
          <w:color w:val="000000"/>
          <w:kern w:val="0"/>
          <w:sz w:val="32"/>
          <w:szCs w:val="32"/>
          <w:lang w:eastAsia="en-GB"/>
          <w14:ligatures w14:val="none"/>
        </w:rPr>
        <w:t>, 3, pp. 1–78.</w:t>
      </w:r>
    </w:p>
    <w:p w14:paraId="167BDEFF" w14:textId="77777777" w:rsidR="00520163" w:rsidRPr="00300202" w:rsidRDefault="00520163" w:rsidP="00520163">
      <w:pPr>
        <w:jc w:val="both"/>
        <w:rPr>
          <w:rFonts w:ascii="Times New Roman" w:hAnsi="Times New Roman" w:cs="Times New Roman"/>
        </w:rPr>
      </w:pPr>
    </w:p>
    <w:sectPr w:rsidR="00520163" w:rsidRPr="00300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7BB"/>
    <w:rsid w:val="002B48BA"/>
    <w:rsid w:val="00300202"/>
    <w:rsid w:val="00374599"/>
    <w:rsid w:val="003C57BB"/>
    <w:rsid w:val="00520163"/>
    <w:rsid w:val="0058705F"/>
    <w:rsid w:val="005A5E6F"/>
    <w:rsid w:val="005D29BC"/>
    <w:rsid w:val="005F2909"/>
    <w:rsid w:val="006E3C73"/>
    <w:rsid w:val="007360BE"/>
    <w:rsid w:val="008C474B"/>
    <w:rsid w:val="009A78DC"/>
    <w:rsid w:val="00A771CF"/>
    <w:rsid w:val="00B478FD"/>
    <w:rsid w:val="00C7460B"/>
    <w:rsid w:val="00D61F33"/>
    <w:rsid w:val="00E1037F"/>
    <w:rsid w:val="00E42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5A983"/>
  <w15:chartTrackingRefBased/>
  <w15:docId w15:val="{45289AE8-FDAE-2845-BBD3-C05EDE337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B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C57B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57B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57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57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57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7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7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7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7B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C57B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57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57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57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57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7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7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7BB"/>
    <w:rPr>
      <w:rFonts w:eastAsiaTheme="majorEastAsia" w:cstheme="majorBidi"/>
      <w:color w:val="272727" w:themeColor="text1" w:themeTint="D8"/>
    </w:rPr>
  </w:style>
  <w:style w:type="paragraph" w:styleId="Title">
    <w:name w:val="Title"/>
    <w:basedOn w:val="Normal"/>
    <w:next w:val="Normal"/>
    <w:link w:val="TitleChar"/>
    <w:uiPriority w:val="10"/>
    <w:qFormat/>
    <w:rsid w:val="003C57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7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7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7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7BB"/>
    <w:pPr>
      <w:spacing w:before="160"/>
      <w:jc w:val="center"/>
    </w:pPr>
    <w:rPr>
      <w:i/>
      <w:iCs/>
      <w:color w:val="404040" w:themeColor="text1" w:themeTint="BF"/>
    </w:rPr>
  </w:style>
  <w:style w:type="character" w:customStyle="1" w:styleId="QuoteChar">
    <w:name w:val="Quote Char"/>
    <w:basedOn w:val="DefaultParagraphFont"/>
    <w:link w:val="Quote"/>
    <w:uiPriority w:val="29"/>
    <w:rsid w:val="003C57BB"/>
    <w:rPr>
      <w:i/>
      <w:iCs/>
      <w:color w:val="404040" w:themeColor="text1" w:themeTint="BF"/>
    </w:rPr>
  </w:style>
  <w:style w:type="paragraph" w:styleId="ListParagraph">
    <w:name w:val="List Paragraph"/>
    <w:basedOn w:val="Normal"/>
    <w:uiPriority w:val="34"/>
    <w:qFormat/>
    <w:rsid w:val="003C57BB"/>
    <w:pPr>
      <w:ind w:left="720"/>
      <w:contextualSpacing/>
    </w:pPr>
  </w:style>
  <w:style w:type="character" w:styleId="IntenseEmphasis">
    <w:name w:val="Intense Emphasis"/>
    <w:basedOn w:val="DefaultParagraphFont"/>
    <w:uiPriority w:val="21"/>
    <w:qFormat/>
    <w:rsid w:val="003C57BB"/>
    <w:rPr>
      <w:i/>
      <w:iCs/>
      <w:color w:val="2F5496" w:themeColor="accent1" w:themeShade="BF"/>
    </w:rPr>
  </w:style>
  <w:style w:type="paragraph" w:styleId="IntenseQuote">
    <w:name w:val="Intense Quote"/>
    <w:basedOn w:val="Normal"/>
    <w:next w:val="Normal"/>
    <w:link w:val="IntenseQuoteChar"/>
    <w:uiPriority w:val="30"/>
    <w:qFormat/>
    <w:rsid w:val="003C57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57BB"/>
    <w:rPr>
      <w:i/>
      <w:iCs/>
      <w:color w:val="2F5496" w:themeColor="accent1" w:themeShade="BF"/>
    </w:rPr>
  </w:style>
  <w:style w:type="character" w:styleId="IntenseReference">
    <w:name w:val="Intense Reference"/>
    <w:basedOn w:val="DefaultParagraphFont"/>
    <w:uiPriority w:val="32"/>
    <w:qFormat/>
    <w:rsid w:val="003C57BB"/>
    <w:rPr>
      <w:b/>
      <w:bCs/>
      <w:smallCaps/>
      <w:color w:val="2F5496" w:themeColor="accent1" w:themeShade="BF"/>
      <w:spacing w:val="5"/>
    </w:rPr>
  </w:style>
  <w:style w:type="paragraph" w:styleId="NormalWeb">
    <w:name w:val="Normal (Web)"/>
    <w:basedOn w:val="Normal"/>
    <w:uiPriority w:val="99"/>
    <w:semiHidden/>
    <w:unhideWhenUsed/>
    <w:rsid w:val="003C57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C57BB"/>
    <w:rPr>
      <w:b/>
      <w:bCs/>
    </w:rPr>
  </w:style>
  <w:style w:type="character" w:customStyle="1" w:styleId="apple-converted-space">
    <w:name w:val="apple-converted-space"/>
    <w:basedOn w:val="DefaultParagraphFont"/>
    <w:rsid w:val="003C57BB"/>
  </w:style>
  <w:style w:type="character" w:styleId="Emphasis">
    <w:name w:val="Emphasis"/>
    <w:basedOn w:val="DefaultParagraphFont"/>
    <w:uiPriority w:val="20"/>
    <w:qFormat/>
    <w:rsid w:val="00D61F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1741</Words>
  <Characters>9928</Characters>
  <Application>Microsoft Office Word</Application>
  <DocSecurity>0</DocSecurity>
  <Lines>82</Lines>
  <Paragraphs>23</Paragraphs>
  <ScaleCrop>false</ScaleCrop>
  <Company/>
  <LinksUpToDate>false</LinksUpToDate>
  <CharactersWithSpaces>11646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MAYLISS PEREIRA-SEMEDO</dc:creator>
  <cp:keywords/>
  <dc:description/>
  <cp:lastModifiedBy>Alex Evelyn</cp:lastModifiedBy>
  <cp:revision>2</cp:revision>
  <dcterms:created xsi:type="dcterms:W3CDTF">2025-12-28T12:30:00Z</dcterms:created>
  <dcterms:modified xsi:type="dcterms:W3CDTF">2025-12-28T12:30:00Z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BBB3D81A-B09C-4643-9F5F-05B6DA7AAF8B</vt:lpwstr>
  </property>
</Properties>
</file>