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sz w:val="24"/>
          <w:szCs w:val="24"/>
          <w:lang w:val="en-IN"/>
        </w:rPr>
        <w:id w:val="2251163"/>
        <w:docPartObj>
          <w:docPartGallery w:val="Cover Pages"/>
          <w:docPartUnique/>
        </w:docPartObj>
      </w:sdtPr>
      <w:sdtEndPr>
        <w:rPr>
          <w:lang w:val="en-GB"/>
        </w:rPr>
      </w:sdtEndPr>
      <w:sdtContent>
        <w:p w14:paraId="573810DB" w14:textId="77777777" w:rsidR="004223A8" w:rsidRPr="004223A8" w:rsidRDefault="004223A8" w:rsidP="004223A8">
          <w:pPr>
            <w:pStyle w:val="NoSpacing"/>
            <w:rPr>
              <w:rFonts w:ascii="Arial" w:hAnsi="Arial" w:cs="Arial"/>
              <w:sz w:val="24"/>
              <w:szCs w:val="24"/>
            </w:rPr>
          </w:pPr>
        </w:p>
        <w:p w14:paraId="1CEB9254" w14:textId="77777777" w:rsidR="004223A8" w:rsidRPr="004223A8" w:rsidRDefault="004223A8" w:rsidP="004223A8">
          <w:pPr>
            <w:rPr>
              <w:rFonts w:ascii="Arial" w:hAnsi="Arial" w:cs="Arial"/>
              <w:sz w:val="24"/>
              <w:szCs w:val="24"/>
            </w:rPr>
          </w:pPr>
          <w:r w:rsidRPr="004223A8">
            <w:rPr>
              <w:rFonts w:ascii="Arial" w:hAnsi="Arial" w:cs="Arial"/>
              <w:noProof/>
              <w:sz w:val="24"/>
              <w:szCs w:val="24"/>
            </w:rPr>
            <mc:AlternateContent>
              <mc:Choice Requires="wps">
                <w:drawing>
                  <wp:anchor distT="0" distB="0" distL="114300" distR="114300" simplePos="0" relativeHeight="251661312" behindDoc="0" locked="0" layoutInCell="1" allowOverlap="1" wp14:anchorId="72A53D24" wp14:editId="482788F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1F3864" w:themeColor="accent1" w:themeShade="80"/>
                                    <w:sz w:val="56"/>
                                    <w:szCs w:val="56"/>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sdtContent>
                                  <w:p w14:paraId="1BB21C61" w14:textId="77777777" w:rsidR="004223A8" w:rsidRPr="000A7B90" w:rsidRDefault="004223A8" w:rsidP="004223A8">
                                    <w:pPr>
                                      <w:pStyle w:val="NoSpacing"/>
                                      <w:rPr>
                                        <w:rFonts w:asciiTheme="majorHAnsi" w:eastAsiaTheme="majorEastAsia" w:hAnsiTheme="majorHAnsi" w:cstheme="majorBidi"/>
                                        <w:b/>
                                        <w:bCs/>
                                        <w:caps/>
                                        <w:color w:val="1F3864" w:themeColor="accent1" w:themeShade="80"/>
                                        <w:sz w:val="56"/>
                                        <w:szCs w:val="56"/>
                                      </w:rPr>
                                    </w:pPr>
                                    <w:r>
                                      <w:rPr>
                                        <w:rFonts w:asciiTheme="majorHAnsi" w:eastAsiaTheme="majorEastAsia" w:hAnsiTheme="majorHAnsi" w:cstheme="majorBidi"/>
                                        <w:b/>
                                        <w:bCs/>
                                        <w:caps/>
                                        <w:color w:val="1F3864" w:themeColor="accent1" w:themeShade="80"/>
                                        <w:sz w:val="56"/>
                                        <w:szCs w:val="56"/>
                                      </w:rPr>
                                      <w:t xml:space="preserve">     </w:t>
                                    </w:r>
                                  </w:p>
                                </w:sdtContent>
                              </w:sdt>
                              <w:p w14:paraId="1AF78005" w14:textId="77777777" w:rsidR="004223A8" w:rsidRDefault="00597860" w:rsidP="004223A8">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4223A8">
                                      <w:rPr>
                                        <w:color w:val="4472C4" w:themeColor="accent1"/>
                                        <w:sz w:val="36"/>
                                        <w:szCs w:val="36"/>
                                      </w:rPr>
                                      <w:t xml:space="preserve">     </w:t>
                                    </w:r>
                                  </w:sdtContent>
                                </w:sdt>
                                <w:r w:rsidR="004223A8">
                                  <w:rPr>
                                    <w:noProof/>
                                  </w:rPr>
                                  <w:t xml:space="preserve"> </w:t>
                                </w:r>
                              </w:p>
                              <w:p w14:paraId="23F6FDEF" w14:textId="77777777" w:rsidR="004223A8" w:rsidRDefault="004223A8" w:rsidP="004223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2A53D2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b/>
                              <w:bCs/>
                              <w:caps/>
                              <w:color w:val="1F3864" w:themeColor="accent1" w:themeShade="80"/>
                              <w:sz w:val="56"/>
                              <w:szCs w:val="56"/>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sdtContent>
                            <w:p w14:paraId="1BB21C61" w14:textId="77777777" w:rsidR="004223A8" w:rsidRPr="000A7B90" w:rsidRDefault="004223A8" w:rsidP="004223A8">
                              <w:pPr>
                                <w:pStyle w:val="NoSpacing"/>
                                <w:rPr>
                                  <w:rFonts w:asciiTheme="majorHAnsi" w:eastAsiaTheme="majorEastAsia" w:hAnsiTheme="majorHAnsi" w:cstheme="majorBidi"/>
                                  <w:b/>
                                  <w:bCs/>
                                  <w:caps/>
                                  <w:color w:val="1F3864" w:themeColor="accent1" w:themeShade="80"/>
                                  <w:sz w:val="56"/>
                                  <w:szCs w:val="56"/>
                                </w:rPr>
                              </w:pPr>
                              <w:r>
                                <w:rPr>
                                  <w:rFonts w:asciiTheme="majorHAnsi" w:eastAsiaTheme="majorEastAsia" w:hAnsiTheme="majorHAnsi" w:cstheme="majorBidi"/>
                                  <w:b/>
                                  <w:bCs/>
                                  <w:caps/>
                                  <w:color w:val="1F3864" w:themeColor="accent1" w:themeShade="80"/>
                                  <w:sz w:val="56"/>
                                  <w:szCs w:val="56"/>
                                </w:rPr>
                                <w:t xml:space="preserve">     </w:t>
                              </w:r>
                            </w:p>
                          </w:sdtContent>
                        </w:sdt>
                        <w:p w14:paraId="1AF78005" w14:textId="77777777" w:rsidR="004223A8" w:rsidRDefault="00597860" w:rsidP="004223A8">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4223A8">
                                <w:rPr>
                                  <w:color w:val="4472C4" w:themeColor="accent1"/>
                                  <w:sz w:val="36"/>
                                  <w:szCs w:val="36"/>
                                </w:rPr>
                                <w:t xml:space="preserve">     </w:t>
                              </w:r>
                            </w:sdtContent>
                          </w:sdt>
                          <w:r w:rsidR="004223A8">
                            <w:rPr>
                              <w:noProof/>
                            </w:rPr>
                            <w:t xml:space="preserve"> </w:t>
                          </w:r>
                        </w:p>
                        <w:p w14:paraId="23F6FDEF" w14:textId="77777777" w:rsidR="004223A8" w:rsidRDefault="004223A8" w:rsidP="004223A8"/>
                      </w:txbxContent>
                    </v:textbox>
                    <w10:wrap anchorx="page" anchory="margin"/>
                  </v:shape>
                </w:pict>
              </mc:Fallback>
            </mc:AlternateContent>
          </w:r>
          <w:r w:rsidRPr="004223A8">
            <w:rPr>
              <w:rFonts w:ascii="Arial" w:hAnsi="Arial" w:cs="Arial"/>
              <w:noProof/>
              <w:color w:val="4472C4" w:themeColor="accent1"/>
              <w:sz w:val="24"/>
              <w:szCs w:val="24"/>
            </w:rPr>
            <mc:AlternateContent>
              <mc:Choice Requires="wpg">
                <w:drawing>
                  <wp:anchor distT="0" distB="0" distL="114300" distR="114300" simplePos="0" relativeHeight="251660288" behindDoc="1" locked="0" layoutInCell="1" allowOverlap="1" wp14:anchorId="2FBE1B03" wp14:editId="2B1F0D2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9757BD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4223A8">
            <w:rPr>
              <w:rFonts w:ascii="Arial" w:hAnsi="Arial" w:cs="Arial"/>
              <w:noProof/>
              <w:sz w:val="24"/>
              <w:szCs w:val="24"/>
            </w:rPr>
            <mc:AlternateContent>
              <mc:Choice Requires="wps">
                <w:drawing>
                  <wp:anchor distT="0" distB="0" distL="114300" distR="114300" simplePos="0" relativeHeight="251659264" behindDoc="0" locked="0" layoutInCell="1" allowOverlap="1" wp14:anchorId="6149049C" wp14:editId="4942B44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78838D" w14:textId="77777777" w:rsidR="004223A8" w:rsidRDefault="00597860" w:rsidP="004223A8">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4223A8">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0B5BAE3D" w14:textId="77777777" w:rsidR="004223A8" w:rsidRDefault="004223A8" w:rsidP="004223A8">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149049C"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578838D" w14:textId="77777777" w:rsidR="004223A8" w:rsidRDefault="00597860" w:rsidP="004223A8">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4223A8">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0B5BAE3D" w14:textId="77777777" w:rsidR="004223A8" w:rsidRDefault="004223A8" w:rsidP="004223A8">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0D31CA7E" w14:textId="77777777" w:rsidR="00CE783B" w:rsidRDefault="004223A8" w:rsidP="00CE783B">
          <w:pPr>
            <w:spacing w:line="360" w:lineRule="auto"/>
            <w:jc w:val="center"/>
            <w:rPr>
              <w:rFonts w:ascii="Arial" w:hAnsi="Arial" w:cs="Arial"/>
              <w:sz w:val="24"/>
              <w:szCs w:val="24"/>
            </w:rPr>
          </w:pPr>
          <w:r w:rsidRPr="004223A8">
            <w:rPr>
              <w:rFonts w:ascii="Arial" w:hAnsi="Arial" w:cs="Arial"/>
              <w:sz w:val="24"/>
              <w:szCs w:val="24"/>
            </w:rPr>
            <w:br w:type="page"/>
          </w:r>
        </w:p>
        <w:p w14:paraId="7AA1FB83" w14:textId="77777777" w:rsidR="00CE783B" w:rsidRDefault="00CE783B" w:rsidP="00CE783B">
          <w:pPr>
            <w:spacing w:line="360" w:lineRule="auto"/>
            <w:jc w:val="center"/>
            <w:rPr>
              <w:rFonts w:ascii="Arial" w:hAnsi="Arial" w:cs="Arial"/>
              <w:sz w:val="24"/>
              <w:szCs w:val="24"/>
            </w:rPr>
          </w:pPr>
        </w:p>
        <w:p w14:paraId="0B461556" w14:textId="3C50C2C1" w:rsidR="00CE783B" w:rsidRDefault="00CE783B" w:rsidP="00CE783B">
          <w:pPr>
            <w:spacing w:line="360" w:lineRule="auto"/>
            <w:jc w:val="center"/>
            <w:rPr>
              <w:rFonts w:ascii="Arial" w:hAnsi="Arial" w:cs="Arial"/>
              <w:b/>
              <w:bCs/>
              <w:sz w:val="24"/>
              <w:szCs w:val="24"/>
            </w:rPr>
          </w:pPr>
          <w:r w:rsidRPr="00CE783B">
            <w:rPr>
              <w:rFonts w:ascii="Arial" w:hAnsi="Arial" w:cs="Arial"/>
              <w:b/>
              <w:bCs/>
              <w:sz w:val="24"/>
              <w:szCs w:val="24"/>
            </w:rPr>
            <w:t>Analysis of the financial statement for Hilton Hotel</w:t>
          </w:r>
        </w:p>
        <w:p w14:paraId="020E81B8" w14:textId="77777777" w:rsidR="00CE783B" w:rsidRDefault="00CE783B" w:rsidP="00CE783B">
          <w:pPr>
            <w:spacing w:line="360" w:lineRule="auto"/>
            <w:jc w:val="center"/>
            <w:rPr>
              <w:rFonts w:ascii="Arial" w:hAnsi="Arial" w:cs="Arial"/>
              <w:b/>
              <w:bCs/>
              <w:sz w:val="24"/>
              <w:szCs w:val="24"/>
            </w:rPr>
          </w:pPr>
        </w:p>
        <w:p w14:paraId="03ADBEC1" w14:textId="0B864CA3" w:rsidR="00CE783B" w:rsidRDefault="00CE783B" w:rsidP="00CE783B">
          <w:pPr>
            <w:spacing w:line="360" w:lineRule="auto"/>
            <w:jc w:val="center"/>
            <w:rPr>
              <w:rFonts w:ascii="Arial" w:hAnsi="Arial" w:cs="Arial"/>
              <w:b/>
              <w:bCs/>
              <w:sz w:val="24"/>
              <w:szCs w:val="24"/>
            </w:rPr>
          </w:pPr>
        </w:p>
        <w:p w14:paraId="3A36C588" w14:textId="6244D4B6" w:rsidR="00CE783B" w:rsidRDefault="00CE783B" w:rsidP="00CE783B">
          <w:pPr>
            <w:spacing w:line="360" w:lineRule="auto"/>
            <w:jc w:val="center"/>
            <w:rPr>
              <w:rFonts w:ascii="Arial" w:hAnsi="Arial" w:cs="Arial"/>
              <w:b/>
              <w:bCs/>
              <w:sz w:val="24"/>
              <w:szCs w:val="24"/>
            </w:rPr>
          </w:pPr>
        </w:p>
        <w:p w14:paraId="05A12FF3" w14:textId="13B92AFD" w:rsidR="00CE783B" w:rsidRDefault="00CE783B" w:rsidP="00CE783B">
          <w:pPr>
            <w:spacing w:line="360" w:lineRule="auto"/>
            <w:jc w:val="center"/>
            <w:rPr>
              <w:rFonts w:ascii="Arial" w:hAnsi="Arial" w:cs="Arial"/>
              <w:b/>
              <w:bCs/>
              <w:sz w:val="24"/>
              <w:szCs w:val="24"/>
            </w:rPr>
          </w:pPr>
        </w:p>
        <w:p w14:paraId="41B2D7BE" w14:textId="050B77D5" w:rsidR="00CE783B" w:rsidRDefault="00CE783B" w:rsidP="00CE783B">
          <w:pPr>
            <w:spacing w:line="360" w:lineRule="auto"/>
            <w:jc w:val="center"/>
            <w:rPr>
              <w:rFonts w:ascii="Arial" w:hAnsi="Arial" w:cs="Arial"/>
              <w:b/>
              <w:bCs/>
              <w:sz w:val="24"/>
              <w:szCs w:val="24"/>
            </w:rPr>
          </w:pPr>
        </w:p>
        <w:p w14:paraId="2400D7C2" w14:textId="4F61FBDA" w:rsidR="00CE783B" w:rsidRDefault="00CE783B" w:rsidP="00CE783B">
          <w:pPr>
            <w:spacing w:line="360" w:lineRule="auto"/>
            <w:jc w:val="center"/>
            <w:rPr>
              <w:rFonts w:ascii="Arial" w:hAnsi="Arial" w:cs="Arial"/>
              <w:b/>
              <w:bCs/>
              <w:sz w:val="24"/>
              <w:szCs w:val="24"/>
            </w:rPr>
          </w:pPr>
        </w:p>
        <w:p w14:paraId="7D07B3E2" w14:textId="2B8CCF34" w:rsidR="00CE783B" w:rsidRDefault="00CE783B" w:rsidP="00CE783B">
          <w:pPr>
            <w:spacing w:line="360" w:lineRule="auto"/>
            <w:jc w:val="center"/>
            <w:rPr>
              <w:rFonts w:ascii="Arial" w:hAnsi="Arial" w:cs="Arial"/>
              <w:b/>
              <w:bCs/>
              <w:sz w:val="24"/>
              <w:szCs w:val="24"/>
            </w:rPr>
          </w:pPr>
        </w:p>
        <w:p w14:paraId="53F5B928" w14:textId="14CD2760" w:rsidR="00CE783B" w:rsidRDefault="00CE783B" w:rsidP="00CE783B">
          <w:pPr>
            <w:spacing w:line="360" w:lineRule="auto"/>
            <w:jc w:val="center"/>
            <w:rPr>
              <w:rFonts w:ascii="Arial" w:hAnsi="Arial" w:cs="Arial"/>
              <w:b/>
              <w:bCs/>
              <w:sz w:val="24"/>
              <w:szCs w:val="24"/>
            </w:rPr>
          </w:pPr>
        </w:p>
        <w:p w14:paraId="1D6C3A4F" w14:textId="5C05B786" w:rsidR="00CE783B" w:rsidRDefault="00CE783B" w:rsidP="00CE783B">
          <w:pPr>
            <w:spacing w:line="360" w:lineRule="auto"/>
            <w:jc w:val="center"/>
            <w:rPr>
              <w:rFonts w:ascii="Arial" w:hAnsi="Arial" w:cs="Arial"/>
              <w:b/>
              <w:bCs/>
              <w:sz w:val="24"/>
              <w:szCs w:val="24"/>
            </w:rPr>
          </w:pPr>
        </w:p>
        <w:p w14:paraId="625E6CD0" w14:textId="77777777" w:rsidR="00CE783B" w:rsidRDefault="00CE783B" w:rsidP="00CE783B">
          <w:pPr>
            <w:spacing w:line="360" w:lineRule="auto"/>
            <w:jc w:val="center"/>
            <w:rPr>
              <w:rFonts w:ascii="Arial" w:hAnsi="Arial" w:cs="Arial"/>
              <w:b/>
              <w:bCs/>
              <w:sz w:val="24"/>
              <w:szCs w:val="24"/>
            </w:rPr>
          </w:pPr>
        </w:p>
        <w:p w14:paraId="105B77C0" w14:textId="59FDD4B7" w:rsidR="00CE783B" w:rsidRPr="00CE783B" w:rsidRDefault="00CE783B" w:rsidP="00CE783B">
          <w:pPr>
            <w:spacing w:line="360" w:lineRule="auto"/>
            <w:jc w:val="center"/>
            <w:rPr>
              <w:rFonts w:ascii="Arial" w:hAnsi="Arial" w:cs="Arial"/>
              <w:sz w:val="24"/>
              <w:szCs w:val="24"/>
            </w:rPr>
          </w:pPr>
          <w:r w:rsidRPr="00CE783B">
            <w:rPr>
              <w:rFonts w:ascii="Arial" w:hAnsi="Arial" w:cs="Arial"/>
              <w:sz w:val="24"/>
              <w:szCs w:val="24"/>
            </w:rPr>
            <w:t>Student: Lenuta Maria Furo</w:t>
          </w:r>
        </w:p>
        <w:p w14:paraId="79D64DFD" w14:textId="1B15D3FE" w:rsidR="00CE783B" w:rsidRPr="00CE783B" w:rsidRDefault="00CE783B" w:rsidP="00CE783B">
          <w:pPr>
            <w:spacing w:line="360" w:lineRule="auto"/>
            <w:jc w:val="center"/>
            <w:rPr>
              <w:rFonts w:ascii="Arial" w:hAnsi="Arial" w:cs="Arial"/>
              <w:sz w:val="24"/>
              <w:szCs w:val="24"/>
            </w:rPr>
          </w:pPr>
          <w:r w:rsidRPr="00CE783B">
            <w:rPr>
              <w:rFonts w:ascii="Arial" w:hAnsi="Arial" w:cs="Arial"/>
              <w:sz w:val="24"/>
              <w:szCs w:val="24"/>
            </w:rPr>
            <w:t>ID: 2019723</w:t>
          </w:r>
        </w:p>
        <w:p w14:paraId="2F726881" w14:textId="661CEBBD" w:rsidR="00CE783B" w:rsidRPr="00CE783B" w:rsidRDefault="00CE783B" w:rsidP="00CE783B">
          <w:pPr>
            <w:spacing w:line="360" w:lineRule="auto"/>
            <w:jc w:val="center"/>
            <w:rPr>
              <w:rFonts w:ascii="Arial" w:hAnsi="Arial" w:cs="Arial"/>
              <w:sz w:val="24"/>
              <w:szCs w:val="24"/>
            </w:rPr>
          </w:pPr>
          <w:r w:rsidRPr="00CE783B">
            <w:rPr>
              <w:rFonts w:ascii="Arial" w:hAnsi="Arial" w:cs="Arial"/>
              <w:sz w:val="24"/>
              <w:szCs w:val="24"/>
            </w:rPr>
            <w:t>Module: BMIH 5007</w:t>
          </w:r>
        </w:p>
        <w:p w14:paraId="7E8C9636" w14:textId="5227527D" w:rsidR="00CE783B" w:rsidRPr="00CE783B" w:rsidRDefault="00CE783B" w:rsidP="00CE783B">
          <w:pPr>
            <w:spacing w:line="360" w:lineRule="auto"/>
            <w:jc w:val="center"/>
            <w:rPr>
              <w:rFonts w:ascii="Arial" w:hAnsi="Arial" w:cs="Arial"/>
              <w:sz w:val="24"/>
              <w:szCs w:val="24"/>
            </w:rPr>
          </w:pPr>
          <w:r w:rsidRPr="00CE783B">
            <w:rPr>
              <w:rFonts w:ascii="Arial" w:hAnsi="Arial" w:cs="Arial"/>
              <w:sz w:val="24"/>
              <w:szCs w:val="24"/>
            </w:rPr>
            <w:t>Lecturer: Dale Clarke</w:t>
          </w:r>
        </w:p>
        <w:p w14:paraId="4A49156A" w14:textId="77777777" w:rsidR="00CE783B" w:rsidRDefault="00CE783B" w:rsidP="00CE783B">
          <w:pPr>
            <w:spacing w:line="360" w:lineRule="auto"/>
            <w:jc w:val="center"/>
            <w:rPr>
              <w:rFonts w:ascii="Arial" w:hAnsi="Arial" w:cs="Arial"/>
              <w:b/>
              <w:bCs/>
              <w:sz w:val="24"/>
              <w:szCs w:val="24"/>
            </w:rPr>
          </w:pPr>
        </w:p>
        <w:p w14:paraId="28FF0BE8" w14:textId="77777777" w:rsidR="00CE783B" w:rsidRDefault="00CE783B" w:rsidP="00CE783B">
          <w:pPr>
            <w:spacing w:line="360" w:lineRule="auto"/>
            <w:jc w:val="center"/>
            <w:rPr>
              <w:rFonts w:ascii="Arial" w:hAnsi="Arial" w:cs="Arial"/>
              <w:b/>
              <w:bCs/>
              <w:sz w:val="24"/>
              <w:szCs w:val="24"/>
            </w:rPr>
          </w:pPr>
        </w:p>
        <w:p w14:paraId="395F2BE8" w14:textId="77777777" w:rsidR="00CE783B" w:rsidRDefault="00CE783B" w:rsidP="00CE783B">
          <w:pPr>
            <w:spacing w:line="360" w:lineRule="auto"/>
            <w:jc w:val="center"/>
            <w:rPr>
              <w:rFonts w:ascii="Arial" w:hAnsi="Arial" w:cs="Arial"/>
              <w:b/>
              <w:bCs/>
              <w:sz w:val="24"/>
              <w:szCs w:val="24"/>
            </w:rPr>
          </w:pPr>
        </w:p>
        <w:p w14:paraId="6D7B0043" w14:textId="77777777" w:rsidR="00CE783B" w:rsidRDefault="00CE783B" w:rsidP="00CE783B">
          <w:pPr>
            <w:spacing w:line="360" w:lineRule="auto"/>
            <w:jc w:val="center"/>
            <w:rPr>
              <w:rFonts w:ascii="Arial" w:hAnsi="Arial" w:cs="Arial"/>
              <w:b/>
              <w:bCs/>
              <w:sz w:val="24"/>
              <w:szCs w:val="24"/>
            </w:rPr>
          </w:pPr>
        </w:p>
        <w:p w14:paraId="21A95297" w14:textId="77777777" w:rsidR="00CE783B" w:rsidRDefault="00CE783B" w:rsidP="00CE783B">
          <w:pPr>
            <w:spacing w:line="360" w:lineRule="auto"/>
            <w:jc w:val="center"/>
            <w:rPr>
              <w:rFonts w:ascii="Arial" w:hAnsi="Arial" w:cs="Arial"/>
              <w:b/>
              <w:bCs/>
              <w:sz w:val="24"/>
              <w:szCs w:val="24"/>
            </w:rPr>
          </w:pPr>
        </w:p>
        <w:p w14:paraId="574661FC" w14:textId="77777777" w:rsidR="00CE783B" w:rsidRDefault="00CE783B" w:rsidP="00CE783B">
          <w:pPr>
            <w:spacing w:line="360" w:lineRule="auto"/>
            <w:jc w:val="center"/>
            <w:rPr>
              <w:rFonts w:ascii="Arial" w:hAnsi="Arial" w:cs="Arial"/>
              <w:b/>
              <w:bCs/>
              <w:sz w:val="24"/>
              <w:szCs w:val="24"/>
            </w:rPr>
          </w:pPr>
        </w:p>
        <w:p w14:paraId="5A9A9A69" w14:textId="77777777" w:rsidR="00CE783B" w:rsidRDefault="00CE783B" w:rsidP="00CE783B">
          <w:pPr>
            <w:spacing w:line="360" w:lineRule="auto"/>
            <w:jc w:val="center"/>
            <w:rPr>
              <w:rFonts w:ascii="Arial" w:hAnsi="Arial" w:cs="Arial"/>
              <w:b/>
              <w:bCs/>
              <w:sz w:val="24"/>
              <w:szCs w:val="24"/>
            </w:rPr>
          </w:pPr>
        </w:p>
        <w:p w14:paraId="14596228" w14:textId="4229D9F0" w:rsidR="004223A8" w:rsidRPr="004223A8" w:rsidRDefault="00597860" w:rsidP="00CE783B">
          <w:pPr>
            <w:spacing w:line="360" w:lineRule="auto"/>
            <w:jc w:val="center"/>
            <w:rPr>
              <w:rFonts w:ascii="Arial" w:hAnsi="Arial" w:cs="Arial"/>
              <w:sz w:val="24"/>
              <w:szCs w:val="24"/>
            </w:rPr>
          </w:pPr>
        </w:p>
      </w:sdtContent>
    </w:sdt>
    <w:sdt>
      <w:sdtPr>
        <w:rPr>
          <w:rFonts w:ascii="Arial" w:eastAsiaTheme="minorHAnsi" w:hAnsi="Arial" w:cs="Arial"/>
          <w:color w:val="auto"/>
          <w:sz w:val="24"/>
          <w:szCs w:val="24"/>
          <w:lang w:val="en-IN"/>
        </w:rPr>
        <w:id w:val="950360251"/>
        <w:docPartObj>
          <w:docPartGallery w:val="Table of Contents"/>
          <w:docPartUnique/>
        </w:docPartObj>
      </w:sdtPr>
      <w:sdtEndPr>
        <w:rPr>
          <w:b/>
          <w:bCs/>
          <w:noProof/>
          <w:lang w:val="en-GB"/>
        </w:rPr>
      </w:sdtEndPr>
      <w:sdtContent>
        <w:p w14:paraId="44175081" w14:textId="77777777" w:rsidR="004223A8" w:rsidRPr="004223A8" w:rsidRDefault="004223A8" w:rsidP="004223A8">
          <w:pPr>
            <w:pStyle w:val="TOCHeading"/>
            <w:jc w:val="center"/>
            <w:rPr>
              <w:rFonts w:ascii="Arial" w:hAnsi="Arial" w:cs="Arial"/>
              <w:sz w:val="24"/>
              <w:szCs w:val="24"/>
            </w:rPr>
          </w:pPr>
          <w:r w:rsidRPr="004223A8">
            <w:rPr>
              <w:rFonts w:ascii="Arial" w:hAnsi="Arial" w:cs="Arial"/>
              <w:sz w:val="24"/>
              <w:szCs w:val="24"/>
            </w:rPr>
            <w:t>Table of Contents</w:t>
          </w:r>
        </w:p>
        <w:p w14:paraId="4D7832A3" w14:textId="77777777" w:rsidR="004223A8" w:rsidRPr="004223A8" w:rsidRDefault="004223A8" w:rsidP="004223A8">
          <w:pPr>
            <w:pStyle w:val="TOC1"/>
            <w:tabs>
              <w:tab w:val="right" w:leader="dot" w:pos="9016"/>
            </w:tabs>
            <w:rPr>
              <w:rFonts w:ascii="Arial" w:eastAsiaTheme="minorEastAsia" w:hAnsi="Arial" w:cs="Arial"/>
              <w:noProof/>
              <w:szCs w:val="24"/>
              <w:lang w:eastAsia="en-IN"/>
            </w:rPr>
          </w:pPr>
          <w:r w:rsidRPr="004223A8">
            <w:rPr>
              <w:rFonts w:ascii="Arial" w:hAnsi="Arial" w:cs="Arial"/>
              <w:szCs w:val="24"/>
            </w:rPr>
            <w:fldChar w:fldCharType="begin"/>
          </w:r>
          <w:r w:rsidRPr="004223A8">
            <w:rPr>
              <w:rFonts w:ascii="Arial" w:hAnsi="Arial" w:cs="Arial"/>
              <w:szCs w:val="24"/>
            </w:rPr>
            <w:instrText xml:space="preserve"> TOC \o "1-3" \h \z \u </w:instrText>
          </w:r>
          <w:r w:rsidRPr="004223A8">
            <w:rPr>
              <w:rFonts w:ascii="Arial" w:hAnsi="Arial" w:cs="Arial"/>
              <w:szCs w:val="24"/>
            </w:rPr>
            <w:fldChar w:fldCharType="separate"/>
          </w:r>
          <w:hyperlink w:anchor="_Toc104244055" w:history="1">
            <w:r w:rsidRPr="004223A8">
              <w:rPr>
                <w:rStyle w:val="Hyperlink"/>
                <w:rFonts w:ascii="Arial" w:hAnsi="Arial" w:cs="Arial"/>
                <w:noProof/>
                <w:szCs w:val="24"/>
              </w:rPr>
              <w:t>Introduction</w:t>
            </w:r>
            <w:r w:rsidRPr="004223A8">
              <w:rPr>
                <w:rFonts w:ascii="Arial" w:hAnsi="Arial" w:cs="Arial"/>
                <w:noProof/>
                <w:webHidden/>
                <w:szCs w:val="24"/>
              </w:rPr>
              <w:tab/>
            </w:r>
            <w:r w:rsidRPr="004223A8">
              <w:rPr>
                <w:rFonts w:ascii="Arial" w:hAnsi="Arial" w:cs="Arial"/>
                <w:noProof/>
                <w:webHidden/>
                <w:szCs w:val="24"/>
              </w:rPr>
              <w:fldChar w:fldCharType="begin"/>
            </w:r>
            <w:r w:rsidRPr="004223A8">
              <w:rPr>
                <w:rFonts w:ascii="Arial" w:hAnsi="Arial" w:cs="Arial"/>
                <w:noProof/>
                <w:webHidden/>
                <w:szCs w:val="24"/>
              </w:rPr>
              <w:instrText xml:space="preserve"> PAGEREF _Toc104244055 \h </w:instrText>
            </w:r>
            <w:r w:rsidRPr="004223A8">
              <w:rPr>
                <w:rFonts w:ascii="Arial" w:hAnsi="Arial" w:cs="Arial"/>
                <w:noProof/>
                <w:webHidden/>
                <w:szCs w:val="24"/>
              </w:rPr>
            </w:r>
            <w:r w:rsidRPr="004223A8">
              <w:rPr>
                <w:rFonts w:ascii="Arial" w:hAnsi="Arial" w:cs="Arial"/>
                <w:noProof/>
                <w:webHidden/>
                <w:szCs w:val="24"/>
              </w:rPr>
              <w:fldChar w:fldCharType="separate"/>
            </w:r>
            <w:r w:rsidRPr="004223A8">
              <w:rPr>
                <w:rFonts w:ascii="Arial" w:hAnsi="Arial" w:cs="Arial"/>
                <w:noProof/>
                <w:webHidden/>
                <w:szCs w:val="24"/>
              </w:rPr>
              <w:t>2</w:t>
            </w:r>
            <w:r w:rsidRPr="004223A8">
              <w:rPr>
                <w:rFonts w:ascii="Arial" w:hAnsi="Arial" w:cs="Arial"/>
                <w:noProof/>
                <w:webHidden/>
                <w:szCs w:val="24"/>
              </w:rPr>
              <w:fldChar w:fldCharType="end"/>
            </w:r>
          </w:hyperlink>
        </w:p>
        <w:p w14:paraId="173B85E3" w14:textId="77777777" w:rsidR="004223A8" w:rsidRPr="004223A8" w:rsidRDefault="00597860" w:rsidP="004223A8">
          <w:pPr>
            <w:pStyle w:val="TOC1"/>
            <w:tabs>
              <w:tab w:val="right" w:leader="dot" w:pos="9016"/>
            </w:tabs>
            <w:rPr>
              <w:rFonts w:ascii="Arial" w:eastAsiaTheme="minorEastAsia" w:hAnsi="Arial" w:cs="Arial"/>
              <w:noProof/>
              <w:szCs w:val="24"/>
              <w:lang w:eastAsia="en-IN"/>
            </w:rPr>
          </w:pPr>
          <w:hyperlink w:anchor="_Toc104244056" w:history="1">
            <w:r w:rsidR="004223A8" w:rsidRPr="004223A8">
              <w:rPr>
                <w:rStyle w:val="Hyperlink"/>
                <w:rFonts w:ascii="Arial" w:hAnsi="Arial" w:cs="Arial"/>
                <w:noProof/>
                <w:szCs w:val="24"/>
              </w:rPr>
              <w:t>Evaluation of Hilton’s Fiscal Performance</w:t>
            </w:r>
            <w:r w:rsidR="004223A8" w:rsidRPr="004223A8">
              <w:rPr>
                <w:rFonts w:ascii="Arial" w:hAnsi="Arial" w:cs="Arial"/>
                <w:noProof/>
                <w:webHidden/>
                <w:szCs w:val="24"/>
              </w:rPr>
              <w:tab/>
            </w:r>
            <w:r w:rsidR="004223A8" w:rsidRPr="004223A8">
              <w:rPr>
                <w:rFonts w:ascii="Arial" w:hAnsi="Arial" w:cs="Arial"/>
                <w:noProof/>
                <w:webHidden/>
                <w:szCs w:val="24"/>
              </w:rPr>
              <w:fldChar w:fldCharType="begin"/>
            </w:r>
            <w:r w:rsidR="004223A8" w:rsidRPr="004223A8">
              <w:rPr>
                <w:rFonts w:ascii="Arial" w:hAnsi="Arial" w:cs="Arial"/>
                <w:noProof/>
                <w:webHidden/>
                <w:szCs w:val="24"/>
              </w:rPr>
              <w:instrText xml:space="preserve"> PAGEREF _Toc104244056 \h </w:instrText>
            </w:r>
            <w:r w:rsidR="004223A8" w:rsidRPr="004223A8">
              <w:rPr>
                <w:rFonts w:ascii="Arial" w:hAnsi="Arial" w:cs="Arial"/>
                <w:noProof/>
                <w:webHidden/>
                <w:szCs w:val="24"/>
              </w:rPr>
            </w:r>
            <w:r w:rsidR="004223A8" w:rsidRPr="004223A8">
              <w:rPr>
                <w:rFonts w:ascii="Arial" w:hAnsi="Arial" w:cs="Arial"/>
                <w:noProof/>
                <w:webHidden/>
                <w:szCs w:val="24"/>
              </w:rPr>
              <w:fldChar w:fldCharType="separate"/>
            </w:r>
            <w:r w:rsidR="004223A8" w:rsidRPr="004223A8">
              <w:rPr>
                <w:rFonts w:ascii="Arial" w:hAnsi="Arial" w:cs="Arial"/>
                <w:noProof/>
                <w:webHidden/>
                <w:szCs w:val="24"/>
              </w:rPr>
              <w:t>2</w:t>
            </w:r>
            <w:r w:rsidR="004223A8" w:rsidRPr="004223A8">
              <w:rPr>
                <w:rFonts w:ascii="Arial" w:hAnsi="Arial" w:cs="Arial"/>
                <w:noProof/>
                <w:webHidden/>
                <w:szCs w:val="24"/>
              </w:rPr>
              <w:fldChar w:fldCharType="end"/>
            </w:r>
          </w:hyperlink>
        </w:p>
        <w:p w14:paraId="618C13CE" w14:textId="77777777" w:rsidR="004223A8" w:rsidRPr="004223A8" w:rsidRDefault="00597860" w:rsidP="004223A8">
          <w:pPr>
            <w:pStyle w:val="TOC1"/>
            <w:tabs>
              <w:tab w:val="right" w:leader="dot" w:pos="9016"/>
            </w:tabs>
            <w:rPr>
              <w:rFonts w:ascii="Arial" w:eastAsiaTheme="minorEastAsia" w:hAnsi="Arial" w:cs="Arial"/>
              <w:noProof/>
              <w:szCs w:val="24"/>
              <w:lang w:eastAsia="en-IN"/>
            </w:rPr>
          </w:pPr>
          <w:hyperlink w:anchor="_Toc104244057" w:history="1">
            <w:r w:rsidR="004223A8" w:rsidRPr="004223A8">
              <w:rPr>
                <w:rStyle w:val="Hyperlink"/>
                <w:rFonts w:ascii="Arial" w:hAnsi="Arial" w:cs="Arial"/>
                <w:noProof/>
                <w:szCs w:val="24"/>
              </w:rPr>
              <w:t>Importance of Using Ratio Analysis for Decision Making</w:t>
            </w:r>
            <w:r w:rsidR="004223A8" w:rsidRPr="004223A8">
              <w:rPr>
                <w:rFonts w:ascii="Arial" w:hAnsi="Arial" w:cs="Arial"/>
                <w:noProof/>
                <w:webHidden/>
                <w:szCs w:val="24"/>
              </w:rPr>
              <w:tab/>
            </w:r>
            <w:r w:rsidR="004223A8" w:rsidRPr="004223A8">
              <w:rPr>
                <w:rFonts w:ascii="Arial" w:hAnsi="Arial" w:cs="Arial"/>
                <w:noProof/>
                <w:webHidden/>
                <w:szCs w:val="24"/>
              </w:rPr>
              <w:fldChar w:fldCharType="begin"/>
            </w:r>
            <w:r w:rsidR="004223A8" w:rsidRPr="004223A8">
              <w:rPr>
                <w:rFonts w:ascii="Arial" w:hAnsi="Arial" w:cs="Arial"/>
                <w:noProof/>
                <w:webHidden/>
                <w:szCs w:val="24"/>
              </w:rPr>
              <w:instrText xml:space="preserve"> PAGEREF _Toc104244057 \h </w:instrText>
            </w:r>
            <w:r w:rsidR="004223A8" w:rsidRPr="004223A8">
              <w:rPr>
                <w:rFonts w:ascii="Arial" w:hAnsi="Arial" w:cs="Arial"/>
                <w:noProof/>
                <w:webHidden/>
                <w:szCs w:val="24"/>
              </w:rPr>
            </w:r>
            <w:r w:rsidR="004223A8" w:rsidRPr="004223A8">
              <w:rPr>
                <w:rFonts w:ascii="Arial" w:hAnsi="Arial" w:cs="Arial"/>
                <w:noProof/>
                <w:webHidden/>
                <w:szCs w:val="24"/>
              </w:rPr>
              <w:fldChar w:fldCharType="separate"/>
            </w:r>
            <w:r w:rsidR="004223A8" w:rsidRPr="004223A8">
              <w:rPr>
                <w:rFonts w:ascii="Arial" w:hAnsi="Arial" w:cs="Arial"/>
                <w:noProof/>
                <w:webHidden/>
                <w:szCs w:val="24"/>
              </w:rPr>
              <w:t>5</w:t>
            </w:r>
            <w:r w:rsidR="004223A8" w:rsidRPr="004223A8">
              <w:rPr>
                <w:rFonts w:ascii="Arial" w:hAnsi="Arial" w:cs="Arial"/>
                <w:noProof/>
                <w:webHidden/>
                <w:szCs w:val="24"/>
              </w:rPr>
              <w:fldChar w:fldCharType="end"/>
            </w:r>
          </w:hyperlink>
        </w:p>
        <w:p w14:paraId="55E0A478" w14:textId="77777777" w:rsidR="004223A8" w:rsidRPr="004223A8" w:rsidRDefault="00597860" w:rsidP="004223A8">
          <w:pPr>
            <w:pStyle w:val="TOC1"/>
            <w:tabs>
              <w:tab w:val="right" w:leader="dot" w:pos="9016"/>
            </w:tabs>
            <w:rPr>
              <w:rFonts w:ascii="Arial" w:eastAsiaTheme="minorEastAsia" w:hAnsi="Arial" w:cs="Arial"/>
              <w:noProof/>
              <w:szCs w:val="24"/>
              <w:lang w:eastAsia="en-IN"/>
            </w:rPr>
          </w:pPr>
          <w:hyperlink w:anchor="_Toc104244058" w:history="1">
            <w:r w:rsidR="004223A8" w:rsidRPr="004223A8">
              <w:rPr>
                <w:rStyle w:val="Hyperlink"/>
                <w:rFonts w:ascii="Arial" w:hAnsi="Arial" w:cs="Arial"/>
                <w:noProof/>
                <w:szCs w:val="24"/>
              </w:rPr>
              <w:t>Conclusion</w:t>
            </w:r>
            <w:r w:rsidR="004223A8" w:rsidRPr="004223A8">
              <w:rPr>
                <w:rFonts w:ascii="Arial" w:hAnsi="Arial" w:cs="Arial"/>
                <w:noProof/>
                <w:webHidden/>
                <w:szCs w:val="24"/>
              </w:rPr>
              <w:tab/>
            </w:r>
            <w:r w:rsidR="004223A8" w:rsidRPr="004223A8">
              <w:rPr>
                <w:rFonts w:ascii="Arial" w:hAnsi="Arial" w:cs="Arial"/>
                <w:noProof/>
                <w:webHidden/>
                <w:szCs w:val="24"/>
              </w:rPr>
              <w:fldChar w:fldCharType="begin"/>
            </w:r>
            <w:r w:rsidR="004223A8" w:rsidRPr="004223A8">
              <w:rPr>
                <w:rFonts w:ascii="Arial" w:hAnsi="Arial" w:cs="Arial"/>
                <w:noProof/>
                <w:webHidden/>
                <w:szCs w:val="24"/>
              </w:rPr>
              <w:instrText xml:space="preserve"> PAGEREF _Toc104244058 \h </w:instrText>
            </w:r>
            <w:r w:rsidR="004223A8" w:rsidRPr="004223A8">
              <w:rPr>
                <w:rFonts w:ascii="Arial" w:hAnsi="Arial" w:cs="Arial"/>
                <w:noProof/>
                <w:webHidden/>
                <w:szCs w:val="24"/>
              </w:rPr>
            </w:r>
            <w:r w:rsidR="004223A8" w:rsidRPr="004223A8">
              <w:rPr>
                <w:rFonts w:ascii="Arial" w:hAnsi="Arial" w:cs="Arial"/>
                <w:noProof/>
                <w:webHidden/>
                <w:szCs w:val="24"/>
              </w:rPr>
              <w:fldChar w:fldCharType="separate"/>
            </w:r>
            <w:r w:rsidR="004223A8" w:rsidRPr="004223A8">
              <w:rPr>
                <w:rFonts w:ascii="Arial" w:hAnsi="Arial" w:cs="Arial"/>
                <w:noProof/>
                <w:webHidden/>
                <w:szCs w:val="24"/>
              </w:rPr>
              <w:t>7</w:t>
            </w:r>
            <w:r w:rsidR="004223A8" w:rsidRPr="004223A8">
              <w:rPr>
                <w:rFonts w:ascii="Arial" w:hAnsi="Arial" w:cs="Arial"/>
                <w:noProof/>
                <w:webHidden/>
                <w:szCs w:val="24"/>
              </w:rPr>
              <w:fldChar w:fldCharType="end"/>
            </w:r>
          </w:hyperlink>
        </w:p>
        <w:p w14:paraId="2612793F" w14:textId="77777777" w:rsidR="004223A8" w:rsidRPr="004223A8" w:rsidRDefault="00597860" w:rsidP="004223A8">
          <w:pPr>
            <w:pStyle w:val="TOC1"/>
            <w:tabs>
              <w:tab w:val="right" w:leader="dot" w:pos="9016"/>
            </w:tabs>
            <w:rPr>
              <w:rFonts w:ascii="Arial" w:eastAsiaTheme="minorEastAsia" w:hAnsi="Arial" w:cs="Arial"/>
              <w:noProof/>
              <w:szCs w:val="24"/>
              <w:lang w:eastAsia="en-IN"/>
            </w:rPr>
          </w:pPr>
          <w:hyperlink w:anchor="_Toc104244059" w:history="1">
            <w:r w:rsidR="004223A8" w:rsidRPr="004223A8">
              <w:rPr>
                <w:rStyle w:val="Hyperlink"/>
                <w:rFonts w:ascii="Arial" w:hAnsi="Arial" w:cs="Arial"/>
                <w:noProof/>
                <w:szCs w:val="24"/>
              </w:rPr>
              <w:t>References</w:t>
            </w:r>
            <w:r w:rsidR="004223A8" w:rsidRPr="004223A8">
              <w:rPr>
                <w:rFonts w:ascii="Arial" w:hAnsi="Arial" w:cs="Arial"/>
                <w:noProof/>
                <w:webHidden/>
                <w:szCs w:val="24"/>
              </w:rPr>
              <w:tab/>
            </w:r>
            <w:r w:rsidR="004223A8" w:rsidRPr="004223A8">
              <w:rPr>
                <w:rFonts w:ascii="Arial" w:hAnsi="Arial" w:cs="Arial"/>
                <w:noProof/>
                <w:webHidden/>
                <w:szCs w:val="24"/>
              </w:rPr>
              <w:fldChar w:fldCharType="begin"/>
            </w:r>
            <w:r w:rsidR="004223A8" w:rsidRPr="004223A8">
              <w:rPr>
                <w:rFonts w:ascii="Arial" w:hAnsi="Arial" w:cs="Arial"/>
                <w:noProof/>
                <w:webHidden/>
                <w:szCs w:val="24"/>
              </w:rPr>
              <w:instrText xml:space="preserve"> PAGEREF _Toc104244059 \h </w:instrText>
            </w:r>
            <w:r w:rsidR="004223A8" w:rsidRPr="004223A8">
              <w:rPr>
                <w:rFonts w:ascii="Arial" w:hAnsi="Arial" w:cs="Arial"/>
                <w:noProof/>
                <w:webHidden/>
                <w:szCs w:val="24"/>
              </w:rPr>
            </w:r>
            <w:r w:rsidR="004223A8" w:rsidRPr="004223A8">
              <w:rPr>
                <w:rFonts w:ascii="Arial" w:hAnsi="Arial" w:cs="Arial"/>
                <w:noProof/>
                <w:webHidden/>
                <w:szCs w:val="24"/>
              </w:rPr>
              <w:fldChar w:fldCharType="separate"/>
            </w:r>
            <w:r w:rsidR="004223A8" w:rsidRPr="004223A8">
              <w:rPr>
                <w:rFonts w:ascii="Arial" w:hAnsi="Arial" w:cs="Arial"/>
                <w:noProof/>
                <w:webHidden/>
                <w:szCs w:val="24"/>
              </w:rPr>
              <w:t>9</w:t>
            </w:r>
            <w:r w:rsidR="004223A8" w:rsidRPr="004223A8">
              <w:rPr>
                <w:rFonts w:ascii="Arial" w:hAnsi="Arial" w:cs="Arial"/>
                <w:noProof/>
                <w:webHidden/>
                <w:szCs w:val="24"/>
              </w:rPr>
              <w:fldChar w:fldCharType="end"/>
            </w:r>
          </w:hyperlink>
        </w:p>
        <w:p w14:paraId="2DC21DB6" w14:textId="77777777" w:rsidR="004223A8" w:rsidRPr="004223A8" w:rsidRDefault="004223A8" w:rsidP="004223A8">
          <w:pPr>
            <w:rPr>
              <w:rFonts w:ascii="Arial" w:hAnsi="Arial" w:cs="Arial"/>
              <w:sz w:val="24"/>
              <w:szCs w:val="24"/>
            </w:rPr>
          </w:pPr>
          <w:r w:rsidRPr="004223A8">
            <w:rPr>
              <w:rFonts w:ascii="Arial" w:hAnsi="Arial" w:cs="Arial"/>
              <w:b/>
              <w:bCs/>
              <w:noProof/>
              <w:sz w:val="24"/>
              <w:szCs w:val="24"/>
            </w:rPr>
            <w:fldChar w:fldCharType="end"/>
          </w:r>
        </w:p>
      </w:sdtContent>
    </w:sdt>
    <w:p w14:paraId="0AFA8EF6" w14:textId="77777777" w:rsidR="004223A8" w:rsidRPr="004223A8" w:rsidRDefault="004223A8" w:rsidP="004223A8">
      <w:pPr>
        <w:rPr>
          <w:rFonts w:ascii="Arial" w:eastAsiaTheme="majorEastAsia" w:hAnsi="Arial" w:cs="Arial"/>
          <w:color w:val="2F5496" w:themeColor="accent1" w:themeShade="BF"/>
          <w:sz w:val="24"/>
          <w:szCs w:val="24"/>
        </w:rPr>
      </w:pPr>
      <w:r w:rsidRPr="004223A8">
        <w:rPr>
          <w:rFonts w:ascii="Arial" w:hAnsi="Arial" w:cs="Arial"/>
          <w:sz w:val="24"/>
          <w:szCs w:val="24"/>
        </w:rPr>
        <w:br w:type="page"/>
      </w:r>
    </w:p>
    <w:p w14:paraId="494B1D8D" w14:textId="77777777" w:rsidR="004223A8" w:rsidRPr="004223A8" w:rsidRDefault="004223A8" w:rsidP="004223A8">
      <w:pPr>
        <w:pStyle w:val="Heading1"/>
        <w:rPr>
          <w:rFonts w:ascii="Arial" w:hAnsi="Arial" w:cs="Arial"/>
          <w:sz w:val="24"/>
          <w:szCs w:val="24"/>
        </w:rPr>
      </w:pPr>
      <w:bookmarkStart w:id="0" w:name="_Toc104244055"/>
      <w:r w:rsidRPr="004223A8">
        <w:rPr>
          <w:rFonts w:ascii="Arial" w:hAnsi="Arial" w:cs="Arial"/>
          <w:sz w:val="24"/>
          <w:szCs w:val="24"/>
        </w:rPr>
        <w:lastRenderedPageBreak/>
        <w:t>Introduction</w:t>
      </w:r>
      <w:bookmarkEnd w:id="0"/>
    </w:p>
    <w:p w14:paraId="61B98E2D" w14:textId="77777777" w:rsidR="004223A8" w:rsidRPr="004223A8" w:rsidRDefault="004223A8" w:rsidP="004223A8">
      <w:pPr>
        <w:spacing w:line="360" w:lineRule="auto"/>
        <w:rPr>
          <w:rFonts w:ascii="Arial" w:hAnsi="Arial" w:cs="Arial"/>
          <w:sz w:val="24"/>
          <w:szCs w:val="24"/>
        </w:rPr>
      </w:pPr>
      <w:r w:rsidRPr="004223A8">
        <w:rPr>
          <w:rFonts w:ascii="Arial" w:hAnsi="Arial" w:cs="Arial"/>
          <w:sz w:val="24"/>
          <w:szCs w:val="24"/>
        </w:rPr>
        <w:t>Financial statements have a far greater impact on stakeholders. In addition to accounting ratios, peer-to-peer review, year-over-year evaluation, and inter-departmental interpretation will be used to analyse the financial statements. The most prevalent methodological technique is ratio analysis. This accounting ratios are something I am tasked with doing in my role as Hilton Worldwide Holdings Inc’s senior director of information. Operating in Great Britain and Northern England is the Hilton Worldwide Holdings Inc, a hospitality business (Bloomberg, 2022). Operations at the company have really taken a turn for the degradation. Consequently, financial success is taken into consideration, and it is done so in an efficient and effective way.</w:t>
      </w:r>
    </w:p>
    <w:p w14:paraId="26903A07" w14:textId="77777777" w:rsidR="004223A8" w:rsidRPr="004223A8" w:rsidRDefault="004223A8" w:rsidP="004223A8">
      <w:pPr>
        <w:pStyle w:val="Heading1"/>
        <w:rPr>
          <w:rFonts w:ascii="Arial" w:hAnsi="Arial" w:cs="Arial"/>
          <w:sz w:val="24"/>
          <w:szCs w:val="24"/>
        </w:rPr>
      </w:pPr>
      <w:bookmarkStart w:id="1" w:name="_Toc104244056"/>
      <w:r w:rsidRPr="004223A8">
        <w:rPr>
          <w:rFonts w:ascii="Arial" w:hAnsi="Arial" w:cs="Arial"/>
          <w:sz w:val="24"/>
          <w:szCs w:val="24"/>
        </w:rPr>
        <w:t>Evaluation of Hilton’s Fiscal Performance</w:t>
      </w:r>
      <w:bookmarkEnd w:id="1"/>
    </w:p>
    <w:p w14:paraId="060EE4AE" w14:textId="77777777" w:rsidR="004223A8" w:rsidRPr="004223A8" w:rsidRDefault="004223A8" w:rsidP="004223A8">
      <w:pPr>
        <w:spacing w:line="360" w:lineRule="auto"/>
        <w:rPr>
          <w:rFonts w:ascii="Arial" w:hAnsi="Arial" w:cs="Arial"/>
          <w:sz w:val="24"/>
          <w:szCs w:val="24"/>
        </w:rPr>
      </w:pPr>
      <w:r w:rsidRPr="004223A8">
        <w:rPr>
          <w:rFonts w:ascii="Arial" w:hAnsi="Arial" w:cs="Arial"/>
          <w:sz w:val="24"/>
          <w:szCs w:val="24"/>
        </w:rPr>
        <w:t>Fiscal performance evaluation may be done in several ways. Analysing fiscal accounts using proportional comparisons is a common method of analysing financial data. To compute each metric, a percentage of the other proportions are used to link various accounting items in a proportionate way. Measures of a company’s ability to repay short-term commitments are referred to as accessibility metrics (</w:t>
      </w:r>
      <w:proofErr w:type="spellStart"/>
      <w:r w:rsidRPr="004223A8">
        <w:rPr>
          <w:rFonts w:ascii="Arial" w:hAnsi="Arial" w:cs="Arial"/>
          <w:sz w:val="24"/>
          <w:szCs w:val="24"/>
        </w:rPr>
        <w:t>Ginting</w:t>
      </w:r>
      <w:proofErr w:type="spellEnd"/>
      <w:r w:rsidRPr="004223A8">
        <w:rPr>
          <w:rFonts w:ascii="Arial" w:hAnsi="Arial" w:cs="Arial"/>
          <w:sz w:val="24"/>
          <w:szCs w:val="24"/>
        </w:rPr>
        <w:t>, 2021). A company’s ability to pay long-term debts is measured by its solvency indicators. When calculating a company’s operational efficiency, productivity percentages are used. A company’s ability to pay its debt and the amount of leverage it has are both shown by ratio measures by means of a comprehensive analysis on its income statement and balance sheet, which are financial leverage indicators. Many financial factors may be represented by productivity measures such as selling and asset and current ratios.</w:t>
      </w:r>
    </w:p>
    <w:p w14:paraId="04679B4A" w14:textId="77777777" w:rsidR="004223A8" w:rsidRPr="004223A8" w:rsidRDefault="004223A8" w:rsidP="004223A8">
      <w:pPr>
        <w:spacing w:line="360" w:lineRule="auto"/>
        <w:rPr>
          <w:rFonts w:ascii="Arial" w:hAnsi="Arial" w:cs="Arial"/>
          <w:sz w:val="24"/>
          <w:szCs w:val="24"/>
        </w:rPr>
      </w:pPr>
      <w:r w:rsidRPr="004223A8">
        <w:rPr>
          <w:rFonts w:ascii="Arial" w:hAnsi="Arial" w:cs="Arial"/>
          <w:sz w:val="24"/>
          <w:szCs w:val="24"/>
        </w:rPr>
        <w:t>In the following, diagnosing the data and drawing inferences from the Hilton Worldwide Holdings Inc’s analytics is contextualised by means of horizontal analysis in the following:</w:t>
      </w:r>
    </w:p>
    <w:tbl>
      <w:tblPr>
        <w:tblW w:w="9354" w:type="dxa"/>
        <w:tblLook w:val="04A0" w:firstRow="1" w:lastRow="0" w:firstColumn="1" w:lastColumn="0" w:noHBand="0" w:noVBand="1"/>
      </w:tblPr>
      <w:tblGrid>
        <w:gridCol w:w="3969"/>
        <w:gridCol w:w="1404"/>
        <w:gridCol w:w="1404"/>
        <w:gridCol w:w="1284"/>
        <w:gridCol w:w="1368"/>
      </w:tblGrid>
      <w:tr w:rsidR="004223A8" w:rsidRPr="004223A8" w14:paraId="3DB624AB" w14:textId="77777777" w:rsidTr="005F7602">
        <w:trPr>
          <w:trHeight w:val="349"/>
        </w:trPr>
        <w:tc>
          <w:tcPr>
            <w:tcW w:w="3969" w:type="dxa"/>
            <w:tcBorders>
              <w:top w:val="single" w:sz="4" w:space="0" w:color="auto"/>
              <w:left w:val="single" w:sz="4" w:space="0" w:color="auto"/>
              <w:bottom w:val="single" w:sz="4" w:space="0" w:color="auto"/>
              <w:right w:val="single" w:sz="4" w:space="0" w:color="auto"/>
            </w:tcBorders>
            <w:shd w:val="clear" w:color="auto" w:fill="2E74B5" w:themeFill="accent5" w:themeFillShade="BF"/>
            <w:noWrap/>
            <w:vAlign w:val="bottom"/>
            <w:hideMark/>
          </w:tcPr>
          <w:p w14:paraId="15BD2294" w14:textId="77777777" w:rsidR="004223A8" w:rsidRPr="004223A8" w:rsidRDefault="004223A8" w:rsidP="005F7602">
            <w:pPr>
              <w:spacing w:after="0" w:line="240" w:lineRule="auto"/>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Income Statement</w:t>
            </w:r>
          </w:p>
        </w:tc>
        <w:tc>
          <w:tcPr>
            <w:tcW w:w="1404" w:type="dxa"/>
            <w:tcBorders>
              <w:top w:val="single" w:sz="4" w:space="0" w:color="auto"/>
              <w:left w:val="single" w:sz="4" w:space="0" w:color="auto"/>
              <w:bottom w:val="single" w:sz="4" w:space="0" w:color="auto"/>
              <w:right w:val="single" w:sz="4" w:space="0" w:color="auto"/>
            </w:tcBorders>
            <w:shd w:val="clear" w:color="auto" w:fill="2E74B5" w:themeFill="accent5" w:themeFillShade="BF"/>
            <w:noWrap/>
            <w:vAlign w:val="center"/>
            <w:hideMark/>
          </w:tcPr>
          <w:p w14:paraId="13E44031" w14:textId="77777777" w:rsidR="004223A8" w:rsidRPr="004223A8" w:rsidRDefault="004223A8" w:rsidP="005F7602">
            <w:pPr>
              <w:spacing w:after="0" w:line="240" w:lineRule="auto"/>
              <w:jc w:val="right"/>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2020</w:t>
            </w:r>
          </w:p>
        </w:tc>
        <w:tc>
          <w:tcPr>
            <w:tcW w:w="1404" w:type="dxa"/>
            <w:tcBorders>
              <w:top w:val="single" w:sz="4" w:space="0" w:color="auto"/>
              <w:left w:val="single" w:sz="4" w:space="0" w:color="auto"/>
              <w:bottom w:val="single" w:sz="4" w:space="0" w:color="auto"/>
              <w:right w:val="single" w:sz="4" w:space="0" w:color="auto"/>
            </w:tcBorders>
            <w:shd w:val="clear" w:color="auto" w:fill="2E74B5" w:themeFill="accent5" w:themeFillShade="BF"/>
            <w:noWrap/>
            <w:vAlign w:val="center"/>
            <w:hideMark/>
          </w:tcPr>
          <w:p w14:paraId="367F42A9" w14:textId="77777777" w:rsidR="004223A8" w:rsidRPr="004223A8" w:rsidRDefault="004223A8" w:rsidP="005F7602">
            <w:pPr>
              <w:spacing w:after="0" w:line="240" w:lineRule="auto"/>
              <w:jc w:val="right"/>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2019</w:t>
            </w:r>
          </w:p>
        </w:tc>
        <w:tc>
          <w:tcPr>
            <w:tcW w:w="1209" w:type="dxa"/>
            <w:tcBorders>
              <w:top w:val="single" w:sz="4" w:space="0" w:color="auto"/>
              <w:left w:val="single" w:sz="4" w:space="0" w:color="auto"/>
              <w:bottom w:val="single" w:sz="4" w:space="0" w:color="auto"/>
              <w:right w:val="single" w:sz="4" w:space="0" w:color="auto"/>
            </w:tcBorders>
            <w:shd w:val="clear" w:color="auto" w:fill="2E74B5" w:themeFill="accent5" w:themeFillShade="BF"/>
            <w:noWrap/>
            <w:vAlign w:val="center"/>
            <w:hideMark/>
          </w:tcPr>
          <w:p w14:paraId="4B2D2356" w14:textId="77777777" w:rsidR="004223A8" w:rsidRPr="004223A8" w:rsidRDefault="004223A8" w:rsidP="005F7602">
            <w:pPr>
              <w:spacing w:after="0" w:line="240" w:lineRule="auto"/>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Change</w:t>
            </w:r>
          </w:p>
        </w:tc>
        <w:tc>
          <w:tcPr>
            <w:tcW w:w="1368" w:type="dxa"/>
            <w:tcBorders>
              <w:top w:val="single" w:sz="4" w:space="0" w:color="auto"/>
              <w:left w:val="single" w:sz="4" w:space="0" w:color="auto"/>
              <w:bottom w:val="single" w:sz="4" w:space="0" w:color="auto"/>
              <w:right w:val="single" w:sz="4" w:space="0" w:color="auto"/>
            </w:tcBorders>
            <w:shd w:val="clear" w:color="auto" w:fill="2E74B5" w:themeFill="accent5" w:themeFillShade="BF"/>
            <w:noWrap/>
            <w:vAlign w:val="center"/>
            <w:hideMark/>
          </w:tcPr>
          <w:p w14:paraId="1DB18132" w14:textId="77777777" w:rsidR="004223A8" w:rsidRPr="004223A8" w:rsidRDefault="004223A8" w:rsidP="005F7602">
            <w:pPr>
              <w:spacing w:after="0" w:line="240" w:lineRule="auto"/>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 Change</w:t>
            </w:r>
          </w:p>
        </w:tc>
      </w:tr>
      <w:tr w:rsidR="004223A8" w:rsidRPr="004223A8" w14:paraId="20153775" w14:textId="77777777" w:rsidTr="005F7602">
        <w:trPr>
          <w:trHeight w:val="349"/>
        </w:trPr>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9953B"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Sales</w:t>
            </w: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14:paraId="77CEBB7E"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43,07,000</w:t>
            </w: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14:paraId="50FBC06A"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94,52,000</w:t>
            </w:r>
          </w:p>
        </w:tc>
        <w:tc>
          <w:tcPr>
            <w:tcW w:w="1209" w:type="dxa"/>
            <w:tcBorders>
              <w:top w:val="single" w:sz="4" w:space="0" w:color="auto"/>
              <w:left w:val="nil"/>
              <w:bottom w:val="single" w:sz="4" w:space="0" w:color="auto"/>
              <w:right w:val="single" w:sz="4" w:space="0" w:color="auto"/>
            </w:tcBorders>
            <w:shd w:val="clear" w:color="auto" w:fill="auto"/>
            <w:noWrap/>
            <w:vAlign w:val="bottom"/>
            <w:hideMark/>
          </w:tcPr>
          <w:p w14:paraId="65119539"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-51,45,000</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14:paraId="6E968911"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-54%</w:t>
            </w:r>
          </w:p>
        </w:tc>
      </w:tr>
      <w:tr w:rsidR="004223A8" w:rsidRPr="004223A8" w14:paraId="21C6582F" w14:textId="77777777" w:rsidTr="005F7602">
        <w:trPr>
          <w:trHeight w:val="349"/>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68FD34BB"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Cost of goods sold</w:t>
            </w:r>
          </w:p>
        </w:tc>
        <w:tc>
          <w:tcPr>
            <w:tcW w:w="1404" w:type="dxa"/>
            <w:tcBorders>
              <w:top w:val="nil"/>
              <w:left w:val="nil"/>
              <w:bottom w:val="single" w:sz="4" w:space="0" w:color="auto"/>
              <w:right w:val="single" w:sz="4" w:space="0" w:color="auto"/>
            </w:tcBorders>
            <w:shd w:val="clear" w:color="auto" w:fill="auto"/>
            <w:noWrap/>
            <w:vAlign w:val="center"/>
            <w:hideMark/>
          </w:tcPr>
          <w:p w14:paraId="54DCD0BC"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37,24,000</w:t>
            </w:r>
          </w:p>
        </w:tc>
        <w:tc>
          <w:tcPr>
            <w:tcW w:w="1404" w:type="dxa"/>
            <w:tcBorders>
              <w:top w:val="nil"/>
              <w:left w:val="nil"/>
              <w:bottom w:val="single" w:sz="4" w:space="0" w:color="auto"/>
              <w:right w:val="single" w:sz="4" w:space="0" w:color="auto"/>
            </w:tcBorders>
            <w:shd w:val="clear" w:color="auto" w:fill="auto"/>
            <w:noWrap/>
            <w:vAlign w:val="center"/>
            <w:hideMark/>
          </w:tcPr>
          <w:p w14:paraId="36409E3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70,17,000</w:t>
            </w:r>
          </w:p>
        </w:tc>
        <w:tc>
          <w:tcPr>
            <w:tcW w:w="1209" w:type="dxa"/>
            <w:tcBorders>
              <w:top w:val="nil"/>
              <w:left w:val="nil"/>
              <w:bottom w:val="single" w:sz="4" w:space="0" w:color="auto"/>
              <w:right w:val="single" w:sz="4" w:space="0" w:color="auto"/>
            </w:tcBorders>
            <w:shd w:val="clear" w:color="auto" w:fill="auto"/>
            <w:noWrap/>
            <w:vAlign w:val="bottom"/>
            <w:hideMark/>
          </w:tcPr>
          <w:p w14:paraId="6803006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-32,93,000</w:t>
            </w:r>
          </w:p>
        </w:tc>
        <w:tc>
          <w:tcPr>
            <w:tcW w:w="1368" w:type="dxa"/>
            <w:tcBorders>
              <w:top w:val="nil"/>
              <w:left w:val="nil"/>
              <w:bottom w:val="single" w:sz="4" w:space="0" w:color="auto"/>
              <w:right w:val="single" w:sz="4" w:space="0" w:color="auto"/>
            </w:tcBorders>
            <w:shd w:val="clear" w:color="auto" w:fill="auto"/>
            <w:noWrap/>
            <w:vAlign w:val="bottom"/>
            <w:hideMark/>
          </w:tcPr>
          <w:p w14:paraId="5633F18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-47%</w:t>
            </w:r>
          </w:p>
        </w:tc>
      </w:tr>
      <w:tr w:rsidR="004223A8" w:rsidRPr="004223A8" w14:paraId="6C8E1900" w14:textId="77777777" w:rsidTr="005F7602">
        <w:trPr>
          <w:trHeight w:val="349"/>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5131D21F"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lastRenderedPageBreak/>
              <w:t>Gross profit</w:t>
            </w:r>
          </w:p>
        </w:tc>
        <w:tc>
          <w:tcPr>
            <w:tcW w:w="1404" w:type="dxa"/>
            <w:tcBorders>
              <w:top w:val="nil"/>
              <w:left w:val="nil"/>
              <w:bottom w:val="single" w:sz="4" w:space="0" w:color="auto"/>
              <w:right w:val="single" w:sz="4" w:space="0" w:color="auto"/>
            </w:tcBorders>
            <w:shd w:val="clear" w:color="auto" w:fill="auto"/>
            <w:noWrap/>
            <w:vAlign w:val="center"/>
            <w:hideMark/>
          </w:tcPr>
          <w:p w14:paraId="7F56E14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5,83,000</w:t>
            </w:r>
          </w:p>
        </w:tc>
        <w:tc>
          <w:tcPr>
            <w:tcW w:w="1404" w:type="dxa"/>
            <w:tcBorders>
              <w:top w:val="nil"/>
              <w:left w:val="nil"/>
              <w:bottom w:val="single" w:sz="4" w:space="0" w:color="auto"/>
              <w:right w:val="single" w:sz="4" w:space="0" w:color="auto"/>
            </w:tcBorders>
            <w:shd w:val="clear" w:color="auto" w:fill="auto"/>
            <w:noWrap/>
            <w:vAlign w:val="center"/>
            <w:hideMark/>
          </w:tcPr>
          <w:p w14:paraId="430E3258"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24,35,000</w:t>
            </w:r>
          </w:p>
        </w:tc>
        <w:tc>
          <w:tcPr>
            <w:tcW w:w="1209" w:type="dxa"/>
            <w:tcBorders>
              <w:top w:val="nil"/>
              <w:left w:val="nil"/>
              <w:bottom w:val="single" w:sz="4" w:space="0" w:color="auto"/>
              <w:right w:val="single" w:sz="4" w:space="0" w:color="auto"/>
            </w:tcBorders>
            <w:shd w:val="clear" w:color="auto" w:fill="auto"/>
            <w:noWrap/>
            <w:vAlign w:val="bottom"/>
            <w:hideMark/>
          </w:tcPr>
          <w:p w14:paraId="12AE3F0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-18,52,000</w:t>
            </w:r>
          </w:p>
        </w:tc>
        <w:tc>
          <w:tcPr>
            <w:tcW w:w="1368" w:type="dxa"/>
            <w:tcBorders>
              <w:top w:val="nil"/>
              <w:left w:val="nil"/>
              <w:bottom w:val="single" w:sz="4" w:space="0" w:color="auto"/>
              <w:right w:val="single" w:sz="4" w:space="0" w:color="auto"/>
            </w:tcBorders>
            <w:shd w:val="clear" w:color="auto" w:fill="auto"/>
            <w:noWrap/>
            <w:vAlign w:val="bottom"/>
            <w:hideMark/>
          </w:tcPr>
          <w:p w14:paraId="41B58A79"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-76%</w:t>
            </w:r>
          </w:p>
        </w:tc>
      </w:tr>
      <w:tr w:rsidR="004223A8" w:rsidRPr="004223A8" w14:paraId="10F75606" w14:textId="77777777" w:rsidTr="005F7602">
        <w:trPr>
          <w:trHeight w:val="349"/>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2261F50F"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Operating Expenses</w:t>
            </w:r>
          </w:p>
        </w:tc>
        <w:tc>
          <w:tcPr>
            <w:tcW w:w="1404" w:type="dxa"/>
            <w:tcBorders>
              <w:top w:val="nil"/>
              <w:left w:val="nil"/>
              <w:bottom w:val="single" w:sz="4" w:space="0" w:color="auto"/>
              <w:right w:val="single" w:sz="4" w:space="0" w:color="auto"/>
            </w:tcBorders>
            <w:shd w:val="clear" w:color="auto" w:fill="auto"/>
            <w:noWrap/>
            <w:vAlign w:val="center"/>
            <w:hideMark/>
          </w:tcPr>
          <w:p w14:paraId="23031532"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7,02,000</w:t>
            </w:r>
          </w:p>
        </w:tc>
        <w:tc>
          <w:tcPr>
            <w:tcW w:w="1404" w:type="dxa"/>
            <w:tcBorders>
              <w:top w:val="nil"/>
              <w:left w:val="nil"/>
              <w:bottom w:val="single" w:sz="4" w:space="0" w:color="auto"/>
              <w:right w:val="single" w:sz="4" w:space="0" w:color="auto"/>
            </w:tcBorders>
            <w:shd w:val="clear" w:color="auto" w:fill="auto"/>
            <w:noWrap/>
            <w:vAlign w:val="center"/>
            <w:hideMark/>
          </w:tcPr>
          <w:p w14:paraId="4850E359"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8,59,000</w:t>
            </w:r>
          </w:p>
        </w:tc>
        <w:tc>
          <w:tcPr>
            <w:tcW w:w="1209" w:type="dxa"/>
            <w:tcBorders>
              <w:top w:val="nil"/>
              <w:left w:val="nil"/>
              <w:bottom w:val="single" w:sz="4" w:space="0" w:color="auto"/>
              <w:right w:val="single" w:sz="4" w:space="0" w:color="auto"/>
            </w:tcBorders>
            <w:shd w:val="clear" w:color="auto" w:fill="auto"/>
            <w:noWrap/>
            <w:vAlign w:val="bottom"/>
            <w:hideMark/>
          </w:tcPr>
          <w:p w14:paraId="622EB269"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-1,57,000</w:t>
            </w:r>
          </w:p>
        </w:tc>
        <w:tc>
          <w:tcPr>
            <w:tcW w:w="1368" w:type="dxa"/>
            <w:tcBorders>
              <w:top w:val="nil"/>
              <w:left w:val="nil"/>
              <w:bottom w:val="single" w:sz="4" w:space="0" w:color="auto"/>
              <w:right w:val="single" w:sz="4" w:space="0" w:color="auto"/>
            </w:tcBorders>
            <w:shd w:val="clear" w:color="auto" w:fill="auto"/>
            <w:noWrap/>
            <w:vAlign w:val="bottom"/>
            <w:hideMark/>
          </w:tcPr>
          <w:p w14:paraId="347F4142"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-18%</w:t>
            </w:r>
          </w:p>
        </w:tc>
      </w:tr>
      <w:tr w:rsidR="004223A8" w:rsidRPr="004223A8" w14:paraId="4675FCF9" w14:textId="77777777" w:rsidTr="005F7602">
        <w:trPr>
          <w:trHeight w:val="349"/>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BABDDDF"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Operating income</w:t>
            </w:r>
          </w:p>
        </w:tc>
        <w:tc>
          <w:tcPr>
            <w:tcW w:w="1404" w:type="dxa"/>
            <w:tcBorders>
              <w:top w:val="nil"/>
              <w:left w:val="nil"/>
              <w:bottom w:val="single" w:sz="4" w:space="0" w:color="auto"/>
              <w:right w:val="single" w:sz="4" w:space="0" w:color="auto"/>
            </w:tcBorders>
            <w:shd w:val="clear" w:color="auto" w:fill="auto"/>
            <w:noWrap/>
            <w:vAlign w:val="center"/>
            <w:hideMark/>
          </w:tcPr>
          <w:p w14:paraId="0B6BAEF9"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-1,19,000</w:t>
            </w:r>
          </w:p>
        </w:tc>
        <w:tc>
          <w:tcPr>
            <w:tcW w:w="1404" w:type="dxa"/>
            <w:tcBorders>
              <w:top w:val="nil"/>
              <w:left w:val="nil"/>
              <w:bottom w:val="single" w:sz="4" w:space="0" w:color="auto"/>
              <w:right w:val="single" w:sz="4" w:space="0" w:color="auto"/>
            </w:tcBorders>
            <w:shd w:val="clear" w:color="auto" w:fill="auto"/>
            <w:noWrap/>
            <w:vAlign w:val="center"/>
            <w:hideMark/>
          </w:tcPr>
          <w:p w14:paraId="3D243CC8"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15,76,000</w:t>
            </w:r>
          </w:p>
        </w:tc>
        <w:tc>
          <w:tcPr>
            <w:tcW w:w="1209" w:type="dxa"/>
            <w:tcBorders>
              <w:top w:val="nil"/>
              <w:left w:val="nil"/>
              <w:bottom w:val="single" w:sz="4" w:space="0" w:color="auto"/>
              <w:right w:val="single" w:sz="4" w:space="0" w:color="auto"/>
            </w:tcBorders>
            <w:shd w:val="clear" w:color="auto" w:fill="auto"/>
            <w:noWrap/>
            <w:vAlign w:val="bottom"/>
            <w:hideMark/>
          </w:tcPr>
          <w:p w14:paraId="323C9295"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-16,95,000</w:t>
            </w:r>
          </w:p>
        </w:tc>
        <w:tc>
          <w:tcPr>
            <w:tcW w:w="1368" w:type="dxa"/>
            <w:tcBorders>
              <w:top w:val="nil"/>
              <w:left w:val="nil"/>
              <w:bottom w:val="single" w:sz="4" w:space="0" w:color="auto"/>
              <w:right w:val="single" w:sz="4" w:space="0" w:color="auto"/>
            </w:tcBorders>
            <w:shd w:val="clear" w:color="auto" w:fill="auto"/>
            <w:noWrap/>
            <w:vAlign w:val="bottom"/>
            <w:hideMark/>
          </w:tcPr>
          <w:p w14:paraId="58D0345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-108%</w:t>
            </w:r>
          </w:p>
        </w:tc>
      </w:tr>
      <w:tr w:rsidR="004223A8" w:rsidRPr="004223A8" w14:paraId="0559E085" w14:textId="77777777" w:rsidTr="005F7602">
        <w:trPr>
          <w:trHeight w:val="349"/>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3776BBD7"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Interest Expense</w:t>
            </w:r>
          </w:p>
        </w:tc>
        <w:tc>
          <w:tcPr>
            <w:tcW w:w="1404" w:type="dxa"/>
            <w:tcBorders>
              <w:top w:val="nil"/>
              <w:left w:val="nil"/>
              <w:bottom w:val="single" w:sz="4" w:space="0" w:color="auto"/>
              <w:right w:val="single" w:sz="4" w:space="0" w:color="auto"/>
            </w:tcBorders>
            <w:shd w:val="clear" w:color="auto" w:fill="auto"/>
            <w:noWrap/>
            <w:vAlign w:val="center"/>
            <w:hideMark/>
          </w:tcPr>
          <w:p w14:paraId="611109B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4,29,000</w:t>
            </w:r>
          </w:p>
        </w:tc>
        <w:tc>
          <w:tcPr>
            <w:tcW w:w="1404" w:type="dxa"/>
            <w:tcBorders>
              <w:top w:val="nil"/>
              <w:left w:val="nil"/>
              <w:bottom w:val="single" w:sz="4" w:space="0" w:color="auto"/>
              <w:right w:val="single" w:sz="4" w:space="0" w:color="auto"/>
            </w:tcBorders>
            <w:shd w:val="clear" w:color="auto" w:fill="auto"/>
            <w:noWrap/>
            <w:vAlign w:val="center"/>
            <w:hideMark/>
          </w:tcPr>
          <w:p w14:paraId="65AE6674"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4,14,000</w:t>
            </w:r>
          </w:p>
        </w:tc>
        <w:tc>
          <w:tcPr>
            <w:tcW w:w="1209" w:type="dxa"/>
            <w:tcBorders>
              <w:top w:val="nil"/>
              <w:left w:val="nil"/>
              <w:bottom w:val="single" w:sz="4" w:space="0" w:color="auto"/>
              <w:right w:val="single" w:sz="4" w:space="0" w:color="auto"/>
            </w:tcBorders>
            <w:shd w:val="clear" w:color="auto" w:fill="auto"/>
            <w:noWrap/>
            <w:vAlign w:val="bottom"/>
            <w:hideMark/>
          </w:tcPr>
          <w:p w14:paraId="6E9D5A1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15,000</w:t>
            </w:r>
          </w:p>
        </w:tc>
        <w:tc>
          <w:tcPr>
            <w:tcW w:w="1368" w:type="dxa"/>
            <w:tcBorders>
              <w:top w:val="nil"/>
              <w:left w:val="nil"/>
              <w:bottom w:val="single" w:sz="4" w:space="0" w:color="auto"/>
              <w:right w:val="single" w:sz="4" w:space="0" w:color="auto"/>
            </w:tcBorders>
            <w:shd w:val="clear" w:color="auto" w:fill="auto"/>
            <w:noWrap/>
            <w:vAlign w:val="bottom"/>
            <w:hideMark/>
          </w:tcPr>
          <w:p w14:paraId="2595F80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w:t>
            </w:r>
          </w:p>
        </w:tc>
      </w:tr>
      <w:tr w:rsidR="004223A8" w:rsidRPr="004223A8" w14:paraId="204BA5C0" w14:textId="77777777" w:rsidTr="005F7602">
        <w:trPr>
          <w:trHeight w:val="349"/>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640700F7"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 xml:space="preserve">Total Other income/ expenses net </w:t>
            </w:r>
          </w:p>
        </w:tc>
        <w:tc>
          <w:tcPr>
            <w:tcW w:w="1404" w:type="dxa"/>
            <w:tcBorders>
              <w:top w:val="nil"/>
              <w:left w:val="nil"/>
              <w:bottom w:val="single" w:sz="4" w:space="0" w:color="auto"/>
              <w:right w:val="single" w:sz="4" w:space="0" w:color="auto"/>
            </w:tcBorders>
            <w:shd w:val="clear" w:color="auto" w:fill="auto"/>
            <w:noWrap/>
            <w:vAlign w:val="center"/>
            <w:hideMark/>
          </w:tcPr>
          <w:p w14:paraId="7BBCFBD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-3,76,000</w:t>
            </w:r>
          </w:p>
        </w:tc>
        <w:tc>
          <w:tcPr>
            <w:tcW w:w="1404" w:type="dxa"/>
            <w:tcBorders>
              <w:top w:val="nil"/>
              <w:left w:val="nil"/>
              <w:bottom w:val="single" w:sz="4" w:space="0" w:color="auto"/>
              <w:right w:val="single" w:sz="4" w:space="0" w:color="auto"/>
            </w:tcBorders>
            <w:shd w:val="clear" w:color="auto" w:fill="auto"/>
            <w:noWrap/>
            <w:vAlign w:val="center"/>
            <w:hideMark/>
          </w:tcPr>
          <w:p w14:paraId="1C164777"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82,000</w:t>
            </w:r>
          </w:p>
        </w:tc>
        <w:tc>
          <w:tcPr>
            <w:tcW w:w="1209" w:type="dxa"/>
            <w:tcBorders>
              <w:top w:val="nil"/>
              <w:left w:val="nil"/>
              <w:bottom w:val="single" w:sz="4" w:space="0" w:color="auto"/>
              <w:right w:val="single" w:sz="4" w:space="0" w:color="auto"/>
            </w:tcBorders>
            <w:shd w:val="clear" w:color="auto" w:fill="auto"/>
            <w:noWrap/>
            <w:vAlign w:val="bottom"/>
            <w:hideMark/>
          </w:tcPr>
          <w:p w14:paraId="1DC06A7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-4,58,000</w:t>
            </w:r>
          </w:p>
        </w:tc>
        <w:tc>
          <w:tcPr>
            <w:tcW w:w="1368" w:type="dxa"/>
            <w:tcBorders>
              <w:top w:val="nil"/>
              <w:left w:val="nil"/>
              <w:bottom w:val="single" w:sz="4" w:space="0" w:color="auto"/>
              <w:right w:val="single" w:sz="4" w:space="0" w:color="auto"/>
            </w:tcBorders>
            <w:shd w:val="clear" w:color="auto" w:fill="auto"/>
            <w:noWrap/>
            <w:vAlign w:val="bottom"/>
            <w:hideMark/>
          </w:tcPr>
          <w:p w14:paraId="79C1F11C"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-559%</w:t>
            </w:r>
          </w:p>
        </w:tc>
      </w:tr>
      <w:tr w:rsidR="004223A8" w:rsidRPr="004223A8" w14:paraId="148AB099" w14:textId="77777777" w:rsidTr="005F7602">
        <w:trPr>
          <w:trHeight w:val="349"/>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112283DB"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Income before taxes</w:t>
            </w:r>
          </w:p>
        </w:tc>
        <w:tc>
          <w:tcPr>
            <w:tcW w:w="1404" w:type="dxa"/>
            <w:tcBorders>
              <w:top w:val="nil"/>
              <w:left w:val="nil"/>
              <w:bottom w:val="single" w:sz="4" w:space="0" w:color="auto"/>
              <w:right w:val="single" w:sz="4" w:space="0" w:color="auto"/>
            </w:tcBorders>
            <w:shd w:val="clear" w:color="auto" w:fill="auto"/>
            <w:noWrap/>
            <w:vAlign w:val="center"/>
            <w:hideMark/>
          </w:tcPr>
          <w:p w14:paraId="74291883"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-9,24,000</w:t>
            </w:r>
          </w:p>
        </w:tc>
        <w:tc>
          <w:tcPr>
            <w:tcW w:w="1404" w:type="dxa"/>
            <w:tcBorders>
              <w:top w:val="nil"/>
              <w:left w:val="nil"/>
              <w:bottom w:val="single" w:sz="4" w:space="0" w:color="auto"/>
              <w:right w:val="single" w:sz="4" w:space="0" w:color="auto"/>
            </w:tcBorders>
            <w:shd w:val="clear" w:color="auto" w:fill="auto"/>
            <w:noWrap/>
            <w:vAlign w:val="center"/>
            <w:hideMark/>
          </w:tcPr>
          <w:p w14:paraId="679E3D05"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12,44,000</w:t>
            </w:r>
          </w:p>
        </w:tc>
        <w:tc>
          <w:tcPr>
            <w:tcW w:w="1209" w:type="dxa"/>
            <w:tcBorders>
              <w:top w:val="nil"/>
              <w:left w:val="nil"/>
              <w:bottom w:val="single" w:sz="4" w:space="0" w:color="auto"/>
              <w:right w:val="single" w:sz="4" w:space="0" w:color="auto"/>
            </w:tcBorders>
            <w:shd w:val="clear" w:color="auto" w:fill="auto"/>
            <w:noWrap/>
            <w:vAlign w:val="bottom"/>
            <w:hideMark/>
          </w:tcPr>
          <w:p w14:paraId="3C97C428"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-21,68,000</w:t>
            </w:r>
          </w:p>
        </w:tc>
        <w:tc>
          <w:tcPr>
            <w:tcW w:w="1368" w:type="dxa"/>
            <w:tcBorders>
              <w:top w:val="nil"/>
              <w:left w:val="nil"/>
              <w:bottom w:val="single" w:sz="4" w:space="0" w:color="auto"/>
              <w:right w:val="single" w:sz="4" w:space="0" w:color="auto"/>
            </w:tcBorders>
            <w:shd w:val="clear" w:color="auto" w:fill="auto"/>
            <w:noWrap/>
            <w:vAlign w:val="bottom"/>
            <w:hideMark/>
          </w:tcPr>
          <w:p w14:paraId="254CF61E"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-174%</w:t>
            </w:r>
          </w:p>
        </w:tc>
      </w:tr>
      <w:tr w:rsidR="004223A8" w:rsidRPr="004223A8" w14:paraId="0163E40B" w14:textId="77777777" w:rsidTr="005F7602">
        <w:trPr>
          <w:trHeight w:val="349"/>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27A58CF0"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Net income</w:t>
            </w:r>
          </w:p>
        </w:tc>
        <w:tc>
          <w:tcPr>
            <w:tcW w:w="1404" w:type="dxa"/>
            <w:tcBorders>
              <w:top w:val="nil"/>
              <w:left w:val="nil"/>
              <w:bottom w:val="single" w:sz="4" w:space="0" w:color="auto"/>
              <w:right w:val="single" w:sz="4" w:space="0" w:color="auto"/>
            </w:tcBorders>
            <w:shd w:val="clear" w:color="auto" w:fill="auto"/>
            <w:noWrap/>
            <w:vAlign w:val="center"/>
            <w:hideMark/>
          </w:tcPr>
          <w:p w14:paraId="151CA53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-7,15,000</w:t>
            </w:r>
          </w:p>
        </w:tc>
        <w:tc>
          <w:tcPr>
            <w:tcW w:w="1404" w:type="dxa"/>
            <w:tcBorders>
              <w:top w:val="nil"/>
              <w:left w:val="nil"/>
              <w:bottom w:val="single" w:sz="4" w:space="0" w:color="auto"/>
              <w:right w:val="single" w:sz="4" w:space="0" w:color="auto"/>
            </w:tcBorders>
            <w:shd w:val="clear" w:color="auto" w:fill="auto"/>
            <w:noWrap/>
            <w:vAlign w:val="center"/>
            <w:hideMark/>
          </w:tcPr>
          <w:p w14:paraId="06FBC4A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8,81,000</w:t>
            </w:r>
          </w:p>
        </w:tc>
        <w:tc>
          <w:tcPr>
            <w:tcW w:w="1209" w:type="dxa"/>
            <w:tcBorders>
              <w:top w:val="nil"/>
              <w:left w:val="nil"/>
              <w:bottom w:val="single" w:sz="4" w:space="0" w:color="auto"/>
              <w:right w:val="single" w:sz="4" w:space="0" w:color="auto"/>
            </w:tcBorders>
            <w:shd w:val="clear" w:color="auto" w:fill="auto"/>
            <w:noWrap/>
            <w:vAlign w:val="bottom"/>
            <w:hideMark/>
          </w:tcPr>
          <w:p w14:paraId="03B48DB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-15,96,000</w:t>
            </w:r>
          </w:p>
        </w:tc>
        <w:tc>
          <w:tcPr>
            <w:tcW w:w="1368" w:type="dxa"/>
            <w:tcBorders>
              <w:top w:val="nil"/>
              <w:left w:val="nil"/>
              <w:bottom w:val="single" w:sz="4" w:space="0" w:color="auto"/>
              <w:right w:val="single" w:sz="4" w:space="0" w:color="auto"/>
            </w:tcBorders>
            <w:shd w:val="clear" w:color="auto" w:fill="auto"/>
            <w:noWrap/>
            <w:vAlign w:val="bottom"/>
            <w:hideMark/>
          </w:tcPr>
          <w:p w14:paraId="40AE7FA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-181%</w:t>
            </w:r>
          </w:p>
        </w:tc>
      </w:tr>
    </w:tbl>
    <w:p w14:paraId="70301A36" w14:textId="77777777" w:rsidR="004223A8" w:rsidRPr="004223A8" w:rsidRDefault="004223A8" w:rsidP="004223A8">
      <w:pPr>
        <w:jc w:val="right"/>
        <w:rPr>
          <w:rFonts w:ascii="Arial" w:hAnsi="Arial" w:cs="Arial"/>
          <w:sz w:val="24"/>
          <w:szCs w:val="24"/>
        </w:rPr>
      </w:pPr>
      <w:r w:rsidRPr="004223A8">
        <w:rPr>
          <w:rFonts w:ascii="Arial" w:hAnsi="Arial" w:cs="Arial"/>
          <w:sz w:val="24"/>
          <w:szCs w:val="24"/>
        </w:rPr>
        <w:t>(Source: Yahoo Finance, 2022)</w:t>
      </w:r>
    </w:p>
    <w:tbl>
      <w:tblPr>
        <w:tblW w:w="9453" w:type="dxa"/>
        <w:tblLook w:val="04A0" w:firstRow="1" w:lastRow="0" w:firstColumn="1" w:lastColumn="0" w:noHBand="0" w:noVBand="1"/>
      </w:tblPr>
      <w:tblGrid>
        <w:gridCol w:w="3787"/>
        <w:gridCol w:w="1521"/>
        <w:gridCol w:w="1521"/>
        <w:gridCol w:w="1284"/>
        <w:gridCol w:w="1399"/>
      </w:tblGrid>
      <w:tr w:rsidR="004223A8" w:rsidRPr="004223A8" w14:paraId="641CC5D0" w14:textId="77777777" w:rsidTr="005F7602">
        <w:trPr>
          <w:trHeight w:val="356"/>
        </w:trPr>
        <w:tc>
          <w:tcPr>
            <w:tcW w:w="3787" w:type="dxa"/>
            <w:tcBorders>
              <w:top w:val="single" w:sz="4" w:space="0" w:color="auto"/>
              <w:left w:val="single" w:sz="4" w:space="0" w:color="auto"/>
              <w:bottom w:val="single" w:sz="4" w:space="0" w:color="auto"/>
              <w:right w:val="single" w:sz="4" w:space="0" w:color="auto"/>
            </w:tcBorders>
            <w:shd w:val="clear" w:color="auto" w:fill="2E74B5" w:themeFill="accent5" w:themeFillShade="BF"/>
            <w:noWrap/>
            <w:vAlign w:val="bottom"/>
            <w:hideMark/>
          </w:tcPr>
          <w:p w14:paraId="006A8DDF" w14:textId="77777777" w:rsidR="004223A8" w:rsidRPr="004223A8" w:rsidRDefault="004223A8" w:rsidP="005F7602">
            <w:pPr>
              <w:spacing w:after="0" w:line="240" w:lineRule="auto"/>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Balance Sheet</w:t>
            </w:r>
          </w:p>
        </w:tc>
        <w:tc>
          <w:tcPr>
            <w:tcW w:w="1521" w:type="dxa"/>
            <w:tcBorders>
              <w:top w:val="single" w:sz="4" w:space="0" w:color="auto"/>
              <w:left w:val="single" w:sz="4" w:space="0" w:color="auto"/>
              <w:bottom w:val="single" w:sz="4" w:space="0" w:color="auto"/>
              <w:right w:val="single" w:sz="4" w:space="0" w:color="auto"/>
            </w:tcBorders>
            <w:shd w:val="clear" w:color="auto" w:fill="2E74B5" w:themeFill="accent5" w:themeFillShade="BF"/>
            <w:noWrap/>
            <w:vAlign w:val="center"/>
            <w:hideMark/>
          </w:tcPr>
          <w:p w14:paraId="12D15398" w14:textId="77777777" w:rsidR="004223A8" w:rsidRPr="004223A8" w:rsidRDefault="004223A8" w:rsidP="005F7602">
            <w:pPr>
              <w:spacing w:after="0" w:line="240" w:lineRule="auto"/>
              <w:jc w:val="center"/>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2020</w:t>
            </w:r>
          </w:p>
        </w:tc>
        <w:tc>
          <w:tcPr>
            <w:tcW w:w="1521" w:type="dxa"/>
            <w:tcBorders>
              <w:top w:val="single" w:sz="4" w:space="0" w:color="auto"/>
              <w:left w:val="single" w:sz="4" w:space="0" w:color="auto"/>
              <w:bottom w:val="single" w:sz="4" w:space="0" w:color="auto"/>
              <w:right w:val="single" w:sz="4" w:space="0" w:color="auto"/>
            </w:tcBorders>
            <w:shd w:val="clear" w:color="auto" w:fill="2E74B5" w:themeFill="accent5" w:themeFillShade="BF"/>
            <w:noWrap/>
            <w:vAlign w:val="center"/>
            <w:hideMark/>
          </w:tcPr>
          <w:p w14:paraId="0380AED0" w14:textId="77777777" w:rsidR="004223A8" w:rsidRPr="004223A8" w:rsidRDefault="004223A8" w:rsidP="005F7602">
            <w:pPr>
              <w:spacing w:after="0" w:line="240" w:lineRule="auto"/>
              <w:jc w:val="center"/>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2019</w:t>
            </w:r>
          </w:p>
        </w:tc>
        <w:tc>
          <w:tcPr>
            <w:tcW w:w="1225" w:type="dxa"/>
            <w:tcBorders>
              <w:top w:val="single" w:sz="4" w:space="0" w:color="auto"/>
              <w:left w:val="single" w:sz="4" w:space="0" w:color="auto"/>
              <w:bottom w:val="single" w:sz="4" w:space="0" w:color="auto"/>
              <w:right w:val="single" w:sz="4" w:space="0" w:color="auto"/>
            </w:tcBorders>
            <w:shd w:val="clear" w:color="auto" w:fill="2E74B5" w:themeFill="accent5" w:themeFillShade="BF"/>
            <w:noWrap/>
            <w:vAlign w:val="center"/>
            <w:hideMark/>
          </w:tcPr>
          <w:p w14:paraId="7ABF1034" w14:textId="77777777" w:rsidR="004223A8" w:rsidRPr="004223A8" w:rsidRDefault="004223A8" w:rsidP="005F7602">
            <w:pPr>
              <w:spacing w:after="0" w:line="240" w:lineRule="auto"/>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 xml:space="preserve">   Change</w:t>
            </w:r>
          </w:p>
        </w:tc>
        <w:tc>
          <w:tcPr>
            <w:tcW w:w="1399" w:type="dxa"/>
            <w:tcBorders>
              <w:top w:val="single" w:sz="4" w:space="0" w:color="auto"/>
              <w:left w:val="single" w:sz="4" w:space="0" w:color="auto"/>
              <w:bottom w:val="single" w:sz="4" w:space="0" w:color="auto"/>
              <w:right w:val="single" w:sz="4" w:space="0" w:color="auto"/>
            </w:tcBorders>
            <w:shd w:val="clear" w:color="auto" w:fill="2E74B5" w:themeFill="accent5" w:themeFillShade="BF"/>
            <w:noWrap/>
            <w:vAlign w:val="center"/>
            <w:hideMark/>
          </w:tcPr>
          <w:p w14:paraId="0EDD8AA6" w14:textId="77777777" w:rsidR="004223A8" w:rsidRPr="004223A8" w:rsidRDefault="004223A8" w:rsidP="005F7602">
            <w:pPr>
              <w:spacing w:after="0" w:line="240" w:lineRule="auto"/>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 Change</w:t>
            </w:r>
          </w:p>
        </w:tc>
      </w:tr>
      <w:tr w:rsidR="004223A8" w:rsidRPr="004223A8" w14:paraId="7A93E9D4" w14:textId="77777777" w:rsidTr="005F7602">
        <w:trPr>
          <w:trHeight w:val="356"/>
        </w:trPr>
        <w:tc>
          <w:tcPr>
            <w:tcW w:w="3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DDAFA7"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Current Asset</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14:paraId="59A87381"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42,02,000</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14:paraId="2E6413E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20,93,000</w:t>
            </w:r>
          </w:p>
        </w:tc>
        <w:tc>
          <w:tcPr>
            <w:tcW w:w="1225" w:type="dxa"/>
            <w:tcBorders>
              <w:top w:val="single" w:sz="4" w:space="0" w:color="auto"/>
              <w:left w:val="nil"/>
              <w:bottom w:val="single" w:sz="4" w:space="0" w:color="auto"/>
              <w:right w:val="single" w:sz="4" w:space="0" w:color="auto"/>
            </w:tcBorders>
            <w:shd w:val="clear" w:color="auto" w:fill="auto"/>
            <w:noWrap/>
            <w:vAlign w:val="bottom"/>
            <w:hideMark/>
          </w:tcPr>
          <w:p w14:paraId="505C37F2"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21,09,000</w:t>
            </w:r>
          </w:p>
        </w:tc>
        <w:tc>
          <w:tcPr>
            <w:tcW w:w="1399" w:type="dxa"/>
            <w:tcBorders>
              <w:top w:val="single" w:sz="4" w:space="0" w:color="auto"/>
              <w:left w:val="nil"/>
              <w:bottom w:val="single" w:sz="4" w:space="0" w:color="auto"/>
              <w:right w:val="single" w:sz="4" w:space="0" w:color="auto"/>
            </w:tcBorders>
            <w:shd w:val="clear" w:color="auto" w:fill="auto"/>
            <w:noWrap/>
            <w:vAlign w:val="bottom"/>
            <w:hideMark/>
          </w:tcPr>
          <w:p w14:paraId="7CDB0D23"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100.76%</w:t>
            </w:r>
          </w:p>
        </w:tc>
      </w:tr>
      <w:tr w:rsidR="004223A8" w:rsidRPr="004223A8" w14:paraId="5A962B6E" w14:textId="77777777" w:rsidTr="005F7602">
        <w:trPr>
          <w:trHeight w:val="356"/>
        </w:trPr>
        <w:tc>
          <w:tcPr>
            <w:tcW w:w="3787" w:type="dxa"/>
            <w:tcBorders>
              <w:top w:val="nil"/>
              <w:left w:val="single" w:sz="4" w:space="0" w:color="auto"/>
              <w:bottom w:val="single" w:sz="4" w:space="0" w:color="auto"/>
              <w:right w:val="single" w:sz="4" w:space="0" w:color="auto"/>
            </w:tcBorders>
            <w:shd w:val="clear" w:color="auto" w:fill="auto"/>
            <w:noWrap/>
            <w:vAlign w:val="center"/>
            <w:hideMark/>
          </w:tcPr>
          <w:p w14:paraId="177E5C6F"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Non-Current Asset</w:t>
            </w:r>
          </w:p>
        </w:tc>
        <w:tc>
          <w:tcPr>
            <w:tcW w:w="1521" w:type="dxa"/>
            <w:tcBorders>
              <w:top w:val="nil"/>
              <w:left w:val="nil"/>
              <w:bottom w:val="single" w:sz="4" w:space="0" w:color="auto"/>
              <w:right w:val="single" w:sz="4" w:space="0" w:color="auto"/>
            </w:tcBorders>
            <w:shd w:val="clear" w:color="auto" w:fill="auto"/>
            <w:noWrap/>
            <w:vAlign w:val="center"/>
            <w:hideMark/>
          </w:tcPr>
          <w:p w14:paraId="65ACCFE2"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1,58,10,000</w:t>
            </w:r>
          </w:p>
        </w:tc>
        <w:tc>
          <w:tcPr>
            <w:tcW w:w="1521" w:type="dxa"/>
            <w:tcBorders>
              <w:top w:val="nil"/>
              <w:left w:val="nil"/>
              <w:bottom w:val="single" w:sz="4" w:space="0" w:color="auto"/>
              <w:right w:val="single" w:sz="4" w:space="0" w:color="auto"/>
            </w:tcBorders>
            <w:shd w:val="clear" w:color="auto" w:fill="auto"/>
            <w:noWrap/>
            <w:vAlign w:val="center"/>
            <w:hideMark/>
          </w:tcPr>
          <w:p w14:paraId="31B00ED5"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1,25,58,000</w:t>
            </w:r>
          </w:p>
        </w:tc>
        <w:tc>
          <w:tcPr>
            <w:tcW w:w="1225" w:type="dxa"/>
            <w:tcBorders>
              <w:top w:val="nil"/>
              <w:left w:val="nil"/>
              <w:bottom w:val="single" w:sz="4" w:space="0" w:color="auto"/>
              <w:right w:val="single" w:sz="4" w:space="0" w:color="auto"/>
            </w:tcBorders>
            <w:shd w:val="clear" w:color="auto" w:fill="auto"/>
            <w:noWrap/>
            <w:vAlign w:val="bottom"/>
            <w:hideMark/>
          </w:tcPr>
          <w:p w14:paraId="4A35D34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32,52,000</w:t>
            </w:r>
          </w:p>
        </w:tc>
        <w:tc>
          <w:tcPr>
            <w:tcW w:w="1399" w:type="dxa"/>
            <w:tcBorders>
              <w:top w:val="nil"/>
              <w:left w:val="nil"/>
              <w:bottom w:val="single" w:sz="4" w:space="0" w:color="auto"/>
              <w:right w:val="single" w:sz="4" w:space="0" w:color="auto"/>
            </w:tcBorders>
            <w:shd w:val="clear" w:color="auto" w:fill="auto"/>
            <w:noWrap/>
            <w:vAlign w:val="bottom"/>
            <w:hideMark/>
          </w:tcPr>
          <w:p w14:paraId="0DF712BA"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25.90%</w:t>
            </w:r>
          </w:p>
        </w:tc>
      </w:tr>
      <w:tr w:rsidR="004223A8" w:rsidRPr="004223A8" w14:paraId="72E1BC12" w14:textId="77777777" w:rsidTr="005F7602">
        <w:trPr>
          <w:trHeight w:val="356"/>
        </w:trPr>
        <w:tc>
          <w:tcPr>
            <w:tcW w:w="3787" w:type="dxa"/>
            <w:tcBorders>
              <w:top w:val="nil"/>
              <w:left w:val="single" w:sz="4" w:space="0" w:color="auto"/>
              <w:bottom w:val="single" w:sz="4" w:space="0" w:color="auto"/>
              <w:right w:val="single" w:sz="4" w:space="0" w:color="auto"/>
            </w:tcBorders>
            <w:shd w:val="clear" w:color="auto" w:fill="auto"/>
            <w:noWrap/>
            <w:vAlign w:val="center"/>
            <w:hideMark/>
          </w:tcPr>
          <w:p w14:paraId="4E0D0E33"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Total Asset</w:t>
            </w:r>
          </w:p>
        </w:tc>
        <w:tc>
          <w:tcPr>
            <w:tcW w:w="1521" w:type="dxa"/>
            <w:tcBorders>
              <w:top w:val="nil"/>
              <w:left w:val="nil"/>
              <w:bottom w:val="single" w:sz="4" w:space="0" w:color="auto"/>
              <w:right w:val="single" w:sz="4" w:space="0" w:color="auto"/>
            </w:tcBorders>
            <w:shd w:val="clear" w:color="auto" w:fill="auto"/>
            <w:noWrap/>
            <w:vAlign w:val="center"/>
            <w:hideMark/>
          </w:tcPr>
          <w:p w14:paraId="65E6A24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1,67,55,000</w:t>
            </w:r>
          </w:p>
        </w:tc>
        <w:tc>
          <w:tcPr>
            <w:tcW w:w="1521" w:type="dxa"/>
            <w:tcBorders>
              <w:top w:val="nil"/>
              <w:left w:val="nil"/>
              <w:bottom w:val="single" w:sz="4" w:space="0" w:color="auto"/>
              <w:right w:val="single" w:sz="4" w:space="0" w:color="auto"/>
            </w:tcBorders>
            <w:shd w:val="clear" w:color="auto" w:fill="auto"/>
            <w:noWrap/>
            <w:vAlign w:val="center"/>
            <w:hideMark/>
          </w:tcPr>
          <w:p w14:paraId="5BED53C4"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1,49,57,000</w:t>
            </w:r>
          </w:p>
        </w:tc>
        <w:tc>
          <w:tcPr>
            <w:tcW w:w="1225" w:type="dxa"/>
            <w:tcBorders>
              <w:top w:val="nil"/>
              <w:left w:val="nil"/>
              <w:bottom w:val="single" w:sz="4" w:space="0" w:color="auto"/>
              <w:right w:val="single" w:sz="4" w:space="0" w:color="auto"/>
            </w:tcBorders>
            <w:shd w:val="clear" w:color="auto" w:fill="auto"/>
            <w:noWrap/>
            <w:vAlign w:val="bottom"/>
            <w:hideMark/>
          </w:tcPr>
          <w:p w14:paraId="3AB36058"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17,98,000</w:t>
            </w:r>
          </w:p>
        </w:tc>
        <w:tc>
          <w:tcPr>
            <w:tcW w:w="1399" w:type="dxa"/>
            <w:tcBorders>
              <w:top w:val="nil"/>
              <w:left w:val="nil"/>
              <w:bottom w:val="single" w:sz="4" w:space="0" w:color="auto"/>
              <w:right w:val="single" w:sz="4" w:space="0" w:color="auto"/>
            </w:tcBorders>
            <w:shd w:val="clear" w:color="auto" w:fill="auto"/>
            <w:noWrap/>
            <w:vAlign w:val="bottom"/>
            <w:hideMark/>
          </w:tcPr>
          <w:p w14:paraId="0E83D727"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12.02%</w:t>
            </w:r>
          </w:p>
        </w:tc>
      </w:tr>
      <w:tr w:rsidR="004223A8" w:rsidRPr="004223A8" w14:paraId="4C2A0A88" w14:textId="77777777" w:rsidTr="005F7602">
        <w:trPr>
          <w:trHeight w:val="356"/>
        </w:trPr>
        <w:tc>
          <w:tcPr>
            <w:tcW w:w="3787" w:type="dxa"/>
            <w:tcBorders>
              <w:top w:val="nil"/>
              <w:left w:val="single" w:sz="4" w:space="0" w:color="auto"/>
              <w:bottom w:val="single" w:sz="4" w:space="0" w:color="auto"/>
              <w:right w:val="single" w:sz="4" w:space="0" w:color="auto"/>
            </w:tcBorders>
            <w:shd w:val="clear" w:color="auto" w:fill="auto"/>
            <w:noWrap/>
            <w:vAlign w:val="center"/>
            <w:hideMark/>
          </w:tcPr>
          <w:p w14:paraId="58F8F4A0"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Current Liabilities</w:t>
            </w:r>
          </w:p>
        </w:tc>
        <w:tc>
          <w:tcPr>
            <w:tcW w:w="1521" w:type="dxa"/>
            <w:tcBorders>
              <w:top w:val="nil"/>
              <w:left w:val="nil"/>
              <w:bottom w:val="single" w:sz="4" w:space="0" w:color="auto"/>
              <w:right w:val="single" w:sz="4" w:space="0" w:color="auto"/>
            </w:tcBorders>
            <w:shd w:val="clear" w:color="auto" w:fill="auto"/>
            <w:noWrap/>
            <w:vAlign w:val="center"/>
            <w:hideMark/>
          </w:tcPr>
          <w:p w14:paraId="61CD8227"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24,31,000</w:t>
            </w:r>
          </w:p>
        </w:tc>
        <w:tc>
          <w:tcPr>
            <w:tcW w:w="1521" w:type="dxa"/>
            <w:tcBorders>
              <w:top w:val="nil"/>
              <w:left w:val="nil"/>
              <w:bottom w:val="single" w:sz="4" w:space="0" w:color="auto"/>
              <w:right w:val="single" w:sz="4" w:space="0" w:color="auto"/>
            </w:tcBorders>
            <w:shd w:val="clear" w:color="auto" w:fill="auto"/>
            <w:noWrap/>
            <w:vAlign w:val="center"/>
            <w:hideMark/>
          </w:tcPr>
          <w:p w14:paraId="2406FED1"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28,71,000</w:t>
            </w:r>
          </w:p>
        </w:tc>
        <w:tc>
          <w:tcPr>
            <w:tcW w:w="1225" w:type="dxa"/>
            <w:tcBorders>
              <w:top w:val="nil"/>
              <w:left w:val="nil"/>
              <w:bottom w:val="single" w:sz="4" w:space="0" w:color="auto"/>
              <w:right w:val="single" w:sz="4" w:space="0" w:color="auto"/>
            </w:tcBorders>
            <w:shd w:val="clear" w:color="auto" w:fill="auto"/>
            <w:noWrap/>
            <w:vAlign w:val="bottom"/>
            <w:hideMark/>
          </w:tcPr>
          <w:p w14:paraId="3B6A59F0"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-4,40,000</w:t>
            </w:r>
          </w:p>
        </w:tc>
        <w:tc>
          <w:tcPr>
            <w:tcW w:w="1399" w:type="dxa"/>
            <w:tcBorders>
              <w:top w:val="nil"/>
              <w:left w:val="nil"/>
              <w:bottom w:val="single" w:sz="4" w:space="0" w:color="auto"/>
              <w:right w:val="single" w:sz="4" w:space="0" w:color="auto"/>
            </w:tcBorders>
            <w:shd w:val="clear" w:color="auto" w:fill="auto"/>
            <w:noWrap/>
            <w:vAlign w:val="bottom"/>
            <w:hideMark/>
          </w:tcPr>
          <w:p w14:paraId="7A0926F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-15.33%</w:t>
            </w:r>
          </w:p>
        </w:tc>
      </w:tr>
      <w:tr w:rsidR="004223A8" w:rsidRPr="004223A8" w14:paraId="6A1E7FE2" w14:textId="77777777" w:rsidTr="005F7602">
        <w:trPr>
          <w:trHeight w:val="356"/>
        </w:trPr>
        <w:tc>
          <w:tcPr>
            <w:tcW w:w="3787" w:type="dxa"/>
            <w:tcBorders>
              <w:top w:val="nil"/>
              <w:left w:val="single" w:sz="4" w:space="0" w:color="auto"/>
              <w:bottom w:val="single" w:sz="4" w:space="0" w:color="auto"/>
              <w:right w:val="single" w:sz="4" w:space="0" w:color="auto"/>
            </w:tcBorders>
            <w:shd w:val="clear" w:color="auto" w:fill="auto"/>
            <w:noWrap/>
            <w:vAlign w:val="center"/>
            <w:hideMark/>
          </w:tcPr>
          <w:p w14:paraId="03E2F407"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Non-current Liabilities</w:t>
            </w:r>
          </w:p>
        </w:tc>
        <w:tc>
          <w:tcPr>
            <w:tcW w:w="1521" w:type="dxa"/>
            <w:tcBorders>
              <w:top w:val="nil"/>
              <w:left w:val="nil"/>
              <w:bottom w:val="single" w:sz="4" w:space="0" w:color="auto"/>
              <w:right w:val="single" w:sz="4" w:space="0" w:color="auto"/>
            </w:tcBorders>
            <w:shd w:val="clear" w:color="auto" w:fill="auto"/>
            <w:noWrap/>
            <w:vAlign w:val="center"/>
            <w:hideMark/>
          </w:tcPr>
          <w:p w14:paraId="34B8643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1,58,10,000</w:t>
            </w:r>
          </w:p>
        </w:tc>
        <w:tc>
          <w:tcPr>
            <w:tcW w:w="1521" w:type="dxa"/>
            <w:tcBorders>
              <w:top w:val="nil"/>
              <w:left w:val="nil"/>
              <w:bottom w:val="single" w:sz="4" w:space="0" w:color="auto"/>
              <w:right w:val="single" w:sz="4" w:space="0" w:color="auto"/>
            </w:tcBorders>
            <w:shd w:val="clear" w:color="auto" w:fill="auto"/>
            <w:noWrap/>
            <w:vAlign w:val="center"/>
            <w:hideMark/>
          </w:tcPr>
          <w:p w14:paraId="20EA851A"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1,25,58,000</w:t>
            </w:r>
          </w:p>
        </w:tc>
        <w:tc>
          <w:tcPr>
            <w:tcW w:w="1225" w:type="dxa"/>
            <w:tcBorders>
              <w:top w:val="nil"/>
              <w:left w:val="nil"/>
              <w:bottom w:val="single" w:sz="4" w:space="0" w:color="auto"/>
              <w:right w:val="single" w:sz="4" w:space="0" w:color="auto"/>
            </w:tcBorders>
            <w:shd w:val="clear" w:color="auto" w:fill="auto"/>
            <w:noWrap/>
            <w:vAlign w:val="bottom"/>
            <w:hideMark/>
          </w:tcPr>
          <w:p w14:paraId="60010378"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32,52,000</w:t>
            </w:r>
          </w:p>
        </w:tc>
        <w:tc>
          <w:tcPr>
            <w:tcW w:w="1399" w:type="dxa"/>
            <w:tcBorders>
              <w:top w:val="nil"/>
              <w:left w:val="nil"/>
              <w:bottom w:val="single" w:sz="4" w:space="0" w:color="auto"/>
              <w:right w:val="single" w:sz="4" w:space="0" w:color="auto"/>
            </w:tcBorders>
            <w:shd w:val="clear" w:color="auto" w:fill="auto"/>
            <w:noWrap/>
            <w:vAlign w:val="bottom"/>
            <w:hideMark/>
          </w:tcPr>
          <w:p w14:paraId="21EF084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25.90%</w:t>
            </w:r>
          </w:p>
        </w:tc>
      </w:tr>
      <w:tr w:rsidR="004223A8" w:rsidRPr="004223A8" w14:paraId="6EC71AE7" w14:textId="77777777" w:rsidTr="005F7602">
        <w:trPr>
          <w:trHeight w:val="356"/>
        </w:trPr>
        <w:tc>
          <w:tcPr>
            <w:tcW w:w="3787" w:type="dxa"/>
            <w:tcBorders>
              <w:top w:val="nil"/>
              <w:left w:val="single" w:sz="4" w:space="0" w:color="auto"/>
              <w:bottom w:val="single" w:sz="4" w:space="0" w:color="auto"/>
              <w:right w:val="single" w:sz="4" w:space="0" w:color="auto"/>
            </w:tcBorders>
            <w:shd w:val="clear" w:color="auto" w:fill="auto"/>
            <w:noWrap/>
            <w:vAlign w:val="center"/>
            <w:hideMark/>
          </w:tcPr>
          <w:p w14:paraId="2F1D025B"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Total Liabilities</w:t>
            </w:r>
          </w:p>
        </w:tc>
        <w:tc>
          <w:tcPr>
            <w:tcW w:w="1521" w:type="dxa"/>
            <w:tcBorders>
              <w:top w:val="nil"/>
              <w:left w:val="nil"/>
              <w:bottom w:val="single" w:sz="4" w:space="0" w:color="auto"/>
              <w:right w:val="single" w:sz="4" w:space="0" w:color="auto"/>
            </w:tcBorders>
            <w:shd w:val="clear" w:color="auto" w:fill="auto"/>
            <w:noWrap/>
            <w:vAlign w:val="center"/>
            <w:hideMark/>
          </w:tcPr>
          <w:p w14:paraId="06F01D33"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1,82,41,000</w:t>
            </w:r>
          </w:p>
        </w:tc>
        <w:tc>
          <w:tcPr>
            <w:tcW w:w="1521" w:type="dxa"/>
            <w:tcBorders>
              <w:top w:val="nil"/>
              <w:left w:val="nil"/>
              <w:bottom w:val="single" w:sz="4" w:space="0" w:color="auto"/>
              <w:right w:val="single" w:sz="4" w:space="0" w:color="auto"/>
            </w:tcBorders>
            <w:shd w:val="clear" w:color="auto" w:fill="auto"/>
            <w:noWrap/>
            <w:vAlign w:val="center"/>
            <w:hideMark/>
          </w:tcPr>
          <w:p w14:paraId="449CF39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1,54,29,000</w:t>
            </w:r>
          </w:p>
        </w:tc>
        <w:tc>
          <w:tcPr>
            <w:tcW w:w="1225" w:type="dxa"/>
            <w:tcBorders>
              <w:top w:val="nil"/>
              <w:left w:val="nil"/>
              <w:bottom w:val="single" w:sz="4" w:space="0" w:color="auto"/>
              <w:right w:val="single" w:sz="4" w:space="0" w:color="auto"/>
            </w:tcBorders>
            <w:shd w:val="clear" w:color="auto" w:fill="auto"/>
            <w:noWrap/>
            <w:vAlign w:val="bottom"/>
            <w:hideMark/>
          </w:tcPr>
          <w:p w14:paraId="543994F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28,12,000</w:t>
            </w:r>
          </w:p>
        </w:tc>
        <w:tc>
          <w:tcPr>
            <w:tcW w:w="1399" w:type="dxa"/>
            <w:tcBorders>
              <w:top w:val="nil"/>
              <w:left w:val="nil"/>
              <w:bottom w:val="single" w:sz="4" w:space="0" w:color="auto"/>
              <w:right w:val="single" w:sz="4" w:space="0" w:color="auto"/>
            </w:tcBorders>
            <w:shd w:val="clear" w:color="auto" w:fill="auto"/>
            <w:noWrap/>
            <w:vAlign w:val="bottom"/>
            <w:hideMark/>
          </w:tcPr>
          <w:p w14:paraId="4014888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18.23%</w:t>
            </w:r>
          </w:p>
        </w:tc>
      </w:tr>
      <w:tr w:rsidR="004223A8" w:rsidRPr="004223A8" w14:paraId="3CAAB76F" w14:textId="77777777" w:rsidTr="005F7602">
        <w:trPr>
          <w:trHeight w:val="356"/>
        </w:trPr>
        <w:tc>
          <w:tcPr>
            <w:tcW w:w="3787" w:type="dxa"/>
            <w:tcBorders>
              <w:top w:val="nil"/>
              <w:left w:val="single" w:sz="4" w:space="0" w:color="auto"/>
              <w:bottom w:val="single" w:sz="4" w:space="0" w:color="auto"/>
              <w:right w:val="single" w:sz="4" w:space="0" w:color="auto"/>
            </w:tcBorders>
            <w:shd w:val="clear" w:color="auto" w:fill="auto"/>
            <w:noWrap/>
            <w:vAlign w:val="center"/>
            <w:hideMark/>
          </w:tcPr>
          <w:p w14:paraId="67600B06"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Common Stock</w:t>
            </w:r>
          </w:p>
        </w:tc>
        <w:tc>
          <w:tcPr>
            <w:tcW w:w="1521" w:type="dxa"/>
            <w:tcBorders>
              <w:top w:val="nil"/>
              <w:left w:val="nil"/>
              <w:bottom w:val="single" w:sz="4" w:space="0" w:color="auto"/>
              <w:right w:val="single" w:sz="4" w:space="0" w:color="auto"/>
            </w:tcBorders>
            <w:shd w:val="clear" w:color="auto" w:fill="auto"/>
            <w:noWrap/>
            <w:vAlign w:val="center"/>
            <w:hideMark/>
          </w:tcPr>
          <w:p w14:paraId="6A93CFC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3,000</w:t>
            </w:r>
          </w:p>
        </w:tc>
        <w:tc>
          <w:tcPr>
            <w:tcW w:w="1521" w:type="dxa"/>
            <w:tcBorders>
              <w:top w:val="nil"/>
              <w:left w:val="nil"/>
              <w:bottom w:val="single" w:sz="4" w:space="0" w:color="auto"/>
              <w:right w:val="single" w:sz="4" w:space="0" w:color="auto"/>
            </w:tcBorders>
            <w:shd w:val="clear" w:color="auto" w:fill="auto"/>
            <w:noWrap/>
            <w:vAlign w:val="center"/>
            <w:hideMark/>
          </w:tcPr>
          <w:p w14:paraId="4397D785"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3,000</w:t>
            </w:r>
          </w:p>
        </w:tc>
        <w:tc>
          <w:tcPr>
            <w:tcW w:w="1225" w:type="dxa"/>
            <w:tcBorders>
              <w:top w:val="nil"/>
              <w:left w:val="nil"/>
              <w:bottom w:val="single" w:sz="4" w:space="0" w:color="auto"/>
              <w:right w:val="single" w:sz="4" w:space="0" w:color="auto"/>
            </w:tcBorders>
            <w:shd w:val="clear" w:color="auto" w:fill="auto"/>
            <w:noWrap/>
            <w:vAlign w:val="bottom"/>
            <w:hideMark/>
          </w:tcPr>
          <w:p w14:paraId="3333E04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0</w:t>
            </w:r>
          </w:p>
        </w:tc>
        <w:tc>
          <w:tcPr>
            <w:tcW w:w="1399" w:type="dxa"/>
            <w:tcBorders>
              <w:top w:val="nil"/>
              <w:left w:val="nil"/>
              <w:bottom w:val="single" w:sz="4" w:space="0" w:color="auto"/>
              <w:right w:val="single" w:sz="4" w:space="0" w:color="auto"/>
            </w:tcBorders>
            <w:shd w:val="clear" w:color="auto" w:fill="auto"/>
            <w:noWrap/>
            <w:vAlign w:val="bottom"/>
            <w:hideMark/>
          </w:tcPr>
          <w:p w14:paraId="68310C1E"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0.00%</w:t>
            </w:r>
          </w:p>
        </w:tc>
      </w:tr>
      <w:tr w:rsidR="004223A8" w:rsidRPr="004223A8" w14:paraId="1FC0948B" w14:textId="77777777" w:rsidTr="005F7602">
        <w:trPr>
          <w:trHeight w:val="356"/>
        </w:trPr>
        <w:tc>
          <w:tcPr>
            <w:tcW w:w="3787" w:type="dxa"/>
            <w:tcBorders>
              <w:top w:val="nil"/>
              <w:left w:val="single" w:sz="4" w:space="0" w:color="auto"/>
              <w:bottom w:val="single" w:sz="4" w:space="0" w:color="auto"/>
              <w:right w:val="single" w:sz="4" w:space="0" w:color="auto"/>
            </w:tcBorders>
            <w:shd w:val="clear" w:color="auto" w:fill="auto"/>
            <w:noWrap/>
            <w:vAlign w:val="center"/>
            <w:hideMark/>
          </w:tcPr>
          <w:p w14:paraId="7C4C03AC"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Retained Earnings</w:t>
            </w:r>
          </w:p>
        </w:tc>
        <w:tc>
          <w:tcPr>
            <w:tcW w:w="1521" w:type="dxa"/>
            <w:tcBorders>
              <w:top w:val="nil"/>
              <w:left w:val="nil"/>
              <w:bottom w:val="single" w:sz="4" w:space="0" w:color="auto"/>
              <w:right w:val="single" w:sz="4" w:space="0" w:color="auto"/>
            </w:tcBorders>
            <w:shd w:val="clear" w:color="auto" w:fill="auto"/>
            <w:noWrap/>
            <w:vAlign w:val="center"/>
            <w:hideMark/>
          </w:tcPr>
          <w:p w14:paraId="0B35E25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-67,32,000</w:t>
            </w:r>
          </w:p>
        </w:tc>
        <w:tc>
          <w:tcPr>
            <w:tcW w:w="1521" w:type="dxa"/>
            <w:tcBorders>
              <w:top w:val="nil"/>
              <w:left w:val="nil"/>
              <w:bottom w:val="single" w:sz="4" w:space="0" w:color="auto"/>
              <w:right w:val="single" w:sz="4" w:space="0" w:color="auto"/>
            </w:tcBorders>
            <w:shd w:val="clear" w:color="auto" w:fill="auto"/>
            <w:noWrap/>
            <w:vAlign w:val="center"/>
            <w:hideMark/>
          </w:tcPr>
          <w:p w14:paraId="2D38B2A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-59,65,000</w:t>
            </w:r>
          </w:p>
        </w:tc>
        <w:tc>
          <w:tcPr>
            <w:tcW w:w="1225" w:type="dxa"/>
            <w:tcBorders>
              <w:top w:val="nil"/>
              <w:left w:val="nil"/>
              <w:bottom w:val="single" w:sz="4" w:space="0" w:color="auto"/>
              <w:right w:val="single" w:sz="4" w:space="0" w:color="auto"/>
            </w:tcBorders>
            <w:shd w:val="clear" w:color="auto" w:fill="auto"/>
            <w:noWrap/>
            <w:vAlign w:val="bottom"/>
            <w:hideMark/>
          </w:tcPr>
          <w:p w14:paraId="732B112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-7,67,000</w:t>
            </w:r>
          </w:p>
        </w:tc>
        <w:tc>
          <w:tcPr>
            <w:tcW w:w="1399" w:type="dxa"/>
            <w:tcBorders>
              <w:top w:val="nil"/>
              <w:left w:val="nil"/>
              <w:bottom w:val="single" w:sz="4" w:space="0" w:color="auto"/>
              <w:right w:val="single" w:sz="4" w:space="0" w:color="auto"/>
            </w:tcBorders>
            <w:shd w:val="clear" w:color="auto" w:fill="auto"/>
            <w:noWrap/>
            <w:vAlign w:val="bottom"/>
            <w:hideMark/>
          </w:tcPr>
          <w:p w14:paraId="563DE680"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12.86%</w:t>
            </w:r>
          </w:p>
        </w:tc>
      </w:tr>
      <w:tr w:rsidR="004223A8" w:rsidRPr="004223A8" w14:paraId="25096309" w14:textId="77777777" w:rsidTr="005F7602">
        <w:trPr>
          <w:trHeight w:val="356"/>
        </w:trPr>
        <w:tc>
          <w:tcPr>
            <w:tcW w:w="3787" w:type="dxa"/>
            <w:tcBorders>
              <w:top w:val="nil"/>
              <w:left w:val="single" w:sz="4" w:space="0" w:color="auto"/>
              <w:bottom w:val="single" w:sz="4" w:space="0" w:color="auto"/>
              <w:right w:val="single" w:sz="4" w:space="0" w:color="auto"/>
            </w:tcBorders>
            <w:shd w:val="clear" w:color="auto" w:fill="auto"/>
            <w:noWrap/>
            <w:vAlign w:val="center"/>
            <w:hideMark/>
          </w:tcPr>
          <w:p w14:paraId="3A0F5C62"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Total Stockholders’ Equity</w:t>
            </w:r>
          </w:p>
        </w:tc>
        <w:tc>
          <w:tcPr>
            <w:tcW w:w="1521" w:type="dxa"/>
            <w:tcBorders>
              <w:top w:val="nil"/>
              <w:left w:val="nil"/>
              <w:bottom w:val="single" w:sz="4" w:space="0" w:color="auto"/>
              <w:right w:val="single" w:sz="4" w:space="0" w:color="auto"/>
            </w:tcBorders>
            <w:shd w:val="clear" w:color="auto" w:fill="auto"/>
            <w:noWrap/>
            <w:vAlign w:val="center"/>
            <w:hideMark/>
          </w:tcPr>
          <w:p w14:paraId="7A57E4CE"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-14,90,000</w:t>
            </w:r>
          </w:p>
        </w:tc>
        <w:tc>
          <w:tcPr>
            <w:tcW w:w="1521" w:type="dxa"/>
            <w:tcBorders>
              <w:top w:val="nil"/>
              <w:left w:val="nil"/>
              <w:bottom w:val="single" w:sz="4" w:space="0" w:color="auto"/>
              <w:right w:val="single" w:sz="4" w:space="0" w:color="auto"/>
            </w:tcBorders>
            <w:shd w:val="clear" w:color="auto" w:fill="auto"/>
            <w:noWrap/>
            <w:vAlign w:val="center"/>
            <w:hideMark/>
          </w:tcPr>
          <w:p w14:paraId="18F19E70"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-4,82,000</w:t>
            </w:r>
          </w:p>
        </w:tc>
        <w:tc>
          <w:tcPr>
            <w:tcW w:w="1225" w:type="dxa"/>
            <w:tcBorders>
              <w:top w:val="nil"/>
              <w:left w:val="nil"/>
              <w:bottom w:val="single" w:sz="4" w:space="0" w:color="auto"/>
              <w:right w:val="single" w:sz="4" w:space="0" w:color="auto"/>
            </w:tcBorders>
            <w:shd w:val="clear" w:color="auto" w:fill="auto"/>
            <w:noWrap/>
            <w:vAlign w:val="bottom"/>
            <w:hideMark/>
          </w:tcPr>
          <w:p w14:paraId="0857DBD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-10,08,000</w:t>
            </w:r>
          </w:p>
        </w:tc>
        <w:tc>
          <w:tcPr>
            <w:tcW w:w="1399" w:type="dxa"/>
            <w:tcBorders>
              <w:top w:val="nil"/>
              <w:left w:val="nil"/>
              <w:bottom w:val="single" w:sz="4" w:space="0" w:color="auto"/>
              <w:right w:val="single" w:sz="4" w:space="0" w:color="auto"/>
            </w:tcBorders>
            <w:shd w:val="clear" w:color="auto" w:fill="auto"/>
            <w:noWrap/>
            <w:vAlign w:val="bottom"/>
            <w:hideMark/>
          </w:tcPr>
          <w:p w14:paraId="2D9AC1C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209.13%</w:t>
            </w:r>
          </w:p>
        </w:tc>
      </w:tr>
      <w:tr w:rsidR="004223A8" w:rsidRPr="004223A8" w14:paraId="0F8E5A1A" w14:textId="77777777" w:rsidTr="005F7602">
        <w:trPr>
          <w:trHeight w:val="356"/>
        </w:trPr>
        <w:tc>
          <w:tcPr>
            <w:tcW w:w="3787" w:type="dxa"/>
            <w:tcBorders>
              <w:top w:val="nil"/>
              <w:left w:val="single" w:sz="4" w:space="0" w:color="auto"/>
              <w:bottom w:val="single" w:sz="4" w:space="0" w:color="auto"/>
              <w:right w:val="single" w:sz="4" w:space="0" w:color="auto"/>
            </w:tcBorders>
            <w:shd w:val="clear" w:color="auto" w:fill="auto"/>
            <w:noWrap/>
            <w:vAlign w:val="center"/>
            <w:hideMark/>
          </w:tcPr>
          <w:p w14:paraId="74292563"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Total Liabilities and Stockholder</w:t>
            </w:r>
          </w:p>
        </w:tc>
        <w:tc>
          <w:tcPr>
            <w:tcW w:w="1521" w:type="dxa"/>
            <w:tcBorders>
              <w:top w:val="nil"/>
              <w:left w:val="nil"/>
              <w:bottom w:val="single" w:sz="4" w:space="0" w:color="auto"/>
              <w:right w:val="single" w:sz="4" w:space="0" w:color="auto"/>
            </w:tcBorders>
            <w:shd w:val="clear" w:color="auto" w:fill="auto"/>
            <w:noWrap/>
            <w:vAlign w:val="center"/>
            <w:hideMark/>
          </w:tcPr>
          <w:p w14:paraId="698C2DF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1,67,55,000</w:t>
            </w:r>
          </w:p>
        </w:tc>
        <w:tc>
          <w:tcPr>
            <w:tcW w:w="1521" w:type="dxa"/>
            <w:tcBorders>
              <w:top w:val="nil"/>
              <w:left w:val="nil"/>
              <w:bottom w:val="single" w:sz="4" w:space="0" w:color="auto"/>
              <w:right w:val="single" w:sz="4" w:space="0" w:color="auto"/>
            </w:tcBorders>
            <w:shd w:val="clear" w:color="auto" w:fill="auto"/>
            <w:noWrap/>
            <w:vAlign w:val="center"/>
            <w:hideMark/>
          </w:tcPr>
          <w:p w14:paraId="41CD39D2"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1,49,57,000</w:t>
            </w:r>
          </w:p>
        </w:tc>
        <w:tc>
          <w:tcPr>
            <w:tcW w:w="1225" w:type="dxa"/>
            <w:tcBorders>
              <w:top w:val="nil"/>
              <w:left w:val="nil"/>
              <w:bottom w:val="single" w:sz="4" w:space="0" w:color="auto"/>
              <w:right w:val="single" w:sz="4" w:space="0" w:color="auto"/>
            </w:tcBorders>
            <w:shd w:val="clear" w:color="auto" w:fill="auto"/>
            <w:noWrap/>
            <w:vAlign w:val="bottom"/>
            <w:hideMark/>
          </w:tcPr>
          <w:p w14:paraId="7930113E"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17,98,000</w:t>
            </w:r>
          </w:p>
        </w:tc>
        <w:tc>
          <w:tcPr>
            <w:tcW w:w="1399" w:type="dxa"/>
            <w:tcBorders>
              <w:top w:val="nil"/>
              <w:left w:val="nil"/>
              <w:bottom w:val="single" w:sz="4" w:space="0" w:color="auto"/>
              <w:right w:val="single" w:sz="4" w:space="0" w:color="auto"/>
            </w:tcBorders>
            <w:shd w:val="clear" w:color="auto" w:fill="auto"/>
            <w:noWrap/>
            <w:vAlign w:val="bottom"/>
            <w:hideMark/>
          </w:tcPr>
          <w:p w14:paraId="44125D34"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12.02%</w:t>
            </w:r>
          </w:p>
        </w:tc>
      </w:tr>
    </w:tbl>
    <w:p w14:paraId="6323527D" w14:textId="77777777" w:rsidR="004223A8" w:rsidRPr="004223A8" w:rsidRDefault="004223A8" w:rsidP="004223A8">
      <w:pPr>
        <w:jc w:val="right"/>
        <w:rPr>
          <w:rFonts w:ascii="Arial" w:hAnsi="Arial" w:cs="Arial"/>
          <w:sz w:val="24"/>
          <w:szCs w:val="24"/>
        </w:rPr>
      </w:pPr>
      <w:r w:rsidRPr="004223A8">
        <w:rPr>
          <w:rFonts w:ascii="Arial" w:hAnsi="Arial" w:cs="Arial"/>
          <w:sz w:val="24"/>
          <w:szCs w:val="24"/>
        </w:rPr>
        <w:t xml:space="preserve"> </w:t>
      </w:r>
      <w:r w:rsidRPr="004223A8">
        <w:rPr>
          <w:rFonts w:ascii="Arial" w:hAnsi="Arial" w:cs="Arial"/>
          <w:sz w:val="24"/>
          <w:szCs w:val="24"/>
        </w:rPr>
        <w:tab/>
        <w:t>(Source: Yahoo Finance, 2022)</w:t>
      </w:r>
    </w:p>
    <w:p w14:paraId="5D206458" w14:textId="77777777" w:rsidR="004223A8" w:rsidRPr="004223A8" w:rsidRDefault="004223A8" w:rsidP="004223A8">
      <w:pPr>
        <w:rPr>
          <w:rFonts w:ascii="Arial" w:hAnsi="Arial" w:cs="Arial"/>
          <w:b/>
          <w:bCs/>
          <w:sz w:val="24"/>
          <w:szCs w:val="24"/>
        </w:rPr>
      </w:pPr>
      <w:r w:rsidRPr="004223A8">
        <w:rPr>
          <w:rFonts w:ascii="Arial" w:hAnsi="Arial" w:cs="Arial"/>
          <w:b/>
          <w:bCs/>
          <w:sz w:val="24"/>
          <w:szCs w:val="24"/>
        </w:rPr>
        <w:t>Ratio Analysis</w:t>
      </w:r>
    </w:p>
    <w:tbl>
      <w:tblPr>
        <w:tblW w:w="9378" w:type="dxa"/>
        <w:tblLook w:val="04A0" w:firstRow="1" w:lastRow="0" w:firstColumn="1" w:lastColumn="0" w:noHBand="0" w:noVBand="1"/>
      </w:tblPr>
      <w:tblGrid>
        <w:gridCol w:w="3982"/>
        <w:gridCol w:w="1408"/>
        <w:gridCol w:w="1408"/>
        <w:gridCol w:w="1284"/>
        <w:gridCol w:w="1368"/>
      </w:tblGrid>
      <w:tr w:rsidR="004223A8" w:rsidRPr="004223A8" w14:paraId="3F236026" w14:textId="77777777" w:rsidTr="005F7602">
        <w:trPr>
          <w:trHeight w:val="324"/>
        </w:trPr>
        <w:tc>
          <w:tcPr>
            <w:tcW w:w="3982" w:type="dxa"/>
            <w:tcBorders>
              <w:top w:val="nil"/>
              <w:left w:val="nil"/>
              <w:bottom w:val="nil"/>
              <w:right w:val="nil"/>
            </w:tcBorders>
            <w:shd w:val="clear" w:color="auto" w:fill="0070C0"/>
            <w:noWrap/>
            <w:vAlign w:val="bottom"/>
            <w:hideMark/>
          </w:tcPr>
          <w:p w14:paraId="3EB66321" w14:textId="77777777" w:rsidR="004223A8" w:rsidRPr="004223A8" w:rsidRDefault="004223A8" w:rsidP="005F7602">
            <w:pPr>
              <w:spacing w:after="0" w:line="240" w:lineRule="auto"/>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Income Statement</w:t>
            </w:r>
          </w:p>
        </w:tc>
        <w:tc>
          <w:tcPr>
            <w:tcW w:w="1408" w:type="dxa"/>
            <w:tcBorders>
              <w:top w:val="nil"/>
              <w:left w:val="nil"/>
              <w:bottom w:val="nil"/>
              <w:right w:val="nil"/>
            </w:tcBorders>
            <w:shd w:val="clear" w:color="auto" w:fill="0070C0"/>
            <w:noWrap/>
            <w:vAlign w:val="center"/>
            <w:hideMark/>
          </w:tcPr>
          <w:p w14:paraId="7605B6B0" w14:textId="77777777" w:rsidR="004223A8" w:rsidRPr="004223A8" w:rsidRDefault="004223A8" w:rsidP="005F7602">
            <w:pPr>
              <w:spacing w:after="0" w:line="240" w:lineRule="auto"/>
              <w:jc w:val="right"/>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2020</w:t>
            </w:r>
          </w:p>
        </w:tc>
        <w:tc>
          <w:tcPr>
            <w:tcW w:w="1408" w:type="dxa"/>
            <w:tcBorders>
              <w:top w:val="nil"/>
              <w:left w:val="nil"/>
              <w:bottom w:val="nil"/>
              <w:right w:val="nil"/>
            </w:tcBorders>
            <w:shd w:val="clear" w:color="auto" w:fill="0070C0"/>
            <w:noWrap/>
            <w:vAlign w:val="center"/>
            <w:hideMark/>
          </w:tcPr>
          <w:p w14:paraId="543E65A3" w14:textId="77777777" w:rsidR="004223A8" w:rsidRPr="004223A8" w:rsidRDefault="004223A8" w:rsidP="005F7602">
            <w:pPr>
              <w:spacing w:after="0" w:line="240" w:lineRule="auto"/>
              <w:jc w:val="right"/>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2019</w:t>
            </w:r>
          </w:p>
        </w:tc>
        <w:tc>
          <w:tcPr>
            <w:tcW w:w="1212" w:type="dxa"/>
            <w:tcBorders>
              <w:top w:val="nil"/>
              <w:left w:val="nil"/>
              <w:bottom w:val="nil"/>
              <w:right w:val="nil"/>
            </w:tcBorders>
            <w:shd w:val="clear" w:color="auto" w:fill="0070C0"/>
            <w:noWrap/>
            <w:vAlign w:val="center"/>
            <w:hideMark/>
          </w:tcPr>
          <w:p w14:paraId="78CE0709" w14:textId="77777777" w:rsidR="004223A8" w:rsidRPr="004223A8" w:rsidRDefault="004223A8" w:rsidP="005F7602">
            <w:pPr>
              <w:spacing w:after="0" w:line="240" w:lineRule="auto"/>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Change</w:t>
            </w:r>
          </w:p>
        </w:tc>
        <w:tc>
          <w:tcPr>
            <w:tcW w:w="1368" w:type="dxa"/>
            <w:tcBorders>
              <w:top w:val="nil"/>
              <w:left w:val="nil"/>
              <w:bottom w:val="nil"/>
              <w:right w:val="nil"/>
            </w:tcBorders>
            <w:shd w:val="clear" w:color="auto" w:fill="0070C0"/>
            <w:noWrap/>
            <w:vAlign w:val="center"/>
            <w:hideMark/>
          </w:tcPr>
          <w:p w14:paraId="12F0E8E5" w14:textId="77777777" w:rsidR="004223A8" w:rsidRPr="004223A8" w:rsidRDefault="004223A8" w:rsidP="005F7602">
            <w:pPr>
              <w:spacing w:after="0" w:line="240" w:lineRule="auto"/>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 Change</w:t>
            </w:r>
          </w:p>
        </w:tc>
      </w:tr>
      <w:tr w:rsidR="004223A8" w:rsidRPr="004223A8" w14:paraId="21ED1567" w14:textId="77777777" w:rsidTr="005F7602">
        <w:trPr>
          <w:trHeight w:val="324"/>
        </w:trPr>
        <w:tc>
          <w:tcPr>
            <w:tcW w:w="39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2C6C2B"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Sales</w:t>
            </w:r>
          </w:p>
        </w:tc>
        <w:tc>
          <w:tcPr>
            <w:tcW w:w="1408" w:type="dxa"/>
            <w:tcBorders>
              <w:top w:val="single" w:sz="4" w:space="0" w:color="auto"/>
              <w:left w:val="nil"/>
              <w:bottom w:val="single" w:sz="4" w:space="0" w:color="auto"/>
              <w:right w:val="single" w:sz="4" w:space="0" w:color="auto"/>
            </w:tcBorders>
            <w:shd w:val="clear" w:color="auto" w:fill="auto"/>
            <w:noWrap/>
            <w:vAlign w:val="center"/>
            <w:hideMark/>
          </w:tcPr>
          <w:p w14:paraId="023E89B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43,07,000</w:t>
            </w:r>
          </w:p>
        </w:tc>
        <w:tc>
          <w:tcPr>
            <w:tcW w:w="1408" w:type="dxa"/>
            <w:tcBorders>
              <w:top w:val="single" w:sz="4" w:space="0" w:color="auto"/>
              <w:left w:val="nil"/>
              <w:bottom w:val="single" w:sz="4" w:space="0" w:color="auto"/>
              <w:right w:val="single" w:sz="4" w:space="0" w:color="auto"/>
            </w:tcBorders>
            <w:shd w:val="clear" w:color="auto" w:fill="auto"/>
            <w:noWrap/>
            <w:vAlign w:val="center"/>
            <w:hideMark/>
          </w:tcPr>
          <w:p w14:paraId="3435C7A9"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94,52,000</w:t>
            </w:r>
          </w:p>
        </w:tc>
        <w:tc>
          <w:tcPr>
            <w:tcW w:w="1212" w:type="dxa"/>
            <w:tcBorders>
              <w:top w:val="single" w:sz="4" w:space="0" w:color="auto"/>
              <w:left w:val="nil"/>
              <w:bottom w:val="single" w:sz="4" w:space="0" w:color="auto"/>
              <w:right w:val="single" w:sz="4" w:space="0" w:color="auto"/>
            </w:tcBorders>
            <w:shd w:val="clear" w:color="auto" w:fill="auto"/>
            <w:noWrap/>
            <w:vAlign w:val="bottom"/>
            <w:hideMark/>
          </w:tcPr>
          <w:p w14:paraId="0E396F3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-51,45,000</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14:paraId="4C6D8DFE"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-54%</w:t>
            </w:r>
          </w:p>
        </w:tc>
      </w:tr>
      <w:tr w:rsidR="004223A8" w:rsidRPr="004223A8" w14:paraId="750513B3" w14:textId="77777777" w:rsidTr="005F7602">
        <w:trPr>
          <w:trHeight w:val="324"/>
        </w:trPr>
        <w:tc>
          <w:tcPr>
            <w:tcW w:w="3982" w:type="dxa"/>
            <w:tcBorders>
              <w:top w:val="nil"/>
              <w:left w:val="single" w:sz="4" w:space="0" w:color="auto"/>
              <w:bottom w:val="single" w:sz="4" w:space="0" w:color="auto"/>
              <w:right w:val="single" w:sz="4" w:space="0" w:color="auto"/>
            </w:tcBorders>
            <w:shd w:val="clear" w:color="auto" w:fill="auto"/>
            <w:noWrap/>
            <w:vAlign w:val="center"/>
            <w:hideMark/>
          </w:tcPr>
          <w:p w14:paraId="1F5AD8E0"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Cost of goods sold</w:t>
            </w:r>
          </w:p>
        </w:tc>
        <w:tc>
          <w:tcPr>
            <w:tcW w:w="1408" w:type="dxa"/>
            <w:tcBorders>
              <w:top w:val="nil"/>
              <w:left w:val="nil"/>
              <w:bottom w:val="single" w:sz="4" w:space="0" w:color="auto"/>
              <w:right w:val="single" w:sz="4" w:space="0" w:color="auto"/>
            </w:tcBorders>
            <w:shd w:val="clear" w:color="auto" w:fill="auto"/>
            <w:noWrap/>
            <w:vAlign w:val="center"/>
            <w:hideMark/>
          </w:tcPr>
          <w:p w14:paraId="7B3ED5A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37,24,000</w:t>
            </w:r>
          </w:p>
        </w:tc>
        <w:tc>
          <w:tcPr>
            <w:tcW w:w="1408" w:type="dxa"/>
            <w:tcBorders>
              <w:top w:val="nil"/>
              <w:left w:val="nil"/>
              <w:bottom w:val="single" w:sz="4" w:space="0" w:color="auto"/>
              <w:right w:val="single" w:sz="4" w:space="0" w:color="auto"/>
            </w:tcBorders>
            <w:shd w:val="clear" w:color="auto" w:fill="auto"/>
            <w:noWrap/>
            <w:vAlign w:val="center"/>
            <w:hideMark/>
          </w:tcPr>
          <w:p w14:paraId="34973E10"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70,17,000</w:t>
            </w:r>
          </w:p>
        </w:tc>
        <w:tc>
          <w:tcPr>
            <w:tcW w:w="1212" w:type="dxa"/>
            <w:tcBorders>
              <w:top w:val="nil"/>
              <w:left w:val="nil"/>
              <w:bottom w:val="single" w:sz="4" w:space="0" w:color="auto"/>
              <w:right w:val="single" w:sz="4" w:space="0" w:color="auto"/>
            </w:tcBorders>
            <w:shd w:val="clear" w:color="auto" w:fill="auto"/>
            <w:noWrap/>
            <w:vAlign w:val="bottom"/>
            <w:hideMark/>
          </w:tcPr>
          <w:p w14:paraId="2934AFE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-32,93,000</w:t>
            </w:r>
          </w:p>
        </w:tc>
        <w:tc>
          <w:tcPr>
            <w:tcW w:w="1368" w:type="dxa"/>
            <w:tcBorders>
              <w:top w:val="nil"/>
              <w:left w:val="nil"/>
              <w:bottom w:val="single" w:sz="4" w:space="0" w:color="auto"/>
              <w:right w:val="single" w:sz="4" w:space="0" w:color="auto"/>
            </w:tcBorders>
            <w:shd w:val="clear" w:color="auto" w:fill="auto"/>
            <w:noWrap/>
            <w:vAlign w:val="bottom"/>
            <w:hideMark/>
          </w:tcPr>
          <w:p w14:paraId="654DCED8"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-47%</w:t>
            </w:r>
          </w:p>
        </w:tc>
      </w:tr>
      <w:tr w:rsidR="004223A8" w:rsidRPr="004223A8" w14:paraId="431737B1" w14:textId="77777777" w:rsidTr="005F7602">
        <w:trPr>
          <w:trHeight w:val="324"/>
        </w:trPr>
        <w:tc>
          <w:tcPr>
            <w:tcW w:w="3982" w:type="dxa"/>
            <w:tcBorders>
              <w:top w:val="nil"/>
              <w:left w:val="single" w:sz="4" w:space="0" w:color="auto"/>
              <w:bottom w:val="single" w:sz="4" w:space="0" w:color="auto"/>
              <w:right w:val="single" w:sz="4" w:space="0" w:color="auto"/>
            </w:tcBorders>
            <w:shd w:val="clear" w:color="auto" w:fill="auto"/>
            <w:noWrap/>
            <w:vAlign w:val="center"/>
            <w:hideMark/>
          </w:tcPr>
          <w:p w14:paraId="5ED1B50F"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Gross profit</w:t>
            </w:r>
          </w:p>
        </w:tc>
        <w:tc>
          <w:tcPr>
            <w:tcW w:w="1408" w:type="dxa"/>
            <w:tcBorders>
              <w:top w:val="nil"/>
              <w:left w:val="nil"/>
              <w:bottom w:val="single" w:sz="4" w:space="0" w:color="auto"/>
              <w:right w:val="single" w:sz="4" w:space="0" w:color="auto"/>
            </w:tcBorders>
            <w:shd w:val="clear" w:color="auto" w:fill="auto"/>
            <w:noWrap/>
            <w:vAlign w:val="center"/>
            <w:hideMark/>
          </w:tcPr>
          <w:p w14:paraId="2E1BE42E"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5,83,000</w:t>
            </w:r>
          </w:p>
        </w:tc>
        <w:tc>
          <w:tcPr>
            <w:tcW w:w="1408" w:type="dxa"/>
            <w:tcBorders>
              <w:top w:val="nil"/>
              <w:left w:val="nil"/>
              <w:bottom w:val="single" w:sz="4" w:space="0" w:color="auto"/>
              <w:right w:val="single" w:sz="4" w:space="0" w:color="auto"/>
            </w:tcBorders>
            <w:shd w:val="clear" w:color="auto" w:fill="auto"/>
            <w:noWrap/>
            <w:vAlign w:val="center"/>
            <w:hideMark/>
          </w:tcPr>
          <w:p w14:paraId="7F0D897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24,35,000</w:t>
            </w:r>
          </w:p>
        </w:tc>
        <w:tc>
          <w:tcPr>
            <w:tcW w:w="1212" w:type="dxa"/>
            <w:tcBorders>
              <w:top w:val="nil"/>
              <w:left w:val="nil"/>
              <w:bottom w:val="single" w:sz="4" w:space="0" w:color="auto"/>
              <w:right w:val="single" w:sz="4" w:space="0" w:color="auto"/>
            </w:tcBorders>
            <w:shd w:val="clear" w:color="auto" w:fill="auto"/>
            <w:noWrap/>
            <w:vAlign w:val="bottom"/>
            <w:hideMark/>
          </w:tcPr>
          <w:p w14:paraId="45602C8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-18,52,000</w:t>
            </w:r>
          </w:p>
        </w:tc>
        <w:tc>
          <w:tcPr>
            <w:tcW w:w="1368" w:type="dxa"/>
            <w:tcBorders>
              <w:top w:val="nil"/>
              <w:left w:val="nil"/>
              <w:bottom w:val="single" w:sz="4" w:space="0" w:color="auto"/>
              <w:right w:val="single" w:sz="4" w:space="0" w:color="auto"/>
            </w:tcBorders>
            <w:shd w:val="clear" w:color="auto" w:fill="auto"/>
            <w:noWrap/>
            <w:vAlign w:val="bottom"/>
            <w:hideMark/>
          </w:tcPr>
          <w:p w14:paraId="1599A9E3"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-76%</w:t>
            </w:r>
          </w:p>
        </w:tc>
      </w:tr>
      <w:tr w:rsidR="004223A8" w:rsidRPr="004223A8" w14:paraId="405C0312" w14:textId="77777777" w:rsidTr="005F7602">
        <w:trPr>
          <w:trHeight w:val="324"/>
        </w:trPr>
        <w:tc>
          <w:tcPr>
            <w:tcW w:w="3982" w:type="dxa"/>
            <w:tcBorders>
              <w:top w:val="nil"/>
              <w:left w:val="single" w:sz="4" w:space="0" w:color="auto"/>
              <w:bottom w:val="single" w:sz="4" w:space="0" w:color="auto"/>
              <w:right w:val="single" w:sz="4" w:space="0" w:color="auto"/>
            </w:tcBorders>
            <w:shd w:val="clear" w:color="auto" w:fill="auto"/>
            <w:noWrap/>
            <w:vAlign w:val="center"/>
            <w:hideMark/>
          </w:tcPr>
          <w:p w14:paraId="6CC04D0D"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Operating Expenses</w:t>
            </w:r>
          </w:p>
        </w:tc>
        <w:tc>
          <w:tcPr>
            <w:tcW w:w="1408" w:type="dxa"/>
            <w:tcBorders>
              <w:top w:val="nil"/>
              <w:left w:val="nil"/>
              <w:bottom w:val="single" w:sz="4" w:space="0" w:color="auto"/>
              <w:right w:val="single" w:sz="4" w:space="0" w:color="auto"/>
            </w:tcBorders>
            <w:shd w:val="clear" w:color="auto" w:fill="auto"/>
            <w:noWrap/>
            <w:vAlign w:val="center"/>
            <w:hideMark/>
          </w:tcPr>
          <w:p w14:paraId="2858DE11"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7,02,000</w:t>
            </w:r>
          </w:p>
        </w:tc>
        <w:tc>
          <w:tcPr>
            <w:tcW w:w="1408" w:type="dxa"/>
            <w:tcBorders>
              <w:top w:val="nil"/>
              <w:left w:val="nil"/>
              <w:bottom w:val="single" w:sz="4" w:space="0" w:color="auto"/>
              <w:right w:val="single" w:sz="4" w:space="0" w:color="auto"/>
            </w:tcBorders>
            <w:shd w:val="clear" w:color="auto" w:fill="auto"/>
            <w:noWrap/>
            <w:vAlign w:val="center"/>
            <w:hideMark/>
          </w:tcPr>
          <w:p w14:paraId="744BECD7"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8,59,000</w:t>
            </w:r>
          </w:p>
        </w:tc>
        <w:tc>
          <w:tcPr>
            <w:tcW w:w="1212" w:type="dxa"/>
            <w:tcBorders>
              <w:top w:val="nil"/>
              <w:left w:val="nil"/>
              <w:bottom w:val="single" w:sz="4" w:space="0" w:color="auto"/>
              <w:right w:val="single" w:sz="4" w:space="0" w:color="auto"/>
            </w:tcBorders>
            <w:shd w:val="clear" w:color="auto" w:fill="auto"/>
            <w:noWrap/>
            <w:vAlign w:val="bottom"/>
            <w:hideMark/>
          </w:tcPr>
          <w:p w14:paraId="1FC9FCE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-1,57,000</w:t>
            </w:r>
          </w:p>
        </w:tc>
        <w:tc>
          <w:tcPr>
            <w:tcW w:w="1368" w:type="dxa"/>
            <w:tcBorders>
              <w:top w:val="nil"/>
              <w:left w:val="nil"/>
              <w:bottom w:val="single" w:sz="4" w:space="0" w:color="auto"/>
              <w:right w:val="single" w:sz="4" w:space="0" w:color="auto"/>
            </w:tcBorders>
            <w:shd w:val="clear" w:color="auto" w:fill="auto"/>
            <w:noWrap/>
            <w:vAlign w:val="bottom"/>
            <w:hideMark/>
          </w:tcPr>
          <w:p w14:paraId="22F8DDA7"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-18%</w:t>
            </w:r>
          </w:p>
        </w:tc>
      </w:tr>
      <w:tr w:rsidR="004223A8" w:rsidRPr="004223A8" w14:paraId="48C81098" w14:textId="77777777" w:rsidTr="005F7602">
        <w:trPr>
          <w:trHeight w:val="324"/>
        </w:trPr>
        <w:tc>
          <w:tcPr>
            <w:tcW w:w="3982" w:type="dxa"/>
            <w:tcBorders>
              <w:top w:val="nil"/>
              <w:left w:val="single" w:sz="4" w:space="0" w:color="auto"/>
              <w:bottom w:val="single" w:sz="4" w:space="0" w:color="auto"/>
              <w:right w:val="single" w:sz="4" w:space="0" w:color="auto"/>
            </w:tcBorders>
            <w:shd w:val="clear" w:color="auto" w:fill="auto"/>
            <w:noWrap/>
            <w:vAlign w:val="center"/>
            <w:hideMark/>
          </w:tcPr>
          <w:p w14:paraId="24EE943F"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Operating income</w:t>
            </w:r>
          </w:p>
        </w:tc>
        <w:tc>
          <w:tcPr>
            <w:tcW w:w="1408" w:type="dxa"/>
            <w:tcBorders>
              <w:top w:val="nil"/>
              <w:left w:val="nil"/>
              <w:bottom w:val="single" w:sz="4" w:space="0" w:color="auto"/>
              <w:right w:val="single" w:sz="4" w:space="0" w:color="auto"/>
            </w:tcBorders>
            <w:shd w:val="clear" w:color="auto" w:fill="auto"/>
            <w:noWrap/>
            <w:vAlign w:val="center"/>
            <w:hideMark/>
          </w:tcPr>
          <w:p w14:paraId="6FB9EC08"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-1,19,000</w:t>
            </w:r>
          </w:p>
        </w:tc>
        <w:tc>
          <w:tcPr>
            <w:tcW w:w="1408" w:type="dxa"/>
            <w:tcBorders>
              <w:top w:val="nil"/>
              <w:left w:val="nil"/>
              <w:bottom w:val="single" w:sz="4" w:space="0" w:color="auto"/>
              <w:right w:val="single" w:sz="4" w:space="0" w:color="auto"/>
            </w:tcBorders>
            <w:shd w:val="clear" w:color="auto" w:fill="auto"/>
            <w:noWrap/>
            <w:vAlign w:val="center"/>
            <w:hideMark/>
          </w:tcPr>
          <w:p w14:paraId="4AA0E31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15,76,000</w:t>
            </w:r>
          </w:p>
        </w:tc>
        <w:tc>
          <w:tcPr>
            <w:tcW w:w="1212" w:type="dxa"/>
            <w:tcBorders>
              <w:top w:val="nil"/>
              <w:left w:val="nil"/>
              <w:bottom w:val="single" w:sz="4" w:space="0" w:color="auto"/>
              <w:right w:val="single" w:sz="4" w:space="0" w:color="auto"/>
            </w:tcBorders>
            <w:shd w:val="clear" w:color="auto" w:fill="auto"/>
            <w:noWrap/>
            <w:vAlign w:val="bottom"/>
            <w:hideMark/>
          </w:tcPr>
          <w:p w14:paraId="1935EB9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-16,95,000</w:t>
            </w:r>
          </w:p>
        </w:tc>
        <w:tc>
          <w:tcPr>
            <w:tcW w:w="1368" w:type="dxa"/>
            <w:tcBorders>
              <w:top w:val="nil"/>
              <w:left w:val="nil"/>
              <w:bottom w:val="single" w:sz="4" w:space="0" w:color="auto"/>
              <w:right w:val="single" w:sz="4" w:space="0" w:color="auto"/>
            </w:tcBorders>
            <w:shd w:val="clear" w:color="auto" w:fill="auto"/>
            <w:noWrap/>
            <w:vAlign w:val="bottom"/>
            <w:hideMark/>
          </w:tcPr>
          <w:p w14:paraId="449CA739"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-108%</w:t>
            </w:r>
          </w:p>
        </w:tc>
      </w:tr>
      <w:tr w:rsidR="004223A8" w:rsidRPr="004223A8" w14:paraId="32DCCF15" w14:textId="77777777" w:rsidTr="005F7602">
        <w:trPr>
          <w:trHeight w:val="324"/>
        </w:trPr>
        <w:tc>
          <w:tcPr>
            <w:tcW w:w="3982" w:type="dxa"/>
            <w:tcBorders>
              <w:top w:val="nil"/>
              <w:left w:val="single" w:sz="4" w:space="0" w:color="auto"/>
              <w:bottom w:val="single" w:sz="4" w:space="0" w:color="auto"/>
              <w:right w:val="single" w:sz="4" w:space="0" w:color="auto"/>
            </w:tcBorders>
            <w:shd w:val="clear" w:color="auto" w:fill="auto"/>
            <w:noWrap/>
            <w:vAlign w:val="center"/>
            <w:hideMark/>
          </w:tcPr>
          <w:p w14:paraId="3E317DB9"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Interest Expense</w:t>
            </w:r>
          </w:p>
        </w:tc>
        <w:tc>
          <w:tcPr>
            <w:tcW w:w="1408" w:type="dxa"/>
            <w:tcBorders>
              <w:top w:val="nil"/>
              <w:left w:val="nil"/>
              <w:bottom w:val="single" w:sz="4" w:space="0" w:color="auto"/>
              <w:right w:val="single" w:sz="4" w:space="0" w:color="auto"/>
            </w:tcBorders>
            <w:shd w:val="clear" w:color="auto" w:fill="auto"/>
            <w:noWrap/>
            <w:vAlign w:val="center"/>
            <w:hideMark/>
          </w:tcPr>
          <w:p w14:paraId="0BB0E845"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4,29,000</w:t>
            </w:r>
          </w:p>
        </w:tc>
        <w:tc>
          <w:tcPr>
            <w:tcW w:w="1408" w:type="dxa"/>
            <w:tcBorders>
              <w:top w:val="nil"/>
              <w:left w:val="nil"/>
              <w:bottom w:val="single" w:sz="4" w:space="0" w:color="auto"/>
              <w:right w:val="single" w:sz="4" w:space="0" w:color="auto"/>
            </w:tcBorders>
            <w:shd w:val="clear" w:color="auto" w:fill="auto"/>
            <w:noWrap/>
            <w:vAlign w:val="center"/>
            <w:hideMark/>
          </w:tcPr>
          <w:p w14:paraId="1CCB4C2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4,14,000</w:t>
            </w:r>
          </w:p>
        </w:tc>
        <w:tc>
          <w:tcPr>
            <w:tcW w:w="1212" w:type="dxa"/>
            <w:tcBorders>
              <w:top w:val="nil"/>
              <w:left w:val="nil"/>
              <w:bottom w:val="single" w:sz="4" w:space="0" w:color="auto"/>
              <w:right w:val="single" w:sz="4" w:space="0" w:color="auto"/>
            </w:tcBorders>
            <w:shd w:val="clear" w:color="auto" w:fill="auto"/>
            <w:noWrap/>
            <w:vAlign w:val="bottom"/>
            <w:hideMark/>
          </w:tcPr>
          <w:p w14:paraId="3E361B29"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15,000</w:t>
            </w:r>
          </w:p>
        </w:tc>
        <w:tc>
          <w:tcPr>
            <w:tcW w:w="1368" w:type="dxa"/>
            <w:tcBorders>
              <w:top w:val="nil"/>
              <w:left w:val="nil"/>
              <w:bottom w:val="single" w:sz="4" w:space="0" w:color="auto"/>
              <w:right w:val="single" w:sz="4" w:space="0" w:color="auto"/>
            </w:tcBorders>
            <w:shd w:val="clear" w:color="auto" w:fill="auto"/>
            <w:noWrap/>
            <w:vAlign w:val="bottom"/>
            <w:hideMark/>
          </w:tcPr>
          <w:p w14:paraId="3CBCD24E"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w:t>
            </w:r>
          </w:p>
        </w:tc>
      </w:tr>
      <w:tr w:rsidR="004223A8" w:rsidRPr="004223A8" w14:paraId="75A92601" w14:textId="77777777" w:rsidTr="005F7602">
        <w:trPr>
          <w:trHeight w:val="324"/>
        </w:trPr>
        <w:tc>
          <w:tcPr>
            <w:tcW w:w="3982" w:type="dxa"/>
            <w:tcBorders>
              <w:top w:val="nil"/>
              <w:left w:val="single" w:sz="4" w:space="0" w:color="auto"/>
              <w:bottom w:val="single" w:sz="4" w:space="0" w:color="auto"/>
              <w:right w:val="single" w:sz="4" w:space="0" w:color="auto"/>
            </w:tcBorders>
            <w:shd w:val="clear" w:color="auto" w:fill="auto"/>
            <w:noWrap/>
            <w:vAlign w:val="center"/>
            <w:hideMark/>
          </w:tcPr>
          <w:p w14:paraId="5C011CD0"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 xml:space="preserve">Total Other income/ expenses net </w:t>
            </w:r>
          </w:p>
        </w:tc>
        <w:tc>
          <w:tcPr>
            <w:tcW w:w="1408" w:type="dxa"/>
            <w:tcBorders>
              <w:top w:val="nil"/>
              <w:left w:val="nil"/>
              <w:bottom w:val="single" w:sz="4" w:space="0" w:color="auto"/>
              <w:right w:val="single" w:sz="4" w:space="0" w:color="auto"/>
            </w:tcBorders>
            <w:shd w:val="clear" w:color="auto" w:fill="auto"/>
            <w:noWrap/>
            <w:vAlign w:val="center"/>
            <w:hideMark/>
          </w:tcPr>
          <w:p w14:paraId="31BB3CA4"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-3,76,000</w:t>
            </w:r>
          </w:p>
        </w:tc>
        <w:tc>
          <w:tcPr>
            <w:tcW w:w="1408" w:type="dxa"/>
            <w:tcBorders>
              <w:top w:val="nil"/>
              <w:left w:val="nil"/>
              <w:bottom w:val="single" w:sz="4" w:space="0" w:color="auto"/>
              <w:right w:val="single" w:sz="4" w:space="0" w:color="auto"/>
            </w:tcBorders>
            <w:shd w:val="clear" w:color="auto" w:fill="auto"/>
            <w:noWrap/>
            <w:vAlign w:val="center"/>
            <w:hideMark/>
          </w:tcPr>
          <w:p w14:paraId="77123AB0"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82,000</w:t>
            </w:r>
          </w:p>
        </w:tc>
        <w:tc>
          <w:tcPr>
            <w:tcW w:w="1212" w:type="dxa"/>
            <w:tcBorders>
              <w:top w:val="nil"/>
              <w:left w:val="nil"/>
              <w:bottom w:val="single" w:sz="4" w:space="0" w:color="auto"/>
              <w:right w:val="single" w:sz="4" w:space="0" w:color="auto"/>
            </w:tcBorders>
            <w:shd w:val="clear" w:color="auto" w:fill="auto"/>
            <w:noWrap/>
            <w:vAlign w:val="bottom"/>
            <w:hideMark/>
          </w:tcPr>
          <w:p w14:paraId="11626D59"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-4,58,000</w:t>
            </w:r>
          </w:p>
        </w:tc>
        <w:tc>
          <w:tcPr>
            <w:tcW w:w="1368" w:type="dxa"/>
            <w:tcBorders>
              <w:top w:val="nil"/>
              <w:left w:val="nil"/>
              <w:bottom w:val="single" w:sz="4" w:space="0" w:color="auto"/>
              <w:right w:val="single" w:sz="4" w:space="0" w:color="auto"/>
            </w:tcBorders>
            <w:shd w:val="clear" w:color="auto" w:fill="auto"/>
            <w:noWrap/>
            <w:vAlign w:val="bottom"/>
            <w:hideMark/>
          </w:tcPr>
          <w:p w14:paraId="0809A91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-559%</w:t>
            </w:r>
          </w:p>
        </w:tc>
      </w:tr>
      <w:tr w:rsidR="004223A8" w:rsidRPr="004223A8" w14:paraId="23D0B864" w14:textId="77777777" w:rsidTr="005F7602">
        <w:trPr>
          <w:trHeight w:val="324"/>
        </w:trPr>
        <w:tc>
          <w:tcPr>
            <w:tcW w:w="3982" w:type="dxa"/>
            <w:tcBorders>
              <w:top w:val="nil"/>
              <w:left w:val="single" w:sz="4" w:space="0" w:color="auto"/>
              <w:bottom w:val="single" w:sz="4" w:space="0" w:color="auto"/>
              <w:right w:val="single" w:sz="4" w:space="0" w:color="auto"/>
            </w:tcBorders>
            <w:shd w:val="clear" w:color="auto" w:fill="auto"/>
            <w:noWrap/>
            <w:vAlign w:val="center"/>
            <w:hideMark/>
          </w:tcPr>
          <w:p w14:paraId="7523F337"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Income before taxes</w:t>
            </w:r>
          </w:p>
        </w:tc>
        <w:tc>
          <w:tcPr>
            <w:tcW w:w="1408" w:type="dxa"/>
            <w:tcBorders>
              <w:top w:val="nil"/>
              <w:left w:val="nil"/>
              <w:bottom w:val="single" w:sz="4" w:space="0" w:color="auto"/>
              <w:right w:val="single" w:sz="4" w:space="0" w:color="auto"/>
            </w:tcBorders>
            <w:shd w:val="clear" w:color="auto" w:fill="auto"/>
            <w:noWrap/>
            <w:vAlign w:val="center"/>
            <w:hideMark/>
          </w:tcPr>
          <w:p w14:paraId="7F3672B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-9,24,000</w:t>
            </w:r>
          </w:p>
        </w:tc>
        <w:tc>
          <w:tcPr>
            <w:tcW w:w="1408" w:type="dxa"/>
            <w:tcBorders>
              <w:top w:val="nil"/>
              <w:left w:val="nil"/>
              <w:bottom w:val="single" w:sz="4" w:space="0" w:color="auto"/>
              <w:right w:val="single" w:sz="4" w:space="0" w:color="auto"/>
            </w:tcBorders>
            <w:shd w:val="clear" w:color="auto" w:fill="auto"/>
            <w:noWrap/>
            <w:vAlign w:val="center"/>
            <w:hideMark/>
          </w:tcPr>
          <w:p w14:paraId="66DD0DA2"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12,44,000</w:t>
            </w:r>
          </w:p>
        </w:tc>
        <w:tc>
          <w:tcPr>
            <w:tcW w:w="1212" w:type="dxa"/>
            <w:tcBorders>
              <w:top w:val="nil"/>
              <w:left w:val="nil"/>
              <w:bottom w:val="single" w:sz="4" w:space="0" w:color="auto"/>
              <w:right w:val="single" w:sz="4" w:space="0" w:color="auto"/>
            </w:tcBorders>
            <w:shd w:val="clear" w:color="auto" w:fill="auto"/>
            <w:noWrap/>
            <w:vAlign w:val="bottom"/>
            <w:hideMark/>
          </w:tcPr>
          <w:p w14:paraId="4960F09E"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-21,68,000</w:t>
            </w:r>
          </w:p>
        </w:tc>
        <w:tc>
          <w:tcPr>
            <w:tcW w:w="1368" w:type="dxa"/>
            <w:tcBorders>
              <w:top w:val="nil"/>
              <w:left w:val="nil"/>
              <w:bottom w:val="single" w:sz="4" w:space="0" w:color="auto"/>
              <w:right w:val="single" w:sz="4" w:space="0" w:color="auto"/>
            </w:tcBorders>
            <w:shd w:val="clear" w:color="auto" w:fill="auto"/>
            <w:noWrap/>
            <w:vAlign w:val="bottom"/>
            <w:hideMark/>
          </w:tcPr>
          <w:p w14:paraId="26FBC567"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-174%</w:t>
            </w:r>
          </w:p>
        </w:tc>
      </w:tr>
      <w:tr w:rsidR="004223A8" w:rsidRPr="004223A8" w14:paraId="0834B2E1" w14:textId="77777777" w:rsidTr="005F7602">
        <w:trPr>
          <w:trHeight w:val="324"/>
        </w:trPr>
        <w:tc>
          <w:tcPr>
            <w:tcW w:w="3982" w:type="dxa"/>
            <w:tcBorders>
              <w:top w:val="nil"/>
              <w:left w:val="single" w:sz="4" w:space="0" w:color="auto"/>
              <w:bottom w:val="single" w:sz="4" w:space="0" w:color="auto"/>
              <w:right w:val="single" w:sz="4" w:space="0" w:color="auto"/>
            </w:tcBorders>
            <w:shd w:val="clear" w:color="auto" w:fill="auto"/>
            <w:noWrap/>
            <w:vAlign w:val="center"/>
            <w:hideMark/>
          </w:tcPr>
          <w:p w14:paraId="193EA21B"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lastRenderedPageBreak/>
              <w:t>Net income</w:t>
            </w:r>
          </w:p>
        </w:tc>
        <w:tc>
          <w:tcPr>
            <w:tcW w:w="1408" w:type="dxa"/>
            <w:tcBorders>
              <w:top w:val="nil"/>
              <w:left w:val="nil"/>
              <w:bottom w:val="single" w:sz="4" w:space="0" w:color="auto"/>
              <w:right w:val="single" w:sz="4" w:space="0" w:color="auto"/>
            </w:tcBorders>
            <w:shd w:val="clear" w:color="auto" w:fill="auto"/>
            <w:noWrap/>
            <w:vAlign w:val="center"/>
            <w:hideMark/>
          </w:tcPr>
          <w:p w14:paraId="12DDAE1E"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-7,15,000</w:t>
            </w:r>
          </w:p>
        </w:tc>
        <w:tc>
          <w:tcPr>
            <w:tcW w:w="1408" w:type="dxa"/>
            <w:tcBorders>
              <w:top w:val="nil"/>
              <w:left w:val="nil"/>
              <w:bottom w:val="single" w:sz="4" w:space="0" w:color="auto"/>
              <w:right w:val="single" w:sz="4" w:space="0" w:color="auto"/>
            </w:tcBorders>
            <w:shd w:val="clear" w:color="auto" w:fill="auto"/>
            <w:noWrap/>
            <w:vAlign w:val="center"/>
            <w:hideMark/>
          </w:tcPr>
          <w:p w14:paraId="5D6D733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8,81,000</w:t>
            </w:r>
          </w:p>
        </w:tc>
        <w:tc>
          <w:tcPr>
            <w:tcW w:w="1212" w:type="dxa"/>
            <w:tcBorders>
              <w:top w:val="nil"/>
              <w:left w:val="nil"/>
              <w:bottom w:val="single" w:sz="4" w:space="0" w:color="auto"/>
              <w:right w:val="single" w:sz="4" w:space="0" w:color="auto"/>
            </w:tcBorders>
            <w:shd w:val="clear" w:color="auto" w:fill="auto"/>
            <w:noWrap/>
            <w:vAlign w:val="bottom"/>
            <w:hideMark/>
          </w:tcPr>
          <w:p w14:paraId="4AEAC9C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-15,96,000</w:t>
            </w:r>
          </w:p>
        </w:tc>
        <w:tc>
          <w:tcPr>
            <w:tcW w:w="1368" w:type="dxa"/>
            <w:tcBorders>
              <w:top w:val="nil"/>
              <w:left w:val="nil"/>
              <w:bottom w:val="single" w:sz="4" w:space="0" w:color="auto"/>
              <w:right w:val="single" w:sz="4" w:space="0" w:color="auto"/>
            </w:tcBorders>
            <w:shd w:val="clear" w:color="auto" w:fill="auto"/>
            <w:noWrap/>
            <w:vAlign w:val="bottom"/>
            <w:hideMark/>
          </w:tcPr>
          <w:p w14:paraId="2C4C5A6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-181%</w:t>
            </w:r>
          </w:p>
        </w:tc>
      </w:tr>
      <w:tr w:rsidR="004223A8" w:rsidRPr="004223A8" w14:paraId="36221C7C" w14:textId="77777777" w:rsidTr="005F7602">
        <w:trPr>
          <w:trHeight w:val="324"/>
        </w:trPr>
        <w:tc>
          <w:tcPr>
            <w:tcW w:w="3982" w:type="dxa"/>
            <w:tcBorders>
              <w:top w:val="nil"/>
              <w:left w:val="single" w:sz="4" w:space="0" w:color="auto"/>
              <w:bottom w:val="single" w:sz="4" w:space="0" w:color="auto"/>
              <w:right w:val="single" w:sz="4" w:space="0" w:color="auto"/>
            </w:tcBorders>
            <w:shd w:val="clear" w:color="auto" w:fill="0070C0"/>
            <w:noWrap/>
            <w:vAlign w:val="center"/>
            <w:hideMark/>
          </w:tcPr>
          <w:p w14:paraId="68BF2193" w14:textId="77777777" w:rsidR="004223A8" w:rsidRPr="004223A8" w:rsidRDefault="004223A8" w:rsidP="005F7602">
            <w:pPr>
              <w:spacing w:after="0" w:line="240" w:lineRule="auto"/>
              <w:rPr>
                <w:rFonts w:ascii="Arial" w:eastAsia="Times New Roman" w:hAnsi="Arial" w:cs="Arial"/>
                <w:b/>
                <w:bCs/>
                <w:color w:val="FFFFFF" w:themeColor="background1"/>
                <w:sz w:val="24"/>
                <w:szCs w:val="24"/>
                <w:lang w:eastAsia="en-IN"/>
              </w:rPr>
            </w:pPr>
            <w:r w:rsidRPr="004223A8">
              <w:rPr>
                <w:rFonts w:ascii="Arial" w:eastAsia="Times New Roman" w:hAnsi="Arial" w:cs="Arial"/>
                <w:b/>
                <w:bCs/>
                <w:color w:val="FFFFFF" w:themeColor="background1"/>
                <w:sz w:val="24"/>
                <w:szCs w:val="24"/>
                <w:lang w:eastAsia="en-IN"/>
              </w:rPr>
              <w:t>Ratios</w:t>
            </w:r>
          </w:p>
        </w:tc>
        <w:tc>
          <w:tcPr>
            <w:tcW w:w="1408" w:type="dxa"/>
            <w:tcBorders>
              <w:top w:val="nil"/>
              <w:left w:val="nil"/>
              <w:bottom w:val="single" w:sz="4" w:space="0" w:color="auto"/>
              <w:right w:val="single" w:sz="4" w:space="0" w:color="auto"/>
            </w:tcBorders>
            <w:shd w:val="clear" w:color="auto" w:fill="0070C0"/>
            <w:noWrap/>
            <w:vAlign w:val="center"/>
            <w:hideMark/>
          </w:tcPr>
          <w:p w14:paraId="0777FB51" w14:textId="77777777" w:rsidR="004223A8" w:rsidRPr="004223A8" w:rsidRDefault="004223A8" w:rsidP="005F7602">
            <w:pPr>
              <w:spacing w:after="0" w:line="240" w:lineRule="auto"/>
              <w:jc w:val="right"/>
              <w:rPr>
                <w:rFonts w:ascii="Arial" w:eastAsia="Times New Roman" w:hAnsi="Arial" w:cs="Arial"/>
                <w:b/>
                <w:bCs/>
                <w:color w:val="FFFFFF" w:themeColor="background1"/>
                <w:sz w:val="24"/>
                <w:szCs w:val="24"/>
                <w:lang w:eastAsia="en-IN"/>
              </w:rPr>
            </w:pPr>
            <w:r w:rsidRPr="004223A8">
              <w:rPr>
                <w:rFonts w:ascii="Arial" w:eastAsia="Times New Roman" w:hAnsi="Arial" w:cs="Arial"/>
                <w:b/>
                <w:bCs/>
                <w:color w:val="FFFFFF" w:themeColor="background1"/>
                <w:sz w:val="24"/>
                <w:szCs w:val="24"/>
                <w:lang w:eastAsia="en-IN"/>
              </w:rPr>
              <w:t>2020</w:t>
            </w:r>
          </w:p>
        </w:tc>
        <w:tc>
          <w:tcPr>
            <w:tcW w:w="1408" w:type="dxa"/>
            <w:tcBorders>
              <w:top w:val="nil"/>
              <w:left w:val="nil"/>
              <w:bottom w:val="single" w:sz="4" w:space="0" w:color="auto"/>
              <w:right w:val="single" w:sz="4" w:space="0" w:color="auto"/>
            </w:tcBorders>
            <w:shd w:val="clear" w:color="auto" w:fill="0070C0"/>
            <w:noWrap/>
            <w:vAlign w:val="center"/>
            <w:hideMark/>
          </w:tcPr>
          <w:p w14:paraId="20F11005" w14:textId="77777777" w:rsidR="004223A8" w:rsidRPr="004223A8" w:rsidRDefault="004223A8" w:rsidP="005F7602">
            <w:pPr>
              <w:spacing w:after="0" w:line="240" w:lineRule="auto"/>
              <w:jc w:val="right"/>
              <w:rPr>
                <w:rFonts w:ascii="Arial" w:eastAsia="Times New Roman" w:hAnsi="Arial" w:cs="Arial"/>
                <w:b/>
                <w:bCs/>
                <w:color w:val="FFFFFF" w:themeColor="background1"/>
                <w:sz w:val="24"/>
                <w:szCs w:val="24"/>
                <w:lang w:eastAsia="en-IN"/>
              </w:rPr>
            </w:pPr>
            <w:r w:rsidRPr="004223A8">
              <w:rPr>
                <w:rFonts w:ascii="Arial" w:eastAsia="Times New Roman" w:hAnsi="Arial" w:cs="Arial"/>
                <w:b/>
                <w:bCs/>
                <w:color w:val="FFFFFF" w:themeColor="background1"/>
                <w:sz w:val="24"/>
                <w:szCs w:val="24"/>
                <w:lang w:eastAsia="en-IN"/>
              </w:rPr>
              <w:t>2019</w:t>
            </w:r>
          </w:p>
        </w:tc>
        <w:tc>
          <w:tcPr>
            <w:tcW w:w="1212" w:type="dxa"/>
            <w:tcBorders>
              <w:top w:val="nil"/>
              <w:left w:val="nil"/>
              <w:bottom w:val="single" w:sz="4" w:space="0" w:color="auto"/>
              <w:right w:val="single" w:sz="4" w:space="0" w:color="auto"/>
            </w:tcBorders>
            <w:shd w:val="clear" w:color="auto" w:fill="0070C0"/>
            <w:noWrap/>
            <w:vAlign w:val="bottom"/>
            <w:hideMark/>
          </w:tcPr>
          <w:p w14:paraId="5B004F21" w14:textId="77777777" w:rsidR="004223A8" w:rsidRPr="004223A8" w:rsidRDefault="004223A8" w:rsidP="005F7602">
            <w:pPr>
              <w:spacing w:after="0" w:line="240" w:lineRule="auto"/>
              <w:jc w:val="right"/>
              <w:rPr>
                <w:rFonts w:ascii="Arial" w:eastAsia="Times New Roman" w:hAnsi="Arial" w:cs="Arial"/>
                <w:b/>
                <w:bCs/>
                <w:color w:val="FFFFFF" w:themeColor="background1"/>
                <w:sz w:val="24"/>
                <w:szCs w:val="24"/>
                <w:lang w:eastAsia="en-IN"/>
              </w:rPr>
            </w:pPr>
            <w:r w:rsidRPr="004223A8">
              <w:rPr>
                <w:rFonts w:ascii="Arial" w:eastAsia="Times New Roman" w:hAnsi="Arial" w:cs="Arial"/>
                <w:b/>
                <w:bCs/>
                <w:color w:val="FFFFFF" w:themeColor="background1"/>
                <w:sz w:val="24"/>
                <w:szCs w:val="24"/>
                <w:lang w:eastAsia="en-IN"/>
              </w:rPr>
              <w:t>Change</w:t>
            </w:r>
          </w:p>
        </w:tc>
        <w:tc>
          <w:tcPr>
            <w:tcW w:w="1368" w:type="dxa"/>
            <w:tcBorders>
              <w:top w:val="nil"/>
              <w:left w:val="nil"/>
              <w:bottom w:val="single" w:sz="4" w:space="0" w:color="auto"/>
              <w:right w:val="single" w:sz="4" w:space="0" w:color="auto"/>
            </w:tcBorders>
            <w:shd w:val="clear" w:color="auto" w:fill="0070C0"/>
            <w:noWrap/>
            <w:vAlign w:val="bottom"/>
            <w:hideMark/>
          </w:tcPr>
          <w:p w14:paraId="35E8917C" w14:textId="77777777" w:rsidR="004223A8" w:rsidRPr="004223A8" w:rsidRDefault="004223A8" w:rsidP="005F7602">
            <w:pPr>
              <w:spacing w:after="0" w:line="240" w:lineRule="auto"/>
              <w:jc w:val="right"/>
              <w:rPr>
                <w:rFonts w:ascii="Arial" w:eastAsia="Times New Roman" w:hAnsi="Arial" w:cs="Arial"/>
                <w:b/>
                <w:bCs/>
                <w:color w:val="FFFFFF" w:themeColor="background1"/>
                <w:sz w:val="24"/>
                <w:szCs w:val="24"/>
                <w:lang w:eastAsia="en-IN"/>
              </w:rPr>
            </w:pPr>
            <w:r w:rsidRPr="004223A8">
              <w:rPr>
                <w:rFonts w:ascii="Arial" w:eastAsia="Times New Roman" w:hAnsi="Arial" w:cs="Arial"/>
                <w:b/>
                <w:bCs/>
                <w:color w:val="FFFFFF" w:themeColor="background1"/>
                <w:sz w:val="24"/>
                <w:szCs w:val="24"/>
                <w:lang w:eastAsia="en-IN"/>
              </w:rPr>
              <w:t>% Change</w:t>
            </w:r>
          </w:p>
        </w:tc>
      </w:tr>
      <w:tr w:rsidR="004223A8" w:rsidRPr="004223A8" w14:paraId="656532CC" w14:textId="77777777" w:rsidTr="005F7602">
        <w:trPr>
          <w:trHeight w:val="324"/>
        </w:trPr>
        <w:tc>
          <w:tcPr>
            <w:tcW w:w="3982" w:type="dxa"/>
            <w:tcBorders>
              <w:top w:val="nil"/>
              <w:left w:val="single" w:sz="4" w:space="0" w:color="auto"/>
              <w:bottom w:val="single" w:sz="4" w:space="0" w:color="auto"/>
              <w:right w:val="single" w:sz="4" w:space="0" w:color="auto"/>
            </w:tcBorders>
            <w:shd w:val="clear" w:color="auto" w:fill="auto"/>
            <w:noWrap/>
            <w:vAlign w:val="center"/>
            <w:hideMark/>
          </w:tcPr>
          <w:p w14:paraId="55ABA41A"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Gross Profit Ratio</w:t>
            </w:r>
          </w:p>
        </w:tc>
        <w:tc>
          <w:tcPr>
            <w:tcW w:w="1408" w:type="dxa"/>
            <w:tcBorders>
              <w:top w:val="nil"/>
              <w:left w:val="nil"/>
              <w:bottom w:val="single" w:sz="4" w:space="0" w:color="auto"/>
              <w:right w:val="single" w:sz="4" w:space="0" w:color="auto"/>
            </w:tcBorders>
            <w:shd w:val="clear" w:color="auto" w:fill="auto"/>
            <w:noWrap/>
            <w:vAlign w:val="center"/>
            <w:hideMark/>
          </w:tcPr>
          <w:p w14:paraId="34C3583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hAnsi="Arial" w:cs="Arial"/>
                <w:color w:val="000000"/>
                <w:sz w:val="24"/>
                <w:szCs w:val="24"/>
              </w:rPr>
              <w:t>14%</w:t>
            </w:r>
          </w:p>
        </w:tc>
        <w:tc>
          <w:tcPr>
            <w:tcW w:w="1408" w:type="dxa"/>
            <w:tcBorders>
              <w:top w:val="nil"/>
              <w:left w:val="nil"/>
              <w:bottom w:val="single" w:sz="4" w:space="0" w:color="auto"/>
              <w:right w:val="single" w:sz="4" w:space="0" w:color="auto"/>
            </w:tcBorders>
            <w:shd w:val="clear" w:color="auto" w:fill="auto"/>
            <w:noWrap/>
            <w:vAlign w:val="center"/>
            <w:hideMark/>
          </w:tcPr>
          <w:p w14:paraId="451CA0A8"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hAnsi="Arial" w:cs="Arial"/>
                <w:color w:val="000000"/>
                <w:sz w:val="24"/>
                <w:szCs w:val="24"/>
              </w:rPr>
              <w:t>26%</w:t>
            </w:r>
          </w:p>
        </w:tc>
        <w:tc>
          <w:tcPr>
            <w:tcW w:w="1212" w:type="dxa"/>
            <w:tcBorders>
              <w:top w:val="nil"/>
              <w:left w:val="nil"/>
              <w:bottom w:val="single" w:sz="4" w:space="0" w:color="auto"/>
              <w:right w:val="single" w:sz="4" w:space="0" w:color="auto"/>
            </w:tcBorders>
            <w:shd w:val="clear" w:color="auto" w:fill="auto"/>
            <w:noWrap/>
            <w:vAlign w:val="bottom"/>
            <w:hideMark/>
          </w:tcPr>
          <w:p w14:paraId="764C22F9"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-0.12</w:t>
            </w:r>
          </w:p>
        </w:tc>
        <w:tc>
          <w:tcPr>
            <w:tcW w:w="1368" w:type="dxa"/>
            <w:tcBorders>
              <w:top w:val="nil"/>
              <w:left w:val="nil"/>
              <w:bottom w:val="single" w:sz="4" w:space="0" w:color="auto"/>
              <w:right w:val="single" w:sz="4" w:space="0" w:color="auto"/>
            </w:tcBorders>
            <w:shd w:val="clear" w:color="auto" w:fill="auto"/>
            <w:noWrap/>
            <w:vAlign w:val="bottom"/>
            <w:hideMark/>
          </w:tcPr>
          <w:p w14:paraId="61E69168"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-47%</w:t>
            </w:r>
          </w:p>
        </w:tc>
      </w:tr>
      <w:tr w:rsidR="004223A8" w:rsidRPr="004223A8" w14:paraId="1FD981B3" w14:textId="77777777" w:rsidTr="005F7602">
        <w:trPr>
          <w:trHeight w:val="324"/>
        </w:trPr>
        <w:tc>
          <w:tcPr>
            <w:tcW w:w="3982" w:type="dxa"/>
            <w:tcBorders>
              <w:top w:val="nil"/>
              <w:left w:val="single" w:sz="4" w:space="0" w:color="auto"/>
              <w:bottom w:val="single" w:sz="4" w:space="0" w:color="auto"/>
              <w:right w:val="single" w:sz="4" w:space="0" w:color="auto"/>
            </w:tcBorders>
            <w:shd w:val="clear" w:color="auto" w:fill="auto"/>
            <w:noWrap/>
            <w:vAlign w:val="center"/>
            <w:hideMark/>
          </w:tcPr>
          <w:p w14:paraId="765AAB26"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Operating Profit Ratio</w:t>
            </w:r>
          </w:p>
        </w:tc>
        <w:tc>
          <w:tcPr>
            <w:tcW w:w="1408" w:type="dxa"/>
            <w:tcBorders>
              <w:top w:val="nil"/>
              <w:left w:val="nil"/>
              <w:bottom w:val="single" w:sz="4" w:space="0" w:color="auto"/>
              <w:right w:val="single" w:sz="4" w:space="0" w:color="auto"/>
            </w:tcBorders>
            <w:shd w:val="clear" w:color="auto" w:fill="auto"/>
            <w:noWrap/>
            <w:vAlign w:val="center"/>
            <w:hideMark/>
          </w:tcPr>
          <w:p w14:paraId="0F64D85A"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hAnsi="Arial" w:cs="Arial"/>
                <w:color w:val="000000"/>
                <w:sz w:val="24"/>
                <w:szCs w:val="24"/>
              </w:rPr>
              <w:t>-3%</w:t>
            </w:r>
          </w:p>
        </w:tc>
        <w:tc>
          <w:tcPr>
            <w:tcW w:w="1408" w:type="dxa"/>
            <w:tcBorders>
              <w:top w:val="nil"/>
              <w:left w:val="nil"/>
              <w:bottom w:val="single" w:sz="4" w:space="0" w:color="auto"/>
              <w:right w:val="single" w:sz="4" w:space="0" w:color="auto"/>
            </w:tcBorders>
            <w:shd w:val="clear" w:color="auto" w:fill="auto"/>
            <w:noWrap/>
            <w:vAlign w:val="center"/>
            <w:hideMark/>
          </w:tcPr>
          <w:p w14:paraId="2ACCBEC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hAnsi="Arial" w:cs="Arial"/>
                <w:color w:val="000000"/>
                <w:sz w:val="24"/>
                <w:szCs w:val="24"/>
              </w:rPr>
              <w:t>17%</w:t>
            </w:r>
          </w:p>
        </w:tc>
        <w:tc>
          <w:tcPr>
            <w:tcW w:w="1212" w:type="dxa"/>
            <w:tcBorders>
              <w:top w:val="nil"/>
              <w:left w:val="nil"/>
              <w:bottom w:val="single" w:sz="4" w:space="0" w:color="auto"/>
              <w:right w:val="single" w:sz="4" w:space="0" w:color="auto"/>
            </w:tcBorders>
            <w:shd w:val="clear" w:color="auto" w:fill="auto"/>
            <w:noWrap/>
            <w:vAlign w:val="bottom"/>
            <w:hideMark/>
          </w:tcPr>
          <w:p w14:paraId="0BC08A9A"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-0.19</w:t>
            </w:r>
          </w:p>
        </w:tc>
        <w:tc>
          <w:tcPr>
            <w:tcW w:w="1368" w:type="dxa"/>
            <w:tcBorders>
              <w:top w:val="nil"/>
              <w:left w:val="nil"/>
              <w:bottom w:val="single" w:sz="4" w:space="0" w:color="auto"/>
              <w:right w:val="single" w:sz="4" w:space="0" w:color="auto"/>
            </w:tcBorders>
            <w:shd w:val="clear" w:color="auto" w:fill="auto"/>
            <w:noWrap/>
            <w:vAlign w:val="bottom"/>
            <w:hideMark/>
          </w:tcPr>
          <w:p w14:paraId="7491FE6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-117%</w:t>
            </w:r>
          </w:p>
        </w:tc>
      </w:tr>
      <w:tr w:rsidR="004223A8" w:rsidRPr="004223A8" w14:paraId="237AEFF4" w14:textId="77777777" w:rsidTr="005F7602">
        <w:trPr>
          <w:trHeight w:val="324"/>
        </w:trPr>
        <w:tc>
          <w:tcPr>
            <w:tcW w:w="3982" w:type="dxa"/>
            <w:tcBorders>
              <w:top w:val="nil"/>
              <w:left w:val="single" w:sz="4" w:space="0" w:color="auto"/>
              <w:bottom w:val="single" w:sz="4" w:space="0" w:color="auto"/>
              <w:right w:val="single" w:sz="4" w:space="0" w:color="auto"/>
            </w:tcBorders>
            <w:shd w:val="clear" w:color="auto" w:fill="auto"/>
            <w:noWrap/>
            <w:vAlign w:val="center"/>
            <w:hideMark/>
          </w:tcPr>
          <w:p w14:paraId="76516034"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Net Profit Ratio</w:t>
            </w:r>
          </w:p>
        </w:tc>
        <w:tc>
          <w:tcPr>
            <w:tcW w:w="1408" w:type="dxa"/>
            <w:tcBorders>
              <w:top w:val="nil"/>
              <w:left w:val="nil"/>
              <w:bottom w:val="single" w:sz="4" w:space="0" w:color="auto"/>
              <w:right w:val="single" w:sz="4" w:space="0" w:color="auto"/>
            </w:tcBorders>
            <w:shd w:val="clear" w:color="auto" w:fill="auto"/>
            <w:noWrap/>
            <w:vAlign w:val="center"/>
            <w:hideMark/>
          </w:tcPr>
          <w:p w14:paraId="2AE4A33A"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hAnsi="Arial" w:cs="Arial"/>
                <w:color w:val="000000"/>
                <w:sz w:val="24"/>
                <w:szCs w:val="24"/>
              </w:rPr>
              <w:t>-17%</w:t>
            </w:r>
          </w:p>
        </w:tc>
        <w:tc>
          <w:tcPr>
            <w:tcW w:w="1408" w:type="dxa"/>
            <w:tcBorders>
              <w:top w:val="nil"/>
              <w:left w:val="nil"/>
              <w:bottom w:val="single" w:sz="4" w:space="0" w:color="auto"/>
              <w:right w:val="single" w:sz="4" w:space="0" w:color="auto"/>
            </w:tcBorders>
            <w:shd w:val="clear" w:color="auto" w:fill="auto"/>
            <w:noWrap/>
            <w:vAlign w:val="center"/>
            <w:hideMark/>
          </w:tcPr>
          <w:p w14:paraId="2056B71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hAnsi="Arial" w:cs="Arial"/>
                <w:color w:val="000000"/>
                <w:sz w:val="24"/>
                <w:szCs w:val="24"/>
              </w:rPr>
              <w:t>9%</w:t>
            </w:r>
          </w:p>
        </w:tc>
        <w:tc>
          <w:tcPr>
            <w:tcW w:w="1212" w:type="dxa"/>
            <w:tcBorders>
              <w:top w:val="nil"/>
              <w:left w:val="nil"/>
              <w:bottom w:val="single" w:sz="4" w:space="0" w:color="auto"/>
              <w:right w:val="single" w:sz="4" w:space="0" w:color="auto"/>
            </w:tcBorders>
            <w:shd w:val="clear" w:color="auto" w:fill="auto"/>
            <w:noWrap/>
            <w:vAlign w:val="bottom"/>
            <w:hideMark/>
          </w:tcPr>
          <w:p w14:paraId="39BBEBF1"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-0.26</w:t>
            </w:r>
          </w:p>
        </w:tc>
        <w:tc>
          <w:tcPr>
            <w:tcW w:w="1368" w:type="dxa"/>
            <w:tcBorders>
              <w:top w:val="nil"/>
              <w:left w:val="nil"/>
              <w:bottom w:val="single" w:sz="4" w:space="0" w:color="auto"/>
              <w:right w:val="single" w:sz="4" w:space="0" w:color="auto"/>
            </w:tcBorders>
            <w:shd w:val="clear" w:color="auto" w:fill="auto"/>
            <w:noWrap/>
            <w:vAlign w:val="bottom"/>
            <w:hideMark/>
          </w:tcPr>
          <w:p w14:paraId="7957418E"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-278%</w:t>
            </w:r>
          </w:p>
        </w:tc>
      </w:tr>
      <w:tr w:rsidR="004223A8" w:rsidRPr="004223A8" w14:paraId="74BD655F" w14:textId="77777777" w:rsidTr="005F7602">
        <w:trPr>
          <w:trHeight w:val="324"/>
        </w:trPr>
        <w:tc>
          <w:tcPr>
            <w:tcW w:w="3982" w:type="dxa"/>
            <w:tcBorders>
              <w:top w:val="nil"/>
              <w:left w:val="single" w:sz="4" w:space="0" w:color="auto"/>
              <w:bottom w:val="single" w:sz="4" w:space="0" w:color="auto"/>
              <w:right w:val="single" w:sz="4" w:space="0" w:color="auto"/>
            </w:tcBorders>
            <w:shd w:val="clear" w:color="auto" w:fill="auto"/>
            <w:noWrap/>
            <w:vAlign w:val="center"/>
            <w:hideMark/>
          </w:tcPr>
          <w:p w14:paraId="3E5437C9"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Interest Coverage Ratio</w:t>
            </w:r>
          </w:p>
        </w:tc>
        <w:tc>
          <w:tcPr>
            <w:tcW w:w="1408" w:type="dxa"/>
            <w:tcBorders>
              <w:top w:val="nil"/>
              <w:left w:val="nil"/>
              <w:bottom w:val="single" w:sz="4" w:space="0" w:color="auto"/>
              <w:right w:val="single" w:sz="4" w:space="0" w:color="auto"/>
            </w:tcBorders>
            <w:shd w:val="clear" w:color="auto" w:fill="auto"/>
            <w:noWrap/>
            <w:vAlign w:val="center"/>
            <w:hideMark/>
          </w:tcPr>
          <w:p w14:paraId="3FECF32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hAnsi="Arial" w:cs="Arial"/>
                <w:color w:val="000000"/>
                <w:sz w:val="24"/>
                <w:szCs w:val="24"/>
              </w:rPr>
              <w:t>-28%</w:t>
            </w:r>
          </w:p>
        </w:tc>
        <w:tc>
          <w:tcPr>
            <w:tcW w:w="1408" w:type="dxa"/>
            <w:tcBorders>
              <w:top w:val="nil"/>
              <w:left w:val="nil"/>
              <w:bottom w:val="single" w:sz="4" w:space="0" w:color="auto"/>
              <w:right w:val="single" w:sz="4" w:space="0" w:color="auto"/>
            </w:tcBorders>
            <w:shd w:val="clear" w:color="auto" w:fill="auto"/>
            <w:noWrap/>
            <w:vAlign w:val="center"/>
            <w:hideMark/>
          </w:tcPr>
          <w:p w14:paraId="003A31C3"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hAnsi="Arial" w:cs="Arial"/>
                <w:color w:val="000000"/>
                <w:sz w:val="24"/>
                <w:szCs w:val="24"/>
              </w:rPr>
              <w:t>381%</w:t>
            </w:r>
          </w:p>
        </w:tc>
        <w:tc>
          <w:tcPr>
            <w:tcW w:w="1212" w:type="dxa"/>
            <w:tcBorders>
              <w:top w:val="nil"/>
              <w:left w:val="nil"/>
              <w:bottom w:val="single" w:sz="4" w:space="0" w:color="auto"/>
              <w:right w:val="single" w:sz="4" w:space="0" w:color="auto"/>
            </w:tcBorders>
            <w:shd w:val="clear" w:color="auto" w:fill="auto"/>
            <w:noWrap/>
            <w:vAlign w:val="bottom"/>
            <w:hideMark/>
          </w:tcPr>
          <w:p w14:paraId="5393B797"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-4.08</w:t>
            </w:r>
          </w:p>
        </w:tc>
        <w:tc>
          <w:tcPr>
            <w:tcW w:w="1368" w:type="dxa"/>
            <w:tcBorders>
              <w:top w:val="nil"/>
              <w:left w:val="nil"/>
              <w:bottom w:val="single" w:sz="4" w:space="0" w:color="auto"/>
              <w:right w:val="single" w:sz="4" w:space="0" w:color="auto"/>
            </w:tcBorders>
            <w:shd w:val="clear" w:color="auto" w:fill="auto"/>
            <w:noWrap/>
            <w:vAlign w:val="bottom"/>
            <w:hideMark/>
          </w:tcPr>
          <w:p w14:paraId="64F70D12"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-107%</w:t>
            </w:r>
          </w:p>
        </w:tc>
      </w:tr>
    </w:tbl>
    <w:p w14:paraId="20E6D4B1" w14:textId="77777777" w:rsidR="004223A8" w:rsidRPr="004223A8" w:rsidRDefault="004223A8" w:rsidP="004223A8">
      <w:pPr>
        <w:jc w:val="right"/>
        <w:rPr>
          <w:rFonts w:ascii="Arial" w:hAnsi="Arial" w:cs="Arial"/>
          <w:b/>
          <w:bCs/>
          <w:sz w:val="24"/>
          <w:szCs w:val="24"/>
        </w:rPr>
      </w:pPr>
      <w:r w:rsidRPr="004223A8">
        <w:rPr>
          <w:rFonts w:ascii="Arial" w:hAnsi="Arial" w:cs="Arial"/>
          <w:sz w:val="24"/>
          <w:szCs w:val="24"/>
        </w:rPr>
        <w:t>(Source: Yahoo Finance, 2022)</w:t>
      </w:r>
    </w:p>
    <w:tbl>
      <w:tblPr>
        <w:tblW w:w="9448" w:type="dxa"/>
        <w:tblLook w:val="04A0" w:firstRow="1" w:lastRow="0" w:firstColumn="1" w:lastColumn="0" w:noHBand="0" w:noVBand="1"/>
      </w:tblPr>
      <w:tblGrid>
        <w:gridCol w:w="3760"/>
        <w:gridCol w:w="1517"/>
        <w:gridCol w:w="1516"/>
        <w:gridCol w:w="1284"/>
        <w:gridCol w:w="1434"/>
      </w:tblGrid>
      <w:tr w:rsidR="004223A8" w:rsidRPr="004223A8" w14:paraId="0AEB7E83" w14:textId="77777777" w:rsidTr="005F7602">
        <w:trPr>
          <w:trHeight w:val="291"/>
        </w:trPr>
        <w:tc>
          <w:tcPr>
            <w:tcW w:w="3760" w:type="dxa"/>
            <w:tcBorders>
              <w:top w:val="nil"/>
              <w:left w:val="nil"/>
              <w:bottom w:val="nil"/>
              <w:right w:val="nil"/>
            </w:tcBorders>
            <w:shd w:val="clear" w:color="auto" w:fill="0070C0"/>
            <w:noWrap/>
            <w:vAlign w:val="bottom"/>
            <w:hideMark/>
          </w:tcPr>
          <w:p w14:paraId="527A426C" w14:textId="77777777" w:rsidR="004223A8" w:rsidRPr="004223A8" w:rsidRDefault="004223A8" w:rsidP="005F7602">
            <w:pPr>
              <w:spacing w:after="0" w:line="240" w:lineRule="auto"/>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Balance Sheet</w:t>
            </w:r>
          </w:p>
        </w:tc>
        <w:tc>
          <w:tcPr>
            <w:tcW w:w="1517" w:type="dxa"/>
            <w:tcBorders>
              <w:top w:val="nil"/>
              <w:left w:val="nil"/>
              <w:bottom w:val="nil"/>
              <w:right w:val="nil"/>
            </w:tcBorders>
            <w:shd w:val="clear" w:color="auto" w:fill="0070C0"/>
            <w:noWrap/>
            <w:vAlign w:val="center"/>
            <w:hideMark/>
          </w:tcPr>
          <w:p w14:paraId="375304F3" w14:textId="77777777" w:rsidR="004223A8" w:rsidRPr="004223A8" w:rsidRDefault="004223A8" w:rsidP="005F7602">
            <w:pPr>
              <w:spacing w:after="0" w:line="240" w:lineRule="auto"/>
              <w:jc w:val="center"/>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2020</w:t>
            </w:r>
          </w:p>
        </w:tc>
        <w:tc>
          <w:tcPr>
            <w:tcW w:w="1516" w:type="dxa"/>
            <w:tcBorders>
              <w:top w:val="nil"/>
              <w:left w:val="nil"/>
              <w:bottom w:val="nil"/>
              <w:right w:val="nil"/>
            </w:tcBorders>
            <w:shd w:val="clear" w:color="auto" w:fill="0070C0"/>
            <w:noWrap/>
            <w:vAlign w:val="center"/>
            <w:hideMark/>
          </w:tcPr>
          <w:p w14:paraId="06F19E58" w14:textId="77777777" w:rsidR="004223A8" w:rsidRPr="004223A8" w:rsidRDefault="004223A8" w:rsidP="005F7602">
            <w:pPr>
              <w:spacing w:after="0" w:line="240" w:lineRule="auto"/>
              <w:jc w:val="center"/>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2019</w:t>
            </w:r>
          </w:p>
        </w:tc>
        <w:tc>
          <w:tcPr>
            <w:tcW w:w="1221" w:type="dxa"/>
            <w:tcBorders>
              <w:top w:val="nil"/>
              <w:left w:val="nil"/>
              <w:bottom w:val="nil"/>
              <w:right w:val="nil"/>
            </w:tcBorders>
            <w:shd w:val="clear" w:color="auto" w:fill="0070C0"/>
            <w:noWrap/>
            <w:vAlign w:val="center"/>
            <w:hideMark/>
          </w:tcPr>
          <w:p w14:paraId="7E54550E" w14:textId="77777777" w:rsidR="004223A8" w:rsidRPr="004223A8" w:rsidRDefault="004223A8" w:rsidP="005F7602">
            <w:pPr>
              <w:spacing w:after="0" w:line="240" w:lineRule="auto"/>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 xml:space="preserve">   Change</w:t>
            </w:r>
          </w:p>
        </w:tc>
        <w:tc>
          <w:tcPr>
            <w:tcW w:w="1434" w:type="dxa"/>
            <w:tcBorders>
              <w:top w:val="nil"/>
              <w:left w:val="nil"/>
              <w:bottom w:val="nil"/>
              <w:right w:val="nil"/>
            </w:tcBorders>
            <w:shd w:val="clear" w:color="auto" w:fill="0070C0"/>
            <w:noWrap/>
            <w:vAlign w:val="center"/>
            <w:hideMark/>
          </w:tcPr>
          <w:p w14:paraId="044FF80B" w14:textId="77777777" w:rsidR="004223A8" w:rsidRPr="004223A8" w:rsidRDefault="004223A8" w:rsidP="005F7602">
            <w:pPr>
              <w:spacing w:after="0" w:line="240" w:lineRule="auto"/>
              <w:rPr>
                <w:rFonts w:ascii="Arial" w:eastAsia="Times New Roman" w:hAnsi="Arial" w:cs="Arial"/>
                <w:b/>
                <w:bCs/>
                <w:color w:val="FFFFFF"/>
                <w:sz w:val="24"/>
                <w:szCs w:val="24"/>
                <w:lang w:eastAsia="en-IN"/>
              </w:rPr>
            </w:pPr>
            <w:r w:rsidRPr="004223A8">
              <w:rPr>
                <w:rFonts w:ascii="Arial" w:eastAsia="Times New Roman" w:hAnsi="Arial" w:cs="Arial"/>
                <w:b/>
                <w:bCs/>
                <w:color w:val="FFFFFF"/>
                <w:sz w:val="24"/>
                <w:szCs w:val="24"/>
                <w:lang w:eastAsia="en-IN"/>
              </w:rPr>
              <w:t>% Change</w:t>
            </w:r>
          </w:p>
        </w:tc>
      </w:tr>
      <w:tr w:rsidR="004223A8" w:rsidRPr="004223A8" w14:paraId="10FDE7D0" w14:textId="77777777" w:rsidTr="005F7602">
        <w:trPr>
          <w:trHeight w:val="291"/>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12A21"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Current Asset</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14:paraId="3599F2D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42,02,000</w:t>
            </w:r>
          </w:p>
        </w:tc>
        <w:tc>
          <w:tcPr>
            <w:tcW w:w="1516" w:type="dxa"/>
            <w:tcBorders>
              <w:top w:val="single" w:sz="4" w:space="0" w:color="auto"/>
              <w:left w:val="nil"/>
              <w:bottom w:val="single" w:sz="4" w:space="0" w:color="auto"/>
              <w:right w:val="single" w:sz="4" w:space="0" w:color="auto"/>
            </w:tcBorders>
            <w:shd w:val="clear" w:color="auto" w:fill="auto"/>
            <w:noWrap/>
            <w:vAlign w:val="center"/>
            <w:hideMark/>
          </w:tcPr>
          <w:p w14:paraId="6E067E3E"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20,93,000</w:t>
            </w:r>
          </w:p>
        </w:tc>
        <w:tc>
          <w:tcPr>
            <w:tcW w:w="1221" w:type="dxa"/>
            <w:tcBorders>
              <w:top w:val="single" w:sz="4" w:space="0" w:color="auto"/>
              <w:left w:val="nil"/>
              <w:bottom w:val="single" w:sz="4" w:space="0" w:color="auto"/>
              <w:right w:val="single" w:sz="4" w:space="0" w:color="auto"/>
            </w:tcBorders>
            <w:shd w:val="clear" w:color="auto" w:fill="auto"/>
            <w:noWrap/>
            <w:vAlign w:val="bottom"/>
            <w:hideMark/>
          </w:tcPr>
          <w:p w14:paraId="0A2603B1"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21,09,000</w:t>
            </w:r>
          </w:p>
        </w:tc>
        <w:tc>
          <w:tcPr>
            <w:tcW w:w="1434" w:type="dxa"/>
            <w:tcBorders>
              <w:top w:val="single" w:sz="4" w:space="0" w:color="auto"/>
              <w:left w:val="nil"/>
              <w:bottom w:val="single" w:sz="4" w:space="0" w:color="auto"/>
              <w:right w:val="single" w:sz="4" w:space="0" w:color="auto"/>
            </w:tcBorders>
            <w:shd w:val="clear" w:color="auto" w:fill="auto"/>
            <w:noWrap/>
            <w:vAlign w:val="bottom"/>
            <w:hideMark/>
          </w:tcPr>
          <w:p w14:paraId="6F6857D1"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101%</w:t>
            </w:r>
          </w:p>
        </w:tc>
      </w:tr>
      <w:tr w:rsidR="004223A8" w:rsidRPr="004223A8" w14:paraId="074655E9" w14:textId="77777777" w:rsidTr="005F7602">
        <w:trPr>
          <w:trHeight w:val="291"/>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14:paraId="77B2C5D7"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Non-Current Asset</w:t>
            </w:r>
          </w:p>
        </w:tc>
        <w:tc>
          <w:tcPr>
            <w:tcW w:w="1517" w:type="dxa"/>
            <w:tcBorders>
              <w:top w:val="nil"/>
              <w:left w:val="nil"/>
              <w:bottom w:val="single" w:sz="4" w:space="0" w:color="auto"/>
              <w:right w:val="single" w:sz="4" w:space="0" w:color="auto"/>
            </w:tcBorders>
            <w:shd w:val="clear" w:color="auto" w:fill="auto"/>
            <w:noWrap/>
            <w:vAlign w:val="center"/>
            <w:hideMark/>
          </w:tcPr>
          <w:p w14:paraId="205CBA8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1,58,10,000</w:t>
            </w:r>
          </w:p>
        </w:tc>
        <w:tc>
          <w:tcPr>
            <w:tcW w:w="1516" w:type="dxa"/>
            <w:tcBorders>
              <w:top w:val="nil"/>
              <w:left w:val="nil"/>
              <w:bottom w:val="single" w:sz="4" w:space="0" w:color="auto"/>
              <w:right w:val="single" w:sz="4" w:space="0" w:color="auto"/>
            </w:tcBorders>
            <w:shd w:val="clear" w:color="auto" w:fill="auto"/>
            <w:noWrap/>
            <w:vAlign w:val="center"/>
            <w:hideMark/>
          </w:tcPr>
          <w:p w14:paraId="206D6700"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1,25,58,000</w:t>
            </w:r>
          </w:p>
        </w:tc>
        <w:tc>
          <w:tcPr>
            <w:tcW w:w="1221" w:type="dxa"/>
            <w:tcBorders>
              <w:top w:val="nil"/>
              <w:left w:val="nil"/>
              <w:bottom w:val="single" w:sz="4" w:space="0" w:color="auto"/>
              <w:right w:val="single" w:sz="4" w:space="0" w:color="auto"/>
            </w:tcBorders>
            <w:shd w:val="clear" w:color="auto" w:fill="auto"/>
            <w:noWrap/>
            <w:vAlign w:val="bottom"/>
            <w:hideMark/>
          </w:tcPr>
          <w:p w14:paraId="2015322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32,52,000</w:t>
            </w:r>
          </w:p>
        </w:tc>
        <w:tc>
          <w:tcPr>
            <w:tcW w:w="1434" w:type="dxa"/>
            <w:tcBorders>
              <w:top w:val="nil"/>
              <w:left w:val="nil"/>
              <w:bottom w:val="single" w:sz="4" w:space="0" w:color="auto"/>
              <w:right w:val="single" w:sz="4" w:space="0" w:color="auto"/>
            </w:tcBorders>
            <w:shd w:val="clear" w:color="auto" w:fill="auto"/>
            <w:noWrap/>
            <w:vAlign w:val="bottom"/>
            <w:hideMark/>
          </w:tcPr>
          <w:p w14:paraId="6832FDFA"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26%</w:t>
            </w:r>
          </w:p>
        </w:tc>
      </w:tr>
      <w:tr w:rsidR="004223A8" w:rsidRPr="004223A8" w14:paraId="52E3F40E" w14:textId="77777777" w:rsidTr="005F7602">
        <w:trPr>
          <w:trHeight w:val="291"/>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14:paraId="305A8950"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Total Asset</w:t>
            </w:r>
          </w:p>
        </w:tc>
        <w:tc>
          <w:tcPr>
            <w:tcW w:w="1517" w:type="dxa"/>
            <w:tcBorders>
              <w:top w:val="nil"/>
              <w:left w:val="nil"/>
              <w:bottom w:val="single" w:sz="4" w:space="0" w:color="auto"/>
              <w:right w:val="single" w:sz="4" w:space="0" w:color="auto"/>
            </w:tcBorders>
            <w:shd w:val="clear" w:color="auto" w:fill="auto"/>
            <w:noWrap/>
            <w:vAlign w:val="center"/>
            <w:hideMark/>
          </w:tcPr>
          <w:p w14:paraId="1C528859"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1,67,55,000</w:t>
            </w:r>
          </w:p>
        </w:tc>
        <w:tc>
          <w:tcPr>
            <w:tcW w:w="1516" w:type="dxa"/>
            <w:tcBorders>
              <w:top w:val="nil"/>
              <w:left w:val="nil"/>
              <w:bottom w:val="single" w:sz="4" w:space="0" w:color="auto"/>
              <w:right w:val="single" w:sz="4" w:space="0" w:color="auto"/>
            </w:tcBorders>
            <w:shd w:val="clear" w:color="auto" w:fill="auto"/>
            <w:noWrap/>
            <w:vAlign w:val="center"/>
            <w:hideMark/>
          </w:tcPr>
          <w:p w14:paraId="25458059"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1,49,57,000</w:t>
            </w:r>
          </w:p>
        </w:tc>
        <w:tc>
          <w:tcPr>
            <w:tcW w:w="1221" w:type="dxa"/>
            <w:tcBorders>
              <w:top w:val="nil"/>
              <w:left w:val="nil"/>
              <w:bottom w:val="single" w:sz="4" w:space="0" w:color="auto"/>
              <w:right w:val="single" w:sz="4" w:space="0" w:color="auto"/>
            </w:tcBorders>
            <w:shd w:val="clear" w:color="auto" w:fill="auto"/>
            <w:noWrap/>
            <w:vAlign w:val="bottom"/>
            <w:hideMark/>
          </w:tcPr>
          <w:p w14:paraId="76598AC7"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17,98,000</w:t>
            </w:r>
          </w:p>
        </w:tc>
        <w:tc>
          <w:tcPr>
            <w:tcW w:w="1434" w:type="dxa"/>
            <w:tcBorders>
              <w:top w:val="nil"/>
              <w:left w:val="nil"/>
              <w:bottom w:val="single" w:sz="4" w:space="0" w:color="auto"/>
              <w:right w:val="single" w:sz="4" w:space="0" w:color="auto"/>
            </w:tcBorders>
            <w:shd w:val="clear" w:color="auto" w:fill="auto"/>
            <w:noWrap/>
            <w:vAlign w:val="bottom"/>
            <w:hideMark/>
          </w:tcPr>
          <w:p w14:paraId="642DFA30"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12%</w:t>
            </w:r>
          </w:p>
        </w:tc>
      </w:tr>
      <w:tr w:rsidR="004223A8" w:rsidRPr="004223A8" w14:paraId="1A648323" w14:textId="77777777" w:rsidTr="005F7602">
        <w:trPr>
          <w:trHeight w:val="291"/>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14:paraId="0E169727"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Current Liabilities</w:t>
            </w:r>
          </w:p>
        </w:tc>
        <w:tc>
          <w:tcPr>
            <w:tcW w:w="1517" w:type="dxa"/>
            <w:tcBorders>
              <w:top w:val="nil"/>
              <w:left w:val="nil"/>
              <w:bottom w:val="single" w:sz="4" w:space="0" w:color="auto"/>
              <w:right w:val="single" w:sz="4" w:space="0" w:color="auto"/>
            </w:tcBorders>
            <w:shd w:val="clear" w:color="auto" w:fill="auto"/>
            <w:noWrap/>
            <w:vAlign w:val="center"/>
            <w:hideMark/>
          </w:tcPr>
          <w:p w14:paraId="13B17362"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24,31,000</w:t>
            </w:r>
          </w:p>
        </w:tc>
        <w:tc>
          <w:tcPr>
            <w:tcW w:w="1516" w:type="dxa"/>
            <w:tcBorders>
              <w:top w:val="nil"/>
              <w:left w:val="nil"/>
              <w:bottom w:val="single" w:sz="4" w:space="0" w:color="auto"/>
              <w:right w:val="single" w:sz="4" w:space="0" w:color="auto"/>
            </w:tcBorders>
            <w:shd w:val="clear" w:color="auto" w:fill="auto"/>
            <w:noWrap/>
            <w:vAlign w:val="center"/>
            <w:hideMark/>
          </w:tcPr>
          <w:p w14:paraId="19A443A1"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28,71,000</w:t>
            </w:r>
          </w:p>
        </w:tc>
        <w:tc>
          <w:tcPr>
            <w:tcW w:w="1221" w:type="dxa"/>
            <w:tcBorders>
              <w:top w:val="nil"/>
              <w:left w:val="nil"/>
              <w:bottom w:val="single" w:sz="4" w:space="0" w:color="auto"/>
              <w:right w:val="single" w:sz="4" w:space="0" w:color="auto"/>
            </w:tcBorders>
            <w:shd w:val="clear" w:color="auto" w:fill="auto"/>
            <w:noWrap/>
            <w:vAlign w:val="bottom"/>
            <w:hideMark/>
          </w:tcPr>
          <w:p w14:paraId="4DC346D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-4,40,000</w:t>
            </w:r>
          </w:p>
        </w:tc>
        <w:tc>
          <w:tcPr>
            <w:tcW w:w="1434" w:type="dxa"/>
            <w:tcBorders>
              <w:top w:val="nil"/>
              <w:left w:val="nil"/>
              <w:bottom w:val="single" w:sz="4" w:space="0" w:color="auto"/>
              <w:right w:val="single" w:sz="4" w:space="0" w:color="auto"/>
            </w:tcBorders>
            <w:shd w:val="clear" w:color="auto" w:fill="auto"/>
            <w:noWrap/>
            <w:vAlign w:val="bottom"/>
            <w:hideMark/>
          </w:tcPr>
          <w:p w14:paraId="5781674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w:t>
            </w:r>
          </w:p>
        </w:tc>
      </w:tr>
      <w:tr w:rsidR="004223A8" w:rsidRPr="004223A8" w14:paraId="41E61E8E" w14:textId="77777777" w:rsidTr="005F7602">
        <w:trPr>
          <w:trHeight w:val="291"/>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14:paraId="1D0795DB"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Non-current Liabilities</w:t>
            </w:r>
          </w:p>
        </w:tc>
        <w:tc>
          <w:tcPr>
            <w:tcW w:w="1517" w:type="dxa"/>
            <w:tcBorders>
              <w:top w:val="nil"/>
              <w:left w:val="nil"/>
              <w:bottom w:val="single" w:sz="4" w:space="0" w:color="auto"/>
              <w:right w:val="single" w:sz="4" w:space="0" w:color="auto"/>
            </w:tcBorders>
            <w:shd w:val="clear" w:color="auto" w:fill="auto"/>
            <w:noWrap/>
            <w:vAlign w:val="center"/>
            <w:hideMark/>
          </w:tcPr>
          <w:p w14:paraId="470CB89E"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1,58,10,000</w:t>
            </w:r>
          </w:p>
        </w:tc>
        <w:tc>
          <w:tcPr>
            <w:tcW w:w="1516" w:type="dxa"/>
            <w:tcBorders>
              <w:top w:val="nil"/>
              <w:left w:val="nil"/>
              <w:bottom w:val="single" w:sz="4" w:space="0" w:color="auto"/>
              <w:right w:val="single" w:sz="4" w:space="0" w:color="auto"/>
            </w:tcBorders>
            <w:shd w:val="clear" w:color="auto" w:fill="auto"/>
            <w:noWrap/>
            <w:vAlign w:val="center"/>
            <w:hideMark/>
          </w:tcPr>
          <w:p w14:paraId="4E1358DE"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1,25,58,000</w:t>
            </w:r>
          </w:p>
        </w:tc>
        <w:tc>
          <w:tcPr>
            <w:tcW w:w="1221" w:type="dxa"/>
            <w:tcBorders>
              <w:top w:val="nil"/>
              <w:left w:val="nil"/>
              <w:bottom w:val="single" w:sz="4" w:space="0" w:color="auto"/>
              <w:right w:val="single" w:sz="4" w:space="0" w:color="auto"/>
            </w:tcBorders>
            <w:shd w:val="clear" w:color="auto" w:fill="auto"/>
            <w:noWrap/>
            <w:vAlign w:val="bottom"/>
            <w:hideMark/>
          </w:tcPr>
          <w:p w14:paraId="574523D3"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32,52,000</w:t>
            </w:r>
          </w:p>
        </w:tc>
        <w:tc>
          <w:tcPr>
            <w:tcW w:w="1434" w:type="dxa"/>
            <w:tcBorders>
              <w:top w:val="nil"/>
              <w:left w:val="nil"/>
              <w:bottom w:val="single" w:sz="4" w:space="0" w:color="auto"/>
              <w:right w:val="single" w:sz="4" w:space="0" w:color="auto"/>
            </w:tcBorders>
            <w:shd w:val="clear" w:color="auto" w:fill="auto"/>
            <w:noWrap/>
            <w:vAlign w:val="bottom"/>
            <w:hideMark/>
          </w:tcPr>
          <w:p w14:paraId="127C3411"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26%</w:t>
            </w:r>
          </w:p>
        </w:tc>
      </w:tr>
      <w:tr w:rsidR="004223A8" w:rsidRPr="004223A8" w14:paraId="0084290E" w14:textId="77777777" w:rsidTr="005F7602">
        <w:trPr>
          <w:trHeight w:val="291"/>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14:paraId="342F1823"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Total Liabilities</w:t>
            </w:r>
          </w:p>
        </w:tc>
        <w:tc>
          <w:tcPr>
            <w:tcW w:w="1517" w:type="dxa"/>
            <w:tcBorders>
              <w:top w:val="nil"/>
              <w:left w:val="nil"/>
              <w:bottom w:val="single" w:sz="4" w:space="0" w:color="auto"/>
              <w:right w:val="single" w:sz="4" w:space="0" w:color="auto"/>
            </w:tcBorders>
            <w:shd w:val="clear" w:color="auto" w:fill="auto"/>
            <w:noWrap/>
            <w:vAlign w:val="center"/>
            <w:hideMark/>
          </w:tcPr>
          <w:p w14:paraId="0DBDB56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1,82,41,000</w:t>
            </w:r>
          </w:p>
        </w:tc>
        <w:tc>
          <w:tcPr>
            <w:tcW w:w="1516" w:type="dxa"/>
            <w:tcBorders>
              <w:top w:val="nil"/>
              <w:left w:val="nil"/>
              <w:bottom w:val="single" w:sz="4" w:space="0" w:color="auto"/>
              <w:right w:val="single" w:sz="4" w:space="0" w:color="auto"/>
            </w:tcBorders>
            <w:shd w:val="clear" w:color="auto" w:fill="auto"/>
            <w:noWrap/>
            <w:vAlign w:val="center"/>
            <w:hideMark/>
          </w:tcPr>
          <w:p w14:paraId="41E61813"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1,54,29,000</w:t>
            </w:r>
          </w:p>
        </w:tc>
        <w:tc>
          <w:tcPr>
            <w:tcW w:w="1221" w:type="dxa"/>
            <w:tcBorders>
              <w:top w:val="nil"/>
              <w:left w:val="nil"/>
              <w:bottom w:val="single" w:sz="4" w:space="0" w:color="auto"/>
              <w:right w:val="single" w:sz="4" w:space="0" w:color="auto"/>
            </w:tcBorders>
            <w:shd w:val="clear" w:color="auto" w:fill="auto"/>
            <w:noWrap/>
            <w:vAlign w:val="bottom"/>
            <w:hideMark/>
          </w:tcPr>
          <w:p w14:paraId="333665F2"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28,12,000</w:t>
            </w:r>
          </w:p>
        </w:tc>
        <w:tc>
          <w:tcPr>
            <w:tcW w:w="1434" w:type="dxa"/>
            <w:tcBorders>
              <w:top w:val="nil"/>
              <w:left w:val="nil"/>
              <w:bottom w:val="single" w:sz="4" w:space="0" w:color="auto"/>
              <w:right w:val="single" w:sz="4" w:space="0" w:color="auto"/>
            </w:tcBorders>
            <w:shd w:val="clear" w:color="auto" w:fill="auto"/>
            <w:noWrap/>
            <w:vAlign w:val="bottom"/>
            <w:hideMark/>
          </w:tcPr>
          <w:p w14:paraId="48F1D4F9"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18%</w:t>
            </w:r>
          </w:p>
        </w:tc>
      </w:tr>
      <w:tr w:rsidR="004223A8" w:rsidRPr="004223A8" w14:paraId="0CCA71B3" w14:textId="77777777" w:rsidTr="005F7602">
        <w:trPr>
          <w:trHeight w:val="291"/>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14:paraId="6927B455"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Common Stock</w:t>
            </w:r>
          </w:p>
        </w:tc>
        <w:tc>
          <w:tcPr>
            <w:tcW w:w="1517" w:type="dxa"/>
            <w:tcBorders>
              <w:top w:val="nil"/>
              <w:left w:val="nil"/>
              <w:bottom w:val="single" w:sz="4" w:space="0" w:color="auto"/>
              <w:right w:val="single" w:sz="4" w:space="0" w:color="auto"/>
            </w:tcBorders>
            <w:shd w:val="clear" w:color="auto" w:fill="auto"/>
            <w:noWrap/>
            <w:vAlign w:val="center"/>
            <w:hideMark/>
          </w:tcPr>
          <w:p w14:paraId="333E0E34"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3,000</w:t>
            </w:r>
          </w:p>
        </w:tc>
        <w:tc>
          <w:tcPr>
            <w:tcW w:w="1516" w:type="dxa"/>
            <w:tcBorders>
              <w:top w:val="nil"/>
              <w:left w:val="nil"/>
              <w:bottom w:val="single" w:sz="4" w:space="0" w:color="auto"/>
              <w:right w:val="single" w:sz="4" w:space="0" w:color="auto"/>
            </w:tcBorders>
            <w:shd w:val="clear" w:color="auto" w:fill="auto"/>
            <w:noWrap/>
            <w:vAlign w:val="center"/>
            <w:hideMark/>
          </w:tcPr>
          <w:p w14:paraId="6EB3A05A"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3,000</w:t>
            </w:r>
          </w:p>
        </w:tc>
        <w:tc>
          <w:tcPr>
            <w:tcW w:w="1221" w:type="dxa"/>
            <w:tcBorders>
              <w:top w:val="nil"/>
              <w:left w:val="nil"/>
              <w:bottom w:val="single" w:sz="4" w:space="0" w:color="auto"/>
              <w:right w:val="single" w:sz="4" w:space="0" w:color="auto"/>
            </w:tcBorders>
            <w:shd w:val="clear" w:color="auto" w:fill="auto"/>
            <w:noWrap/>
            <w:vAlign w:val="bottom"/>
            <w:hideMark/>
          </w:tcPr>
          <w:p w14:paraId="7C1B9720"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0</w:t>
            </w:r>
          </w:p>
        </w:tc>
        <w:tc>
          <w:tcPr>
            <w:tcW w:w="1434" w:type="dxa"/>
            <w:tcBorders>
              <w:top w:val="nil"/>
              <w:left w:val="nil"/>
              <w:bottom w:val="single" w:sz="4" w:space="0" w:color="auto"/>
              <w:right w:val="single" w:sz="4" w:space="0" w:color="auto"/>
            </w:tcBorders>
            <w:shd w:val="clear" w:color="auto" w:fill="auto"/>
            <w:noWrap/>
            <w:vAlign w:val="bottom"/>
            <w:hideMark/>
          </w:tcPr>
          <w:p w14:paraId="49819F5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0%</w:t>
            </w:r>
          </w:p>
        </w:tc>
      </w:tr>
      <w:tr w:rsidR="004223A8" w:rsidRPr="004223A8" w14:paraId="6B037CA3" w14:textId="77777777" w:rsidTr="005F7602">
        <w:trPr>
          <w:trHeight w:val="291"/>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14:paraId="4D789021"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Retained Earnings</w:t>
            </w:r>
          </w:p>
        </w:tc>
        <w:tc>
          <w:tcPr>
            <w:tcW w:w="1517" w:type="dxa"/>
            <w:tcBorders>
              <w:top w:val="nil"/>
              <w:left w:val="nil"/>
              <w:bottom w:val="single" w:sz="4" w:space="0" w:color="auto"/>
              <w:right w:val="single" w:sz="4" w:space="0" w:color="auto"/>
            </w:tcBorders>
            <w:shd w:val="clear" w:color="auto" w:fill="auto"/>
            <w:noWrap/>
            <w:vAlign w:val="center"/>
            <w:hideMark/>
          </w:tcPr>
          <w:p w14:paraId="253E335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-67,32,000</w:t>
            </w:r>
          </w:p>
        </w:tc>
        <w:tc>
          <w:tcPr>
            <w:tcW w:w="1516" w:type="dxa"/>
            <w:tcBorders>
              <w:top w:val="nil"/>
              <w:left w:val="nil"/>
              <w:bottom w:val="single" w:sz="4" w:space="0" w:color="auto"/>
              <w:right w:val="single" w:sz="4" w:space="0" w:color="auto"/>
            </w:tcBorders>
            <w:shd w:val="clear" w:color="auto" w:fill="auto"/>
            <w:noWrap/>
            <w:vAlign w:val="center"/>
            <w:hideMark/>
          </w:tcPr>
          <w:p w14:paraId="5E44FD14"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-59,65,000</w:t>
            </w:r>
          </w:p>
        </w:tc>
        <w:tc>
          <w:tcPr>
            <w:tcW w:w="1221" w:type="dxa"/>
            <w:tcBorders>
              <w:top w:val="nil"/>
              <w:left w:val="nil"/>
              <w:bottom w:val="single" w:sz="4" w:space="0" w:color="auto"/>
              <w:right w:val="single" w:sz="4" w:space="0" w:color="auto"/>
            </w:tcBorders>
            <w:shd w:val="clear" w:color="auto" w:fill="auto"/>
            <w:noWrap/>
            <w:vAlign w:val="bottom"/>
            <w:hideMark/>
          </w:tcPr>
          <w:p w14:paraId="17ADCBFF"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-7,67,000</w:t>
            </w:r>
          </w:p>
        </w:tc>
        <w:tc>
          <w:tcPr>
            <w:tcW w:w="1434" w:type="dxa"/>
            <w:tcBorders>
              <w:top w:val="nil"/>
              <w:left w:val="nil"/>
              <w:bottom w:val="single" w:sz="4" w:space="0" w:color="auto"/>
              <w:right w:val="single" w:sz="4" w:space="0" w:color="auto"/>
            </w:tcBorders>
            <w:shd w:val="clear" w:color="auto" w:fill="auto"/>
            <w:noWrap/>
            <w:vAlign w:val="bottom"/>
            <w:hideMark/>
          </w:tcPr>
          <w:p w14:paraId="0177C66A"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13%</w:t>
            </w:r>
          </w:p>
        </w:tc>
      </w:tr>
      <w:tr w:rsidR="004223A8" w:rsidRPr="004223A8" w14:paraId="3E6FFBBF" w14:textId="77777777" w:rsidTr="005F7602">
        <w:trPr>
          <w:trHeight w:val="291"/>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14:paraId="7FD178E4"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Total Stockholders’ Equity</w:t>
            </w:r>
          </w:p>
        </w:tc>
        <w:tc>
          <w:tcPr>
            <w:tcW w:w="1517" w:type="dxa"/>
            <w:tcBorders>
              <w:top w:val="nil"/>
              <w:left w:val="nil"/>
              <w:bottom w:val="single" w:sz="4" w:space="0" w:color="auto"/>
              <w:right w:val="single" w:sz="4" w:space="0" w:color="auto"/>
            </w:tcBorders>
            <w:shd w:val="clear" w:color="auto" w:fill="auto"/>
            <w:noWrap/>
            <w:vAlign w:val="center"/>
            <w:hideMark/>
          </w:tcPr>
          <w:p w14:paraId="2217BBF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-14,90,000</w:t>
            </w:r>
          </w:p>
        </w:tc>
        <w:tc>
          <w:tcPr>
            <w:tcW w:w="1516" w:type="dxa"/>
            <w:tcBorders>
              <w:top w:val="nil"/>
              <w:left w:val="nil"/>
              <w:bottom w:val="single" w:sz="4" w:space="0" w:color="auto"/>
              <w:right w:val="single" w:sz="4" w:space="0" w:color="auto"/>
            </w:tcBorders>
            <w:shd w:val="clear" w:color="auto" w:fill="auto"/>
            <w:noWrap/>
            <w:vAlign w:val="center"/>
            <w:hideMark/>
          </w:tcPr>
          <w:p w14:paraId="0393A7D0"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-4,82,000</w:t>
            </w:r>
          </w:p>
        </w:tc>
        <w:tc>
          <w:tcPr>
            <w:tcW w:w="1221" w:type="dxa"/>
            <w:tcBorders>
              <w:top w:val="nil"/>
              <w:left w:val="nil"/>
              <w:bottom w:val="single" w:sz="4" w:space="0" w:color="auto"/>
              <w:right w:val="single" w:sz="4" w:space="0" w:color="auto"/>
            </w:tcBorders>
            <w:shd w:val="clear" w:color="auto" w:fill="auto"/>
            <w:noWrap/>
            <w:vAlign w:val="bottom"/>
            <w:hideMark/>
          </w:tcPr>
          <w:p w14:paraId="5299944D"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-10,08,000</w:t>
            </w:r>
          </w:p>
        </w:tc>
        <w:tc>
          <w:tcPr>
            <w:tcW w:w="1434" w:type="dxa"/>
            <w:tcBorders>
              <w:top w:val="nil"/>
              <w:left w:val="nil"/>
              <w:bottom w:val="single" w:sz="4" w:space="0" w:color="auto"/>
              <w:right w:val="single" w:sz="4" w:space="0" w:color="auto"/>
            </w:tcBorders>
            <w:shd w:val="clear" w:color="auto" w:fill="auto"/>
            <w:noWrap/>
            <w:vAlign w:val="bottom"/>
            <w:hideMark/>
          </w:tcPr>
          <w:p w14:paraId="68DB419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209%</w:t>
            </w:r>
          </w:p>
        </w:tc>
      </w:tr>
      <w:tr w:rsidR="004223A8" w:rsidRPr="004223A8" w14:paraId="2A43FF04" w14:textId="77777777" w:rsidTr="005F7602">
        <w:trPr>
          <w:trHeight w:val="291"/>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14:paraId="6919A993"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Total Liabilities and Stockholder</w:t>
            </w:r>
          </w:p>
        </w:tc>
        <w:tc>
          <w:tcPr>
            <w:tcW w:w="1517" w:type="dxa"/>
            <w:tcBorders>
              <w:top w:val="nil"/>
              <w:left w:val="nil"/>
              <w:bottom w:val="single" w:sz="4" w:space="0" w:color="auto"/>
              <w:right w:val="single" w:sz="4" w:space="0" w:color="auto"/>
            </w:tcBorders>
            <w:shd w:val="clear" w:color="auto" w:fill="auto"/>
            <w:noWrap/>
            <w:vAlign w:val="center"/>
            <w:hideMark/>
          </w:tcPr>
          <w:p w14:paraId="188B486B"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1,67,55,000</w:t>
            </w:r>
          </w:p>
        </w:tc>
        <w:tc>
          <w:tcPr>
            <w:tcW w:w="1516" w:type="dxa"/>
            <w:tcBorders>
              <w:top w:val="nil"/>
              <w:left w:val="nil"/>
              <w:bottom w:val="single" w:sz="4" w:space="0" w:color="auto"/>
              <w:right w:val="single" w:sz="4" w:space="0" w:color="auto"/>
            </w:tcBorders>
            <w:shd w:val="clear" w:color="auto" w:fill="auto"/>
            <w:noWrap/>
            <w:vAlign w:val="center"/>
            <w:hideMark/>
          </w:tcPr>
          <w:p w14:paraId="3265E672"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1,49,57,000</w:t>
            </w:r>
          </w:p>
        </w:tc>
        <w:tc>
          <w:tcPr>
            <w:tcW w:w="1221" w:type="dxa"/>
            <w:tcBorders>
              <w:top w:val="nil"/>
              <w:left w:val="nil"/>
              <w:bottom w:val="single" w:sz="4" w:space="0" w:color="auto"/>
              <w:right w:val="single" w:sz="4" w:space="0" w:color="auto"/>
            </w:tcBorders>
            <w:shd w:val="clear" w:color="auto" w:fill="auto"/>
            <w:noWrap/>
            <w:vAlign w:val="bottom"/>
            <w:hideMark/>
          </w:tcPr>
          <w:p w14:paraId="0A467863"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17,98,000</w:t>
            </w:r>
          </w:p>
        </w:tc>
        <w:tc>
          <w:tcPr>
            <w:tcW w:w="1434" w:type="dxa"/>
            <w:tcBorders>
              <w:top w:val="nil"/>
              <w:left w:val="nil"/>
              <w:bottom w:val="single" w:sz="4" w:space="0" w:color="auto"/>
              <w:right w:val="single" w:sz="4" w:space="0" w:color="auto"/>
            </w:tcBorders>
            <w:shd w:val="clear" w:color="auto" w:fill="auto"/>
            <w:noWrap/>
            <w:vAlign w:val="bottom"/>
            <w:hideMark/>
          </w:tcPr>
          <w:p w14:paraId="4C8520B1"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12%</w:t>
            </w:r>
          </w:p>
        </w:tc>
      </w:tr>
      <w:tr w:rsidR="004223A8" w:rsidRPr="004223A8" w14:paraId="19110972" w14:textId="77777777" w:rsidTr="005F7602">
        <w:trPr>
          <w:trHeight w:val="291"/>
        </w:trPr>
        <w:tc>
          <w:tcPr>
            <w:tcW w:w="3760" w:type="dxa"/>
            <w:tcBorders>
              <w:top w:val="nil"/>
              <w:left w:val="single" w:sz="4" w:space="0" w:color="auto"/>
              <w:bottom w:val="single" w:sz="4" w:space="0" w:color="auto"/>
              <w:right w:val="single" w:sz="4" w:space="0" w:color="auto"/>
            </w:tcBorders>
            <w:shd w:val="clear" w:color="auto" w:fill="0070C0"/>
            <w:noWrap/>
            <w:vAlign w:val="center"/>
            <w:hideMark/>
          </w:tcPr>
          <w:p w14:paraId="0D9B18B1" w14:textId="77777777" w:rsidR="004223A8" w:rsidRPr="004223A8" w:rsidRDefault="004223A8" w:rsidP="005F7602">
            <w:pPr>
              <w:spacing w:after="0" w:line="240" w:lineRule="auto"/>
              <w:rPr>
                <w:rFonts w:ascii="Arial" w:eastAsia="Times New Roman" w:hAnsi="Arial" w:cs="Arial"/>
                <w:b/>
                <w:bCs/>
                <w:color w:val="FFFFFF" w:themeColor="background1"/>
                <w:sz w:val="24"/>
                <w:szCs w:val="24"/>
                <w:lang w:eastAsia="en-IN"/>
              </w:rPr>
            </w:pPr>
            <w:r w:rsidRPr="004223A8">
              <w:rPr>
                <w:rFonts w:ascii="Arial" w:eastAsia="Times New Roman" w:hAnsi="Arial" w:cs="Arial"/>
                <w:b/>
                <w:bCs/>
                <w:color w:val="FFFFFF" w:themeColor="background1"/>
                <w:sz w:val="24"/>
                <w:szCs w:val="24"/>
                <w:lang w:eastAsia="en-IN"/>
              </w:rPr>
              <w:t>Ratios</w:t>
            </w:r>
          </w:p>
        </w:tc>
        <w:tc>
          <w:tcPr>
            <w:tcW w:w="1517" w:type="dxa"/>
            <w:tcBorders>
              <w:top w:val="nil"/>
              <w:left w:val="nil"/>
              <w:bottom w:val="single" w:sz="4" w:space="0" w:color="auto"/>
              <w:right w:val="single" w:sz="4" w:space="0" w:color="auto"/>
            </w:tcBorders>
            <w:shd w:val="clear" w:color="auto" w:fill="0070C0"/>
            <w:noWrap/>
            <w:vAlign w:val="center"/>
            <w:hideMark/>
          </w:tcPr>
          <w:p w14:paraId="120F08C8" w14:textId="77777777" w:rsidR="004223A8" w:rsidRPr="004223A8" w:rsidRDefault="004223A8" w:rsidP="005F7602">
            <w:pPr>
              <w:spacing w:after="0" w:line="240" w:lineRule="auto"/>
              <w:jc w:val="right"/>
              <w:rPr>
                <w:rFonts w:ascii="Arial" w:eastAsia="Times New Roman" w:hAnsi="Arial" w:cs="Arial"/>
                <w:b/>
                <w:bCs/>
                <w:color w:val="FFFFFF" w:themeColor="background1"/>
                <w:sz w:val="24"/>
                <w:szCs w:val="24"/>
                <w:lang w:eastAsia="en-IN"/>
              </w:rPr>
            </w:pPr>
            <w:r w:rsidRPr="004223A8">
              <w:rPr>
                <w:rFonts w:ascii="Arial" w:eastAsia="Times New Roman" w:hAnsi="Arial" w:cs="Arial"/>
                <w:b/>
                <w:bCs/>
                <w:color w:val="FFFFFF" w:themeColor="background1"/>
                <w:sz w:val="24"/>
                <w:szCs w:val="24"/>
                <w:lang w:eastAsia="en-IN"/>
              </w:rPr>
              <w:t>2020</w:t>
            </w:r>
          </w:p>
        </w:tc>
        <w:tc>
          <w:tcPr>
            <w:tcW w:w="1516" w:type="dxa"/>
            <w:tcBorders>
              <w:top w:val="nil"/>
              <w:left w:val="nil"/>
              <w:bottom w:val="single" w:sz="4" w:space="0" w:color="auto"/>
              <w:right w:val="single" w:sz="4" w:space="0" w:color="auto"/>
            </w:tcBorders>
            <w:shd w:val="clear" w:color="auto" w:fill="0070C0"/>
            <w:noWrap/>
            <w:vAlign w:val="center"/>
            <w:hideMark/>
          </w:tcPr>
          <w:p w14:paraId="65D0A943" w14:textId="77777777" w:rsidR="004223A8" w:rsidRPr="004223A8" w:rsidRDefault="004223A8" w:rsidP="005F7602">
            <w:pPr>
              <w:spacing w:after="0" w:line="240" w:lineRule="auto"/>
              <w:jc w:val="right"/>
              <w:rPr>
                <w:rFonts w:ascii="Arial" w:eastAsia="Times New Roman" w:hAnsi="Arial" w:cs="Arial"/>
                <w:b/>
                <w:bCs/>
                <w:color w:val="FFFFFF" w:themeColor="background1"/>
                <w:sz w:val="24"/>
                <w:szCs w:val="24"/>
                <w:lang w:eastAsia="en-IN"/>
              </w:rPr>
            </w:pPr>
            <w:r w:rsidRPr="004223A8">
              <w:rPr>
                <w:rFonts w:ascii="Arial" w:eastAsia="Times New Roman" w:hAnsi="Arial" w:cs="Arial"/>
                <w:b/>
                <w:bCs/>
                <w:color w:val="FFFFFF" w:themeColor="background1"/>
                <w:sz w:val="24"/>
                <w:szCs w:val="24"/>
                <w:lang w:eastAsia="en-IN"/>
              </w:rPr>
              <w:t>2019</w:t>
            </w:r>
          </w:p>
        </w:tc>
        <w:tc>
          <w:tcPr>
            <w:tcW w:w="1221" w:type="dxa"/>
            <w:tcBorders>
              <w:top w:val="nil"/>
              <w:left w:val="nil"/>
              <w:bottom w:val="single" w:sz="4" w:space="0" w:color="auto"/>
              <w:right w:val="single" w:sz="4" w:space="0" w:color="auto"/>
            </w:tcBorders>
            <w:shd w:val="clear" w:color="auto" w:fill="0070C0"/>
            <w:noWrap/>
            <w:vAlign w:val="bottom"/>
            <w:hideMark/>
          </w:tcPr>
          <w:p w14:paraId="10FA498F" w14:textId="77777777" w:rsidR="004223A8" w:rsidRPr="004223A8" w:rsidRDefault="004223A8" w:rsidP="005F7602">
            <w:pPr>
              <w:spacing w:after="0" w:line="240" w:lineRule="auto"/>
              <w:jc w:val="right"/>
              <w:rPr>
                <w:rFonts w:ascii="Arial" w:eastAsia="Times New Roman" w:hAnsi="Arial" w:cs="Arial"/>
                <w:b/>
                <w:bCs/>
                <w:color w:val="FFFFFF" w:themeColor="background1"/>
                <w:sz w:val="24"/>
                <w:szCs w:val="24"/>
                <w:lang w:eastAsia="en-IN"/>
              </w:rPr>
            </w:pPr>
            <w:r w:rsidRPr="004223A8">
              <w:rPr>
                <w:rFonts w:ascii="Arial" w:eastAsia="Times New Roman" w:hAnsi="Arial" w:cs="Arial"/>
                <w:b/>
                <w:bCs/>
                <w:color w:val="FFFFFF" w:themeColor="background1"/>
                <w:sz w:val="24"/>
                <w:szCs w:val="24"/>
                <w:lang w:eastAsia="en-IN"/>
              </w:rPr>
              <w:t xml:space="preserve">Change </w:t>
            </w:r>
          </w:p>
        </w:tc>
        <w:tc>
          <w:tcPr>
            <w:tcW w:w="1434" w:type="dxa"/>
            <w:tcBorders>
              <w:top w:val="nil"/>
              <w:left w:val="nil"/>
              <w:bottom w:val="single" w:sz="4" w:space="0" w:color="auto"/>
              <w:right w:val="single" w:sz="4" w:space="0" w:color="auto"/>
            </w:tcBorders>
            <w:shd w:val="clear" w:color="auto" w:fill="0070C0"/>
            <w:noWrap/>
            <w:vAlign w:val="bottom"/>
            <w:hideMark/>
          </w:tcPr>
          <w:p w14:paraId="6CE49ABC" w14:textId="77777777" w:rsidR="004223A8" w:rsidRPr="004223A8" w:rsidRDefault="004223A8" w:rsidP="005F7602">
            <w:pPr>
              <w:spacing w:after="0" w:line="240" w:lineRule="auto"/>
              <w:jc w:val="right"/>
              <w:rPr>
                <w:rFonts w:ascii="Arial" w:eastAsia="Times New Roman" w:hAnsi="Arial" w:cs="Arial"/>
                <w:b/>
                <w:bCs/>
                <w:color w:val="FFFFFF" w:themeColor="background1"/>
                <w:sz w:val="24"/>
                <w:szCs w:val="24"/>
                <w:lang w:eastAsia="en-IN"/>
              </w:rPr>
            </w:pPr>
            <w:r w:rsidRPr="004223A8">
              <w:rPr>
                <w:rFonts w:ascii="Arial" w:eastAsia="Times New Roman" w:hAnsi="Arial" w:cs="Arial"/>
                <w:b/>
                <w:bCs/>
                <w:color w:val="FFFFFF" w:themeColor="background1"/>
                <w:sz w:val="24"/>
                <w:szCs w:val="24"/>
                <w:lang w:eastAsia="en-IN"/>
              </w:rPr>
              <w:t xml:space="preserve">% Change </w:t>
            </w:r>
          </w:p>
        </w:tc>
      </w:tr>
      <w:tr w:rsidR="004223A8" w:rsidRPr="004223A8" w14:paraId="56CC9D28" w14:textId="77777777" w:rsidTr="005F7602">
        <w:trPr>
          <w:trHeight w:val="291"/>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14:paraId="3DA42AAA"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Current Ratio</w:t>
            </w:r>
          </w:p>
        </w:tc>
        <w:tc>
          <w:tcPr>
            <w:tcW w:w="1517" w:type="dxa"/>
            <w:tcBorders>
              <w:top w:val="nil"/>
              <w:left w:val="nil"/>
              <w:bottom w:val="single" w:sz="4" w:space="0" w:color="auto"/>
              <w:right w:val="single" w:sz="4" w:space="0" w:color="auto"/>
            </w:tcBorders>
            <w:shd w:val="clear" w:color="auto" w:fill="auto"/>
            <w:noWrap/>
            <w:vAlign w:val="center"/>
            <w:hideMark/>
          </w:tcPr>
          <w:p w14:paraId="5E0583D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1.73</w:t>
            </w:r>
          </w:p>
        </w:tc>
        <w:tc>
          <w:tcPr>
            <w:tcW w:w="1516" w:type="dxa"/>
            <w:tcBorders>
              <w:top w:val="nil"/>
              <w:left w:val="nil"/>
              <w:bottom w:val="single" w:sz="4" w:space="0" w:color="auto"/>
              <w:right w:val="single" w:sz="4" w:space="0" w:color="auto"/>
            </w:tcBorders>
            <w:shd w:val="clear" w:color="auto" w:fill="auto"/>
            <w:noWrap/>
            <w:vAlign w:val="center"/>
            <w:hideMark/>
          </w:tcPr>
          <w:p w14:paraId="149F9EE8"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0.73</w:t>
            </w:r>
          </w:p>
        </w:tc>
        <w:tc>
          <w:tcPr>
            <w:tcW w:w="1221" w:type="dxa"/>
            <w:tcBorders>
              <w:top w:val="nil"/>
              <w:left w:val="nil"/>
              <w:bottom w:val="single" w:sz="4" w:space="0" w:color="auto"/>
              <w:right w:val="single" w:sz="4" w:space="0" w:color="auto"/>
            </w:tcBorders>
            <w:shd w:val="clear" w:color="auto" w:fill="auto"/>
            <w:noWrap/>
            <w:vAlign w:val="bottom"/>
            <w:hideMark/>
          </w:tcPr>
          <w:p w14:paraId="4A9FEEEA"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1.00</w:t>
            </w:r>
          </w:p>
        </w:tc>
        <w:tc>
          <w:tcPr>
            <w:tcW w:w="1434" w:type="dxa"/>
            <w:tcBorders>
              <w:top w:val="nil"/>
              <w:left w:val="nil"/>
              <w:bottom w:val="single" w:sz="4" w:space="0" w:color="auto"/>
              <w:right w:val="single" w:sz="4" w:space="0" w:color="auto"/>
            </w:tcBorders>
            <w:shd w:val="clear" w:color="auto" w:fill="auto"/>
            <w:noWrap/>
            <w:vAlign w:val="bottom"/>
            <w:hideMark/>
          </w:tcPr>
          <w:p w14:paraId="749D6F88"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137%</w:t>
            </w:r>
          </w:p>
        </w:tc>
      </w:tr>
      <w:tr w:rsidR="004223A8" w:rsidRPr="004223A8" w14:paraId="707CDD40" w14:textId="77777777" w:rsidTr="005F7602">
        <w:trPr>
          <w:trHeight w:val="291"/>
        </w:trPr>
        <w:tc>
          <w:tcPr>
            <w:tcW w:w="3760" w:type="dxa"/>
            <w:tcBorders>
              <w:top w:val="nil"/>
              <w:left w:val="single" w:sz="4" w:space="0" w:color="auto"/>
              <w:bottom w:val="single" w:sz="4" w:space="0" w:color="auto"/>
              <w:right w:val="single" w:sz="4" w:space="0" w:color="auto"/>
            </w:tcBorders>
            <w:shd w:val="clear" w:color="auto" w:fill="auto"/>
            <w:noWrap/>
            <w:vAlign w:val="center"/>
            <w:hideMark/>
          </w:tcPr>
          <w:p w14:paraId="02B5DEFA" w14:textId="77777777" w:rsidR="004223A8" w:rsidRPr="004223A8" w:rsidRDefault="004223A8" w:rsidP="005F7602">
            <w:pPr>
              <w:spacing w:after="0" w:line="240" w:lineRule="auto"/>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Debt To Assets Ratio</w:t>
            </w:r>
          </w:p>
        </w:tc>
        <w:tc>
          <w:tcPr>
            <w:tcW w:w="1517" w:type="dxa"/>
            <w:tcBorders>
              <w:top w:val="nil"/>
              <w:left w:val="nil"/>
              <w:bottom w:val="single" w:sz="4" w:space="0" w:color="auto"/>
              <w:right w:val="single" w:sz="4" w:space="0" w:color="auto"/>
            </w:tcBorders>
            <w:shd w:val="clear" w:color="auto" w:fill="auto"/>
            <w:noWrap/>
            <w:vAlign w:val="center"/>
            <w:hideMark/>
          </w:tcPr>
          <w:p w14:paraId="1637CF53"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1.09</w:t>
            </w:r>
          </w:p>
        </w:tc>
        <w:tc>
          <w:tcPr>
            <w:tcW w:w="1516" w:type="dxa"/>
            <w:tcBorders>
              <w:top w:val="nil"/>
              <w:left w:val="nil"/>
              <w:bottom w:val="single" w:sz="4" w:space="0" w:color="auto"/>
              <w:right w:val="single" w:sz="4" w:space="0" w:color="auto"/>
            </w:tcBorders>
            <w:shd w:val="clear" w:color="auto" w:fill="auto"/>
            <w:noWrap/>
            <w:vAlign w:val="center"/>
            <w:hideMark/>
          </w:tcPr>
          <w:p w14:paraId="761966F6"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1.03</w:t>
            </w:r>
          </w:p>
        </w:tc>
        <w:tc>
          <w:tcPr>
            <w:tcW w:w="1221" w:type="dxa"/>
            <w:tcBorders>
              <w:top w:val="nil"/>
              <w:left w:val="nil"/>
              <w:bottom w:val="single" w:sz="4" w:space="0" w:color="auto"/>
              <w:right w:val="single" w:sz="4" w:space="0" w:color="auto"/>
            </w:tcBorders>
            <w:shd w:val="clear" w:color="auto" w:fill="auto"/>
            <w:noWrap/>
            <w:vAlign w:val="bottom"/>
            <w:hideMark/>
          </w:tcPr>
          <w:p w14:paraId="478FEAF8"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0.06</w:t>
            </w:r>
          </w:p>
        </w:tc>
        <w:tc>
          <w:tcPr>
            <w:tcW w:w="1434" w:type="dxa"/>
            <w:tcBorders>
              <w:top w:val="nil"/>
              <w:left w:val="nil"/>
              <w:bottom w:val="single" w:sz="4" w:space="0" w:color="auto"/>
              <w:right w:val="single" w:sz="4" w:space="0" w:color="auto"/>
            </w:tcBorders>
            <w:shd w:val="clear" w:color="auto" w:fill="auto"/>
            <w:noWrap/>
            <w:vAlign w:val="bottom"/>
            <w:hideMark/>
          </w:tcPr>
          <w:p w14:paraId="773612D1" w14:textId="77777777" w:rsidR="004223A8" w:rsidRPr="004223A8" w:rsidRDefault="004223A8" w:rsidP="005F7602">
            <w:pPr>
              <w:spacing w:after="0" w:line="240" w:lineRule="auto"/>
              <w:jc w:val="right"/>
              <w:rPr>
                <w:rFonts w:ascii="Arial" w:eastAsia="Times New Roman" w:hAnsi="Arial" w:cs="Arial"/>
                <w:color w:val="000000"/>
                <w:sz w:val="24"/>
                <w:szCs w:val="24"/>
                <w:lang w:eastAsia="en-IN"/>
              </w:rPr>
            </w:pPr>
            <w:r w:rsidRPr="004223A8">
              <w:rPr>
                <w:rFonts w:ascii="Arial" w:eastAsia="Times New Roman" w:hAnsi="Arial" w:cs="Arial"/>
                <w:color w:val="000000"/>
                <w:sz w:val="24"/>
                <w:szCs w:val="24"/>
                <w:lang w:eastAsia="en-IN"/>
              </w:rPr>
              <w:t>6%</w:t>
            </w:r>
          </w:p>
        </w:tc>
      </w:tr>
    </w:tbl>
    <w:p w14:paraId="0140CDE0" w14:textId="77777777" w:rsidR="004223A8" w:rsidRPr="004223A8" w:rsidRDefault="004223A8" w:rsidP="004223A8">
      <w:pPr>
        <w:jc w:val="right"/>
        <w:rPr>
          <w:rFonts w:ascii="Arial" w:hAnsi="Arial" w:cs="Arial"/>
          <w:b/>
          <w:bCs/>
          <w:sz w:val="24"/>
          <w:szCs w:val="24"/>
        </w:rPr>
      </w:pPr>
      <w:r w:rsidRPr="004223A8">
        <w:rPr>
          <w:rFonts w:ascii="Arial" w:hAnsi="Arial" w:cs="Arial"/>
          <w:sz w:val="24"/>
          <w:szCs w:val="24"/>
        </w:rPr>
        <w:t>(Source: Yahoo Finance, 2022)</w:t>
      </w:r>
    </w:p>
    <w:p w14:paraId="2E26B3F6" w14:textId="77777777" w:rsidR="004223A8" w:rsidRPr="004223A8" w:rsidRDefault="004223A8" w:rsidP="004223A8">
      <w:pPr>
        <w:spacing w:line="360" w:lineRule="auto"/>
        <w:rPr>
          <w:rFonts w:ascii="Arial" w:hAnsi="Arial" w:cs="Arial"/>
          <w:b/>
          <w:bCs/>
          <w:sz w:val="24"/>
          <w:szCs w:val="24"/>
        </w:rPr>
      </w:pPr>
      <w:r w:rsidRPr="004223A8">
        <w:rPr>
          <w:rFonts w:ascii="Arial" w:hAnsi="Arial" w:cs="Arial"/>
          <w:b/>
          <w:bCs/>
          <w:sz w:val="24"/>
          <w:szCs w:val="24"/>
        </w:rPr>
        <w:t>Ratio of Income-Statement Analysis of Hilton Worldwide Holdings Inc.</w:t>
      </w:r>
    </w:p>
    <w:p w14:paraId="1DD2B6F1" w14:textId="64077A99" w:rsidR="004223A8" w:rsidRPr="004223A8" w:rsidRDefault="004223A8" w:rsidP="004223A8">
      <w:pPr>
        <w:spacing w:line="360" w:lineRule="auto"/>
        <w:rPr>
          <w:rFonts w:ascii="Arial" w:hAnsi="Arial" w:cs="Arial"/>
          <w:sz w:val="24"/>
          <w:szCs w:val="24"/>
        </w:rPr>
      </w:pPr>
      <w:r w:rsidRPr="004223A8">
        <w:rPr>
          <w:rFonts w:ascii="Arial" w:hAnsi="Arial" w:cs="Arial"/>
          <w:b/>
          <w:bCs/>
          <w:sz w:val="24"/>
          <w:szCs w:val="24"/>
        </w:rPr>
        <w:t xml:space="preserve">Analysis of Patterns: </w:t>
      </w:r>
      <w:r w:rsidRPr="004223A8">
        <w:rPr>
          <w:rFonts w:ascii="Arial" w:hAnsi="Arial" w:cs="Arial"/>
          <w:sz w:val="24"/>
          <w:szCs w:val="24"/>
        </w:rPr>
        <w:t>A metric of Hilton Worldwide Holdings Inc’s revenue is exhibiting adverse trends now. It tends to have lower values in all indicators that indicate revenue compared to that of the previous quarter. The entire profit margin for 2019 was 26%, but it is only expected to be 14% in 2020. In 2019, the overall net profit was 9 percent, but in 2020, it has dropped to a negative value of -17 percent (Yahoo Finance, 2022). Apart from this the Operating profit ratio of the company was around 17% in 2019 while it downgraded to -3% in 2020 seeing a change about -117%. Lastly, the interest coverage ratio was around 381% in 2019 which fall significantly into -28% seeing a change about -107%.</w:t>
      </w:r>
    </w:p>
    <w:p w14:paraId="37C100F9" w14:textId="77777777" w:rsidR="004223A8" w:rsidRPr="004223A8" w:rsidRDefault="004223A8" w:rsidP="004223A8">
      <w:pPr>
        <w:spacing w:line="360" w:lineRule="auto"/>
        <w:rPr>
          <w:rFonts w:ascii="Arial" w:hAnsi="Arial" w:cs="Arial"/>
          <w:sz w:val="24"/>
          <w:szCs w:val="24"/>
        </w:rPr>
      </w:pPr>
      <w:r w:rsidRPr="004223A8">
        <w:rPr>
          <w:rFonts w:ascii="Arial" w:hAnsi="Arial" w:cs="Arial"/>
          <w:b/>
          <w:bCs/>
          <w:sz w:val="24"/>
          <w:szCs w:val="24"/>
        </w:rPr>
        <w:t xml:space="preserve">Outcome: </w:t>
      </w:r>
      <w:r w:rsidRPr="004223A8">
        <w:rPr>
          <w:rFonts w:ascii="Arial" w:hAnsi="Arial" w:cs="Arial"/>
          <w:sz w:val="24"/>
          <w:szCs w:val="24"/>
        </w:rPr>
        <w:t xml:space="preserve">Thus, it can be implied that perhaps the firm’s overall income margins revenue was insufficient in comparison to the revenue created, as well as a low return on original investment. In 2020, Hilton Worldwide Holdings Inc’s operational </w:t>
      </w:r>
      <w:r w:rsidRPr="004223A8">
        <w:rPr>
          <w:rFonts w:ascii="Arial" w:hAnsi="Arial" w:cs="Arial"/>
          <w:sz w:val="24"/>
          <w:szCs w:val="24"/>
        </w:rPr>
        <w:lastRenderedPageBreak/>
        <w:t>and financial expenses are expected to be greater than they were in 2019 (Yahoo Finance, 2022). As a result, there has been an increase in total property turnover and a decrease in cash flow volatility. Due to this, income typically improves, although not much. Yet, due to a decrease in operating income, the total income has decreased as well.</w:t>
      </w:r>
    </w:p>
    <w:p w14:paraId="024F223F" w14:textId="77777777" w:rsidR="004223A8" w:rsidRPr="004223A8" w:rsidRDefault="004223A8" w:rsidP="004223A8">
      <w:pPr>
        <w:spacing w:line="360" w:lineRule="auto"/>
        <w:rPr>
          <w:rFonts w:ascii="Arial" w:hAnsi="Arial" w:cs="Arial"/>
          <w:b/>
          <w:bCs/>
          <w:sz w:val="24"/>
          <w:szCs w:val="24"/>
        </w:rPr>
      </w:pPr>
      <w:r w:rsidRPr="004223A8">
        <w:rPr>
          <w:rFonts w:ascii="Arial" w:hAnsi="Arial" w:cs="Arial"/>
          <w:b/>
          <w:bCs/>
          <w:sz w:val="24"/>
          <w:szCs w:val="24"/>
        </w:rPr>
        <w:t>Ratio Analysis of Balance Sheet of Hilton Worldwide Holdings Inc</w:t>
      </w:r>
    </w:p>
    <w:p w14:paraId="30E17526" w14:textId="021983C3" w:rsidR="004223A8" w:rsidRPr="004223A8" w:rsidRDefault="004223A8" w:rsidP="004223A8">
      <w:pPr>
        <w:spacing w:line="360" w:lineRule="auto"/>
        <w:rPr>
          <w:rFonts w:ascii="Arial" w:hAnsi="Arial" w:cs="Arial"/>
          <w:sz w:val="24"/>
          <w:szCs w:val="24"/>
        </w:rPr>
      </w:pPr>
      <w:r w:rsidRPr="004223A8">
        <w:rPr>
          <w:rFonts w:ascii="Arial" w:hAnsi="Arial" w:cs="Arial"/>
          <w:b/>
          <w:bCs/>
          <w:sz w:val="24"/>
          <w:szCs w:val="24"/>
        </w:rPr>
        <w:t xml:space="preserve">Analysis of Pattern: </w:t>
      </w:r>
      <w:r w:rsidRPr="004223A8">
        <w:rPr>
          <w:rFonts w:ascii="Arial" w:hAnsi="Arial" w:cs="Arial"/>
          <w:sz w:val="24"/>
          <w:szCs w:val="24"/>
        </w:rPr>
        <w:t>As per the data analytics the current assets and non-current assets of the company has seen an upward increase by 101% of change in current asset and 26% change in non-current asset giving total asset of 1,67,55,000 in 2020 which was around 1,49,57,000 in 2019 showcasing a total 12% upward change with added value of 17,98,000. Nevertheless, considering decrease in revenue the company has seen decrease in its current liabilities by -15% yet non-current liabilities remain the same (Yahoo Finance, 2022). This constitutes a total 18% change in total assets which has gone upwards. Apart from these the retained earnings of the company due to decrease in its net income has gone below by -67,32,000 in 2020 which was around -59,65,000 in 2019 indicating a change about 13%. This makes effect on Total shareholder equity which also declined by -14,90,000 which was around -4,82,000 having a significant change about 209%. Therefore, in calculation of these values the current ration stands at 173% in 2020 compared to 73% of 2019 and the debt to asset ratio stands at 109% in 2020 which was around 103% in 2019 indicating a 6% change.</w:t>
      </w:r>
    </w:p>
    <w:p w14:paraId="5457F75E" w14:textId="77777777" w:rsidR="004223A8" w:rsidRPr="004223A8" w:rsidRDefault="004223A8" w:rsidP="004223A8">
      <w:pPr>
        <w:spacing w:line="360" w:lineRule="auto"/>
        <w:rPr>
          <w:rFonts w:ascii="Arial" w:hAnsi="Arial" w:cs="Arial"/>
          <w:sz w:val="24"/>
          <w:szCs w:val="24"/>
        </w:rPr>
      </w:pPr>
      <w:r w:rsidRPr="004223A8">
        <w:rPr>
          <w:rFonts w:ascii="Arial" w:hAnsi="Arial" w:cs="Arial"/>
          <w:b/>
          <w:bCs/>
          <w:sz w:val="24"/>
          <w:szCs w:val="24"/>
        </w:rPr>
        <w:t xml:space="preserve">Outcome: </w:t>
      </w:r>
      <w:r w:rsidRPr="004223A8">
        <w:rPr>
          <w:rFonts w:ascii="Arial" w:hAnsi="Arial" w:cs="Arial"/>
          <w:sz w:val="24"/>
          <w:szCs w:val="24"/>
        </w:rPr>
        <w:t>The financial performance of Hilton Worldwide Holdings Inc’s financial management department has become more heavily indebted as a result of this approach. It might be an indication that the company’s assets are being funded with an increase in 2020 rather than the condition in 2019.</w:t>
      </w:r>
    </w:p>
    <w:p w14:paraId="4DB9A358" w14:textId="77777777" w:rsidR="004223A8" w:rsidRPr="004223A8" w:rsidRDefault="004223A8" w:rsidP="004223A8">
      <w:pPr>
        <w:pStyle w:val="Heading1"/>
        <w:rPr>
          <w:rFonts w:ascii="Arial" w:hAnsi="Arial" w:cs="Arial"/>
          <w:sz w:val="24"/>
          <w:szCs w:val="24"/>
        </w:rPr>
      </w:pPr>
      <w:bookmarkStart w:id="2" w:name="_Toc104244057"/>
      <w:r w:rsidRPr="004223A8">
        <w:rPr>
          <w:rFonts w:ascii="Arial" w:hAnsi="Arial" w:cs="Arial"/>
          <w:sz w:val="24"/>
          <w:szCs w:val="24"/>
        </w:rPr>
        <w:t>Importance of Using Ratio Analysis for Decision Making</w:t>
      </w:r>
      <w:bookmarkEnd w:id="2"/>
    </w:p>
    <w:p w14:paraId="65BC4AC5" w14:textId="77777777" w:rsidR="004223A8" w:rsidRPr="004223A8" w:rsidRDefault="004223A8" w:rsidP="004223A8">
      <w:pPr>
        <w:spacing w:line="360" w:lineRule="auto"/>
        <w:rPr>
          <w:rFonts w:ascii="Arial" w:hAnsi="Arial" w:cs="Arial"/>
          <w:sz w:val="24"/>
          <w:szCs w:val="24"/>
        </w:rPr>
      </w:pPr>
      <w:r w:rsidRPr="004223A8">
        <w:rPr>
          <w:rFonts w:ascii="Arial" w:hAnsi="Arial" w:cs="Arial"/>
          <w:sz w:val="24"/>
          <w:szCs w:val="24"/>
        </w:rPr>
        <w:t>Analysis of the fiscal accounts of hospitality companies requires an understanding of profitability statements and their variance. It is possible to learn more about these kinds of financial data and the importance of profitability can be measured here:</w:t>
      </w:r>
    </w:p>
    <w:p w14:paraId="038D65AD" w14:textId="77777777" w:rsidR="004223A8" w:rsidRPr="004223A8" w:rsidRDefault="004223A8" w:rsidP="004223A8">
      <w:pPr>
        <w:spacing w:line="360" w:lineRule="auto"/>
        <w:rPr>
          <w:rFonts w:ascii="Arial" w:hAnsi="Arial" w:cs="Arial"/>
          <w:sz w:val="24"/>
          <w:szCs w:val="24"/>
        </w:rPr>
      </w:pPr>
      <w:r w:rsidRPr="004223A8">
        <w:rPr>
          <w:rFonts w:ascii="Arial" w:hAnsi="Arial" w:cs="Arial"/>
          <w:b/>
          <w:bCs/>
          <w:sz w:val="24"/>
          <w:szCs w:val="24"/>
        </w:rPr>
        <w:t>Planning and arranging for the future:</w:t>
      </w:r>
      <w:r w:rsidRPr="004223A8">
        <w:rPr>
          <w:rFonts w:ascii="Arial" w:hAnsi="Arial" w:cs="Arial"/>
          <w:sz w:val="24"/>
          <w:szCs w:val="24"/>
        </w:rPr>
        <w:t xml:space="preserve"> Hospitality administration’s budgetary consequences are on the rise. If the one is looking for help building an operational </w:t>
      </w:r>
      <w:r w:rsidRPr="004223A8">
        <w:rPr>
          <w:rFonts w:ascii="Arial" w:hAnsi="Arial" w:cs="Arial"/>
          <w:sz w:val="24"/>
          <w:szCs w:val="24"/>
        </w:rPr>
        <w:lastRenderedPageBreak/>
        <w:t>and financial strategy for the company, Hilton Worldwide Holdings Inc can help. Statistics may be used to anticipate future price accounting trends, cash flow needs, and bankruptcies using the present fiscal results attitude (</w:t>
      </w:r>
      <w:proofErr w:type="spellStart"/>
      <w:r w:rsidRPr="004223A8">
        <w:rPr>
          <w:rFonts w:ascii="Arial" w:hAnsi="Arial" w:cs="Arial"/>
          <w:sz w:val="24"/>
          <w:szCs w:val="24"/>
        </w:rPr>
        <w:t>Otekunrin</w:t>
      </w:r>
      <w:proofErr w:type="spellEnd"/>
      <w:r w:rsidRPr="004223A8">
        <w:rPr>
          <w:rFonts w:ascii="Arial" w:hAnsi="Arial" w:cs="Arial"/>
          <w:sz w:val="24"/>
          <w:szCs w:val="24"/>
        </w:rPr>
        <w:t xml:space="preserve"> et al., 2018). Liquidity ratios are crucial for a company like Hilton Worldwide Holdings Inc because of all the financial information they provide.</w:t>
      </w:r>
    </w:p>
    <w:p w14:paraId="628245DC" w14:textId="3F4FE6C6" w:rsidR="004223A8" w:rsidRPr="004223A8" w:rsidRDefault="004223A8" w:rsidP="004223A8">
      <w:pPr>
        <w:spacing w:line="360" w:lineRule="auto"/>
        <w:rPr>
          <w:rFonts w:ascii="Arial" w:hAnsi="Arial" w:cs="Arial"/>
          <w:sz w:val="24"/>
          <w:szCs w:val="24"/>
        </w:rPr>
      </w:pPr>
      <w:r w:rsidRPr="004223A8">
        <w:rPr>
          <w:rFonts w:ascii="Arial" w:hAnsi="Arial" w:cs="Arial"/>
          <w:b/>
          <w:bCs/>
          <w:sz w:val="24"/>
          <w:szCs w:val="24"/>
        </w:rPr>
        <w:t>Deciding:</w:t>
      </w:r>
      <w:r w:rsidRPr="004223A8">
        <w:rPr>
          <w:rFonts w:ascii="Arial" w:hAnsi="Arial" w:cs="Arial"/>
          <w:sz w:val="24"/>
          <w:szCs w:val="24"/>
        </w:rPr>
        <w:t xml:space="preserve"> Cross-functional and cross-industry peers would make it straightforward to make judgments on borrowing, capital markets, and other management decisions provided the quantitative statements behind such decisions are examined (Elly, 2018). Proportion assessment is beneficial in this case.</w:t>
      </w:r>
    </w:p>
    <w:p w14:paraId="3ABEE29D" w14:textId="77777777" w:rsidR="004223A8" w:rsidRPr="004223A8" w:rsidRDefault="004223A8" w:rsidP="004223A8">
      <w:pPr>
        <w:spacing w:line="360" w:lineRule="auto"/>
        <w:rPr>
          <w:rFonts w:ascii="Arial" w:hAnsi="Arial" w:cs="Arial"/>
          <w:sz w:val="24"/>
          <w:szCs w:val="24"/>
        </w:rPr>
      </w:pPr>
      <w:r w:rsidRPr="004223A8">
        <w:rPr>
          <w:rFonts w:ascii="Arial" w:hAnsi="Arial" w:cs="Arial"/>
          <w:b/>
          <w:bCs/>
          <w:sz w:val="24"/>
          <w:szCs w:val="24"/>
        </w:rPr>
        <w:t>Long term solvency:</w:t>
      </w:r>
      <w:r w:rsidRPr="004223A8">
        <w:rPr>
          <w:rFonts w:ascii="Arial" w:hAnsi="Arial" w:cs="Arial"/>
          <w:sz w:val="24"/>
          <w:szCs w:val="24"/>
        </w:rPr>
        <w:t xml:space="preserve"> An income report that enhances the understanding of long-term solvency is one of the best ways to gauge a company’s long-term financial health. If the hotel administration business, such as Hilton Worldwide Holdings Inc, pays its long-term commitments on schedule, the firm’s lending capabilities and solvency position will be seen favourably (Easton et al., 2018). The ratios and quantitative statements may be used by the accountants and shareholders to analyse the long-term sustainability of the hospitality organisation.</w:t>
      </w:r>
    </w:p>
    <w:p w14:paraId="480864C5" w14:textId="77777777" w:rsidR="004223A8" w:rsidRPr="004223A8" w:rsidRDefault="004223A8" w:rsidP="004223A8">
      <w:pPr>
        <w:spacing w:line="360" w:lineRule="auto"/>
        <w:rPr>
          <w:rFonts w:ascii="Arial" w:hAnsi="Arial" w:cs="Arial"/>
          <w:sz w:val="24"/>
          <w:szCs w:val="24"/>
        </w:rPr>
      </w:pPr>
      <w:r w:rsidRPr="004223A8">
        <w:rPr>
          <w:rFonts w:ascii="Arial" w:hAnsi="Arial" w:cs="Arial"/>
          <w:b/>
          <w:bCs/>
          <w:sz w:val="24"/>
          <w:szCs w:val="24"/>
        </w:rPr>
        <w:t>Profitability Assessment:</w:t>
      </w:r>
      <w:r w:rsidRPr="004223A8">
        <w:rPr>
          <w:rFonts w:ascii="Arial" w:hAnsi="Arial" w:cs="Arial"/>
          <w:sz w:val="24"/>
          <w:szCs w:val="24"/>
        </w:rPr>
        <w:t xml:space="preserve"> Profitability is assessed in the financial statements of a hotel management company, such as Hilton Worldwide Holdings Inc. Multiple revenue-indicating measures are compared to gauge a company’s ability to create revenue (</w:t>
      </w:r>
      <w:proofErr w:type="spellStart"/>
      <w:r w:rsidRPr="004223A8">
        <w:rPr>
          <w:rFonts w:ascii="Arial" w:hAnsi="Arial" w:cs="Arial"/>
          <w:sz w:val="24"/>
          <w:szCs w:val="24"/>
        </w:rPr>
        <w:t>Hasanaj</w:t>
      </w:r>
      <w:proofErr w:type="spellEnd"/>
      <w:r w:rsidRPr="004223A8">
        <w:rPr>
          <w:rFonts w:ascii="Arial" w:hAnsi="Arial" w:cs="Arial"/>
          <w:sz w:val="24"/>
          <w:szCs w:val="24"/>
        </w:rPr>
        <w:t xml:space="preserve"> and </w:t>
      </w:r>
      <w:proofErr w:type="spellStart"/>
      <w:r w:rsidRPr="004223A8">
        <w:rPr>
          <w:rFonts w:ascii="Arial" w:hAnsi="Arial" w:cs="Arial"/>
          <w:sz w:val="24"/>
          <w:szCs w:val="24"/>
        </w:rPr>
        <w:t>Kuqi</w:t>
      </w:r>
      <w:proofErr w:type="spellEnd"/>
      <w:r w:rsidRPr="004223A8">
        <w:rPr>
          <w:rFonts w:ascii="Arial" w:hAnsi="Arial" w:cs="Arial"/>
          <w:sz w:val="24"/>
          <w:szCs w:val="24"/>
        </w:rPr>
        <w:t>, 2019). The capacity to pay dividends and repay debt may be determined by looking at the company’s profits per share and the debt coverage ratio. To put it another way, the proportion assessment is essential.</w:t>
      </w:r>
    </w:p>
    <w:p w14:paraId="050EBB34" w14:textId="77777777" w:rsidR="004223A8" w:rsidRPr="004223A8" w:rsidRDefault="004223A8" w:rsidP="004223A8">
      <w:pPr>
        <w:spacing w:line="360" w:lineRule="auto"/>
        <w:rPr>
          <w:rFonts w:ascii="Arial" w:hAnsi="Arial" w:cs="Arial"/>
          <w:sz w:val="24"/>
          <w:szCs w:val="24"/>
        </w:rPr>
      </w:pPr>
      <w:r w:rsidRPr="004223A8">
        <w:rPr>
          <w:rFonts w:ascii="Arial" w:hAnsi="Arial" w:cs="Arial"/>
          <w:b/>
          <w:bCs/>
          <w:sz w:val="24"/>
          <w:szCs w:val="24"/>
        </w:rPr>
        <w:t>Operational Efficacy Assessment:</w:t>
      </w:r>
      <w:r w:rsidRPr="004223A8">
        <w:rPr>
          <w:rFonts w:ascii="Arial" w:hAnsi="Arial" w:cs="Arial"/>
          <w:sz w:val="24"/>
          <w:szCs w:val="24"/>
        </w:rPr>
        <w:t xml:space="preserve"> The yearly accounts must be assessed, notably by percentage evaluation, to establish the company’s operational success and the usage of different commodities. There are a variety of operational percentages that reflect different degrees of working capital capacity utilisation (</w:t>
      </w:r>
      <w:proofErr w:type="spellStart"/>
      <w:r w:rsidRPr="004223A8">
        <w:rPr>
          <w:rFonts w:ascii="Arial" w:hAnsi="Arial" w:cs="Arial"/>
          <w:sz w:val="24"/>
          <w:szCs w:val="24"/>
        </w:rPr>
        <w:t>Sutarno</w:t>
      </w:r>
      <w:proofErr w:type="spellEnd"/>
      <w:r w:rsidRPr="004223A8">
        <w:rPr>
          <w:rFonts w:ascii="Arial" w:hAnsi="Arial" w:cs="Arial"/>
          <w:sz w:val="24"/>
          <w:szCs w:val="24"/>
        </w:rPr>
        <w:t xml:space="preserve"> et al., 2019). </w:t>
      </w:r>
      <w:proofErr w:type="gramStart"/>
      <w:r w:rsidRPr="004223A8">
        <w:rPr>
          <w:rFonts w:ascii="Arial" w:hAnsi="Arial" w:cs="Arial"/>
          <w:sz w:val="24"/>
          <w:szCs w:val="24"/>
        </w:rPr>
        <w:t>As a consequence</w:t>
      </w:r>
      <w:proofErr w:type="gramEnd"/>
      <w:r w:rsidRPr="004223A8">
        <w:rPr>
          <w:rFonts w:ascii="Arial" w:hAnsi="Arial" w:cs="Arial"/>
          <w:sz w:val="24"/>
          <w:szCs w:val="24"/>
        </w:rPr>
        <w:t>, a thorough examination of the alternatives is vital.</w:t>
      </w:r>
    </w:p>
    <w:p w14:paraId="21306101" w14:textId="77777777" w:rsidR="004223A8" w:rsidRPr="004223A8" w:rsidRDefault="004223A8" w:rsidP="004223A8">
      <w:pPr>
        <w:spacing w:line="360" w:lineRule="auto"/>
        <w:rPr>
          <w:rFonts w:ascii="Arial" w:hAnsi="Arial" w:cs="Arial"/>
          <w:sz w:val="24"/>
          <w:szCs w:val="24"/>
        </w:rPr>
      </w:pPr>
      <w:r w:rsidRPr="004223A8">
        <w:rPr>
          <w:rFonts w:ascii="Arial" w:hAnsi="Arial" w:cs="Arial"/>
          <w:b/>
          <w:bCs/>
          <w:sz w:val="24"/>
          <w:szCs w:val="24"/>
        </w:rPr>
        <w:t xml:space="preserve">Cost and Expense Assessment: </w:t>
      </w:r>
      <w:r w:rsidRPr="004223A8">
        <w:rPr>
          <w:rFonts w:ascii="Arial" w:hAnsi="Arial" w:cs="Arial"/>
          <w:sz w:val="24"/>
          <w:szCs w:val="24"/>
        </w:rPr>
        <w:t xml:space="preserve">By comparing ratios from different times and firms in the hospitality industry, various pricing structures and expenditure kinds may be better understood. Comparing and proportionate assessment of the financial report is used to determine the hidden arrangement price (Wei, Lu and Song, 2014). Managing identical expenses and expenditures will be straightforward if the </w:t>
      </w:r>
      <w:r w:rsidRPr="004223A8">
        <w:rPr>
          <w:rFonts w:ascii="Arial" w:hAnsi="Arial" w:cs="Arial"/>
          <w:sz w:val="24"/>
          <w:szCs w:val="24"/>
        </w:rPr>
        <w:lastRenderedPageBreak/>
        <w:t>profitability ratios data is taken into consideration throughout the decision-making process.</w:t>
      </w:r>
    </w:p>
    <w:p w14:paraId="58063628" w14:textId="77777777" w:rsidR="004223A8" w:rsidRPr="004223A8" w:rsidRDefault="004223A8" w:rsidP="004223A8">
      <w:pPr>
        <w:spacing w:line="360" w:lineRule="auto"/>
        <w:rPr>
          <w:rFonts w:ascii="Arial" w:hAnsi="Arial" w:cs="Arial"/>
          <w:sz w:val="24"/>
          <w:szCs w:val="24"/>
        </w:rPr>
      </w:pPr>
      <w:r w:rsidRPr="004223A8">
        <w:rPr>
          <w:rFonts w:ascii="Arial" w:hAnsi="Arial" w:cs="Arial"/>
          <w:b/>
          <w:bCs/>
          <w:sz w:val="24"/>
          <w:szCs w:val="24"/>
        </w:rPr>
        <w:t xml:space="preserve">Liquidity Position: </w:t>
      </w:r>
      <w:r w:rsidRPr="004223A8">
        <w:rPr>
          <w:rFonts w:ascii="Arial" w:hAnsi="Arial" w:cs="Arial"/>
          <w:sz w:val="24"/>
          <w:szCs w:val="24"/>
        </w:rPr>
        <w:t>The financial health of a hospitality firm is essential for paying short-term responsibilities. A company’s financial situation is sound if its liquid assets outweigh its accessible liabilities. In addition, relying on a less prevalent source of funding might put the business in a worse position to meet its short-term commitments (Easton et al., 2018). Calculating and evaluating the company’s solvency measures may reveal the size of this interest owned by any hotel management company.</w:t>
      </w:r>
    </w:p>
    <w:p w14:paraId="015891B9" w14:textId="77777777" w:rsidR="004223A8" w:rsidRPr="004223A8" w:rsidRDefault="004223A8" w:rsidP="004223A8">
      <w:pPr>
        <w:spacing w:line="360" w:lineRule="auto"/>
        <w:rPr>
          <w:rFonts w:ascii="Arial" w:hAnsi="Arial" w:cs="Arial"/>
          <w:b/>
          <w:bCs/>
          <w:sz w:val="24"/>
          <w:szCs w:val="24"/>
        </w:rPr>
      </w:pPr>
      <w:r w:rsidRPr="004223A8">
        <w:rPr>
          <w:rFonts w:ascii="Arial" w:hAnsi="Arial" w:cs="Arial"/>
          <w:sz w:val="24"/>
          <w:szCs w:val="24"/>
        </w:rPr>
        <w:t>Analysing the benefits and limitations of accounting ratios as a decision-making tool</w:t>
      </w:r>
      <w:r w:rsidRPr="004223A8">
        <w:rPr>
          <w:rFonts w:ascii="Arial" w:hAnsi="Arial" w:cs="Arial"/>
          <w:sz w:val="24"/>
          <w:szCs w:val="24"/>
        </w:rPr>
        <w:cr/>
      </w:r>
      <w:r w:rsidRPr="004223A8">
        <w:rPr>
          <w:rFonts w:ascii="Arial" w:hAnsi="Arial" w:cs="Arial"/>
          <w:b/>
          <w:bCs/>
          <w:sz w:val="24"/>
          <w:szCs w:val="24"/>
        </w:rPr>
        <w:t>A few of the benefits of using accounting ratios include the following:</w:t>
      </w:r>
    </w:p>
    <w:p w14:paraId="3DDB1CFB" w14:textId="77777777" w:rsidR="004223A8" w:rsidRPr="004223A8" w:rsidRDefault="004223A8" w:rsidP="004223A8">
      <w:pPr>
        <w:pStyle w:val="ListParagraph"/>
        <w:numPr>
          <w:ilvl w:val="0"/>
          <w:numId w:val="1"/>
        </w:numPr>
        <w:rPr>
          <w:rFonts w:ascii="Arial" w:hAnsi="Arial" w:cs="Arial"/>
          <w:szCs w:val="24"/>
        </w:rPr>
      </w:pPr>
      <w:r w:rsidRPr="004223A8">
        <w:rPr>
          <w:rFonts w:ascii="Arial" w:hAnsi="Arial" w:cs="Arial"/>
          <w:szCs w:val="24"/>
        </w:rPr>
        <w:t xml:space="preserve">Productivity assessment and pay system improvement may be achievable if the percentage of monetary data offers a clear picture of fiscal operations. </w:t>
      </w:r>
      <w:r w:rsidRPr="004223A8">
        <w:rPr>
          <w:rFonts w:ascii="Arial" w:hAnsi="Arial" w:cs="Arial"/>
          <w:szCs w:val="24"/>
        </w:rPr>
        <w:t></w:t>
      </w:r>
    </w:p>
    <w:p w14:paraId="19F39A8F" w14:textId="77777777" w:rsidR="004223A8" w:rsidRPr="004223A8" w:rsidRDefault="004223A8" w:rsidP="004223A8">
      <w:pPr>
        <w:pStyle w:val="ListParagraph"/>
        <w:numPr>
          <w:ilvl w:val="0"/>
          <w:numId w:val="1"/>
        </w:numPr>
        <w:rPr>
          <w:rFonts w:ascii="Arial" w:hAnsi="Arial" w:cs="Arial"/>
          <w:szCs w:val="24"/>
        </w:rPr>
      </w:pPr>
      <w:r w:rsidRPr="004223A8">
        <w:rPr>
          <w:rFonts w:ascii="Arial" w:hAnsi="Arial" w:cs="Arial"/>
          <w:szCs w:val="24"/>
        </w:rPr>
        <w:t xml:space="preserve">If the percentage evaluation provided by Hilton Worldwide Holdings Inc. is ready-to-use data for budgeting, several budgets for business operations may be established. </w:t>
      </w:r>
      <w:r w:rsidRPr="004223A8">
        <w:rPr>
          <w:rFonts w:ascii="Arial" w:hAnsi="Arial" w:cs="Arial"/>
          <w:szCs w:val="24"/>
        </w:rPr>
        <w:t></w:t>
      </w:r>
    </w:p>
    <w:p w14:paraId="317D28EE" w14:textId="77777777" w:rsidR="004223A8" w:rsidRPr="004223A8" w:rsidRDefault="004223A8" w:rsidP="004223A8">
      <w:pPr>
        <w:pStyle w:val="ListParagraph"/>
        <w:numPr>
          <w:ilvl w:val="0"/>
          <w:numId w:val="1"/>
        </w:numPr>
        <w:rPr>
          <w:rFonts w:ascii="Arial" w:hAnsi="Arial" w:cs="Arial"/>
          <w:szCs w:val="24"/>
        </w:rPr>
      </w:pPr>
      <w:r w:rsidRPr="004223A8">
        <w:rPr>
          <w:rFonts w:ascii="Arial" w:hAnsi="Arial" w:cs="Arial"/>
          <w:szCs w:val="24"/>
        </w:rPr>
        <w:t>To simplify the total strategic and non-financial statuses and results, a finance proportion evaluation is needed (Easton et al., 2018).</w:t>
      </w:r>
    </w:p>
    <w:p w14:paraId="29980928" w14:textId="77777777" w:rsidR="004223A8" w:rsidRPr="004223A8" w:rsidRDefault="004223A8" w:rsidP="004223A8">
      <w:pPr>
        <w:pStyle w:val="ListParagraph"/>
        <w:numPr>
          <w:ilvl w:val="0"/>
          <w:numId w:val="1"/>
        </w:numPr>
        <w:rPr>
          <w:rFonts w:ascii="Arial" w:hAnsi="Arial" w:cs="Arial"/>
          <w:szCs w:val="24"/>
        </w:rPr>
      </w:pPr>
      <w:r w:rsidRPr="004223A8">
        <w:rPr>
          <w:rFonts w:ascii="Arial" w:hAnsi="Arial" w:cs="Arial"/>
          <w:szCs w:val="24"/>
        </w:rPr>
        <w:t>With the use of diverse proportions, a financial data receiver may simplify the relationship between numerous accounting data and results.</w:t>
      </w:r>
    </w:p>
    <w:p w14:paraId="48A3FD13" w14:textId="77777777" w:rsidR="004223A8" w:rsidRPr="004223A8" w:rsidRDefault="004223A8" w:rsidP="004223A8">
      <w:pPr>
        <w:pStyle w:val="ListParagraph"/>
        <w:numPr>
          <w:ilvl w:val="0"/>
          <w:numId w:val="1"/>
        </w:numPr>
        <w:rPr>
          <w:rFonts w:ascii="Arial" w:hAnsi="Arial" w:cs="Arial"/>
          <w:szCs w:val="24"/>
        </w:rPr>
      </w:pPr>
      <w:r w:rsidRPr="004223A8">
        <w:rPr>
          <w:rFonts w:ascii="Arial" w:hAnsi="Arial" w:cs="Arial"/>
          <w:szCs w:val="24"/>
        </w:rPr>
        <w:t>Hilton Worldwide Holdings Inc’s business leaders may take appropriate action to rectify the company’s unhealthy behaviour if they are familiar with a variety of accounting indicators and fiscal information (</w:t>
      </w:r>
      <w:proofErr w:type="spellStart"/>
      <w:r w:rsidRPr="004223A8">
        <w:rPr>
          <w:rFonts w:ascii="Arial" w:hAnsi="Arial" w:cs="Arial"/>
          <w:szCs w:val="24"/>
        </w:rPr>
        <w:t>Arkan</w:t>
      </w:r>
      <w:proofErr w:type="spellEnd"/>
      <w:r w:rsidRPr="004223A8">
        <w:rPr>
          <w:rFonts w:ascii="Arial" w:hAnsi="Arial" w:cs="Arial"/>
          <w:szCs w:val="24"/>
        </w:rPr>
        <w:t>, 2016).</w:t>
      </w:r>
    </w:p>
    <w:p w14:paraId="5630AEEC" w14:textId="77777777" w:rsidR="004223A8" w:rsidRPr="004223A8" w:rsidRDefault="004223A8" w:rsidP="004223A8">
      <w:pPr>
        <w:spacing w:line="360" w:lineRule="auto"/>
        <w:rPr>
          <w:rFonts w:ascii="Arial" w:hAnsi="Arial" w:cs="Arial"/>
          <w:b/>
          <w:bCs/>
          <w:sz w:val="24"/>
          <w:szCs w:val="24"/>
        </w:rPr>
      </w:pPr>
      <w:r w:rsidRPr="004223A8">
        <w:rPr>
          <w:rFonts w:ascii="Arial" w:hAnsi="Arial" w:cs="Arial"/>
          <w:b/>
          <w:bCs/>
          <w:sz w:val="24"/>
          <w:szCs w:val="24"/>
        </w:rPr>
        <w:t>Limitations of Ratio Analysis</w:t>
      </w:r>
    </w:p>
    <w:p w14:paraId="24B37897" w14:textId="77777777" w:rsidR="004223A8" w:rsidRPr="004223A8" w:rsidRDefault="004223A8" w:rsidP="004223A8">
      <w:pPr>
        <w:pStyle w:val="ListParagraph"/>
        <w:numPr>
          <w:ilvl w:val="0"/>
          <w:numId w:val="2"/>
        </w:numPr>
        <w:rPr>
          <w:rFonts w:ascii="Arial" w:hAnsi="Arial" w:cs="Arial"/>
          <w:szCs w:val="24"/>
        </w:rPr>
      </w:pPr>
      <w:r w:rsidRPr="004223A8">
        <w:rPr>
          <w:rFonts w:ascii="Arial" w:hAnsi="Arial" w:cs="Arial"/>
          <w:szCs w:val="24"/>
        </w:rPr>
        <w:t xml:space="preserve">The descriptive nature of accounting ratios limits the scope of statistical study. However, there are </w:t>
      </w:r>
      <w:proofErr w:type="gramStart"/>
      <w:r w:rsidRPr="004223A8">
        <w:rPr>
          <w:rFonts w:ascii="Arial" w:hAnsi="Arial" w:cs="Arial"/>
          <w:szCs w:val="24"/>
        </w:rPr>
        <w:t>a number of</w:t>
      </w:r>
      <w:proofErr w:type="gramEnd"/>
      <w:r w:rsidRPr="004223A8">
        <w:rPr>
          <w:rFonts w:ascii="Arial" w:hAnsi="Arial" w:cs="Arial"/>
          <w:szCs w:val="24"/>
        </w:rPr>
        <w:t xml:space="preserve"> important quantitative factors that might affect the percentage outcome. In other cases, a high percentage of current assets may not even be indicative of a healthy organisation (</w:t>
      </w:r>
      <w:proofErr w:type="spellStart"/>
      <w:r w:rsidRPr="004223A8">
        <w:rPr>
          <w:rFonts w:ascii="Arial" w:hAnsi="Arial" w:cs="Arial"/>
          <w:szCs w:val="24"/>
        </w:rPr>
        <w:t>Nindito</w:t>
      </w:r>
      <w:proofErr w:type="spellEnd"/>
      <w:r w:rsidRPr="004223A8">
        <w:rPr>
          <w:rFonts w:ascii="Arial" w:hAnsi="Arial" w:cs="Arial"/>
          <w:szCs w:val="24"/>
        </w:rPr>
        <w:t>, 2018).</w:t>
      </w:r>
    </w:p>
    <w:p w14:paraId="1425FF11" w14:textId="1D258AC2" w:rsidR="004223A8" w:rsidRPr="004223A8" w:rsidRDefault="004223A8" w:rsidP="004223A8">
      <w:pPr>
        <w:pStyle w:val="ListParagraph"/>
        <w:numPr>
          <w:ilvl w:val="0"/>
          <w:numId w:val="2"/>
        </w:numPr>
        <w:rPr>
          <w:rFonts w:ascii="Arial" w:hAnsi="Arial" w:cs="Arial"/>
          <w:szCs w:val="24"/>
        </w:rPr>
      </w:pPr>
      <w:r w:rsidRPr="004223A8">
        <w:rPr>
          <w:rFonts w:ascii="Arial" w:hAnsi="Arial" w:cs="Arial"/>
          <w:szCs w:val="24"/>
        </w:rPr>
        <w:t xml:space="preserve">An additional set of constraints on accounting ratios include factors like item and property pricing, seasonality issues in the organisation, and so on. In addition, limits on the income report affect the accounting ratios. There are inherent restrictions to monetary knowledge since it is generated by breaking numerous </w:t>
      </w:r>
      <w:r w:rsidRPr="004223A8">
        <w:rPr>
          <w:rFonts w:ascii="Arial" w:hAnsi="Arial" w:cs="Arial"/>
          <w:szCs w:val="24"/>
        </w:rPr>
        <w:lastRenderedPageBreak/>
        <w:t>accounting and ethical rules (</w:t>
      </w:r>
      <w:proofErr w:type="spellStart"/>
      <w:r w:rsidRPr="004223A8">
        <w:rPr>
          <w:rFonts w:ascii="Arial" w:hAnsi="Arial" w:cs="Arial"/>
          <w:szCs w:val="24"/>
        </w:rPr>
        <w:t>Nindito</w:t>
      </w:r>
      <w:proofErr w:type="spellEnd"/>
      <w:r w:rsidRPr="004223A8">
        <w:rPr>
          <w:rFonts w:ascii="Arial" w:hAnsi="Arial" w:cs="Arial"/>
          <w:szCs w:val="24"/>
        </w:rPr>
        <w:t>, 2018). Because of this, there are certain evident limits to the tools used to generate reports. Therefore, bookkeeping ratios are adversely affected by such accounting restriction restrictions.</w:t>
      </w:r>
    </w:p>
    <w:p w14:paraId="10B6EA39" w14:textId="77777777" w:rsidR="004223A8" w:rsidRPr="004223A8" w:rsidRDefault="004223A8" w:rsidP="004223A8">
      <w:pPr>
        <w:pStyle w:val="ListParagraph"/>
        <w:numPr>
          <w:ilvl w:val="0"/>
          <w:numId w:val="2"/>
        </w:numPr>
        <w:rPr>
          <w:rFonts w:ascii="Arial" w:hAnsi="Arial" w:cs="Arial"/>
          <w:szCs w:val="24"/>
        </w:rPr>
      </w:pPr>
      <w:r w:rsidRPr="004223A8">
        <w:rPr>
          <w:rFonts w:ascii="Arial" w:hAnsi="Arial" w:cs="Arial"/>
          <w:szCs w:val="24"/>
        </w:rPr>
        <w:t>Three distinct accounting regulations and standards, such as amortisation strategy, stock measurement strategy, and so on, are three distinct fiscal principles (</w:t>
      </w:r>
      <w:proofErr w:type="spellStart"/>
      <w:r w:rsidRPr="004223A8">
        <w:rPr>
          <w:rFonts w:ascii="Arial" w:hAnsi="Arial" w:cs="Arial"/>
          <w:szCs w:val="24"/>
        </w:rPr>
        <w:t>Arkan</w:t>
      </w:r>
      <w:proofErr w:type="spellEnd"/>
      <w:r w:rsidRPr="004223A8">
        <w:rPr>
          <w:rFonts w:ascii="Arial" w:hAnsi="Arial" w:cs="Arial"/>
          <w:szCs w:val="24"/>
        </w:rPr>
        <w:t>, 2016). It is exceedingly difficult, if not impossible, to compare the procedures of different organisations.</w:t>
      </w:r>
    </w:p>
    <w:p w14:paraId="54444547" w14:textId="77777777" w:rsidR="004223A8" w:rsidRPr="004223A8" w:rsidRDefault="004223A8" w:rsidP="004223A8">
      <w:pPr>
        <w:pStyle w:val="ListParagraph"/>
        <w:numPr>
          <w:ilvl w:val="0"/>
          <w:numId w:val="2"/>
        </w:numPr>
        <w:rPr>
          <w:rFonts w:ascii="Arial" w:hAnsi="Arial" w:cs="Arial"/>
          <w:szCs w:val="24"/>
        </w:rPr>
      </w:pPr>
      <w:r w:rsidRPr="004223A8">
        <w:rPr>
          <w:rFonts w:ascii="Arial" w:hAnsi="Arial" w:cs="Arial"/>
          <w:szCs w:val="24"/>
        </w:rPr>
        <w:t>Prior knowledge and awareness are critical to developing an accurate monetary perspective. Because of this, the percentages that are calculated often follow previous trends. Prospective reliability is not possible with proportion assessment.</w:t>
      </w:r>
    </w:p>
    <w:p w14:paraId="5A2293F3" w14:textId="77777777" w:rsidR="004223A8" w:rsidRPr="004223A8" w:rsidRDefault="004223A8" w:rsidP="004223A8">
      <w:pPr>
        <w:pStyle w:val="Heading1"/>
        <w:rPr>
          <w:rFonts w:ascii="Arial" w:hAnsi="Arial" w:cs="Arial"/>
          <w:sz w:val="24"/>
          <w:szCs w:val="24"/>
        </w:rPr>
      </w:pPr>
      <w:bookmarkStart w:id="3" w:name="_Toc104244058"/>
      <w:r w:rsidRPr="004223A8">
        <w:rPr>
          <w:rFonts w:ascii="Arial" w:hAnsi="Arial" w:cs="Arial"/>
          <w:sz w:val="24"/>
          <w:szCs w:val="24"/>
        </w:rPr>
        <w:t>Conclusion</w:t>
      </w:r>
      <w:bookmarkEnd w:id="3"/>
    </w:p>
    <w:p w14:paraId="7B92C557" w14:textId="7BC93F2C" w:rsidR="004223A8" w:rsidRPr="004223A8" w:rsidRDefault="004223A8" w:rsidP="004223A8">
      <w:pPr>
        <w:spacing w:line="360" w:lineRule="auto"/>
        <w:rPr>
          <w:rFonts w:ascii="Arial" w:hAnsi="Arial" w:cs="Arial"/>
          <w:sz w:val="24"/>
          <w:szCs w:val="24"/>
        </w:rPr>
      </w:pPr>
      <w:r w:rsidRPr="004223A8">
        <w:rPr>
          <w:rFonts w:ascii="Arial" w:hAnsi="Arial" w:cs="Arial"/>
          <w:sz w:val="24"/>
          <w:szCs w:val="24"/>
        </w:rPr>
        <w:t xml:space="preserve">As can be seen from what has been shown so far, the financial results of Hilton Worldwide Holdings Inc. have pointed to areas that have brought to light concerns that need attention and upkeep. According to experts, operational costs and expenditures should be analysed and managed, rather than giving priority to non-operational/financial expenses because of their lower revenue. This is because non-operational/financial expenses are often associated with higher costs. Both the payables and the receivables are being handled efficiently. It is feasible to turn a profit on compassion by providing customers with the kind of service that is both acceptable and intense. It is necessary to increase profitability via a mix of effective product marketing and strategic cost reduction measures. As the amount of available money declines, the efforts that are being made to strengthen loan servicing and leverage need to be ramped up, and the amount of accessible obligation </w:t>
      </w:r>
      <w:proofErr w:type="gramStart"/>
      <w:r w:rsidRPr="004223A8">
        <w:rPr>
          <w:rFonts w:ascii="Arial" w:hAnsi="Arial" w:cs="Arial"/>
          <w:sz w:val="24"/>
          <w:szCs w:val="24"/>
        </w:rPr>
        <w:t>has to</w:t>
      </w:r>
      <w:proofErr w:type="gramEnd"/>
      <w:r w:rsidRPr="004223A8">
        <w:rPr>
          <w:rFonts w:ascii="Arial" w:hAnsi="Arial" w:cs="Arial"/>
          <w:sz w:val="24"/>
          <w:szCs w:val="24"/>
        </w:rPr>
        <w:t xml:space="preserve"> be restored. However, efficiency is something that must be taken into mind in order to have a cash flow that is satisfactory.</w:t>
      </w:r>
    </w:p>
    <w:p w14:paraId="48A9824E" w14:textId="77777777" w:rsidR="004223A8" w:rsidRPr="004223A8" w:rsidRDefault="004223A8" w:rsidP="004223A8">
      <w:pPr>
        <w:rPr>
          <w:rFonts w:ascii="Arial" w:eastAsiaTheme="majorEastAsia" w:hAnsi="Arial" w:cs="Arial"/>
          <w:color w:val="2F5496" w:themeColor="accent1" w:themeShade="BF"/>
          <w:sz w:val="24"/>
          <w:szCs w:val="24"/>
        </w:rPr>
      </w:pPr>
      <w:r w:rsidRPr="004223A8">
        <w:rPr>
          <w:rFonts w:ascii="Arial" w:hAnsi="Arial" w:cs="Arial"/>
          <w:sz w:val="24"/>
          <w:szCs w:val="24"/>
        </w:rPr>
        <w:br w:type="page"/>
      </w:r>
    </w:p>
    <w:p w14:paraId="29F8D32A" w14:textId="77777777" w:rsidR="004223A8" w:rsidRPr="004223A8" w:rsidRDefault="004223A8" w:rsidP="004223A8">
      <w:pPr>
        <w:pStyle w:val="Heading1"/>
        <w:rPr>
          <w:rFonts w:ascii="Arial" w:hAnsi="Arial" w:cs="Arial"/>
          <w:sz w:val="24"/>
          <w:szCs w:val="24"/>
        </w:rPr>
      </w:pPr>
      <w:bookmarkStart w:id="4" w:name="_Toc104244059"/>
      <w:r w:rsidRPr="004223A8">
        <w:rPr>
          <w:rFonts w:ascii="Arial" w:hAnsi="Arial" w:cs="Arial"/>
          <w:sz w:val="24"/>
          <w:szCs w:val="24"/>
        </w:rPr>
        <w:lastRenderedPageBreak/>
        <w:t>References</w:t>
      </w:r>
      <w:bookmarkEnd w:id="4"/>
    </w:p>
    <w:p w14:paraId="49C9AA27" w14:textId="77777777" w:rsidR="004223A8" w:rsidRPr="004223A8" w:rsidRDefault="004223A8" w:rsidP="004223A8">
      <w:pPr>
        <w:spacing w:line="360" w:lineRule="auto"/>
        <w:rPr>
          <w:rFonts w:ascii="Arial" w:hAnsi="Arial" w:cs="Arial"/>
          <w:sz w:val="24"/>
          <w:szCs w:val="24"/>
        </w:rPr>
      </w:pPr>
      <w:proofErr w:type="spellStart"/>
      <w:r w:rsidRPr="004223A8">
        <w:rPr>
          <w:rFonts w:ascii="Arial" w:hAnsi="Arial" w:cs="Arial"/>
          <w:sz w:val="24"/>
          <w:szCs w:val="24"/>
        </w:rPr>
        <w:t>Arkan</w:t>
      </w:r>
      <w:proofErr w:type="spellEnd"/>
      <w:r w:rsidRPr="004223A8">
        <w:rPr>
          <w:rFonts w:ascii="Arial" w:hAnsi="Arial" w:cs="Arial"/>
          <w:sz w:val="24"/>
          <w:szCs w:val="24"/>
        </w:rPr>
        <w:t>, T., 2016. The importance of financial ratios in predicting stock price trends: A case study in emerging markets. </w:t>
      </w:r>
      <w:proofErr w:type="spellStart"/>
      <w:r w:rsidRPr="004223A8">
        <w:rPr>
          <w:rFonts w:ascii="Arial" w:hAnsi="Arial" w:cs="Arial"/>
          <w:i/>
          <w:iCs/>
          <w:sz w:val="24"/>
          <w:szCs w:val="24"/>
        </w:rPr>
        <w:t>Finanse</w:t>
      </w:r>
      <w:proofErr w:type="spellEnd"/>
      <w:r w:rsidRPr="004223A8">
        <w:rPr>
          <w:rFonts w:ascii="Arial" w:hAnsi="Arial" w:cs="Arial"/>
          <w:i/>
          <w:iCs/>
          <w:sz w:val="24"/>
          <w:szCs w:val="24"/>
        </w:rPr>
        <w:t xml:space="preserve">, </w:t>
      </w:r>
      <w:proofErr w:type="spellStart"/>
      <w:r w:rsidRPr="004223A8">
        <w:rPr>
          <w:rFonts w:ascii="Arial" w:hAnsi="Arial" w:cs="Arial"/>
          <w:i/>
          <w:iCs/>
          <w:sz w:val="24"/>
          <w:szCs w:val="24"/>
        </w:rPr>
        <w:t>Rynki</w:t>
      </w:r>
      <w:proofErr w:type="spellEnd"/>
      <w:r w:rsidRPr="004223A8">
        <w:rPr>
          <w:rFonts w:ascii="Arial" w:hAnsi="Arial" w:cs="Arial"/>
          <w:i/>
          <w:iCs/>
          <w:sz w:val="24"/>
          <w:szCs w:val="24"/>
        </w:rPr>
        <w:t xml:space="preserve"> </w:t>
      </w:r>
      <w:proofErr w:type="spellStart"/>
      <w:r w:rsidRPr="004223A8">
        <w:rPr>
          <w:rFonts w:ascii="Arial" w:hAnsi="Arial" w:cs="Arial"/>
          <w:i/>
          <w:iCs/>
          <w:sz w:val="24"/>
          <w:szCs w:val="24"/>
        </w:rPr>
        <w:t>Finansowe</w:t>
      </w:r>
      <w:proofErr w:type="spellEnd"/>
      <w:r w:rsidRPr="004223A8">
        <w:rPr>
          <w:rFonts w:ascii="Arial" w:hAnsi="Arial" w:cs="Arial"/>
          <w:i/>
          <w:iCs/>
          <w:sz w:val="24"/>
          <w:szCs w:val="24"/>
        </w:rPr>
        <w:t xml:space="preserve">, </w:t>
      </w:r>
      <w:proofErr w:type="spellStart"/>
      <w:r w:rsidRPr="004223A8">
        <w:rPr>
          <w:rFonts w:ascii="Arial" w:hAnsi="Arial" w:cs="Arial"/>
          <w:i/>
          <w:iCs/>
          <w:sz w:val="24"/>
          <w:szCs w:val="24"/>
        </w:rPr>
        <w:t>Ubezpieczenia</w:t>
      </w:r>
      <w:proofErr w:type="spellEnd"/>
      <w:r w:rsidRPr="004223A8">
        <w:rPr>
          <w:rFonts w:ascii="Arial" w:hAnsi="Arial" w:cs="Arial"/>
          <w:sz w:val="24"/>
          <w:szCs w:val="24"/>
        </w:rPr>
        <w:t>, (79), pp.13-26.</w:t>
      </w:r>
    </w:p>
    <w:p w14:paraId="58918756" w14:textId="77777777" w:rsidR="004223A8" w:rsidRPr="004223A8" w:rsidRDefault="004223A8" w:rsidP="004223A8">
      <w:pPr>
        <w:spacing w:line="360" w:lineRule="auto"/>
        <w:rPr>
          <w:rFonts w:ascii="Arial" w:hAnsi="Arial" w:cs="Arial"/>
          <w:sz w:val="24"/>
          <w:szCs w:val="24"/>
        </w:rPr>
      </w:pPr>
      <w:r w:rsidRPr="004223A8">
        <w:rPr>
          <w:rFonts w:ascii="Arial" w:hAnsi="Arial" w:cs="Arial"/>
          <w:sz w:val="24"/>
          <w:szCs w:val="24"/>
        </w:rPr>
        <w:t>Bloomberg, 2022. </w:t>
      </w:r>
      <w:r w:rsidRPr="004223A8">
        <w:rPr>
          <w:rFonts w:ascii="Arial" w:hAnsi="Arial" w:cs="Arial"/>
          <w:i/>
          <w:iCs/>
          <w:sz w:val="24"/>
          <w:szCs w:val="24"/>
        </w:rPr>
        <w:t>Hilton Worldwide Holdings Inc</w:t>
      </w:r>
      <w:r w:rsidRPr="004223A8">
        <w:rPr>
          <w:rFonts w:ascii="Arial" w:hAnsi="Arial" w:cs="Arial"/>
          <w:sz w:val="24"/>
          <w:szCs w:val="24"/>
        </w:rPr>
        <w:t>. [online] Bloomberg.com. Available at: &lt;https://www.bloomberg.com/profile/company/HLT:US&gt; [Accessed 23 May 2022].</w:t>
      </w:r>
    </w:p>
    <w:p w14:paraId="6201E108" w14:textId="77777777" w:rsidR="004223A8" w:rsidRPr="004223A8" w:rsidRDefault="004223A8" w:rsidP="004223A8">
      <w:pPr>
        <w:spacing w:line="360" w:lineRule="auto"/>
        <w:rPr>
          <w:rFonts w:ascii="Arial" w:hAnsi="Arial" w:cs="Arial"/>
          <w:sz w:val="24"/>
          <w:szCs w:val="24"/>
        </w:rPr>
      </w:pPr>
      <w:bookmarkStart w:id="5" w:name="_Hlk104242995"/>
      <w:r w:rsidRPr="004223A8">
        <w:rPr>
          <w:rFonts w:ascii="Arial" w:hAnsi="Arial" w:cs="Arial"/>
          <w:sz w:val="24"/>
          <w:szCs w:val="24"/>
        </w:rPr>
        <w:t>Easton, P.D., McAnally, M.L., Sommers, G.A. and Zhang, X.J., 2018</w:t>
      </w:r>
      <w:bookmarkEnd w:id="5"/>
      <w:r w:rsidRPr="004223A8">
        <w:rPr>
          <w:rFonts w:ascii="Arial" w:hAnsi="Arial" w:cs="Arial"/>
          <w:sz w:val="24"/>
          <w:szCs w:val="24"/>
        </w:rPr>
        <w:t>. </w:t>
      </w:r>
      <w:r w:rsidRPr="004223A8">
        <w:rPr>
          <w:rFonts w:ascii="Arial" w:hAnsi="Arial" w:cs="Arial"/>
          <w:i/>
          <w:iCs/>
          <w:sz w:val="24"/>
          <w:szCs w:val="24"/>
        </w:rPr>
        <w:t>Financial statement analysis &amp; valuation</w:t>
      </w:r>
      <w:r w:rsidRPr="004223A8">
        <w:rPr>
          <w:rFonts w:ascii="Arial" w:hAnsi="Arial" w:cs="Arial"/>
          <w:sz w:val="24"/>
          <w:szCs w:val="24"/>
        </w:rPr>
        <w:t>. Boston, MA: Cambridge Business Publishers.</w:t>
      </w:r>
    </w:p>
    <w:p w14:paraId="7D22D43B" w14:textId="77777777" w:rsidR="004223A8" w:rsidRPr="004223A8" w:rsidRDefault="004223A8" w:rsidP="004223A8">
      <w:pPr>
        <w:spacing w:line="360" w:lineRule="auto"/>
        <w:rPr>
          <w:rFonts w:ascii="Arial" w:hAnsi="Arial" w:cs="Arial"/>
          <w:sz w:val="24"/>
          <w:szCs w:val="24"/>
        </w:rPr>
      </w:pPr>
      <w:bookmarkStart w:id="6" w:name="_Hlk104242990"/>
      <w:r w:rsidRPr="004223A8">
        <w:rPr>
          <w:rFonts w:ascii="Arial" w:hAnsi="Arial" w:cs="Arial"/>
          <w:sz w:val="24"/>
          <w:szCs w:val="24"/>
        </w:rPr>
        <w:t>Elly, D., 2018</w:t>
      </w:r>
      <w:bookmarkEnd w:id="6"/>
      <w:r w:rsidRPr="004223A8">
        <w:rPr>
          <w:rFonts w:ascii="Arial" w:hAnsi="Arial" w:cs="Arial"/>
          <w:sz w:val="24"/>
          <w:szCs w:val="24"/>
        </w:rPr>
        <w:t>. Interpretation of Financial Statements (SEMIs).</w:t>
      </w:r>
    </w:p>
    <w:p w14:paraId="3C34E3F4" w14:textId="77777777" w:rsidR="004223A8" w:rsidRPr="004223A8" w:rsidRDefault="004223A8" w:rsidP="004223A8">
      <w:pPr>
        <w:spacing w:line="360" w:lineRule="auto"/>
        <w:rPr>
          <w:rFonts w:ascii="Arial" w:hAnsi="Arial" w:cs="Arial"/>
          <w:sz w:val="24"/>
          <w:szCs w:val="24"/>
        </w:rPr>
      </w:pPr>
      <w:bookmarkStart w:id="7" w:name="_Hlk104242980"/>
      <w:proofErr w:type="spellStart"/>
      <w:r w:rsidRPr="004223A8">
        <w:rPr>
          <w:rFonts w:ascii="Arial" w:hAnsi="Arial" w:cs="Arial"/>
          <w:sz w:val="24"/>
          <w:szCs w:val="24"/>
        </w:rPr>
        <w:t>Ginting</w:t>
      </w:r>
      <w:proofErr w:type="spellEnd"/>
      <w:r w:rsidRPr="004223A8">
        <w:rPr>
          <w:rFonts w:ascii="Arial" w:hAnsi="Arial" w:cs="Arial"/>
          <w:sz w:val="24"/>
          <w:szCs w:val="24"/>
        </w:rPr>
        <w:t>, E.S., 2021</w:t>
      </w:r>
      <w:bookmarkEnd w:id="7"/>
      <w:r w:rsidRPr="004223A8">
        <w:rPr>
          <w:rFonts w:ascii="Arial" w:hAnsi="Arial" w:cs="Arial"/>
          <w:sz w:val="24"/>
          <w:szCs w:val="24"/>
        </w:rPr>
        <w:t xml:space="preserve">. Ratio-Based Financial Performance Analysis of PT. </w:t>
      </w:r>
      <w:proofErr w:type="spellStart"/>
      <w:r w:rsidRPr="004223A8">
        <w:rPr>
          <w:rFonts w:ascii="Arial" w:hAnsi="Arial" w:cs="Arial"/>
          <w:sz w:val="24"/>
          <w:szCs w:val="24"/>
        </w:rPr>
        <w:t>Mustika</w:t>
      </w:r>
      <w:proofErr w:type="spellEnd"/>
      <w:r w:rsidRPr="004223A8">
        <w:rPr>
          <w:rFonts w:ascii="Arial" w:hAnsi="Arial" w:cs="Arial"/>
          <w:sz w:val="24"/>
          <w:szCs w:val="24"/>
        </w:rPr>
        <w:t xml:space="preserve"> Ratu, </w:t>
      </w:r>
      <w:proofErr w:type="spellStart"/>
      <w:r w:rsidRPr="004223A8">
        <w:rPr>
          <w:rFonts w:ascii="Arial" w:hAnsi="Arial" w:cs="Arial"/>
          <w:sz w:val="24"/>
          <w:szCs w:val="24"/>
        </w:rPr>
        <w:t>Tbk</w:t>
      </w:r>
      <w:proofErr w:type="spellEnd"/>
      <w:r w:rsidRPr="004223A8">
        <w:rPr>
          <w:rFonts w:ascii="Arial" w:hAnsi="Arial" w:cs="Arial"/>
          <w:sz w:val="24"/>
          <w:szCs w:val="24"/>
        </w:rPr>
        <w:t>. </w:t>
      </w:r>
      <w:r w:rsidRPr="004223A8">
        <w:rPr>
          <w:rFonts w:ascii="Arial" w:hAnsi="Arial" w:cs="Arial"/>
          <w:i/>
          <w:iCs/>
          <w:sz w:val="24"/>
          <w:szCs w:val="24"/>
        </w:rPr>
        <w:t>Enrichment: Journal of Management</w:t>
      </w:r>
      <w:r w:rsidRPr="004223A8">
        <w:rPr>
          <w:rFonts w:ascii="Arial" w:hAnsi="Arial" w:cs="Arial"/>
          <w:sz w:val="24"/>
          <w:szCs w:val="24"/>
        </w:rPr>
        <w:t>, </w:t>
      </w:r>
      <w:r w:rsidRPr="004223A8">
        <w:rPr>
          <w:rFonts w:ascii="Arial" w:hAnsi="Arial" w:cs="Arial"/>
          <w:i/>
          <w:iCs/>
          <w:sz w:val="24"/>
          <w:szCs w:val="24"/>
        </w:rPr>
        <w:t>11</w:t>
      </w:r>
      <w:r w:rsidRPr="004223A8">
        <w:rPr>
          <w:rFonts w:ascii="Arial" w:hAnsi="Arial" w:cs="Arial"/>
          <w:sz w:val="24"/>
          <w:szCs w:val="24"/>
        </w:rPr>
        <w:t>(2), pp.456-462.</w:t>
      </w:r>
    </w:p>
    <w:p w14:paraId="5419DFAE" w14:textId="77777777" w:rsidR="004223A8" w:rsidRPr="004223A8" w:rsidRDefault="004223A8" w:rsidP="004223A8">
      <w:pPr>
        <w:spacing w:line="360" w:lineRule="auto"/>
        <w:rPr>
          <w:rFonts w:ascii="Arial" w:hAnsi="Arial" w:cs="Arial"/>
          <w:sz w:val="24"/>
          <w:szCs w:val="24"/>
        </w:rPr>
      </w:pPr>
      <w:bookmarkStart w:id="8" w:name="_Hlk104242998"/>
      <w:proofErr w:type="spellStart"/>
      <w:r w:rsidRPr="004223A8">
        <w:rPr>
          <w:rFonts w:ascii="Arial" w:hAnsi="Arial" w:cs="Arial"/>
          <w:sz w:val="24"/>
          <w:szCs w:val="24"/>
        </w:rPr>
        <w:t>Hasanaj</w:t>
      </w:r>
      <w:proofErr w:type="spellEnd"/>
      <w:r w:rsidRPr="004223A8">
        <w:rPr>
          <w:rFonts w:ascii="Arial" w:hAnsi="Arial" w:cs="Arial"/>
          <w:sz w:val="24"/>
          <w:szCs w:val="24"/>
        </w:rPr>
        <w:t xml:space="preserve">, P. and </w:t>
      </w:r>
      <w:proofErr w:type="spellStart"/>
      <w:r w:rsidRPr="004223A8">
        <w:rPr>
          <w:rFonts w:ascii="Arial" w:hAnsi="Arial" w:cs="Arial"/>
          <w:sz w:val="24"/>
          <w:szCs w:val="24"/>
        </w:rPr>
        <w:t>Kuqi</w:t>
      </w:r>
      <w:proofErr w:type="spellEnd"/>
      <w:r w:rsidRPr="004223A8">
        <w:rPr>
          <w:rFonts w:ascii="Arial" w:hAnsi="Arial" w:cs="Arial"/>
          <w:sz w:val="24"/>
          <w:szCs w:val="24"/>
        </w:rPr>
        <w:t>, B., 2019</w:t>
      </w:r>
      <w:bookmarkEnd w:id="8"/>
      <w:r w:rsidRPr="004223A8">
        <w:rPr>
          <w:rFonts w:ascii="Arial" w:hAnsi="Arial" w:cs="Arial"/>
          <w:sz w:val="24"/>
          <w:szCs w:val="24"/>
        </w:rPr>
        <w:t>. Analysis of financial statements. </w:t>
      </w:r>
      <w:r w:rsidRPr="004223A8">
        <w:rPr>
          <w:rFonts w:ascii="Arial" w:hAnsi="Arial" w:cs="Arial"/>
          <w:i/>
          <w:iCs/>
          <w:sz w:val="24"/>
          <w:szCs w:val="24"/>
        </w:rPr>
        <w:t>Humanities and Social Science Research</w:t>
      </w:r>
      <w:r w:rsidRPr="004223A8">
        <w:rPr>
          <w:rFonts w:ascii="Arial" w:hAnsi="Arial" w:cs="Arial"/>
          <w:sz w:val="24"/>
          <w:szCs w:val="24"/>
        </w:rPr>
        <w:t>, </w:t>
      </w:r>
      <w:r w:rsidRPr="004223A8">
        <w:rPr>
          <w:rFonts w:ascii="Arial" w:hAnsi="Arial" w:cs="Arial"/>
          <w:i/>
          <w:iCs/>
          <w:sz w:val="24"/>
          <w:szCs w:val="24"/>
        </w:rPr>
        <w:t>2</w:t>
      </w:r>
      <w:r w:rsidRPr="004223A8">
        <w:rPr>
          <w:rFonts w:ascii="Arial" w:hAnsi="Arial" w:cs="Arial"/>
          <w:sz w:val="24"/>
          <w:szCs w:val="24"/>
        </w:rPr>
        <w:t xml:space="preserve">(2), </w:t>
      </w:r>
      <w:proofErr w:type="gramStart"/>
      <w:r w:rsidRPr="004223A8">
        <w:rPr>
          <w:rFonts w:ascii="Arial" w:hAnsi="Arial" w:cs="Arial"/>
          <w:sz w:val="24"/>
          <w:szCs w:val="24"/>
        </w:rPr>
        <w:t>pp.p</w:t>
      </w:r>
      <w:proofErr w:type="gramEnd"/>
      <w:r w:rsidRPr="004223A8">
        <w:rPr>
          <w:rFonts w:ascii="Arial" w:hAnsi="Arial" w:cs="Arial"/>
          <w:sz w:val="24"/>
          <w:szCs w:val="24"/>
        </w:rPr>
        <w:t>17-p17.</w:t>
      </w:r>
    </w:p>
    <w:p w14:paraId="7FA70075" w14:textId="77777777" w:rsidR="004223A8" w:rsidRPr="004223A8" w:rsidRDefault="004223A8" w:rsidP="004223A8">
      <w:pPr>
        <w:spacing w:line="360" w:lineRule="auto"/>
        <w:rPr>
          <w:rFonts w:ascii="Arial" w:hAnsi="Arial" w:cs="Arial"/>
          <w:sz w:val="24"/>
          <w:szCs w:val="24"/>
        </w:rPr>
      </w:pPr>
      <w:proofErr w:type="spellStart"/>
      <w:r w:rsidRPr="004223A8">
        <w:rPr>
          <w:rFonts w:ascii="Arial" w:hAnsi="Arial" w:cs="Arial"/>
          <w:sz w:val="24"/>
          <w:szCs w:val="24"/>
        </w:rPr>
        <w:t>Nindito</w:t>
      </w:r>
      <w:proofErr w:type="spellEnd"/>
      <w:r w:rsidRPr="004223A8">
        <w:rPr>
          <w:rFonts w:ascii="Arial" w:hAnsi="Arial" w:cs="Arial"/>
          <w:sz w:val="24"/>
          <w:szCs w:val="24"/>
        </w:rPr>
        <w:t>, M., 2018. Financial statement fraud: Perspective of the Pentagon Fraud model in Indonesia. Academy of Accounting and Financial Studies Journal, 22(3), pp.1-9.</w:t>
      </w:r>
    </w:p>
    <w:p w14:paraId="44C97812" w14:textId="77777777" w:rsidR="004223A8" w:rsidRPr="004223A8" w:rsidRDefault="004223A8" w:rsidP="004223A8">
      <w:pPr>
        <w:spacing w:line="360" w:lineRule="auto"/>
        <w:rPr>
          <w:rFonts w:ascii="Arial" w:hAnsi="Arial" w:cs="Arial"/>
          <w:sz w:val="24"/>
          <w:szCs w:val="24"/>
        </w:rPr>
      </w:pPr>
      <w:bookmarkStart w:id="9" w:name="_Hlk104242986"/>
      <w:proofErr w:type="spellStart"/>
      <w:r w:rsidRPr="004223A8">
        <w:rPr>
          <w:rFonts w:ascii="Arial" w:hAnsi="Arial" w:cs="Arial"/>
          <w:sz w:val="24"/>
          <w:szCs w:val="24"/>
        </w:rPr>
        <w:t>Otekunrin</w:t>
      </w:r>
      <w:proofErr w:type="spellEnd"/>
      <w:r w:rsidRPr="004223A8">
        <w:rPr>
          <w:rFonts w:ascii="Arial" w:hAnsi="Arial" w:cs="Arial"/>
          <w:sz w:val="24"/>
          <w:szCs w:val="24"/>
        </w:rPr>
        <w:t xml:space="preserve">, A.O., </w:t>
      </w:r>
      <w:proofErr w:type="spellStart"/>
      <w:r w:rsidRPr="004223A8">
        <w:rPr>
          <w:rFonts w:ascii="Arial" w:hAnsi="Arial" w:cs="Arial"/>
          <w:sz w:val="24"/>
          <w:szCs w:val="24"/>
        </w:rPr>
        <w:t>Nwanji</w:t>
      </w:r>
      <w:proofErr w:type="spellEnd"/>
      <w:r w:rsidRPr="004223A8">
        <w:rPr>
          <w:rFonts w:ascii="Arial" w:hAnsi="Arial" w:cs="Arial"/>
          <w:sz w:val="24"/>
          <w:szCs w:val="24"/>
        </w:rPr>
        <w:t xml:space="preserve">, T.I., </w:t>
      </w:r>
      <w:proofErr w:type="spellStart"/>
      <w:r w:rsidRPr="004223A8">
        <w:rPr>
          <w:rFonts w:ascii="Arial" w:hAnsi="Arial" w:cs="Arial"/>
          <w:sz w:val="24"/>
          <w:szCs w:val="24"/>
        </w:rPr>
        <w:t>Olowookere</w:t>
      </w:r>
      <w:proofErr w:type="spellEnd"/>
      <w:r w:rsidRPr="004223A8">
        <w:rPr>
          <w:rFonts w:ascii="Arial" w:hAnsi="Arial" w:cs="Arial"/>
          <w:sz w:val="24"/>
          <w:szCs w:val="24"/>
        </w:rPr>
        <w:t xml:space="preserve">, J.K., </w:t>
      </w:r>
      <w:proofErr w:type="spellStart"/>
      <w:r w:rsidRPr="004223A8">
        <w:rPr>
          <w:rFonts w:ascii="Arial" w:hAnsi="Arial" w:cs="Arial"/>
          <w:sz w:val="24"/>
          <w:szCs w:val="24"/>
        </w:rPr>
        <w:t>Egbide</w:t>
      </w:r>
      <w:proofErr w:type="spellEnd"/>
      <w:r w:rsidRPr="004223A8">
        <w:rPr>
          <w:rFonts w:ascii="Arial" w:hAnsi="Arial" w:cs="Arial"/>
          <w:sz w:val="24"/>
          <w:szCs w:val="24"/>
        </w:rPr>
        <w:t xml:space="preserve">, B.C., </w:t>
      </w:r>
      <w:proofErr w:type="spellStart"/>
      <w:r w:rsidRPr="004223A8">
        <w:rPr>
          <w:rFonts w:ascii="Arial" w:hAnsi="Arial" w:cs="Arial"/>
          <w:sz w:val="24"/>
          <w:szCs w:val="24"/>
        </w:rPr>
        <w:t>Fakile</w:t>
      </w:r>
      <w:proofErr w:type="spellEnd"/>
      <w:r w:rsidRPr="004223A8">
        <w:rPr>
          <w:rFonts w:ascii="Arial" w:hAnsi="Arial" w:cs="Arial"/>
          <w:sz w:val="24"/>
          <w:szCs w:val="24"/>
        </w:rPr>
        <w:t xml:space="preserve">, S.A., Lawal, A.I., Ajayi, S.A., </w:t>
      </w:r>
      <w:proofErr w:type="spellStart"/>
      <w:r w:rsidRPr="004223A8">
        <w:rPr>
          <w:rFonts w:ascii="Arial" w:hAnsi="Arial" w:cs="Arial"/>
          <w:sz w:val="24"/>
          <w:szCs w:val="24"/>
        </w:rPr>
        <w:t>Falaye</w:t>
      </w:r>
      <w:proofErr w:type="spellEnd"/>
      <w:r w:rsidRPr="004223A8">
        <w:rPr>
          <w:rFonts w:ascii="Arial" w:hAnsi="Arial" w:cs="Arial"/>
          <w:sz w:val="24"/>
          <w:szCs w:val="24"/>
        </w:rPr>
        <w:t xml:space="preserve">, A.J. and </w:t>
      </w:r>
      <w:proofErr w:type="spellStart"/>
      <w:r w:rsidRPr="004223A8">
        <w:rPr>
          <w:rFonts w:ascii="Arial" w:hAnsi="Arial" w:cs="Arial"/>
          <w:sz w:val="24"/>
          <w:szCs w:val="24"/>
        </w:rPr>
        <w:t>Eluyela</w:t>
      </w:r>
      <w:proofErr w:type="spellEnd"/>
      <w:r w:rsidRPr="004223A8">
        <w:rPr>
          <w:rFonts w:ascii="Arial" w:hAnsi="Arial" w:cs="Arial"/>
          <w:sz w:val="24"/>
          <w:szCs w:val="24"/>
        </w:rPr>
        <w:t>, F.D., 2018</w:t>
      </w:r>
      <w:bookmarkEnd w:id="9"/>
      <w:r w:rsidRPr="004223A8">
        <w:rPr>
          <w:rFonts w:ascii="Arial" w:hAnsi="Arial" w:cs="Arial"/>
          <w:sz w:val="24"/>
          <w:szCs w:val="24"/>
        </w:rPr>
        <w:t xml:space="preserve">. Financial ratio analysis and market price of share of selected quoted agriculture and </w:t>
      </w:r>
      <w:proofErr w:type="spellStart"/>
      <w:r w:rsidRPr="004223A8">
        <w:rPr>
          <w:rFonts w:ascii="Arial" w:hAnsi="Arial" w:cs="Arial"/>
          <w:sz w:val="24"/>
          <w:szCs w:val="24"/>
        </w:rPr>
        <w:t>agro</w:t>
      </w:r>
      <w:proofErr w:type="spellEnd"/>
      <w:r w:rsidRPr="004223A8">
        <w:rPr>
          <w:rFonts w:ascii="Arial" w:hAnsi="Arial" w:cs="Arial"/>
          <w:sz w:val="24"/>
          <w:szCs w:val="24"/>
        </w:rPr>
        <w:t xml:space="preserve">-allied firms in Nigeria </w:t>
      </w:r>
      <w:proofErr w:type="spellStart"/>
      <w:r w:rsidRPr="004223A8">
        <w:rPr>
          <w:rFonts w:ascii="Arial" w:hAnsi="Arial" w:cs="Arial"/>
          <w:sz w:val="24"/>
          <w:szCs w:val="24"/>
        </w:rPr>
        <w:t>afteradoption</w:t>
      </w:r>
      <w:proofErr w:type="spellEnd"/>
      <w:r w:rsidRPr="004223A8">
        <w:rPr>
          <w:rFonts w:ascii="Arial" w:hAnsi="Arial" w:cs="Arial"/>
          <w:sz w:val="24"/>
          <w:szCs w:val="24"/>
        </w:rPr>
        <w:t xml:space="preserve"> of international financial reporting standard. </w:t>
      </w:r>
      <w:r w:rsidRPr="004223A8">
        <w:rPr>
          <w:rFonts w:ascii="Arial" w:hAnsi="Arial" w:cs="Arial"/>
          <w:i/>
          <w:iCs/>
          <w:sz w:val="24"/>
          <w:szCs w:val="24"/>
        </w:rPr>
        <w:t>The Journal of Social Sciences Research</w:t>
      </w:r>
      <w:r w:rsidRPr="004223A8">
        <w:rPr>
          <w:rFonts w:ascii="Arial" w:hAnsi="Arial" w:cs="Arial"/>
          <w:sz w:val="24"/>
          <w:szCs w:val="24"/>
        </w:rPr>
        <w:t>, </w:t>
      </w:r>
      <w:r w:rsidRPr="004223A8">
        <w:rPr>
          <w:rFonts w:ascii="Arial" w:hAnsi="Arial" w:cs="Arial"/>
          <w:i/>
          <w:iCs/>
          <w:sz w:val="24"/>
          <w:szCs w:val="24"/>
        </w:rPr>
        <w:t>4</w:t>
      </w:r>
      <w:r w:rsidRPr="004223A8">
        <w:rPr>
          <w:rFonts w:ascii="Arial" w:hAnsi="Arial" w:cs="Arial"/>
          <w:sz w:val="24"/>
          <w:szCs w:val="24"/>
        </w:rPr>
        <w:t>(12), pp.736-744.</w:t>
      </w:r>
    </w:p>
    <w:p w14:paraId="00103637" w14:textId="77777777" w:rsidR="004223A8" w:rsidRPr="004223A8" w:rsidRDefault="004223A8" w:rsidP="004223A8">
      <w:pPr>
        <w:spacing w:line="360" w:lineRule="auto"/>
        <w:rPr>
          <w:rFonts w:ascii="Arial" w:hAnsi="Arial" w:cs="Arial"/>
          <w:sz w:val="24"/>
          <w:szCs w:val="24"/>
        </w:rPr>
      </w:pPr>
      <w:r w:rsidRPr="004223A8">
        <w:rPr>
          <w:rFonts w:ascii="Arial" w:hAnsi="Arial" w:cs="Arial"/>
          <w:sz w:val="24"/>
          <w:szCs w:val="24"/>
        </w:rPr>
        <w:t xml:space="preserve">Shelton, V.M., Smith, T.E. and </w:t>
      </w:r>
      <w:proofErr w:type="spellStart"/>
      <w:r w:rsidRPr="004223A8">
        <w:rPr>
          <w:rFonts w:ascii="Arial" w:hAnsi="Arial" w:cs="Arial"/>
          <w:sz w:val="24"/>
          <w:szCs w:val="24"/>
        </w:rPr>
        <w:t>Panisch</w:t>
      </w:r>
      <w:proofErr w:type="spellEnd"/>
      <w:r w:rsidRPr="004223A8">
        <w:rPr>
          <w:rFonts w:ascii="Arial" w:hAnsi="Arial" w:cs="Arial"/>
          <w:sz w:val="24"/>
          <w:szCs w:val="24"/>
        </w:rPr>
        <w:t xml:space="preserve">, L.S., 2019. Financial therapy with groups: A case of the five-step model. Journal of Financial </w:t>
      </w:r>
      <w:proofErr w:type="spellStart"/>
      <w:r w:rsidRPr="004223A8">
        <w:rPr>
          <w:rFonts w:ascii="Arial" w:hAnsi="Arial" w:cs="Arial"/>
          <w:sz w:val="24"/>
          <w:szCs w:val="24"/>
        </w:rPr>
        <w:t>Counseling</w:t>
      </w:r>
      <w:proofErr w:type="spellEnd"/>
      <w:r w:rsidRPr="004223A8">
        <w:rPr>
          <w:rFonts w:ascii="Arial" w:hAnsi="Arial" w:cs="Arial"/>
          <w:sz w:val="24"/>
          <w:szCs w:val="24"/>
        </w:rPr>
        <w:t xml:space="preserve"> and Planning, 30(1), pp.18-26.</w:t>
      </w:r>
    </w:p>
    <w:p w14:paraId="08FC9022" w14:textId="77777777" w:rsidR="004223A8" w:rsidRPr="004223A8" w:rsidRDefault="004223A8" w:rsidP="004223A8">
      <w:pPr>
        <w:spacing w:line="360" w:lineRule="auto"/>
        <w:rPr>
          <w:rFonts w:ascii="Arial" w:hAnsi="Arial" w:cs="Arial"/>
          <w:sz w:val="24"/>
          <w:szCs w:val="24"/>
        </w:rPr>
      </w:pPr>
      <w:proofErr w:type="spellStart"/>
      <w:r w:rsidRPr="004223A8">
        <w:rPr>
          <w:rFonts w:ascii="Arial" w:hAnsi="Arial" w:cs="Arial"/>
          <w:sz w:val="24"/>
          <w:szCs w:val="24"/>
        </w:rPr>
        <w:t>Sutarno</w:t>
      </w:r>
      <w:proofErr w:type="spellEnd"/>
      <w:r w:rsidRPr="004223A8">
        <w:rPr>
          <w:rFonts w:ascii="Arial" w:hAnsi="Arial" w:cs="Arial"/>
          <w:sz w:val="24"/>
          <w:szCs w:val="24"/>
        </w:rPr>
        <w:t xml:space="preserve">, S., </w:t>
      </w:r>
      <w:proofErr w:type="spellStart"/>
      <w:r w:rsidRPr="004223A8">
        <w:rPr>
          <w:rFonts w:ascii="Arial" w:hAnsi="Arial" w:cs="Arial"/>
          <w:sz w:val="24"/>
          <w:szCs w:val="24"/>
        </w:rPr>
        <w:t>Mesran</w:t>
      </w:r>
      <w:proofErr w:type="spellEnd"/>
      <w:r w:rsidRPr="004223A8">
        <w:rPr>
          <w:rFonts w:ascii="Arial" w:hAnsi="Arial" w:cs="Arial"/>
          <w:sz w:val="24"/>
          <w:szCs w:val="24"/>
        </w:rPr>
        <w:t xml:space="preserve">, M., </w:t>
      </w:r>
      <w:proofErr w:type="spellStart"/>
      <w:r w:rsidRPr="004223A8">
        <w:rPr>
          <w:rFonts w:ascii="Arial" w:hAnsi="Arial" w:cs="Arial"/>
          <w:sz w:val="24"/>
          <w:szCs w:val="24"/>
        </w:rPr>
        <w:t>Supriyanto</w:t>
      </w:r>
      <w:proofErr w:type="spellEnd"/>
      <w:r w:rsidRPr="004223A8">
        <w:rPr>
          <w:rFonts w:ascii="Arial" w:hAnsi="Arial" w:cs="Arial"/>
          <w:sz w:val="24"/>
          <w:szCs w:val="24"/>
        </w:rPr>
        <w:t xml:space="preserve">, S., Yuliana, Y. and </w:t>
      </w:r>
      <w:proofErr w:type="spellStart"/>
      <w:r w:rsidRPr="004223A8">
        <w:rPr>
          <w:rFonts w:ascii="Arial" w:hAnsi="Arial" w:cs="Arial"/>
          <w:sz w:val="24"/>
          <w:szCs w:val="24"/>
        </w:rPr>
        <w:t>Dewi</w:t>
      </w:r>
      <w:proofErr w:type="spellEnd"/>
      <w:r w:rsidRPr="004223A8">
        <w:rPr>
          <w:rFonts w:ascii="Arial" w:hAnsi="Arial" w:cs="Arial"/>
          <w:sz w:val="24"/>
          <w:szCs w:val="24"/>
        </w:rPr>
        <w:t xml:space="preserve">, A., 2019, December. Implementation of Multi-Objective </w:t>
      </w:r>
      <w:proofErr w:type="spellStart"/>
      <w:r w:rsidRPr="004223A8">
        <w:rPr>
          <w:rFonts w:ascii="Arial" w:hAnsi="Arial" w:cs="Arial"/>
          <w:sz w:val="24"/>
          <w:szCs w:val="24"/>
        </w:rPr>
        <w:t>Optimazation</w:t>
      </w:r>
      <w:proofErr w:type="spellEnd"/>
      <w:r w:rsidRPr="004223A8">
        <w:rPr>
          <w:rFonts w:ascii="Arial" w:hAnsi="Arial" w:cs="Arial"/>
          <w:sz w:val="24"/>
          <w:szCs w:val="24"/>
        </w:rPr>
        <w:t xml:space="preserve"> on the Base of Ratio Analysis (MOORA) in Improving Support for Decision on Sales Location Determination. In </w:t>
      </w:r>
      <w:r w:rsidRPr="004223A8">
        <w:rPr>
          <w:rFonts w:ascii="Arial" w:hAnsi="Arial" w:cs="Arial"/>
          <w:i/>
          <w:iCs/>
          <w:sz w:val="24"/>
          <w:szCs w:val="24"/>
        </w:rPr>
        <w:t>Journal of Physics: Conference Series</w:t>
      </w:r>
      <w:r w:rsidRPr="004223A8">
        <w:rPr>
          <w:rFonts w:ascii="Arial" w:hAnsi="Arial" w:cs="Arial"/>
          <w:sz w:val="24"/>
          <w:szCs w:val="24"/>
        </w:rPr>
        <w:t> (Vol. 1424, No. 1, p. 012019). IOP Publishing.</w:t>
      </w:r>
    </w:p>
    <w:p w14:paraId="5C322C03" w14:textId="77777777" w:rsidR="004223A8" w:rsidRPr="004223A8" w:rsidRDefault="004223A8" w:rsidP="004223A8">
      <w:pPr>
        <w:spacing w:line="360" w:lineRule="auto"/>
        <w:rPr>
          <w:rFonts w:ascii="Arial" w:hAnsi="Arial" w:cs="Arial"/>
          <w:sz w:val="24"/>
          <w:szCs w:val="24"/>
        </w:rPr>
      </w:pPr>
      <w:proofErr w:type="spellStart"/>
      <w:r w:rsidRPr="004223A8">
        <w:rPr>
          <w:rFonts w:ascii="Arial" w:hAnsi="Arial" w:cs="Arial"/>
          <w:sz w:val="24"/>
          <w:szCs w:val="24"/>
        </w:rPr>
        <w:lastRenderedPageBreak/>
        <w:t>Tumataroa</w:t>
      </w:r>
      <w:proofErr w:type="spellEnd"/>
      <w:r w:rsidRPr="004223A8">
        <w:rPr>
          <w:rFonts w:ascii="Arial" w:hAnsi="Arial" w:cs="Arial"/>
          <w:sz w:val="24"/>
          <w:szCs w:val="24"/>
        </w:rPr>
        <w:t xml:space="preserve">, S. and O’Hare, D., 2019. Improving self-control through financial </w:t>
      </w:r>
      <w:proofErr w:type="spellStart"/>
      <w:r w:rsidRPr="004223A8">
        <w:rPr>
          <w:rFonts w:ascii="Arial" w:hAnsi="Arial" w:cs="Arial"/>
          <w:sz w:val="24"/>
          <w:szCs w:val="24"/>
        </w:rPr>
        <w:t>counseling</w:t>
      </w:r>
      <w:proofErr w:type="spellEnd"/>
      <w:r w:rsidRPr="004223A8">
        <w:rPr>
          <w:rFonts w:ascii="Arial" w:hAnsi="Arial" w:cs="Arial"/>
          <w:sz w:val="24"/>
          <w:szCs w:val="24"/>
        </w:rPr>
        <w:t xml:space="preserve">: A randomized controlled trial. Journal of Financial </w:t>
      </w:r>
      <w:proofErr w:type="spellStart"/>
      <w:r w:rsidRPr="004223A8">
        <w:rPr>
          <w:rFonts w:ascii="Arial" w:hAnsi="Arial" w:cs="Arial"/>
          <w:sz w:val="24"/>
          <w:szCs w:val="24"/>
        </w:rPr>
        <w:t>Counseling</w:t>
      </w:r>
      <w:proofErr w:type="spellEnd"/>
      <w:r w:rsidRPr="004223A8">
        <w:rPr>
          <w:rFonts w:ascii="Arial" w:hAnsi="Arial" w:cs="Arial"/>
          <w:sz w:val="24"/>
          <w:szCs w:val="24"/>
        </w:rPr>
        <w:t xml:space="preserve"> and Planning, 30(2), pp.304-312.</w:t>
      </w:r>
    </w:p>
    <w:p w14:paraId="0BCF576A" w14:textId="77777777" w:rsidR="004223A8" w:rsidRPr="004223A8" w:rsidRDefault="004223A8" w:rsidP="004223A8">
      <w:pPr>
        <w:spacing w:line="360" w:lineRule="auto"/>
        <w:rPr>
          <w:rFonts w:ascii="Arial" w:hAnsi="Arial" w:cs="Arial"/>
          <w:sz w:val="24"/>
          <w:szCs w:val="24"/>
        </w:rPr>
      </w:pPr>
      <w:r w:rsidRPr="004223A8">
        <w:rPr>
          <w:rFonts w:ascii="Arial" w:hAnsi="Arial" w:cs="Arial"/>
          <w:sz w:val="24"/>
          <w:szCs w:val="24"/>
        </w:rPr>
        <w:t>Wei, P., Lu, Z. and Song, J., 2014. Uncertainty importance analysis using parametric moment ratio functions. </w:t>
      </w:r>
      <w:r w:rsidRPr="004223A8">
        <w:rPr>
          <w:rFonts w:ascii="Arial" w:hAnsi="Arial" w:cs="Arial"/>
          <w:i/>
          <w:iCs/>
          <w:sz w:val="24"/>
          <w:szCs w:val="24"/>
        </w:rPr>
        <w:t>Risk analysis</w:t>
      </w:r>
      <w:r w:rsidRPr="004223A8">
        <w:rPr>
          <w:rFonts w:ascii="Arial" w:hAnsi="Arial" w:cs="Arial"/>
          <w:sz w:val="24"/>
          <w:szCs w:val="24"/>
        </w:rPr>
        <w:t>, </w:t>
      </w:r>
      <w:r w:rsidRPr="004223A8">
        <w:rPr>
          <w:rFonts w:ascii="Arial" w:hAnsi="Arial" w:cs="Arial"/>
          <w:i/>
          <w:iCs/>
          <w:sz w:val="24"/>
          <w:szCs w:val="24"/>
        </w:rPr>
        <w:t>34</w:t>
      </w:r>
      <w:r w:rsidRPr="004223A8">
        <w:rPr>
          <w:rFonts w:ascii="Arial" w:hAnsi="Arial" w:cs="Arial"/>
          <w:sz w:val="24"/>
          <w:szCs w:val="24"/>
        </w:rPr>
        <w:t>(2), pp.223-234.</w:t>
      </w:r>
    </w:p>
    <w:p w14:paraId="2C592320" w14:textId="77777777" w:rsidR="004223A8" w:rsidRPr="004223A8" w:rsidRDefault="004223A8" w:rsidP="004223A8">
      <w:pPr>
        <w:spacing w:line="360" w:lineRule="auto"/>
        <w:rPr>
          <w:rFonts w:ascii="Arial" w:hAnsi="Arial" w:cs="Arial"/>
          <w:sz w:val="24"/>
          <w:szCs w:val="24"/>
        </w:rPr>
      </w:pPr>
      <w:bookmarkStart w:id="10" w:name="_Hlk104242977"/>
      <w:r w:rsidRPr="004223A8">
        <w:rPr>
          <w:rFonts w:ascii="Arial" w:hAnsi="Arial" w:cs="Arial"/>
          <w:sz w:val="24"/>
          <w:szCs w:val="24"/>
        </w:rPr>
        <w:t>Yahoo Finance, 2022</w:t>
      </w:r>
      <w:bookmarkEnd w:id="10"/>
      <w:r w:rsidRPr="004223A8">
        <w:rPr>
          <w:rFonts w:ascii="Arial" w:hAnsi="Arial" w:cs="Arial"/>
          <w:sz w:val="24"/>
          <w:szCs w:val="24"/>
        </w:rPr>
        <w:t>. </w:t>
      </w:r>
      <w:r w:rsidRPr="004223A8">
        <w:rPr>
          <w:rFonts w:ascii="Arial" w:hAnsi="Arial" w:cs="Arial"/>
          <w:i/>
          <w:iCs/>
          <w:sz w:val="24"/>
          <w:szCs w:val="24"/>
        </w:rPr>
        <w:t>Hilton Worldwide Holdings Inc. (HLT)</w:t>
      </w:r>
      <w:r w:rsidRPr="004223A8">
        <w:rPr>
          <w:rFonts w:ascii="Arial" w:hAnsi="Arial" w:cs="Arial"/>
          <w:sz w:val="24"/>
          <w:szCs w:val="24"/>
        </w:rPr>
        <w:t>. [online] Uk.finance.yahoo.com. Available at: &lt;</w:t>
      </w:r>
      <w:hyperlink r:id="rId7" w:history="1">
        <w:r w:rsidRPr="004223A8">
          <w:rPr>
            <w:rStyle w:val="Hyperlink"/>
            <w:rFonts w:ascii="Arial" w:hAnsi="Arial" w:cs="Arial"/>
            <w:sz w:val="24"/>
            <w:szCs w:val="24"/>
          </w:rPr>
          <w:t>https://uk.finance.yahoo.com/quote/HLT/balance-sheet?p=HLT&amp;guccounter=1&amp;guce_referrer=aHR0cHM6Ly93d3cuZ29vZ2xlLmNvbS8&amp;guce_referrer_sig=AQAAAMyXLfh7w6mhByvgYkAWqIPH03oSs3zBLOHkwqZCEAmDRpf503V2ZbJ2DYLTRiz6lJu-sqNUIO7AoRZp0Vt8PcVW1QKQXaneN4duTatUWv0KEL9uId04V-mygrmT--zxceHIvlbGPl6Rh69x_4unpdn2TkksXer_SJRgE2Hu5P9q&gt;</w:t>
        </w:r>
      </w:hyperlink>
      <w:r w:rsidRPr="004223A8">
        <w:rPr>
          <w:rFonts w:ascii="Arial" w:hAnsi="Arial" w:cs="Arial"/>
          <w:sz w:val="24"/>
          <w:szCs w:val="24"/>
        </w:rPr>
        <w:t xml:space="preserve"> [Accessed 23 May 2022].</w:t>
      </w:r>
    </w:p>
    <w:p w14:paraId="28F1748B" w14:textId="77777777" w:rsidR="00091ED7" w:rsidRPr="004223A8" w:rsidRDefault="00091ED7">
      <w:pPr>
        <w:rPr>
          <w:rFonts w:ascii="Arial" w:hAnsi="Arial" w:cs="Arial"/>
          <w:sz w:val="24"/>
          <w:szCs w:val="24"/>
        </w:rPr>
      </w:pPr>
    </w:p>
    <w:sectPr w:rsidR="00091ED7" w:rsidRPr="004223A8" w:rsidSect="000D0ECA">
      <w:footerReference w:type="default" r:id="rId8"/>
      <w:headerReference w:type="first" r:id="rId9"/>
      <w:pgSz w:w="11906" w:h="16838"/>
      <w:pgMar w:top="1440" w:right="1440" w:bottom="1440" w:left="1440" w:header="708" w:footer="708" w:gutter="0"/>
      <w:pgBorders w:offsetFrom="page">
        <w:top w:val="threeDEmboss" w:sz="12" w:space="24" w:color="4472C4" w:themeColor="accent1"/>
        <w:left w:val="threeDEmboss" w:sz="12" w:space="24" w:color="4472C4" w:themeColor="accent1"/>
        <w:bottom w:val="threeDEngrave" w:sz="12" w:space="24" w:color="4472C4" w:themeColor="accent1"/>
        <w:right w:val="threeDEngrave" w:sz="12" w:space="24" w:color="4472C4" w:themeColor="accen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2D376" w14:textId="77777777" w:rsidR="00597860" w:rsidRDefault="00597860" w:rsidP="004223A8">
      <w:pPr>
        <w:spacing w:after="0" w:line="240" w:lineRule="auto"/>
      </w:pPr>
      <w:r>
        <w:separator/>
      </w:r>
    </w:p>
  </w:endnote>
  <w:endnote w:type="continuationSeparator" w:id="0">
    <w:p w14:paraId="30DB2AB5" w14:textId="77777777" w:rsidR="00597860" w:rsidRDefault="00597860" w:rsidP="00422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120777"/>
      <w:docPartObj>
        <w:docPartGallery w:val="Page Numbers (Bottom of Page)"/>
        <w:docPartUnique/>
      </w:docPartObj>
    </w:sdtPr>
    <w:sdtEndPr/>
    <w:sdtContent>
      <w:p w14:paraId="1F0AFF4E" w14:textId="77777777" w:rsidR="0041065D" w:rsidRDefault="00D109E5">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3F12250" w14:textId="77777777" w:rsidR="0041065D" w:rsidRDefault="005978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9E439" w14:textId="77777777" w:rsidR="00597860" w:rsidRDefault="00597860" w:rsidP="004223A8">
      <w:pPr>
        <w:spacing w:after="0" w:line="240" w:lineRule="auto"/>
      </w:pPr>
      <w:r>
        <w:separator/>
      </w:r>
    </w:p>
  </w:footnote>
  <w:footnote w:type="continuationSeparator" w:id="0">
    <w:p w14:paraId="3518BAC7" w14:textId="77777777" w:rsidR="00597860" w:rsidRDefault="00597860" w:rsidP="00422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C4410" w14:textId="77777777" w:rsidR="000D0ECA" w:rsidRDefault="00D109E5">
    <w:pPr>
      <w:pStyle w:val="Header"/>
    </w:pPr>
    <w:r>
      <w:tab/>
    </w:r>
    <w:r>
      <w:tab/>
    </w:r>
    <w:r w:rsidRPr="000D0ECA">
      <w:rPr>
        <w:noProof/>
      </w:rPr>
      <w:drawing>
        <wp:inline distT="0" distB="0" distL="0" distR="0" wp14:anchorId="146D4EEF" wp14:editId="4079EE3B">
          <wp:extent cx="1722269" cy="6477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722269" cy="64775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B39EB"/>
    <w:multiLevelType w:val="hybridMultilevel"/>
    <w:tmpl w:val="19E84D64"/>
    <w:lvl w:ilvl="0" w:tplc="56CE85BE">
      <w:start w:val="1"/>
      <w:numFmt w:val="decimal"/>
      <w:lvlText w:val="%1."/>
      <w:lvlJc w:val="left"/>
      <w:pPr>
        <w:ind w:left="360" w:hanging="360"/>
      </w:pPr>
      <w:rPr>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773F03BC"/>
    <w:multiLevelType w:val="hybridMultilevel"/>
    <w:tmpl w:val="92040EBA"/>
    <w:lvl w:ilvl="0" w:tplc="582CE1E6">
      <w:start w:val="1"/>
      <w:numFmt w:val="decimal"/>
      <w:lvlText w:val="%1."/>
      <w:lvlJc w:val="left"/>
      <w:pPr>
        <w:ind w:left="360" w:hanging="360"/>
      </w:pPr>
      <w:rPr>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548692296">
    <w:abstractNumId w:val="0"/>
  </w:num>
  <w:num w:numId="2" w16cid:durableId="1104958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3A8"/>
    <w:rsid w:val="00091ED7"/>
    <w:rsid w:val="00121547"/>
    <w:rsid w:val="00285829"/>
    <w:rsid w:val="004223A8"/>
    <w:rsid w:val="00597860"/>
    <w:rsid w:val="00CE783B"/>
    <w:rsid w:val="00D10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D6370"/>
  <w15:chartTrackingRefBased/>
  <w15:docId w15:val="{7C6C0ECC-E6DC-40B6-AA2B-6F10965FE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3A8"/>
    <w:pPr>
      <w:keepNext/>
      <w:keepLines/>
      <w:spacing w:before="240" w:after="0" w:line="360" w:lineRule="auto"/>
      <w:jc w:val="both"/>
      <w:outlineLvl w:val="0"/>
    </w:pPr>
    <w:rPr>
      <w:rFonts w:asciiTheme="majorHAnsi" w:eastAsiaTheme="majorEastAsia" w:hAnsiTheme="majorHAnsi" w:cstheme="majorBidi"/>
      <w:color w:val="2F5496" w:themeColor="accent1" w:themeShade="BF"/>
      <w:sz w:val="32"/>
      <w:szCs w:val="3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3A8"/>
    <w:rPr>
      <w:rFonts w:asciiTheme="majorHAnsi" w:eastAsiaTheme="majorEastAsia" w:hAnsiTheme="majorHAnsi" w:cstheme="majorBidi"/>
      <w:color w:val="2F5496" w:themeColor="accent1" w:themeShade="BF"/>
      <w:sz w:val="32"/>
      <w:szCs w:val="32"/>
      <w:lang w:val="en-IN"/>
    </w:rPr>
  </w:style>
  <w:style w:type="paragraph" w:styleId="ListParagraph">
    <w:name w:val="List Paragraph"/>
    <w:basedOn w:val="Normal"/>
    <w:uiPriority w:val="34"/>
    <w:qFormat/>
    <w:rsid w:val="004223A8"/>
    <w:pPr>
      <w:spacing w:line="360" w:lineRule="auto"/>
      <w:ind w:left="720"/>
      <w:contextualSpacing/>
      <w:jc w:val="both"/>
    </w:pPr>
    <w:rPr>
      <w:sz w:val="24"/>
      <w:lang w:val="en-IN"/>
    </w:rPr>
  </w:style>
  <w:style w:type="character" w:styleId="Hyperlink">
    <w:name w:val="Hyperlink"/>
    <w:basedOn w:val="DefaultParagraphFont"/>
    <w:uiPriority w:val="99"/>
    <w:unhideWhenUsed/>
    <w:rsid w:val="004223A8"/>
    <w:rPr>
      <w:color w:val="0563C1" w:themeColor="hyperlink"/>
      <w:u w:val="single"/>
    </w:rPr>
  </w:style>
  <w:style w:type="paragraph" w:styleId="Header">
    <w:name w:val="header"/>
    <w:basedOn w:val="Normal"/>
    <w:link w:val="HeaderChar"/>
    <w:uiPriority w:val="99"/>
    <w:unhideWhenUsed/>
    <w:rsid w:val="004223A8"/>
    <w:pPr>
      <w:tabs>
        <w:tab w:val="center" w:pos="4513"/>
        <w:tab w:val="right" w:pos="9026"/>
      </w:tabs>
      <w:spacing w:after="0" w:line="240" w:lineRule="auto"/>
      <w:jc w:val="both"/>
    </w:pPr>
    <w:rPr>
      <w:sz w:val="24"/>
      <w:lang w:val="en-IN"/>
    </w:rPr>
  </w:style>
  <w:style w:type="character" w:customStyle="1" w:styleId="HeaderChar">
    <w:name w:val="Header Char"/>
    <w:basedOn w:val="DefaultParagraphFont"/>
    <w:link w:val="Header"/>
    <w:uiPriority w:val="99"/>
    <w:rsid w:val="004223A8"/>
    <w:rPr>
      <w:sz w:val="24"/>
      <w:lang w:val="en-IN"/>
    </w:rPr>
  </w:style>
  <w:style w:type="paragraph" w:styleId="Footer">
    <w:name w:val="footer"/>
    <w:basedOn w:val="Normal"/>
    <w:link w:val="FooterChar"/>
    <w:uiPriority w:val="99"/>
    <w:unhideWhenUsed/>
    <w:rsid w:val="004223A8"/>
    <w:pPr>
      <w:tabs>
        <w:tab w:val="center" w:pos="4513"/>
        <w:tab w:val="right" w:pos="9026"/>
      </w:tabs>
      <w:spacing w:after="0" w:line="240" w:lineRule="auto"/>
      <w:jc w:val="both"/>
    </w:pPr>
    <w:rPr>
      <w:sz w:val="24"/>
      <w:lang w:val="en-IN"/>
    </w:rPr>
  </w:style>
  <w:style w:type="character" w:customStyle="1" w:styleId="FooterChar">
    <w:name w:val="Footer Char"/>
    <w:basedOn w:val="DefaultParagraphFont"/>
    <w:link w:val="Footer"/>
    <w:uiPriority w:val="99"/>
    <w:rsid w:val="004223A8"/>
    <w:rPr>
      <w:sz w:val="24"/>
      <w:lang w:val="en-IN"/>
    </w:rPr>
  </w:style>
  <w:style w:type="paragraph" w:styleId="TOCHeading">
    <w:name w:val="TOC Heading"/>
    <w:basedOn w:val="Heading1"/>
    <w:next w:val="Normal"/>
    <w:uiPriority w:val="39"/>
    <w:unhideWhenUsed/>
    <w:qFormat/>
    <w:rsid w:val="004223A8"/>
    <w:pPr>
      <w:outlineLvl w:val="9"/>
    </w:pPr>
    <w:rPr>
      <w:lang w:val="en-US"/>
    </w:rPr>
  </w:style>
  <w:style w:type="paragraph" w:styleId="TOC1">
    <w:name w:val="toc 1"/>
    <w:basedOn w:val="Normal"/>
    <w:next w:val="Normal"/>
    <w:autoRedefine/>
    <w:uiPriority w:val="39"/>
    <w:unhideWhenUsed/>
    <w:rsid w:val="004223A8"/>
    <w:pPr>
      <w:spacing w:after="100" w:line="360" w:lineRule="auto"/>
      <w:jc w:val="both"/>
    </w:pPr>
    <w:rPr>
      <w:sz w:val="24"/>
      <w:lang w:val="en-IN"/>
    </w:rPr>
  </w:style>
  <w:style w:type="paragraph" w:styleId="NoSpacing">
    <w:name w:val="No Spacing"/>
    <w:link w:val="NoSpacingChar"/>
    <w:uiPriority w:val="1"/>
    <w:qFormat/>
    <w:rsid w:val="004223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23A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uk.finance.yahoo.com/quote/HLT/balance-sheet?p=HLT&amp;guccounter=1&amp;guce_referrer=aHR0cHM6Ly93d3cuZ29vZ2xlLmNvbS8&amp;guce_referrer_sig=AQAAAMyXLfh7w6mhByvgYkAWqIPH03oSs3zBLOHkwqZCEAmDRpf503V2ZbJ2DYLTRiz6lJu-sqNUIO7AoRZp0Vt8PcVW1QKQXaneN4duTatUWv0KEL9uId04V-mygrmT--zxceHIvlbGPl6Rh69x_4unpdn2TkksXer_SJRgE2Hu5P9q%3e%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2724</Words>
  <Characters>15528</Characters>
  <Application>Microsoft Office Word</Application>
  <DocSecurity>0</DocSecurity>
  <Lines>129</Lines>
  <Paragraphs>36</Paragraphs>
  <ScaleCrop>false</ScaleCrop>
  <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mariafuro@yahoo.com</dc:creator>
  <cp:keywords/>
  <dc:description/>
  <cp:lastModifiedBy>Lenuta Furo (2019723)</cp:lastModifiedBy>
  <cp:revision>2</cp:revision>
  <dcterms:created xsi:type="dcterms:W3CDTF">2022-06-01T11:04:00Z</dcterms:created>
  <dcterms:modified xsi:type="dcterms:W3CDTF">2022-06-01T11:04:00Z</dcterms:modified>
</cp:coreProperties>
</file>