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0F71B4" w14:textId="77777777" w:rsidR="00EF68EA" w:rsidRDefault="00EF68EA" w:rsidP="00EF68EA">
      <w:pPr>
        <w:pStyle w:val="NormalWeb"/>
        <w:spacing w:before="0" w:beforeAutospacing="0" w:after="0" w:afterAutospacing="0"/>
        <w:ind w:left="-180" w:right="-334"/>
      </w:pPr>
      <w:bookmarkStart w:id="0" w:name="_Hlk58911318"/>
      <w:bookmarkEnd w:id="0"/>
      <w:r>
        <w:rPr>
          <w:noProof/>
        </w:rPr>
        <w:drawing>
          <wp:inline distT="0" distB="0" distL="0" distR="0" wp14:anchorId="03CCBCE0" wp14:editId="60768E4D">
            <wp:extent cx="1906270" cy="638175"/>
            <wp:effectExtent l="19050" t="19050" r="1778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6270" cy="638175"/>
                    </a:xfrm>
                    <a:prstGeom prst="rect">
                      <a:avLst/>
                    </a:prstGeom>
                    <a:noFill/>
                    <a:ln w="19050" cmpd="sng">
                      <a:solidFill>
                        <a:srgbClr val="000000"/>
                      </a:solidFill>
                      <a:miter lim="800000"/>
                      <a:headEnd/>
                      <a:tailEnd/>
                    </a:ln>
                    <a:effectLst/>
                  </pic:spPr>
                </pic:pic>
              </a:graphicData>
            </a:graphic>
          </wp:inline>
        </w:drawing>
      </w:r>
    </w:p>
    <w:p w14:paraId="3589E3FA" w14:textId="77777777" w:rsidR="00EF68EA" w:rsidRDefault="00EF68EA" w:rsidP="00EF68EA">
      <w:pPr>
        <w:pStyle w:val="NormalWeb"/>
        <w:spacing w:before="0" w:beforeAutospacing="0" w:after="0" w:afterAutospacing="0"/>
        <w:ind w:left="-180" w:right="-334"/>
      </w:pPr>
    </w:p>
    <w:p w14:paraId="05FBC2A5" w14:textId="77777777" w:rsidR="00EF68EA" w:rsidRDefault="00EF68EA" w:rsidP="00EF68EA">
      <w:pPr>
        <w:pStyle w:val="NormalWeb"/>
        <w:spacing w:before="0" w:beforeAutospacing="0" w:after="0" w:afterAutospacing="0"/>
        <w:ind w:left="-180" w:right="-334"/>
      </w:pPr>
    </w:p>
    <w:p w14:paraId="2666D8BC" w14:textId="77777777" w:rsidR="00EF68EA" w:rsidRDefault="00EF68EA" w:rsidP="00EF68EA">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52955EE4" w14:textId="77777777" w:rsidR="00EF68EA" w:rsidRPr="00230F35" w:rsidRDefault="00EF68EA" w:rsidP="00EF68EA">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47662C51" w14:textId="77777777" w:rsidR="00EF68EA" w:rsidRPr="00230F35" w:rsidRDefault="00EF68EA" w:rsidP="00EF68EA">
      <w:pPr>
        <w:rPr>
          <w:rFonts w:ascii="Arial" w:hAnsi="Arial" w:cs="Arial"/>
          <w:sz w:val="28"/>
          <w:szCs w:val="28"/>
          <w:lang w:val="cy-GB"/>
        </w:rPr>
      </w:pPr>
    </w:p>
    <w:p w14:paraId="35BEF0F3" w14:textId="77777777" w:rsidR="00EF68EA" w:rsidRDefault="00EF68EA" w:rsidP="00EF68EA">
      <w:pPr>
        <w:pStyle w:val="Heading3"/>
        <w:jc w:val="center"/>
        <w:rPr>
          <w:lang w:val="cy-GB"/>
        </w:rPr>
      </w:pPr>
      <w:r>
        <w:rPr>
          <w:lang w:val="cy-GB"/>
        </w:rPr>
        <w:t>THIS SHEET MUST BE THE FIRST PAGE OF THE ASSIGNMENT YOU ARE SUBMITTING  (DO NOT SEND AS A SEPARATE FILE)</w:t>
      </w:r>
    </w:p>
    <w:p w14:paraId="792E65BA" w14:textId="77777777" w:rsidR="00EF68EA" w:rsidRDefault="00EF68EA" w:rsidP="00EF68EA">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EF68EA" w:rsidRPr="00230F35" w14:paraId="4A9A7392" w14:textId="77777777" w:rsidTr="001400D4">
        <w:trPr>
          <w:trHeight w:val="614"/>
        </w:trPr>
        <w:tc>
          <w:tcPr>
            <w:tcW w:w="8856" w:type="dxa"/>
            <w:gridSpan w:val="5"/>
          </w:tcPr>
          <w:p w14:paraId="04018D68" w14:textId="77777777" w:rsidR="00EF68EA" w:rsidRPr="00230F35" w:rsidRDefault="00EF68EA" w:rsidP="001400D4">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EF68EA" w:rsidRPr="00230F35" w14:paraId="38FC5042" w14:textId="77777777" w:rsidTr="001400D4">
        <w:trPr>
          <w:trHeight w:val="718"/>
        </w:trPr>
        <w:tc>
          <w:tcPr>
            <w:tcW w:w="8856" w:type="dxa"/>
            <w:gridSpan w:val="5"/>
          </w:tcPr>
          <w:p w14:paraId="22508900" w14:textId="77777777" w:rsidR="00EF68EA" w:rsidRDefault="00EF68EA" w:rsidP="001400D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Kim Harrer</w:t>
            </w:r>
          </w:p>
          <w:p w14:paraId="06A47A21" w14:textId="77777777" w:rsidR="00EF68EA" w:rsidRPr="00230F35" w:rsidRDefault="00EF68EA" w:rsidP="001400D4">
            <w:pPr>
              <w:pStyle w:val="NormalWeb"/>
              <w:spacing w:before="0" w:beforeAutospacing="0" w:after="0" w:afterAutospacing="0"/>
              <w:ind w:right="34"/>
              <w:rPr>
                <w:rFonts w:ascii="Arial" w:hAnsi="Arial" w:cs="Arial"/>
                <w:sz w:val="22"/>
                <w:szCs w:val="22"/>
              </w:rPr>
            </w:pPr>
          </w:p>
          <w:p w14:paraId="6EEDEF25" w14:textId="77777777" w:rsidR="00EF68EA" w:rsidRPr="00230F35" w:rsidRDefault="00EF68EA" w:rsidP="001400D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1814398@student.uwtsd.ac.uk</w:t>
            </w:r>
          </w:p>
        </w:tc>
      </w:tr>
      <w:tr w:rsidR="00EF68EA" w:rsidRPr="00230F35" w14:paraId="56E50DC3" w14:textId="77777777" w:rsidTr="001400D4">
        <w:trPr>
          <w:trHeight w:val="849"/>
        </w:trPr>
        <w:tc>
          <w:tcPr>
            <w:tcW w:w="4788" w:type="dxa"/>
          </w:tcPr>
          <w:p w14:paraId="429FCA85" w14:textId="77777777" w:rsidR="00EF68EA" w:rsidRPr="00230F35" w:rsidRDefault="00EF68EA" w:rsidP="001400D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HPCA7003</w:t>
            </w:r>
          </w:p>
          <w:p w14:paraId="0729224B" w14:textId="77777777" w:rsidR="00EF68EA" w:rsidRPr="00230F35" w:rsidRDefault="00EF68EA" w:rsidP="001400D4">
            <w:pPr>
              <w:pStyle w:val="NormalWeb"/>
              <w:spacing w:before="0" w:beforeAutospacing="0" w:after="0" w:afterAutospacing="0"/>
              <w:ind w:right="34"/>
              <w:rPr>
                <w:rFonts w:ascii="Arial" w:hAnsi="Arial" w:cs="Arial"/>
                <w:sz w:val="22"/>
                <w:szCs w:val="22"/>
              </w:rPr>
            </w:pPr>
          </w:p>
          <w:p w14:paraId="50153FC8" w14:textId="77777777" w:rsidR="00EF68EA" w:rsidRDefault="00EF68EA" w:rsidP="001400D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History of Astrology</w:t>
            </w:r>
          </w:p>
          <w:p w14:paraId="5A3CBFC2" w14:textId="77777777" w:rsidR="00EF68EA" w:rsidRDefault="00EF68EA" w:rsidP="001400D4">
            <w:pPr>
              <w:pStyle w:val="NormalWeb"/>
              <w:spacing w:before="0" w:beforeAutospacing="0" w:after="0" w:afterAutospacing="0"/>
              <w:ind w:right="34"/>
              <w:rPr>
                <w:rFonts w:ascii="Arial" w:hAnsi="Arial" w:cs="Arial"/>
                <w:sz w:val="22"/>
                <w:szCs w:val="22"/>
              </w:rPr>
            </w:pPr>
          </w:p>
          <w:p w14:paraId="67956917" w14:textId="77777777" w:rsidR="00EF68EA" w:rsidRPr="00230F35" w:rsidRDefault="00EF68EA" w:rsidP="001400D4">
            <w:pPr>
              <w:pStyle w:val="NormalWeb"/>
              <w:spacing w:before="0" w:beforeAutospacing="0" w:after="0" w:afterAutospacing="0"/>
              <w:ind w:right="34"/>
              <w:rPr>
                <w:rFonts w:ascii="Arial" w:hAnsi="Arial" w:cs="Arial"/>
                <w:sz w:val="22"/>
                <w:szCs w:val="22"/>
              </w:rPr>
            </w:pPr>
          </w:p>
        </w:tc>
        <w:tc>
          <w:tcPr>
            <w:tcW w:w="2266" w:type="dxa"/>
            <w:gridSpan w:val="3"/>
          </w:tcPr>
          <w:p w14:paraId="69ED7B9B" w14:textId="77777777" w:rsidR="00EF68EA" w:rsidRPr="00230F35" w:rsidRDefault="00EF68EA" w:rsidP="001400D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Pr>
                <w:rFonts w:ascii="Arial" w:hAnsi="Arial" w:cs="Arial"/>
                <w:sz w:val="22"/>
                <w:szCs w:val="22"/>
              </w:rPr>
              <w:t xml:space="preserve"> 1814398</w:t>
            </w:r>
          </w:p>
        </w:tc>
        <w:tc>
          <w:tcPr>
            <w:tcW w:w="1802" w:type="dxa"/>
          </w:tcPr>
          <w:p w14:paraId="56ABEADC" w14:textId="77777777" w:rsidR="00EF68EA" w:rsidRPr="00230F35" w:rsidRDefault="00EF68EA" w:rsidP="001400D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1C5DD5F0" w14:textId="77777777" w:rsidR="00EF68EA" w:rsidRPr="00230F35" w:rsidRDefault="00EF68EA" w:rsidP="001400D4">
            <w:pPr>
              <w:pStyle w:val="NormalWeb"/>
              <w:spacing w:before="0" w:beforeAutospacing="0" w:after="0" w:afterAutospacing="0"/>
              <w:ind w:right="34"/>
              <w:rPr>
                <w:rFonts w:ascii="Arial" w:hAnsi="Arial" w:cs="Arial"/>
                <w:sz w:val="22"/>
                <w:szCs w:val="22"/>
              </w:rPr>
            </w:pPr>
            <w:r>
              <w:rPr>
                <w:rFonts w:ascii="Arial" w:hAnsi="Arial" w:cs="Arial"/>
                <w:sz w:val="22"/>
                <w:szCs w:val="22"/>
              </w:rPr>
              <w:t>No</w:t>
            </w:r>
          </w:p>
        </w:tc>
      </w:tr>
      <w:tr w:rsidR="00EF68EA" w:rsidRPr="00230F35" w14:paraId="06B3EAD9" w14:textId="77777777" w:rsidTr="001400D4">
        <w:trPr>
          <w:trHeight w:val="1139"/>
        </w:trPr>
        <w:tc>
          <w:tcPr>
            <w:tcW w:w="8856" w:type="dxa"/>
            <w:gridSpan w:val="5"/>
          </w:tcPr>
          <w:p w14:paraId="2C4DC6CF" w14:textId="77777777" w:rsidR="00EF68EA" w:rsidRPr="00230F35" w:rsidRDefault="00EF68EA" w:rsidP="001400D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Did medieval astrology (1100-1400) assume that the future was negotiable or fixed?</w:t>
            </w:r>
          </w:p>
          <w:p w14:paraId="3ED0CC4A" w14:textId="77777777" w:rsidR="00EF68EA" w:rsidRPr="00230F35" w:rsidRDefault="00EF68EA" w:rsidP="001400D4">
            <w:pPr>
              <w:pStyle w:val="NormalWeb"/>
              <w:spacing w:before="0" w:beforeAutospacing="0" w:after="0" w:afterAutospacing="0"/>
              <w:ind w:right="34"/>
              <w:rPr>
                <w:rFonts w:ascii="Arial" w:hAnsi="Arial" w:cs="Arial"/>
                <w:sz w:val="22"/>
                <w:szCs w:val="22"/>
              </w:rPr>
            </w:pPr>
          </w:p>
          <w:p w14:paraId="6B3A0B98" w14:textId="77777777" w:rsidR="00EF68EA" w:rsidRDefault="00EF68EA" w:rsidP="001400D4">
            <w:pPr>
              <w:pStyle w:val="NormalWeb"/>
              <w:spacing w:before="0" w:beforeAutospacing="0" w:after="0" w:afterAutospacing="0"/>
              <w:ind w:right="34"/>
              <w:rPr>
                <w:rFonts w:ascii="Arial" w:hAnsi="Arial" w:cs="Arial"/>
                <w:sz w:val="22"/>
                <w:szCs w:val="22"/>
              </w:rPr>
            </w:pPr>
          </w:p>
          <w:p w14:paraId="2CDBC8D2" w14:textId="77777777" w:rsidR="00EF68EA" w:rsidRPr="00230F35" w:rsidRDefault="00EF68EA" w:rsidP="001400D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15/12/2020</w:t>
            </w:r>
          </w:p>
        </w:tc>
      </w:tr>
      <w:tr w:rsidR="00EF68EA" w:rsidRPr="00230F35" w14:paraId="5C50EC16" w14:textId="77777777" w:rsidTr="001400D4">
        <w:trPr>
          <w:trHeight w:val="978"/>
        </w:trPr>
        <w:tc>
          <w:tcPr>
            <w:tcW w:w="8856" w:type="dxa"/>
            <w:gridSpan w:val="5"/>
            <w:tcBorders>
              <w:bottom w:val="single" w:sz="4" w:space="0" w:color="000000"/>
            </w:tcBorders>
          </w:tcPr>
          <w:p w14:paraId="3F45300B" w14:textId="77777777" w:rsidR="00EF68EA" w:rsidRPr="00230F35" w:rsidRDefault="00EF68EA" w:rsidP="001400D4">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Pr>
                <w:rFonts w:ascii="Arial" w:hAnsi="Arial" w:cs="Arial"/>
                <w:vertAlign w:val="superscript"/>
              </w:rPr>
              <w:t xml:space="preserve"> </w:t>
            </w:r>
            <w:r w:rsidRPr="00230F35">
              <w:rPr>
                <w:rFonts w:ascii="Arial" w:hAnsi="Arial" w:cs="Arial"/>
              </w:rPr>
              <w:fldChar w:fldCharType="begin">
                <w:ffData>
                  <w:name w:val="Check14"/>
                  <w:enabled/>
                  <w:calcOnExit w:val="0"/>
                  <w:checkBox>
                    <w:sizeAuto/>
                    <w:default w:val="0"/>
                  </w:checkBox>
                </w:ffData>
              </w:fldChar>
            </w:r>
            <w:r w:rsidRPr="00230F35">
              <w:rPr>
                <w:rFonts w:ascii="Arial" w:hAnsi="Arial" w:cs="Arial"/>
              </w:rPr>
              <w:instrText xml:space="preserve"> FORMCHECKBOX </w:instrText>
            </w:r>
            <w:r>
              <w:rPr>
                <w:rFonts w:ascii="Arial" w:hAnsi="Arial" w:cs="Arial"/>
              </w:rPr>
            </w:r>
            <w:r>
              <w:rPr>
                <w:rFonts w:ascii="Arial" w:hAnsi="Arial" w:cs="Arial"/>
              </w:rPr>
              <w:fldChar w:fldCharType="separate"/>
            </w:r>
            <w:r w:rsidRPr="00230F35">
              <w:rPr>
                <w:rFonts w:ascii="Arial" w:hAnsi="Arial" w:cs="Arial"/>
              </w:rPr>
              <w:fldChar w:fldCharType="end"/>
            </w:r>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Pr>
                <w:rFonts w:ascii="Arial" w:hAnsi="Arial" w:cs="Arial"/>
              </w:rPr>
              <w:fldChar w:fldCharType="begin">
                <w:ffData>
                  <w:name w:val="Check14"/>
                  <w:enabled/>
                  <w:calcOnExit w:val="0"/>
                  <w:checkBox>
                    <w:sizeAuto/>
                    <w:default w:val="1"/>
                  </w:checkBox>
                </w:ffData>
              </w:fldChar>
            </w:r>
            <w:bookmarkStart w:id="1" w:name="Check14"/>
            <w:r>
              <w:rPr>
                <w:rFonts w:ascii="Arial" w:hAnsi="Arial" w:cs="Arial"/>
              </w:rPr>
              <w:instrText xml:space="preserve"> FORMCHECKBOX </w:instrText>
            </w:r>
            <w:r>
              <w:rPr>
                <w:rFonts w:ascii="Arial" w:hAnsi="Arial" w:cs="Arial"/>
              </w:rPr>
            </w:r>
            <w:r>
              <w:rPr>
                <w:rFonts w:ascii="Arial" w:hAnsi="Arial" w:cs="Arial"/>
              </w:rPr>
              <w:fldChar w:fldCharType="separate"/>
            </w:r>
            <w:r>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Pr>
                <w:rFonts w:ascii="Arial" w:hAnsi="Arial" w:cs="Arial"/>
              </w:rPr>
            </w:r>
            <w:r>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Pr>
                <w:rFonts w:ascii="Arial" w:hAnsi="Arial" w:cs="Arial"/>
              </w:rPr>
            </w:r>
            <w:r>
              <w:rPr>
                <w:rFonts w:ascii="Arial" w:hAnsi="Arial" w:cs="Arial"/>
              </w:rPr>
              <w:fldChar w:fldCharType="separate"/>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Pr>
                <w:rFonts w:ascii="Arial" w:hAnsi="Arial" w:cs="Arial"/>
              </w:rPr>
            </w:r>
            <w:r>
              <w:rPr>
                <w:rFonts w:ascii="Arial" w:hAnsi="Arial" w:cs="Arial"/>
              </w:rPr>
              <w:fldChar w:fldCharType="separate"/>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Pr>
                <w:rFonts w:ascii="Arial" w:hAnsi="Arial" w:cs="Arial"/>
              </w:rPr>
            </w:r>
            <w:r>
              <w:rPr>
                <w:rFonts w:ascii="Arial" w:hAnsi="Arial" w:cs="Arial"/>
              </w:rPr>
              <w:fldChar w:fldCharType="separate"/>
            </w:r>
            <w:r w:rsidRPr="00230F35">
              <w:rPr>
                <w:rFonts w:ascii="Arial" w:hAnsi="Arial" w:cs="Arial"/>
              </w:rPr>
              <w:fldChar w:fldCharType="end"/>
            </w:r>
            <w:bookmarkEnd w:id="5"/>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EF68EA" w:rsidRPr="00230F35" w14:paraId="0ABBAC4C" w14:textId="77777777" w:rsidTr="001400D4">
        <w:trPr>
          <w:trHeight w:val="978"/>
        </w:trPr>
        <w:tc>
          <w:tcPr>
            <w:tcW w:w="8856" w:type="dxa"/>
            <w:gridSpan w:val="5"/>
            <w:shd w:val="clear" w:color="auto" w:fill="D9D9D9"/>
          </w:tcPr>
          <w:p w14:paraId="277DFCE2" w14:textId="77777777" w:rsidR="00EF68EA" w:rsidRPr="00230F35" w:rsidRDefault="00EF68EA" w:rsidP="001400D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275B2B5E" w14:textId="77777777" w:rsidR="00EF68EA" w:rsidRDefault="00EF68EA" w:rsidP="001400D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w:t>
            </w:r>
            <w:r>
              <w:rPr>
                <w:rFonts w:ascii="Arial" w:hAnsi="Arial" w:cs="Arial"/>
                <w:sz w:val="22"/>
                <w:szCs w:val="22"/>
              </w:rPr>
              <w:t>,</w:t>
            </w:r>
          </w:p>
          <w:p w14:paraId="6F9B70A4" w14:textId="77777777" w:rsidR="00EF68EA" w:rsidRDefault="00EF68EA" w:rsidP="001400D4">
            <w:pPr>
              <w:pStyle w:val="NormalWeb"/>
              <w:spacing w:before="0" w:beforeAutospacing="0" w:after="0" w:afterAutospacing="0"/>
              <w:ind w:right="34"/>
              <w:rPr>
                <w:rFonts w:ascii="Arial" w:hAnsi="Arial" w:cs="Arial"/>
                <w:sz w:val="22"/>
                <w:szCs w:val="22"/>
              </w:rPr>
            </w:pPr>
            <w:r>
              <w:rPr>
                <w:rFonts w:ascii="Arial" w:hAnsi="Arial" w:cs="Arial"/>
                <w:sz w:val="22"/>
                <w:szCs w:val="22"/>
              </w:rPr>
              <w:t>Kimberley M. Harrer</w:t>
            </w:r>
          </w:p>
          <w:p w14:paraId="393D25F6" w14:textId="77777777" w:rsidR="00EF68EA" w:rsidRDefault="00EF68EA" w:rsidP="001400D4">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 xml:space="preserve">Email </w:t>
            </w:r>
            <w:proofErr w:type="spellStart"/>
            <w:proofErr w:type="gramStart"/>
            <w:r w:rsidRPr="005979EE">
              <w:rPr>
                <w:rFonts w:ascii="Calibri" w:hAnsi="Calibri" w:cs="Tahoma"/>
                <w:b/>
                <w:sz w:val="24"/>
                <w:szCs w:val="24"/>
              </w:rPr>
              <w:t>submission:</w:t>
            </w:r>
            <w:r>
              <w:rPr>
                <w:rFonts w:ascii="Calibri" w:hAnsi="Calibri" w:cs="Tahoma"/>
                <w:b/>
                <w:sz w:val="24"/>
                <w:szCs w:val="24"/>
              </w:rPr>
              <w:t>if</w:t>
            </w:r>
            <w:proofErr w:type="spellEnd"/>
            <w:proofErr w:type="gramEnd"/>
            <w:r>
              <w:rPr>
                <w:rFonts w:ascii="Calibri" w:hAnsi="Calibri" w:cs="Tahoma"/>
                <w:b/>
                <w:sz w:val="24"/>
                <w:szCs w:val="24"/>
              </w:rPr>
              <w:t xml:space="preserve"> you are submitting this form via email, please tick this box </w:t>
            </w:r>
            <w:r w:rsidRPr="005979EE">
              <w:rPr>
                <w:rFonts w:ascii="Calibri" w:hAnsi="Calibri" w:cs="Calibri"/>
                <w:b/>
                <w:sz w:val="44"/>
                <w:szCs w:val="44"/>
              </w:rPr>
              <w:t>□</w:t>
            </w:r>
          </w:p>
          <w:p w14:paraId="79E614DF" w14:textId="77777777" w:rsidR="00EF68EA" w:rsidRPr="00230F35" w:rsidRDefault="00EF68EA" w:rsidP="001400D4">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EF68EA" w:rsidRPr="00230F35" w14:paraId="38159196" w14:textId="77777777" w:rsidTr="001400D4">
        <w:trPr>
          <w:trHeight w:val="3972"/>
        </w:trPr>
        <w:tc>
          <w:tcPr>
            <w:tcW w:w="8856" w:type="dxa"/>
            <w:gridSpan w:val="5"/>
          </w:tcPr>
          <w:p w14:paraId="5CCD87B2" w14:textId="77777777" w:rsidR="00EF68EA" w:rsidRDefault="00EF68EA" w:rsidP="001400D4">
            <w:pPr>
              <w:rPr>
                <w:rFonts w:ascii="Arial" w:hAnsi="Arial"/>
                <w:b/>
              </w:rPr>
            </w:pPr>
          </w:p>
          <w:p w14:paraId="53DB9852" w14:textId="77777777" w:rsidR="00EF68EA" w:rsidRPr="00116CE6" w:rsidRDefault="00EF68EA" w:rsidP="001400D4">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EF68EA" w:rsidRPr="00116CE6" w14:paraId="51ED8E98" w14:textId="77777777" w:rsidTr="001400D4">
              <w:tc>
                <w:tcPr>
                  <w:tcW w:w="6970" w:type="dxa"/>
                </w:tcPr>
                <w:p w14:paraId="2A6F67C5" w14:textId="77777777" w:rsidR="00EF68EA" w:rsidRPr="00116CE6" w:rsidRDefault="00EF68EA" w:rsidP="001400D4">
                  <w:pPr>
                    <w:rPr>
                      <w:rFonts w:ascii="Arial" w:hAnsi="Arial"/>
                      <w:sz w:val="20"/>
                      <w:szCs w:val="20"/>
                    </w:rPr>
                  </w:pPr>
                </w:p>
                <w:p w14:paraId="0EECAC36" w14:textId="77777777" w:rsidR="00EF68EA" w:rsidRPr="00116CE6" w:rsidRDefault="00EF68EA" w:rsidP="001400D4">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28975D93" w14:textId="77777777" w:rsidR="00EF68EA" w:rsidRPr="00116CE6" w:rsidRDefault="00EF68EA" w:rsidP="001400D4">
                  <w:pPr>
                    <w:rPr>
                      <w:rFonts w:ascii="Arial" w:hAnsi="Arial"/>
                      <w:sz w:val="20"/>
                      <w:szCs w:val="20"/>
                    </w:rPr>
                  </w:pPr>
                </w:p>
              </w:tc>
            </w:tr>
            <w:tr w:rsidR="00EF68EA" w:rsidRPr="00116CE6" w14:paraId="4BC4CE28" w14:textId="77777777" w:rsidTr="001400D4">
              <w:tc>
                <w:tcPr>
                  <w:tcW w:w="6970" w:type="dxa"/>
                </w:tcPr>
                <w:p w14:paraId="21842DEB" w14:textId="77777777" w:rsidR="00EF68EA" w:rsidRPr="00116CE6" w:rsidRDefault="00EF68EA" w:rsidP="001400D4">
                  <w:pPr>
                    <w:rPr>
                      <w:rFonts w:ascii="Arial" w:hAnsi="Arial"/>
                      <w:sz w:val="20"/>
                      <w:szCs w:val="20"/>
                    </w:rPr>
                  </w:pPr>
                </w:p>
                <w:p w14:paraId="66E25BE6" w14:textId="77777777" w:rsidR="00EF68EA" w:rsidRPr="00116CE6" w:rsidRDefault="00EF68EA" w:rsidP="001400D4">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14EC63FE" w14:textId="77777777" w:rsidR="00EF68EA" w:rsidRPr="00116CE6" w:rsidRDefault="00EF68EA" w:rsidP="001400D4">
                  <w:pPr>
                    <w:rPr>
                      <w:rFonts w:ascii="Arial" w:hAnsi="Arial"/>
                      <w:sz w:val="20"/>
                      <w:szCs w:val="20"/>
                    </w:rPr>
                  </w:pPr>
                </w:p>
              </w:tc>
            </w:tr>
            <w:tr w:rsidR="00EF68EA" w:rsidRPr="00116CE6" w14:paraId="0FCDEA05" w14:textId="77777777" w:rsidTr="001400D4">
              <w:tc>
                <w:tcPr>
                  <w:tcW w:w="6970" w:type="dxa"/>
                </w:tcPr>
                <w:p w14:paraId="5825A7ED" w14:textId="77777777" w:rsidR="00EF68EA" w:rsidRPr="00116CE6" w:rsidRDefault="00EF68EA" w:rsidP="001400D4">
                  <w:pPr>
                    <w:rPr>
                      <w:rFonts w:ascii="Arial" w:hAnsi="Arial"/>
                      <w:sz w:val="20"/>
                      <w:szCs w:val="20"/>
                    </w:rPr>
                  </w:pPr>
                </w:p>
                <w:p w14:paraId="37A80F4E" w14:textId="77777777" w:rsidR="00EF68EA" w:rsidRPr="00116CE6" w:rsidRDefault="00EF68EA" w:rsidP="001400D4">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456005DE" w14:textId="77777777" w:rsidR="00EF68EA" w:rsidRPr="00116CE6" w:rsidRDefault="00EF68EA" w:rsidP="001400D4">
                  <w:pPr>
                    <w:rPr>
                      <w:rFonts w:ascii="Arial" w:hAnsi="Arial"/>
                      <w:sz w:val="20"/>
                      <w:szCs w:val="20"/>
                    </w:rPr>
                  </w:pPr>
                </w:p>
              </w:tc>
            </w:tr>
            <w:tr w:rsidR="00EF68EA" w:rsidRPr="00116CE6" w14:paraId="19B2436E" w14:textId="77777777" w:rsidTr="001400D4">
              <w:tc>
                <w:tcPr>
                  <w:tcW w:w="6970" w:type="dxa"/>
                </w:tcPr>
                <w:p w14:paraId="69978985" w14:textId="77777777" w:rsidR="00EF68EA" w:rsidRDefault="00EF68EA" w:rsidP="001400D4">
                  <w:pPr>
                    <w:rPr>
                      <w:rFonts w:ascii="Arial" w:hAnsi="Arial"/>
                      <w:sz w:val="20"/>
                      <w:szCs w:val="20"/>
                    </w:rPr>
                  </w:pPr>
                </w:p>
                <w:p w14:paraId="7583ACFF" w14:textId="77777777" w:rsidR="00EF68EA" w:rsidRPr="00022345" w:rsidRDefault="00EF68EA" w:rsidP="001400D4">
                  <w:pPr>
                    <w:rPr>
                      <w:rFonts w:ascii="Arial" w:hAnsi="Arial"/>
                      <w:b/>
                      <w:sz w:val="20"/>
                      <w:szCs w:val="20"/>
                    </w:rPr>
                  </w:pPr>
                  <w:r w:rsidRPr="00022345">
                    <w:rPr>
                      <w:rFonts w:ascii="Arial" w:hAnsi="Arial"/>
                      <w:b/>
                      <w:sz w:val="20"/>
                      <w:szCs w:val="20"/>
                    </w:rPr>
                    <w:t>Final Mark</w:t>
                  </w:r>
                </w:p>
                <w:p w14:paraId="5790B23D" w14:textId="77777777" w:rsidR="00EF68EA" w:rsidRPr="00116CE6" w:rsidRDefault="00EF68EA" w:rsidP="001400D4">
                  <w:pPr>
                    <w:rPr>
                      <w:rFonts w:ascii="Arial" w:hAnsi="Arial"/>
                      <w:sz w:val="20"/>
                      <w:szCs w:val="20"/>
                    </w:rPr>
                  </w:pPr>
                </w:p>
              </w:tc>
              <w:tc>
                <w:tcPr>
                  <w:tcW w:w="1660" w:type="dxa"/>
                </w:tcPr>
                <w:p w14:paraId="6512B4E3" w14:textId="77777777" w:rsidR="00EF68EA" w:rsidRPr="00116CE6" w:rsidRDefault="00EF68EA" w:rsidP="001400D4">
                  <w:pPr>
                    <w:rPr>
                      <w:rFonts w:ascii="Arial" w:hAnsi="Arial"/>
                      <w:sz w:val="20"/>
                      <w:szCs w:val="20"/>
                    </w:rPr>
                  </w:pPr>
                </w:p>
              </w:tc>
            </w:tr>
          </w:tbl>
          <w:p w14:paraId="66D19A11" w14:textId="77777777" w:rsidR="00EF68EA" w:rsidRDefault="00EF68EA" w:rsidP="001400D4">
            <w:pPr>
              <w:pStyle w:val="NormalWeb"/>
              <w:spacing w:before="0" w:beforeAutospacing="0" w:after="0" w:afterAutospacing="0"/>
              <w:ind w:left="142" w:right="34"/>
              <w:rPr>
                <w:rFonts w:ascii="Arial" w:hAnsi="Arial" w:cs="Arial"/>
                <w:b/>
                <w:sz w:val="22"/>
                <w:szCs w:val="22"/>
              </w:rPr>
            </w:pPr>
          </w:p>
          <w:p w14:paraId="1210667B" w14:textId="77777777" w:rsidR="00EF68EA" w:rsidRPr="00230F35" w:rsidRDefault="00EF68EA" w:rsidP="001400D4">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1A382A2B" w14:textId="77777777" w:rsidR="00EF68EA" w:rsidRDefault="00EF68EA" w:rsidP="001400D4">
            <w:pPr>
              <w:pStyle w:val="NormalWeb"/>
              <w:spacing w:before="0" w:beforeAutospacing="0" w:after="0" w:afterAutospacing="0"/>
              <w:rPr>
                <w:rFonts w:ascii="Arial" w:hAnsi="Arial" w:cs="Arial"/>
                <w:b/>
                <w:sz w:val="22"/>
                <w:szCs w:val="22"/>
              </w:rPr>
            </w:pPr>
          </w:p>
          <w:p w14:paraId="77B670E9" w14:textId="77777777" w:rsidR="00EF68EA" w:rsidRDefault="00EF68EA" w:rsidP="001400D4">
            <w:pPr>
              <w:pStyle w:val="NormalWeb"/>
              <w:spacing w:before="0" w:beforeAutospacing="0" w:after="0" w:afterAutospacing="0"/>
              <w:rPr>
                <w:rFonts w:ascii="Arial" w:hAnsi="Arial" w:cs="Arial"/>
                <w:b/>
                <w:sz w:val="22"/>
                <w:szCs w:val="22"/>
              </w:rPr>
            </w:pPr>
          </w:p>
          <w:p w14:paraId="2D168AD0" w14:textId="77777777" w:rsidR="00EF68EA" w:rsidRDefault="00EF68EA" w:rsidP="001400D4">
            <w:pPr>
              <w:pStyle w:val="NormalWeb"/>
              <w:spacing w:before="0" w:beforeAutospacing="0" w:after="0" w:afterAutospacing="0"/>
              <w:rPr>
                <w:rFonts w:ascii="Arial" w:hAnsi="Arial" w:cs="Arial"/>
                <w:b/>
                <w:sz w:val="22"/>
                <w:szCs w:val="22"/>
              </w:rPr>
            </w:pPr>
          </w:p>
          <w:p w14:paraId="54D82441" w14:textId="77777777" w:rsidR="00EF68EA" w:rsidRDefault="00EF68EA" w:rsidP="001400D4">
            <w:pPr>
              <w:pStyle w:val="NormalWeb"/>
              <w:spacing w:before="0" w:beforeAutospacing="0" w:after="0" w:afterAutospacing="0"/>
              <w:rPr>
                <w:rFonts w:ascii="Arial" w:hAnsi="Arial" w:cs="Arial"/>
                <w:b/>
                <w:sz w:val="22"/>
                <w:szCs w:val="22"/>
              </w:rPr>
            </w:pPr>
          </w:p>
          <w:p w14:paraId="02F3B187" w14:textId="77777777" w:rsidR="00EF68EA" w:rsidRDefault="00EF68EA" w:rsidP="001400D4">
            <w:pPr>
              <w:pStyle w:val="NormalWeb"/>
              <w:spacing w:before="0" w:beforeAutospacing="0" w:after="0" w:afterAutospacing="0"/>
              <w:rPr>
                <w:rFonts w:ascii="Arial" w:hAnsi="Arial" w:cs="Arial"/>
                <w:b/>
                <w:sz w:val="22"/>
                <w:szCs w:val="22"/>
              </w:rPr>
            </w:pPr>
          </w:p>
          <w:p w14:paraId="59EE2856" w14:textId="77777777" w:rsidR="00EF68EA" w:rsidRPr="00230F35" w:rsidRDefault="00EF68EA" w:rsidP="001400D4">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208E501A" w14:textId="77777777" w:rsidR="00EF68EA" w:rsidRDefault="00EF68EA" w:rsidP="001400D4">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0EA3AC4C" w14:textId="77777777" w:rsidR="00EF68EA" w:rsidRPr="00001C3B" w:rsidRDefault="00EF68EA" w:rsidP="001400D4">
            <w:pPr>
              <w:pStyle w:val="NormalWeb"/>
              <w:rPr>
                <w:rFonts w:ascii="Arial" w:hAnsi="Arial" w:cs="Arial"/>
                <w:sz w:val="22"/>
                <w:szCs w:val="22"/>
              </w:rPr>
            </w:pPr>
          </w:p>
        </w:tc>
      </w:tr>
      <w:tr w:rsidR="00EF68EA" w:rsidRPr="00230F35" w14:paraId="4AAE06F9" w14:textId="77777777" w:rsidTr="001400D4">
        <w:trPr>
          <w:trHeight w:val="492"/>
        </w:trPr>
        <w:tc>
          <w:tcPr>
            <w:tcW w:w="6768" w:type="dxa"/>
            <w:gridSpan w:val="3"/>
          </w:tcPr>
          <w:p w14:paraId="2E7F0740" w14:textId="77777777" w:rsidR="00EF68EA" w:rsidRPr="00230F35" w:rsidRDefault="00EF68EA" w:rsidP="001400D4">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5A460155" w14:textId="77777777" w:rsidR="00EF68EA" w:rsidRPr="00230F35" w:rsidRDefault="00EF68EA" w:rsidP="001400D4">
            <w:pPr>
              <w:pStyle w:val="NormalWeb"/>
              <w:spacing w:after="0"/>
              <w:ind w:left="142" w:right="34"/>
              <w:rPr>
                <w:rFonts w:ascii="Arial" w:hAnsi="Arial" w:cs="Arial"/>
                <w:sz w:val="22"/>
                <w:szCs w:val="22"/>
              </w:rPr>
            </w:pPr>
            <w:r w:rsidRPr="00230F35">
              <w:rPr>
                <w:rFonts w:ascii="Arial" w:hAnsi="Arial" w:cs="Arial"/>
                <w:sz w:val="22"/>
                <w:szCs w:val="22"/>
              </w:rPr>
              <w:t>Date:</w:t>
            </w:r>
          </w:p>
        </w:tc>
      </w:tr>
      <w:tr w:rsidR="00EF68EA" w:rsidRPr="002F467C" w14:paraId="4D5123CA" w14:textId="77777777" w:rsidTr="001400D4">
        <w:tc>
          <w:tcPr>
            <w:tcW w:w="8856" w:type="dxa"/>
            <w:gridSpan w:val="5"/>
          </w:tcPr>
          <w:p w14:paraId="114E6A48" w14:textId="77777777" w:rsidR="00EF68EA" w:rsidRPr="00230F35" w:rsidRDefault="00EF68EA" w:rsidP="001400D4">
            <w:pPr>
              <w:pStyle w:val="NormalWeb"/>
              <w:spacing w:before="0" w:beforeAutospacing="0" w:after="0" w:afterAutospacing="0"/>
              <w:ind w:right="-334"/>
              <w:rPr>
                <w:rFonts w:ascii="Arial" w:hAnsi="Arial" w:cs="Arial"/>
                <w:bCs/>
                <w:i/>
                <w:sz w:val="22"/>
                <w:szCs w:val="22"/>
              </w:rPr>
            </w:pPr>
          </w:p>
          <w:p w14:paraId="08500E3F" w14:textId="77777777" w:rsidR="00EF68EA" w:rsidRPr="00230F35" w:rsidRDefault="00EF68EA" w:rsidP="001400D4">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023F424F" w14:textId="77777777" w:rsidR="00EF68EA" w:rsidRPr="00230F35" w:rsidRDefault="00EF68EA" w:rsidP="001400D4">
            <w:pPr>
              <w:pStyle w:val="NormalWeb"/>
              <w:spacing w:before="0" w:beforeAutospacing="0" w:after="0" w:afterAutospacing="0"/>
              <w:ind w:right="-334"/>
              <w:rPr>
                <w:rFonts w:ascii="Arial" w:hAnsi="Arial" w:cs="Arial"/>
                <w:b/>
                <w:bCs/>
                <w:sz w:val="22"/>
                <w:szCs w:val="22"/>
              </w:rPr>
            </w:pPr>
          </w:p>
          <w:p w14:paraId="4FDF85BF" w14:textId="77777777" w:rsidR="00EF68EA" w:rsidRPr="00230F35" w:rsidRDefault="00EF68EA" w:rsidP="001400D4">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4D1AE14E" w14:textId="77777777" w:rsidR="00EF68EA" w:rsidRPr="00230F35" w:rsidRDefault="00EF68EA" w:rsidP="001400D4">
            <w:pPr>
              <w:pStyle w:val="NormalWeb"/>
              <w:spacing w:before="0" w:beforeAutospacing="0" w:after="0" w:afterAutospacing="0"/>
              <w:ind w:right="-334"/>
              <w:rPr>
                <w:rFonts w:ascii="Arial" w:hAnsi="Arial" w:cs="Arial"/>
                <w:bCs/>
                <w:sz w:val="22"/>
                <w:szCs w:val="22"/>
              </w:rPr>
            </w:pPr>
          </w:p>
          <w:p w14:paraId="1B4253EA" w14:textId="77777777" w:rsidR="00EF68EA" w:rsidRPr="00230F35" w:rsidRDefault="00EF68EA" w:rsidP="001400D4">
            <w:pPr>
              <w:pStyle w:val="NormalWeb"/>
              <w:spacing w:before="0" w:beforeAutospacing="0" w:after="0" w:afterAutospacing="0"/>
              <w:ind w:right="-334"/>
              <w:rPr>
                <w:rFonts w:ascii="Arial" w:hAnsi="Arial" w:cs="Arial"/>
                <w:bCs/>
                <w:sz w:val="22"/>
                <w:szCs w:val="22"/>
              </w:rPr>
            </w:pPr>
          </w:p>
          <w:p w14:paraId="5A9A0508" w14:textId="77777777" w:rsidR="00EF68EA" w:rsidRPr="00230F35" w:rsidRDefault="00EF68EA" w:rsidP="001400D4">
            <w:pPr>
              <w:pStyle w:val="NormalWeb"/>
              <w:spacing w:before="0" w:beforeAutospacing="0" w:after="0" w:afterAutospacing="0"/>
              <w:ind w:right="-334"/>
              <w:rPr>
                <w:rFonts w:ascii="Arial" w:hAnsi="Arial" w:cs="Arial"/>
                <w:bCs/>
                <w:sz w:val="22"/>
                <w:szCs w:val="22"/>
              </w:rPr>
            </w:pPr>
          </w:p>
          <w:p w14:paraId="61BFF99E" w14:textId="77777777" w:rsidR="00EF68EA" w:rsidRPr="00230F35" w:rsidRDefault="00EF68EA" w:rsidP="001400D4">
            <w:pPr>
              <w:pStyle w:val="NormalWeb"/>
              <w:spacing w:before="0" w:beforeAutospacing="0" w:after="0" w:afterAutospacing="0"/>
              <w:ind w:right="-334"/>
              <w:rPr>
                <w:rFonts w:ascii="Arial" w:hAnsi="Arial" w:cs="Arial"/>
                <w:bCs/>
                <w:sz w:val="22"/>
                <w:szCs w:val="22"/>
              </w:rPr>
            </w:pPr>
          </w:p>
          <w:p w14:paraId="1CD809F4" w14:textId="77777777" w:rsidR="00EF68EA" w:rsidRPr="00230F35" w:rsidRDefault="00EF68EA" w:rsidP="001400D4">
            <w:pPr>
              <w:pStyle w:val="NormalWeb"/>
              <w:spacing w:before="0" w:beforeAutospacing="0" w:after="0" w:afterAutospacing="0"/>
              <w:ind w:right="-334"/>
              <w:rPr>
                <w:rFonts w:ascii="Arial" w:hAnsi="Arial" w:cs="Arial"/>
                <w:bCs/>
                <w:sz w:val="22"/>
                <w:szCs w:val="22"/>
              </w:rPr>
            </w:pPr>
          </w:p>
          <w:p w14:paraId="27028A2B" w14:textId="77777777" w:rsidR="00EF68EA" w:rsidRPr="00230F35" w:rsidRDefault="00EF68EA" w:rsidP="001400D4">
            <w:pPr>
              <w:pStyle w:val="NormalWeb"/>
              <w:spacing w:before="0" w:beforeAutospacing="0" w:after="0" w:afterAutospacing="0"/>
              <w:ind w:right="-334"/>
              <w:rPr>
                <w:rFonts w:ascii="Arial" w:hAnsi="Arial" w:cs="Arial"/>
                <w:bCs/>
                <w:sz w:val="22"/>
                <w:szCs w:val="22"/>
              </w:rPr>
            </w:pPr>
          </w:p>
          <w:p w14:paraId="277B53C3" w14:textId="77777777" w:rsidR="00EF68EA" w:rsidRPr="00230F35" w:rsidRDefault="00EF68EA" w:rsidP="001400D4">
            <w:pPr>
              <w:pStyle w:val="NormalWeb"/>
              <w:spacing w:before="0" w:beforeAutospacing="0" w:after="0" w:afterAutospacing="0"/>
              <w:ind w:right="-334"/>
              <w:rPr>
                <w:rFonts w:ascii="Arial" w:hAnsi="Arial" w:cs="Arial"/>
                <w:bCs/>
                <w:sz w:val="22"/>
                <w:szCs w:val="22"/>
              </w:rPr>
            </w:pPr>
          </w:p>
          <w:p w14:paraId="414925E6" w14:textId="77777777" w:rsidR="00EF68EA" w:rsidRPr="00230F35" w:rsidRDefault="00EF68EA" w:rsidP="001400D4">
            <w:pPr>
              <w:pStyle w:val="NormalWeb"/>
              <w:spacing w:before="0" w:beforeAutospacing="0" w:after="0" w:afterAutospacing="0"/>
              <w:ind w:right="-334"/>
              <w:rPr>
                <w:rFonts w:ascii="Arial" w:hAnsi="Arial" w:cs="Arial"/>
                <w:bCs/>
                <w:sz w:val="22"/>
                <w:szCs w:val="22"/>
              </w:rPr>
            </w:pPr>
          </w:p>
          <w:p w14:paraId="2E3FBC07" w14:textId="77777777" w:rsidR="00EF68EA" w:rsidRDefault="00EF68EA" w:rsidP="001400D4">
            <w:pPr>
              <w:pStyle w:val="NormalWeb"/>
              <w:spacing w:before="0" w:beforeAutospacing="0" w:after="0" w:afterAutospacing="0"/>
              <w:ind w:right="-334"/>
              <w:rPr>
                <w:rFonts w:ascii="Arial" w:hAnsi="Arial" w:cs="Arial"/>
                <w:bCs/>
                <w:sz w:val="22"/>
                <w:szCs w:val="22"/>
              </w:rPr>
            </w:pPr>
          </w:p>
          <w:p w14:paraId="5E1D195B" w14:textId="77777777" w:rsidR="00EF68EA" w:rsidRPr="00230F35" w:rsidRDefault="00EF68EA" w:rsidP="001400D4">
            <w:pPr>
              <w:pStyle w:val="NormalWeb"/>
              <w:spacing w:before="0" w:beforeAutospacing="0" w:after="0" w:afterAutospacing="0"/>
              <w:ind w:right="-334"/>
              <w:rPr>
                <w:rFonts w:ascii="Arial" w:hAnsi="Arial" w:cs="Arial"/>
                <w:bCs/>
                <w:sz w:val="22"/>
                <w:szCs w:val="22"/>
              </w:rPr>
            </w:pPr>
          </w:p>
          <w:p w14:paraId="1D629678" w14:textId="77777777" w:rsidR="00EF68EA" w:rsidRPr="00230F35" w:rsidRDefault="00EF68EA" w:rsidP="001400D4">
            <w:pPr>
              <w:pStyle w:val="NormalWeb"/>
              <w:spacing w:before="0" w:beforeAutospacing="0" w:after="0" w:afterAutospacing="0"/>
              <w:ind w:right="-334"/>
              <w:rPr>
                <w:rFonts w:ascii="Arial" w:hAnsi="Arial" w:cs="Arial"/>
                <w:bCs/>
                <w:sz w:val="22"/>
                <w:szCs w:val="22"/>
              </w:rPr>
            </w:pPr>
          </w:p>
          <w:p w14:paraId="6A334E56" w14:textId="77777777" w:rsidR="00EF68EA" w:rsidRPr="00230F35" w:rsidRDefault="00EF68EA" w:rsidP="001400D4">
            <w:pPr>
              <w:pStyle w:val="NormalWeb"/>
              <w:spacing w:before="0" w:beforeAutospacing="0" w:after="0" w:afterAutospacing="0"/>
              <w:ind w:right="-334"/>
              <w:rPr>
                <w:rFonts w:ascii="Arial" w:hAnsi="Arial" w:cs="Arial"/>
                <w:bCs/>
                <w:sz w:val="22"/>
                <w:szCs w:val="22"/>
              </w:rPr>
            </w:pPr>
          </w:p>
        </w:tc>
      </w:tr>
      <w:tr w:rsidR="00EF68EA" w:rsidRPr="002F467C" w14:paraId="4573E03A" w14:textId="77777777" w:rsidTr="001400D4">
        <w:trPr>
          <w:trHeight w:val="720"/>
        </w:trPr>
        <w:tc>
          <w:tcPr>
            <w:tcW w:w="5211" w:type="dxa"/>
            <w:gridSpan w:val="2"/>
          </w:tcPr>
          <w:p w14:paraId="3CD6E176" w14:textId="77777777" w:rsidR="00EF68EA" w:rsidRPr="00230F35" w:rsidRDefault="00EF68EA" w:rsidP="001400D4">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lastRenderedPageBreak/>
              <w:t>Marker’s Signature</w:t>
            </w:r>
            <w:r>
              <w:rPr>
                <w:rFonts w:ascii="Arial" w:hAnsi="Arial" w:cs="Arial"/>
                <w:bCs/>
                <w:sz w:val="22"/>
                <w:szCs w:val="22"/>
              </w:rPr>
              <w:t>:</w:t>
            </w:r>
          </w:p>
        </w:tc>
        <w:tc>
          <w:tcPr>
            <w:tcW w:w="3645" w:type="dxa"/>
            <w:gridSpan w:val="3"/>
          </w:tcPr>
          <w:p w14:paraId="1A9446FC" w14:textId="77777777" w:rsidR="00EF68EA" w:rsidRPr="00230F35" w:rsidRDefault="00EF68EA" w:rsidP="001400D4">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EF68EA" w:rsidRPr="002F467C" w14:paraId="57B0FE95" w14:textId="77777777" w:rsidTr="001400D4">
        <w:trPr>
          <w:trHeight w:val="720"/>
        </w:trPr>
        <w:tc>
          <w:tcPr>
            <w:tcW w:w="8856" w:type="dxa"/>
            <w:gridSpan w:val="5"/>
          </w:tcPr>
          <w:p w14:paraId="096DF122" w14:textId="77777777" w:rsidR="00EF68EA" w:rsidRPr="00B34964" w:rsidRDefault="00EF68EA" w:rsidP="001400D4">
            <w:pPr>
              <w:rPr>
                <w:rFonts w:ascii="Arial" w:hAnsi="Arial" w:cs="Arial"/>
                <w:b/>
              </w:rPr>
            </w:pPr>
            <w:r w:rsidRPr="00B34964">
              <w:rPr>
                <w:rFonts w:ascii="Arial" w:hAnsi="Arial" w:cs="Arial"/>
                <w:b/>
              </w:rPr>
              <w:t>External Examiner’s comments (if relevant)</w:t>
            </w:r>
          </w:p>
          <w:p w14:paraId="59C85395" w14:textId="77777777" w:rsidR="00EF68EA" w:rsidRPr="00230F35" w:rsidRDefault="00EF68EA" w:rsidP="001400D4">
            <w:pPr>
              <w:pStyle w:val="NormalWeb"/>
              <w:spacing w:before="0" w:beforeAutospacing="0" w:after="0" w:afterAutospacing="0"/>
              <w:ind w:right="-334"/>
              <w:rPr>
                <w:rFonts w:ascii="Arial" w:hAnsi="Arial" w:cs="Arial"/>
                <w:bCs/>
                <w:sz w:val="22"/>
                <w:szCs w:val="22"/>
              </w:rPr>
            </w:pPr>
          </w:p>
          <w:p w14:paraId="753B57BD" w14:textId="77777777" w:rsidR="00EF68EA" w:rsidRPr="00230F35" w:rsidRDefault="00EF68EA" w:rsidP="001400D4">
            <w:pPr>
              <w:pStyle w:val="NormalWeb"/>
              <w:spacing w:before="0" w:beforeAutospacing="0" w:after="0" w:afterAutospacing="0"/>
              <w:ind w:right="-334"/>
              <w:rPr>
                <w:rFonts w:ascii="Arial" w:hAnsi="Arial" w:cs="Arial"/>
                <w:bCs/>
                <w:sz w:val="22"/>
                <w:szCs w:val="22"/>
              </w:rPr>
            </w:pPr>
          </w:p>
          <w:p w14:paraId="00A1DAFC" w14:textId="77777777" w:rsidR="00EF68EA" w:rsidRPr="00230F35" w:rsidRDefault="00EF68EA" w:rsidP="001400D4">
            <w:pPr>
              <w:pStyle w:val="NormalWeb"/>
              <w:spacing w:before="0" w:beforeAutospacing="0" w:after="0" w:afterAutospacing="0"/>
              <w:ind w:right="-334"/>
              <w:rPr>
                <w:rFonts w:ascii="Arial" w:hAnsi="Arial" w:cs="Arial"/>
                <w:bCs/>
                <w:sz w:val="22"/>
                <w:szCs w:val="22"/>
              </w:rPr>
            </w:pPr>
          </w:p>
          <w:p w14:paraId="5C5AA99F" w14:textId="77777777" w:rsidR="00EF68EA" w:rsidRPr="00230F35" w:rsidRDefault="00EF68EA" w:rsidP="001400D4">
            <w:pPr>
              <w:pStyle w:val="NormalWeb"/>
              <w:spacing w:before="0" w:beforeAutospacing="0" w:after="0" w:afterAutospacing="0"/>
              <w:ind w:right="-334"/>
              <w:rPr>
                <w:rFonts w:ascii="Arial" w:hAnsi="Arial" w:cs="Arial"/>
                <w:bCs/>
                <w:sz w:val="22"/>
                <w:szCs w:val="22"/>
              </w:rPr>
            </w:pPr>
          </w:p>
          <w:p w14:paraId="1D2A1BD2" w14:textId="77777777" w:rsidR="00EF68EA" w:rsidRPr="00230F35" w:rsidRDefault="00EF68EA" w:rsidP="001400D4">
            <w:pPr>
              <w:pStyle w:val="NormalWeb"/>
              <w:spacing w:before="0" w:beforeAutospacing="0" w:after="0" w:afterAutospacing="0"/>
              <w:ind w:right="-334"/>
              <w:rPr>
                <w:rFonts w:ascii="Arial" w:hAnsi="Arial" w:cs="Arial"/>
                <w:bCs/>
                <w:sz w:val="22"/>
                <w:szCs w:val="22"/>
              </w:rPr>
            </w:pPr>
          </w:p>
          <w:p w14:paraId="737A0B2C" w14:textId="77777777" w:rsidR="00EF68EA" w:rsidRPr="00230F35" w:rsidRDefault="00EF68EA" w:rsidP="001400D4">
            <w:pPr>
              <w:pStyle w:val="NormalWeb"/>
              <w:spacing w:before="0" w:beforeAutospacing="0" w:after="0" w:afterAutospacing="0"/>
              <w:ind w:right="-334"/>
              <w:rPr>
                <w:rFonts w:ascii="Arial" w:hAnsi="Arial" w:cs="Arial"/>
                <w:bCs/>
                <w:sz w:val="22"/>
                <w:szCs w:val="22"/>
              </w:rPr>
            </w:pPr>
          </w:p>
          <w:p w14:paraId="2C0B868E" w14:textId="77777777" w:rsidR="00EF68EA" w:rsidRPr="00230F35" w:rsidRDefault="00EF68EA" w:rsidP="001400D4">
            <w:pPr>
              <w:pStyle w:val="NormalWeb"/>
              <w:spacing w:before="0" w:beforeAutospacing="0" w:after="0" w:afterAutospacing="0"/>
              <w:ind w:right="-334"/>
              <w:rPr>
                <w:rFonts w:ascii="Arial" w:hAnsi="Arial" w:cs="Arial"/>
                <w:bCs/>
                <w:sz w:val="22"/>
                <w:szCs w:val="22"/>
              </w:rPr>
            </w:pPr>
          </w:p>
          <w:p w14:paraId="5135BAE5" w14:textId="77777777" w:rsidR="00EF68EA" w:rsidRPr="00230F35" w:rsidRDefault="00EF68EA" w:rsidP="001400D4">
            <w:pPr>
              <w:pStyle w:val="NormalWeb"/>
              <w:spacing w:before="0" w:beforeAutospacing="0" w:after="0" w:afterAutospacing="0"/>
              <w:ind w:right="-334"/>
              <w:rPr>
                <w:rFonts w:ascii="Arial" w:hAnsi="Arial" w:cs="Arial"/>
                <w:bCs/>
                <w:sz w:val="22"/>
                <w:szCs w:val="22"/>
              </w:rPr>
            </w:pPr>
          </w:p>
          <w:p w14:paraId="154FBDB5" w14:textId="77777777" w:rsidR="00EF68EA" w:rsidRDefault="00EF68EA" w:rsidP="001400D4">
            <w:pPr>
              <w:pStyle w:val="NormalWeb"/>
              <w:spacing w:before="0" w:beforeAutospacing="0" w:after="0" w:afterAutospacing="0"/>
              <w:ind w:right="-334"/>
              <w:rPr>
                <w:rFonts w:ascii="Arial" w:hAnsi="Arial" w:cs="Arial"/>
                <w:bCs/>
                <w:sz w:val="22"/>
                <w:szCs w:val="22"/>
              </w:rPr>
            </w:pPr>
          </w:p>
          <w:p w14:paraId="2F2D8C6A" w14:textId="77777777" w:rsidR="00EF68EA" w:rsidRPr="00230F35" w:rsidRDefault="00EF68EA" w:rsidP="001400D4">
            <w:pPr>
              <w:pStyle w:val="NormalWeb"/>
              <w:spacing w:before="0" w:beforeAutospacing="0" w:after="0" w:afterAutospacing="0"/>
              <w:ind w:right="-334"/>
              <w:rPr>
                <w:rFonts w:ascii="Arial" w:hAnsi="Arial" w:cs="Arial"/>
                <w:bCs/>
                <w:sz w:val="22"/>
                <w:szCs w:val="22"/>
              </w:rPr>
            </w:pPr>
          </w:p>
          <w:p w14:paraId="0170992D" w14:textId="77777777" w:rsidR="00EF68EA" w:rsidRPr="00230F35" w:rsidRDefault="00EF68EA" w:rsidP="001400D4">
            <w:pPr>
              <w:pStyle w:val="NormalWeb"/>
              <w:spacing w:before="0" w:beforeAutospacing="0" w:after="0" w:afterAutospacing="0"/>
              <w:ind w:right="-334"/>
              <w:rPr>
                <w:rFonts w:ascii="Arial" w:hAnsi="Arial" w:cs="Arial"/>
                <w:bCs/>
                <w:sz w:val="22"/>
                <w:szCs w:val="22"/>
              </w:rPr>
            </w:pPr>
          </w:p>
        </w:tc>
      </w:tr>
      <w:tr w:rsidR="00EF68EA" w:rsidRPr="002F467C" w14:paraId="74CD8BA1" w14:textId="77777777" w:rsidTr="001400D4">
        <w:trPr>
          <w:trHeight w:val="720"/>
        </w:trPr>
        <w:tc>
          <w:tcPr>
            <w:tcW w:w="5211" w:type="dxa"/>
            <w:gridSpan w:val="2"/>
          </w:tcPr>
          <w:p w14:paraId="3C236C8D" w14:textId="77777777" w:rsidR="00EF68EA" w:rsidRPr="00230F35" w:rsidRDefault="00EF68EA" w:rsidP="001400D4">
            <w:pPr>
              <w:rPr>
                <w:rFonts w:ascii="Arial" w:hAnsi="Arial" w:cs="Arial"/>
              </w:rPr>
            </w:pPr>
            <w:r w:rsidRPr="00230F35">
              <w:rPr>
                <w:rFonts w:ascii="Arial" w:hAnsi="Arial" w:cs="Arial"/>
              </w:rPr>
              <w:t>External Examiner’s Signature:</w:t>
            </w:r>
          </w:p>
        </w:tc>
        <w:tc>
          <w:tcPr>
            <w:tcW w:w="3645" w:type="dxa"/>
            <w:gridSpan w:val="3"/>
          </w:tcPr>
          <w:p w14:paraId="36083B09" w14:textId="77777777" w:rsidR="00EF68EA" w:rsidRPr="00230F35" w:rsidRDefault="00EF68EA" w:rsidP="001400D4">
            <w:pPr>
              <w:rPr>
                <w:rFonts w:ascii="Arial" w:hAnsi="Arial" w:cs="Arial"/>
              </w:rPr>
            </w:pPr>
            <w:r w:rsidRPr="00230F35">
              <w:rPr>
                <w:rFonts w:ascii="Arial" w:hAnsi="Arial" w:cs="Arial"/>
              </w:rPr>
              <w:t>Date:</w:t>
            </w:r>
          </w:p>
        </w:tc>
      </w:tr>
    </w:tbl>
    <w:p w14:paraId="0C7284A5" w14:textId="77777777" w:rsidR="00EF68EA" w:rsidRDefault="00EF68EA" w:rsidP="00EF68EA"/>
    <w:p w14:paraId="205769D0" w14:textId="77777777" w:rsidR="00EF68EA" w:rsidRPr="0023428A" w:rsidRDefault="00EF68EA" w:rsidP="00EF68EA"/>
    <w:p w14:paraId="5483090F" w14:textId="77777777" w:rsidR="00EF68EA" w:rsidRPr="0023428A" w:rsidRDefault="00EF68EA" w:rsidP="00EF68EA"/>
    <w:p w14:paraId="41FF5CA4" w14:textId="77777777" w:rsidR="00EF68EA" w:rsidRPr="0023428A" w:rsidRDefault="00EF68EA" w:rsidP="00EF68EA"/>
    <w:p w14:paraId="7C91D165" w14:textId="77777777" w:rsidR="00EF68EA" w:rsidRPr="0023428A" w:rsidRDefault="00EF68EA" w:rsidP="00EF68EA"/>
    <w:p w14:paraId="011B1D63" w14:textId="77777777" w:rsidR="00EF68EA" w:rsidRPr="0023428A" w:rsidRDefault="00EF68EA" w:rsidP="00EF68EA"/>
    <w:p w14:paraId="0842FEAA" w14:textId="77777777" w:rsidR="00EF68EA" w:rsidRPr="0023428A" w:rsidRDefault="00EF68EA" w:rsidP="00EF68EA"/>
    <w:p w14:paraId="0D306CDF" w14:textId="77777777" w:rsidR="00EF68EA" w:rsidRPr="0023428A" w:rsidRDefault="00EF68EA" w:rsidP="00EF68EA"/>
    <w:p w14:paraId="15CD4CF7" w14:textId="77777777" w:rsidR="00EF68EA" w:rsidRPr="0023428A" w:rsidRDefault="00EF68EA" w:rsidP="00EF68EA"/>
    <w:p w14:paraId="000E666E" w14:textId="77777777" w:rsidR="00EF68EA" w:rsidRPr="0023428A" w:rsidRDefault="00EF68EA" w:rsidP="00EF68EA"/>
    <w:p w14:paraId="437C38C1" w14:textId="77777777" w:rsidR="00EF68EA" w:rsidRPr="0023428A" w:rsidRDefault="00EF68EA" w:rsidP="00EF68EA"/>
    <w:p w14:paraId="0F9A1B72" w14:textId="77777777" w:rsidR="00EF68EA" w:rsidRPr="0023428A" w:rsidRDefault="00EF68EA" w:rsidP="00EF68EA"/>
    <w:p w14:paraId="261BAD52" w14:textId="77777777" w:rsidR="00EF68EA" w:rsidRDefault="00EF68EA" w:rsidP="00EF68EA"/>
    <w:p w14:paraId="0ED4F284" w14:textId="77777777" w:rsidR="00EF68EA" w:rsidRDefault="00EF68EA" w:rsidP="00EF68EA">
      <w:pPr>
        <w:tabs>
          <w:tab w:val="left" w:pos="2700"/>
        </w:tabs>
      </w:pPr>
      <w:r>
        <w:tab/>
      </w:r>
    </w:p>
    <w:p w14:paraId="1A686F9F" w14:textId="77777777" w:rsidR="00EF68EA" w:rsidRDefault="00EF68EA" w:rsidP="00EF68EA">
      <w:pPr>
        <w:tabs>
          <w:tab w:val="left" w:pos="2700"/>
        </w:tabs>
      </w:pPr>
    </w:p>
    <w:p w14:paraId="338EED0C" w14:textId="77777777" w:rsidR="00EF68EA" w:rsidRDefault="00EF68EA" w:rsidP="00EF68EA">
      <w:pPr>
        <w:tabs>
          <w:tab w:val="left" w:pos="2700"/>
        </w:tabs>
      </w:pPr>
    </w:p>
    <w:p w14:paraId="0D28A760" w14:textId="77777777" w:rsidR="00EF68EA" w:rsidRDefault="00EF68EA" w:rsidP="00EF68EA">
      <w:pPr>
        <w:tabs>
          <w:tab w:val="left" w:pos="2700"/>
        </w:tabs>
      </w:pPr>
    </w:p>
    <w:p w14:paraId="6BA9C253" w14:textId="77777777" w:rsidR="00EF68EA" w:rsidRDefault="00EF68EA" w:rsidP="00EF68EA">
      <w:pPr>
        <w:tabs>
          <w:tab w:val="left" w:pos="2700"/>
        </w:tabs>
      </w:pPr>
    </w:p>
    <w:p w14:paraId="6A90C9AF" w14:textId="77777777" w:rsidR="00EF68EA" w:rsidRDefault="00EF68EA" w:rsidP="00EF68EA">
      <w:pPr>
        <w:tabs>
          <w:tab w:val="left" w:pos="2700"/>
        </w:tabs>
        <w:jc w:val="center"/>
        <w:sectPr w:rsidR="00EF68EA">
          <w:headerReference w:type="default" r:id="rId8"/>
          <w:pgSz w:w="12240" w:h="15840"/>
          <w:pgMar w:top="1440" w:right="1440" w:bottom="1440" w:left="1440" w:header="720" w:footer="720" w:gutter="0"/>
          <w:cols w:space="720"/>
          <w:docGrid w:linePitch="360"/>
        </w:sectPr>
      </w:pPr>
    </w:p>
    <w:p w14:paraId="4F962F31" w14:textId="77777777" w:rsidR="00EF68EA" w:rsidRDefault="00EF68EA" w:rsidP="00EF68EA">
      <w:pPr>
        <w:tabs>
          <w:tab w:val="left" w:pos="2700"/>
        </w:tabs>
        <w:jc w:val="center"/>
      </w:pPr>
      <w:r>
        <w:lastRenderedPageBreak/>
        <w:t>Did medieval astrology (1100-1400) assume that the future was negotiable or fixed?</w:t>
      </w:r>
    </w:p>
    <w:p w14:paraId="4F9D44DD" w14:textId="3D3E1EA7" w:rsidR="00EF68EA" w:rsidRPr="000571C9" w:rsidRDefault="00EF68EA" w:rsidP="00EF68EA">
      <w:pPr>
        <w:tabs>
          <w:tab w:val="left" w:pos="2700"/>
        </w:tabs>
        <w:jc w:val="center"/>
        <w:rPr>
          <w:b/>
          <w:bCs/>
        </w:rPr>
      </w:pPr>
      <w:r w:rsidRPr="000571C9">
        <w:rPr>
          <w:b/>
          <w:bCs/>
        </w:rPr>
        <w:t>Word Count:</w:t>
      </w:r>
      <w:r>
        <w:rPr>
          <w:b/>
          <w:bCs/>
        </w:rPr>
        <w:t xml:space="preserve">  </w:t>
      </w:r>
      <w:r w:rsidR="0051370A">
        <w:rPr>
          <w:b/>
          <w:bCs/>
        </w:rPr>
        <w:t>2,988</w:t>
      </w:r>
    </w:p>
    <w:p w14:paraId="5F67B8DC" w14:textId="77777777" w:rsidR="00EF68EA" w:rsidRPr="000571C9" w:rsidRDefault="00EF68EA" w:rsidP="00EF68EA">
      <w:pPr>
        <w:tabs>
          <w:tab w:val="left" w:pos="2700"/>
        </w:tabs>
        <w:rPr>
          <w:b/>
          <w:bCs/>
        </w:rPr>
      </w:pPr>
      <w:r w:rsidRPr="000571C9">
        <w:rPr>
          <w:b/>
          <w:bCs/>
        </w:rPr>
        <w:t xml:space="preserve"> Introduction</w:t>
      </w:r>
    </w:p>
    <w:p w14:paraId="59C2A8CD" w14:textId="2EB15F32" w:rsidR="00F23F62" w:rsidRDefault="00EF68EA" w:rsidP="00EF68EA">
      <w:pPr>
        <w:tabs>
          <w:tab w:val="left" w:pos="2700"/>
        </w:tabs>
      </w:pPr>
      <w:r>
        <w:t xml:space="preserve">      </w:t>
      </w:r>
      <w:r w:rsidR="005A1C1F">
        <w:t xml:space="preserve">This paper will explore the relationship between free will, divine providence, and astrology in the medieval period by applying theory from St. Augustine </w:t>
      </w:r>
      <w:r w:rsidR="00347A11">
        <w:t xml:space="preserve">(354-430 C. E.) </w:t>
      </w:r>
      <w:r w:rsidR="005A1C1F">
        <w:t>and St. Thomas Aquinas (1225 – 1274 C.E.) to two separate depictions of the Wheel of Fortune.  It will focus on the placement of Lady Fortune</w:t>
      </w:r>
      <w:r w:rsidR="00B03253">
        <w:t xml:space="preserve"> in the images</w:t>
      </w:r>
      <w:r w:rsidR="00BA34FA">
        <w:t xml:space="preserve"> and the literary context within which the images </w:t>
      </w:r>
      <w:r w:rsidR="00A67A69">
        <w:t>are found</w:t>
      </w:r>
      <w:r w:rsidR="00BA34FA">
        <w:t>.</w:t>
      </w:r>
      <w:r w:rsidR="005A1C1F">
        <w:t xml:space="preserve"> </w:t>
      </w:r>
      <w:r w:rsidR="00BA34FA">
        <w:t xml:space="preserve"> </w:t>
      </w:r>
      <w:r w:rsidR="005A1C1F">
        <w:t xml:space="preserve">Discussing this </w:t>
      </w:r>
      <w:r w:rsidR="00A67A69">
        <w:t>relationship</w:t>
      </w:r>
      <w:r w:rsidR="005A1C1F">
        <w:t xml:space="preserve"> through its expression in art will hopefully show that </w:t>
      </w:r>
      <w:r w:rsidR="00A67A69">
        <w:t xml:space="preserve">the issue of </w:t>
      </w:r>
      <w:r w:rsidR="005A1C1F">
        <w:t xml:space="preserve">whether the future was negotiable or fixed was </w:t>
      </w:r>
      <w:r w:rsidR="00A67A69">
        <w:t>itself not a fixed idea.  The answer was not</w:t>
      </w:r>
      <w:r w:rsidR="005A1C1F">
        <w:t xml:space="preserve"> a simple ’yes’ or ‘no’, but instead </w:t>
      </w:r>
      <w:r w:rsidR="00A67A69">
        <w:t>was a complex mixture of both.</w:t>
      </w:r>
    </w:p>
    <w:p w14:paraId="5406CFF4" w14:textId="3136C6B8" w:rsidR="00F23F62" w:rsidRDefault="002F0078" w:rsidP="00EF68EA">
      <w:pPr>
        <w:tabs>
          <w:tab w:val="left" w:pos="2700"/>
        </w:tabs>
        <w:rPr>
          <w:b/>
          <w:bCs/>
        </w:rPr>
      </w:pPr>
      <w:r>
        <w:rPr>
          <w:b/>
          <w:bCs/>
        </w:rPr>
        <w:t>Terms</w:t>
      </w:r>
    </w:p>
    <w:p w14:paraId="5D836F40" w14:textId="425D8A97" w:rsidR="00C8187D" w:rsidRDefault="00347A11" w:rsidP="00EF68EA">
      <w:pPr>
        <w:tabs>
          <w:tab w:val="left" w:pos="2700"/>
        </w:tabs>
        <w:rPr>
          <w:rFonts w:cstheme="minorHAnsi"/>
          <w:color w:val="000000"/>
          <w:shd w:val="clear" w:color="auto" w:fill="FFFFFF"/>
        </w:rPr>
      </w:pPr>
      <w:r>
        <w:rPr>
          <w:rFonts w:cstheme="minorHAnsi"/>
          <w:color w:val="000000"/>
          <w:shd w:val="clear" w:color="auto" w:fill="FFFFFF"/>
        </w:rPr>
        <w:t xml:space="preserve">      </w:t>
      </w:r>
      <w:r w:rsidR="00C8187D">
        <w:rPr>
          <w:rFonts w:cstheme="minorHAnsi"/>
          <w:color w:val="000000"/>
          <w:shd w:val="clear" w:color="auto" w:fill="FFFFFF"/>
        </w:rPr>
        <w:t xml:space="preserve">For this essay, I will be using Patrick Curry’s versatile definition of </w:t>
      </w:r>
      <w:r w:rsidR="002F0078">
        <w:rPr>
          <w:rFonts w:cstheme="minorHAnsi"/>
          <w:color w:val="000000"/>
          <w:shd w:val="clear" w:color="auto" w:fill="FFFFFF"/>
        </w:rPr>
        <w:t>‘</w:t>
      </w:r>
      <w:r w:rsidR="00C8187D">
        <w:rPr>
          <w:rFonts w:cstheme="minorHAnsi"/>
          <w:color w:val="000000"/>
          <w:shd w:val="clear" w:color="auto" w:fill="FFFFFF"/>
        </w:rPr>
        <w:t>astrology</w:t>
      </w:r>
      <w:r w:rsidR="002F0078">
        <w:rPr>
          <w:rFonts w:cstheme="minorHAnsi"/>
          <w:color w:val="000000"/>
          <w:shd w:val="clear" w:color="auto" w:fill="FFFFFF"/>
        </w:rPr>
        <w:t>’</w:t>
      </w:r>
      <w:r w:rsidR="00C8187D">
        <w:rPr>
          <w:rFonts w:cstheme="minorHAnsi"/>
          <w:color w:val="000000"/>
          <w:shd w:val="clear" w:color="auto" w:fill="FFFFFF"/>
        </w:rPr>
        <w:t xml:space="preserve"> as “the practice of relating the heavenly bodies to lives and events on earth”.</w:t>
      </w:r>
      <w:r w:rsidR="00C8187D">
        <w:rPr>
          <w:rStyle w:val="FootnoteReference"/>
          <w:rFonts w:cstheme="minorHAnsi"/>
          <w:color w:val="000000"/>
          <w:shd w:val="clear" w:color="auto" w:fill="FFFFFF"/>
        </w:rPr>
        <w:footnoteReference w:id="1"/>
      </w:r>
      <w:r w:rsidR="002F0078">
        <w:rPr>
          <w:rFonts w:cstheme="minorHAnsi"/>
          <w:color w:val="000000"/>
          <w:shd w:val="clear" w:color="auto" w:fill="FFFFFF"/>
        </w:rPr>
        <w:t xml:space="preserve">  Negotiability within the context of this essay assumes the existence of free will (also referred to as ‘chance’) and is an individual’s use of his or her own free will to modify a predetermined outcome.  ‘Fate’ will here be used to mean ‘divine providence’.</w:t>
      </w:r>
    </w:p>
    <w:p w14:paraId="0EF0A36A" w14:textId="7A2762D0" w:rsidR="00EF68EA" w:rsidRPr="000571C9" w:rsidRDefault="00EF68EA" w:rsidP="00EF68EA">
      <w:pPr>
        <w:tabs>
          <w:tab w:val="left" w:pos="2700"/>
        </w:tabs>
        <w:rPr>
          <w:b/>
          <w:bCs/>
        </w:rPr>
      </w:pPr>
      <w:r w:rsidRPr="000571C9">
        <w:rPr>
          <w:b/>
          <w:bCs/>
        </w:rPr>
        <w:t>St. Augustine</w:t>
      </w:r>
    </w:p>
    <w:p w14:paraId="40B9DAB2" w14:textId="06A15A0E" w:rsidR="00EF68EA" w:rsidRDefault="00EF68EA" w:rsidP="00EF68EA">
      <w:pPr>
        <w:tabs>
          <w:tab w:val="left" w:pos="2700"/>
        </w:tabs>
      </w:pPr>
      <w:r>
        <w:t xml:space="preserve">      In Book IV of his ‘City of God’, written in 5</w:t>
      </w:r>
      <w:r w:rsidRPr="00683F57">
        <w:rPr>
          <w:vertAlign w:val="superscript"/>
        </w:rPr>
        <w:t>th</w:t>
      </w:r>
      <w:r>
        <w:t xml:space="preserve"> century C.E., St. Augustine</w:t>
      </w:r>
      <w:r w:rsidR="000F1701">
        <w:t>, one of the most well-known and influential theologians</w:t>
      </w:r>
      <w:r>
        <w:t xml:space="preserve"> </w:t>
      </w:r>
      <w:r w:rsidR="000F1701">
        <w:t xml:space="preserve">in Christianity’s history, </w:t>
      </w:r>
      <w:r>
        <w:t>made his case against the Roman concept of the gods.</w:t>
      </w:r>
      <w:r w:rsidR="000F1701">
        <w:rPr>
          <w:rStyle w:val="FootnoteReference"/>
        </w:rPr>
        <w:footnoteReference w:id="2"/>
      </w:r>
      <w:r>
        <w:t xml:space="preserve">  He said of the goddess Fortuna, she “can be sometimes good and sometimes bad”.</w:t>
      </w:r>
      <w:r>
        <w:rPr>
          <w:rStyle w:val="FootnoteReference"/>
        </w:rPr>
        <w:footnoteReference w:id="3"/>
      </w:r>
      <w:r>
        <w:t xml:space="preserve">  This duality defied Augustine’s notion of the Christian god who was only good and fully separated from bad.  Fortuna could also “make men fortunate irrespective of merit” which not only eliminated free will but removed the availability of salvation.</w:t>
      </w:r>
      <w:r>
        <w:rPr>
          <w:rStyle w:val="FootnoteReference"/>
        </w:rPr>
        <w:footnoteReference w:id="4"/>
      </w:r>
      <w:r>
        <w:t xml:space="preserve">  For Augustine, it was impossible that a god(</w:t>
      </w:r>
      <w:proofErr w:type="spellStart"/>
      <w:r>
        <w:t>dess</w:t>
      </w:r>
      <w:proofErr w:type="spellEnd"/>
      <w:r>
        <w:t>) such as Fortuna could exist as she subjected humanity to her whim and stole the opportunity to choose the path to God.  As stated by Howard Rollin Patch, St. Augustine was the first to “relate the problem of Fortuna and the element of chance to the question of fate and free will”.</w:t>
      </w:r>
      <w:r>
        <w:rPr>
          <w:rStyle w:val="FootnoteReference"/>
        </w:rPr>
        <w:footnoteReference w:id="5"/>
      </w:r>
      <w:r>
        <w:t xml:space="preserve">   Patch says, “if…all is ordained by God’s providence…there is no allowance for man’s free-will….there must be the element of chance…complete divine foreordination would mean complete fatalism”.</w:t>
      </w:r>
      <w:r>
        <w:rPr>
          <w:rStyle w:val="FootnoteReference"/>
        </w:rPr>
        <w:footnoteReference w:id="6"/>
      </w:r>
      <w:r>
        <w:t xml:space="preserve">  In ‘On the Free Will’ (4</w:t>
      </w:r>
      <w:r w:rsidRPr="00CC4A44">
        <w:rPr>
          <w:vertAlign w:val="superscript"/>
        </w:rPr>
        <w:t>th</w:t>
      </w:r>
      <w:r>
        <w:t xml:space="preserve"> century C.E.), Augustine expressed his belief that free will was a logical truth of existence, for “if man did not have free will, both punishment and reward would be unjust” – highlighting the importance of merit.</w:t>
      </w:r>
      <w:r w:rsidRPr="004D40AC">
        <w:rPr>
          <w:rStyle w:val="FootnoteReference"/>
        </w:rPr>
        <w:t xml:space="preserve"> </w:t>
      </w:r>
      <w:r>
        <w:rPr>
          <w:rStyle w:val="FootnoteReference"/>
        </w:rPr>
        <w:footnoteReference w:id="7"/>
      </w:r>
      <w:r>
        <w:t xml:space="preserve">  While free will and divine providence coexisted for Augustine, he warned, “it is not to be believed that, because sin is </w:t>
      </w:r>
      <w:r>
        <w:lastRenderedPageBreak/>
        <w:t>committed by it…God gave free will for sin”.</w:t>
      </w:r>
      <w:r>
        <w:rPr>
          <w:rStyle w:val="FootnoteReference"/>
        </w:rPr>
        <w:footnoteReference w:id="8"/>
      </w:r>
      <w:r>
        <w:t xml:space="preserve">  Man, according to Augustine, had a choice to use his free will for either good purposes or sinful.  The man who chose to do good with his free will was rewarded while the man who sinned was punished and asked “why have you not used your free will for the purpose for which I gave it to you…for doing rightly?”.</w:t>
      </w:r>
      <w:r>
        <w:rPr>
          <w:rStyle w:val="FootnoteReference"/>
        </w:rPr>
        <w:footnoteReference w:id="9"/>
      </w:r>
      <w:r>
        <w:t xml:space="preserve"> Augustine’s interpretation of free will as a catalyst for good or a use for evil implied that humans had some control over their individual outcomes. </w:t>
      </w:r>
    </w:p>
    <w:p w14:paraId="3507B98E" w14:textId="659DDBAD" w:rsidR="00EF68EA" w:rsidRDefault="00EF68EA" w:rsidP="00EF68EA">
      <w:pPr>
        <w:tabs>
          <w:tab w:val="left" w:pos="2700"/>
        </w:tabs>
      </w:pPr>
      <w:r>
        <w:t xml:space="preserve">      Augustine applied these ideas directly to astrology in his ‘Confessions’ (4</w:t>
      </w:r>
      <w:r w:rsidRPr="00212266">
        <w:rPr>
          <w:vertAlign w:val="superscript"/>
        </w:rPr>
        <w:t>th</w:t>
      </w:r>
      <w:r>
        <w:t xml:space="preserve"> century C.E.).  Employing a literary style reminiscent of Plato’s Republic, Augustine used dialogue to convey his (and, by extension, Christianity’s) arguments against divination of any kind – astrology in particular.  The story described a more personal journey with astrology in which he was a believer in the predictive power of astrology who then came to understand that it left no space for God-granted free will.  The question was asked why some astrologers’ predictions came to fruition.  The response was that the practice of prediction by astrologers was “a complete sham” and that “the force of chance, all-pervasive in the universe, brought this about”, acknowledging the existence of a force other than preordination.</w:t>
      </w:r>
      <w:r w:rsidRPr="004D40AC">
        <w:rPr>
          <w:rStyle w:val="FootnoteReference"/>
        </w:rPr>
        <w:t xml:space="preserve"> </w:t>
      </w:r>
      <w:r>
        <w:rPr>
          <w:rStyle w:val="FootnoteReference"/>
        </w:rPr>
        <w:footnoteReference w:id="10"/>
      </w:r>
      <w:r>
        <w:t xml:space="preserve">  For Augustine, choice was synonymous with chance.  These elements of free will and divine ordination cooperated to ensure God’s promise of human choice.  To be clear, it is not that Augustine entirely disavowed astrology and its uses.  In fact, he expressed hesitancy in relinquishing his belief in astrological predictions, but Augustine wanted to find “absolute proof…beyond doubt that the things people said they had predicted” were found by chance or luck rather than by reading the stars.  Ultimately, his directive in this area was to find the role of free will in astrology’s predictive capacity.</w:t>
      </w:r>
      <w:r w:rsidRPr="004D40AC">
        <w:rPr>
          <w:rStyle w:val="FootnoteReference"/>
        </w:rPr>
        <w:t xml:space="preserve"> </w:t>
      </w:r>
      <w:r>
        <w:rPr>
          <w:rStyle w:val="FootnoteReference"/>
        </w:rPr>
        <w:footnoteReference w:id="11"/>
      </w:r>
    </w:p>
    <w:p w14:paraId="04663CBB" w14:textId="77777777" w:rsidR="00EF68EA" w:rsidRDefault="00EF68EA" w:rsidP="00EF68EA">
      <w:pPr>
        <w:tabs>
          <w:tab w:val="left" w:pos="2700"/>
        </w:tabs>
        <w:rPr>
          <w:b/>
          <w:bCs/>
        </w:rPr>
      </w:pPr>
      <w:r>
        <w:rPr>
          <w:b/>
          <w:bCs/>
        </w:rPr>
        <w:t>St. Thomas Aquinas</w:t>
      </w:r>
    </w:p>
    <w:p w14:paraId="613471A0" w14:textId="2513059C" w:rsidR="00EF68EA" w:rsidRPr="00090267" w:rsidRDefault="00EF68EA" w:rsidP="00EF68EA">
      <w:pPr>
        <w:tabs>
          <w:tab w:val="left" w:pos="2700"/>
        </w:tabs>
      </w:pPr>
      <w:r>
        <w:rPr>
          <w:b/>
          <w:bCs/>
        </w:rPr>
        <w:t xml:space="preserve">      </w:t>
      </w:r>
      <w:r>
        <w:t>St. Thomas Aquinas</w:t>
      </w:r>
      <w:r w:rsidR="000F1701">
        <w:t>, a revered theologian for centuries who was made Doctor of the Universal Church in 1567,</w:t>
      </w:r>
      <w:r>
        <w:t xml:space="preserve"> posited a more governmental and managerial approach to divine providence</w:t>
      </w:r>
      <w:r w:rsidR="000F1701">
        <w:t>.</w:t>
      </w:r>
      <w:r w:rsidR="000F1701">
        <w:rPr>
          <w:rStyle w:val="FootnoteReference"/>
        </w:rPr>
        <w:footnoteReference w:id="12"/>
      </w:r>
      <w:r>
        <w:t xml:space="preserve"> in which “acts of choice and…will are controlled immediately by God…human intellectual knowledge is ordered by God through the mediation of angels”.</w:t>
      </w:r>
      <w:r w:rsidRPr="00656699">
        <w:rPr>
          <w:rStyle w:val="FootnoteReference"/>
        </w:rPr>
        <w:t xml:space="preserve"> </w:t>
      </w:r>
      <w:r>
        <w:rPr>
          <w:rStyle w:val="FootnoteReference"/>
        </w:rPr>
        <w:footnoteReference w:id="13"/>
      </w:r>
      <w:r>
        <w:t xml:space="preserve">  Using astronomical analogy, Aquinas explained that much like the moon receives light from the sun and then reflects that light to earth, “lower creatures are ruled by God through the agency of higher creatures”.</w:t>
      </w:r>
      <w:r>
        <w:rPr>
          <w:rStyle w:val="FootnoteReference"/>
        </w:rPr>
        <w:footnoteReference w:id="14"/>
      </w:r>
      <w:r>
        <w:t xml:space="preserve">  In this approach, God was the source of all, and his influence emanated through a hierarchy of celestial bodies that absorbed it and transmitted it to lower bodies “which are merely illuminated but do not illuminate”.</w:t>
      </w:r>
      <w:r w:rsidRPr="00B73FF7">
        <w:rPr>
          <w:rStyle w:val="FootnoteReference"/>
        </w:rPr>
        <w:t xml:space="preserve"> </w:t>
      </w:r>
      <w:r>
        <w:rPr>
          <w:rStyle w:val="FootnoteReference"/>
        </w:rPr>
        <w:footnoteReference w:id="15"/>
      </w:r>
      <w:r>
        <w:t xml:space="preserve">  Celestial bodies had an effect on human bodies but did not interfere with the human soul, which for him was an “intellectual substance”.</w:t>
      </w:r>
      <w:r>
        <w:rPr>
          <w:rStyle w:val="FootnoteReference"/>
        </w:rPr>
        <w:footnoteReference w:id="16"/>
      </w:r>
      <w:r>
        <w:t xml:space="preserve">  He asserted, “an intellectual substance is superior to all bodies in the hierarchy of beings”, and concluded that “Heavenly bodies cannot directly act upon or influence” human intellect or will since they belonged </w:t>
      </w:r>
      <w:r>
        <w:lastRenderedPageBreak/>
        <w:t>to a power beyond corporeality.</w:t>
      </w:r>
      <w:r>
        <w:rPr>
          <w:rStyle w:val="FootnoteReference"/>
        </w:rPr>
        <w:footnoteReference w:id="17"/>
      </w:r>
      <w:r>
        <w:t xml:space="preserve">  In this concept of free will and divine providence there was ostensibly room for both.  </w:t>
      </w:r>
    </w:p>
    <w:p w14:paraId="33F800F6" w14:textId="6433EA4E" w:rsidR="00EF68EA" w:rsidRPr="00B67EE9" w:rsidRDefault="00EF68EA" w:rsidP="00EF68EA">
      <w:pPr>
        <w:tabs>
          <w:tab w:val="left" w:pos="2700"/>
        </w:tabs>
      </w:pPr>
      <w:r>
        <w:rPr>
          <w:b/>
          <w:bCs/>
        </w:rPr>
        <w:t xml:space="preserve">     </w:t>
      </w:r>
      <w:r w:rsidRPr="00B67EE9">
        <w:t xml:space="preserve"> </w:t>
      </w:r>
      <w:r>
        <w:t>In terms of astrology, Aquinas held onto Augustine’s claim that using it for the purposes of divination was “unlawful”.</w:t>
      </w:r>
      <w:r>
        <w:rPr>
          <w:rStyle w:val="FootnoteReference"/>
        </w:rPr>
        <w:footnoteReference w:id="18"/>
      </w:r>
      <w:r>
        <w:t xml:space="preserve">  The difference, however, between Aquinas and Augustine was Aquinas implicitly acknowledged the validity of astrology.  He reconciled its divinatory power with the Christian faith by theorizing that while the planets and stars had some influence on humans through the body, humans had autonomy in how they chose to react to those influences through their will</w:t>
      </w:r>
      <w:r w:rsidR="005C6E17">
        <w:t xml:space="preserve"> which preserved </w:t>
      </w:r>
      <w:r w:rsidR="00D5316A">
        <w:t xml:space="preserve">the Christian tenant of </w:t>
      </w:r>
      <w:r w:rsidR="00833580">
        <w:t>salvation</w:t>
      </w:r>
      <w:r>
        <w:t>.</w:t>
      </w:r>
      <w:r>
        <w:rPr>
          <w:rStyle w:val="FootnoteReference"/>
        </w:rPr>
        <w:footnoteReference w:id="19"/>
      </w:r>
    </w:p>
    <w:p w14:paraId="4C499E2E" w14:textId="77777777" w:rsidR="00EF68EA" w:rsidRDefault="00EF68EA" w:rsidP="00EF68EA">
      <w:pPr>
        <w:tabs>
          <w:tab w:val="left" w:pos="2700"/>
        </w:tabs>
        <w:rPr>
          <w:b/>
          <w:bCs/>
        </w:rPr>
      </w:pPr>
      <w:r w:rsidRPr="00B77EE8">
        <w:rPr>
          <w:b/>
          <w:bCs/>
        </w:rPr>
        <w:t xml:space="preserve">The Wheel </w:t>
      </w:r>
      <w:r>
        <w:rPr>
          <w:b/>
          <w:bCs/>
        </w:rPr>
        <w:t>and Lady</w:t>
      </w:r>
      <w:r w:rsidRPr="00B77EE8">
        <w:rPr>
          <w:b/>
          <w:bCs/>
        </w:rPr>
        <w:t xml:space="preserve"> Fortune</w:t>
      </w:r>
    </w:p>
    <w:p w14:paraId="3F46291F" w14:textId="23DCA6EA" w:rsidR="00EF68EA" w:rsidRDefault="00EF68EA" w:rsidP="00EF68EA">
      <w:pPr>
        <w:tabs>
          <w:tab w:val="left" w:pos="2700"/>
        </w:tabs>
      </w:pPr>
      <w:r>
        <w:t xml:space="preserve">      Circularity and cyclicality were the structural foundation of </w:t>
      </w:r>
      <w:r w:rsidR="00347A11">
        <w:t xml:space="preserve">the </w:t>
      </w:r>
      <w:r>
        <w:t>Medieval cosmological</w:t>
      </w:r>
      <w:r w:rsidR="00347A11">
        <w:t xml:space="preserve"> </w:t>
      </w:r>
      <w:r w:rsidR="00403016">
        <w:t xml:space="preserve">– and by extension, astrological – </w:t>
      </w:r>
      <w:r>
        <w:t>model.  This model, known as the Aristotelian-Ptolemaic model, employed a system of “at least 8 concentric orbs or heavens” moving together in response to the outermost sphere – The Primus Mobile.</w:t>
      </w:r>
      <w:r w:rsidRPr="00D03B88">
        <w:rPr>
          <w:rStyle w:val="FootnoteReference"/>
        </w:rPr>
        <w:t xml:space="preserve"> </w:t>
      </w:r>
      <w:r>
        <w:rPr>
          <w:rStyle w:val="FootnoteReference"/>
        </w:rPr>
        <w:footnoteReference w:id="20"/>
      </w:r>
      <w:r>
        <w:t xml:space="preserve">  Considered to be the sphere of divinity, the Primus Mobile was the cause of celestial motion and, by extension, the soul’s cause of movement toward divine unity.  The spheres moved out of love and devotion for the divine.  </w:t>
      </w:r>
    </w:p>
    <w:p w14:paraId="6F706124" w14:textId="1A444D77" w:rsidR="00D2462C" w:rsidRDefault="00D2462C" w:rsidP="00D2462C">
      <w:pPr>
        <w:keepNext/>
        <w:tabs>
          <w:tab w:val="left" w:pos="2700"/>
        </w:tabs>
        <w:jc w:val="center"/>
      </w:pPr>
      <w:r>
        <w:rPr>
          <w:noProof/>
        </w:rPr>
        <w:drawing>
          <wp:inline distT="0" distB="0" distL="0" distR="0" wp14:anchorId="3138C900" wp14:editId="6A83CD87">
            <wp:extent cx="2897807" cy="305775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a:extLst>
                        <a:ext uri="{28A0092B-C50C-407E-A947-70E740481C1C}">
                          <a14:useLocalDpi xmlns:a14="http://schemas.microsoft.com/office/drawing/2010/main" val="0"/>
                        </a:ext>
                      </a:extLst>
                    </a:blip>
                    <a:stretch>
                      <a:fillRect/>
                    </a:stretch>
                  </pic:blipFill>
                  <pic:spPr>
                    <a:xfrm>
                      <a:off x="0" y="0"/>
                      <a:ext cx="2897807" cy="3057753"/>
                    </a:xfrm>
                    <a:prstGeom prst="rect">
                      <a:avLst/>
                    </a:prstGeom>
                  </pic:spPr>
                </pic:pic>
              </a:graphicData>
            </a:graphic>
          </wp:inline>
        </w:drawing>
      </w:r>
    </w:p>
    <w:p w14:paraId="51A3EEB6" w14:textId="1F6EADD1" w:rsidR="00D2462C" w:rsidRPr="00A35250" w:rsidRDefault="00D2462C" w:rsidP="00D2462C">
      <w:pPr>
        <w:pStyle w:val="Caption"/>
        <w:jc w:val="both"/>
      </w:pPr>
      <w:r>
        <w:t xml:space="preserve">Figure </w:t>
      </w:r>
      <w:r>
        <w:fldChar w:fldCharType="begin"/>
      </w:r>
      <w:r>
        <w:instrText xml:space="preserve"> SEQ Figure \* ARABIC </w:instrText>
      </w:r>
      <w:r>
        <w:fldChar w:fldCharType="separate"/>
      </w:r>
      <w:r>
        <w:rPr>
          <w:noProof/>
        </w:rPr>
        <w:t>1</w:t>
      </w:r>
      <w:r>
        <w:rPr>
          <w:noProof/>
        </w:rPr>
        <w:fldChar w:fldCharType="end"/>
      </w:r>
      <w:r>
        <w:t xml:space="preserve"> The cosmos according to Aristotle and Ptolemy.  Earth is at the center with the Moon,</w:t>
      </w:r>
      <w:r w:rsidRPr="00B04364">
        <w:t xml:space="preserve"> Mercury, Venus</w:t>
      </w:r>
      <w:r>
        <w:t>, Sun, Mars, Jupiter, Saturn, the fixed stars, zodiac, and the divine realm encircling it (facultysites.vassar.edu).</w:t>
      </w:r>
    </w:p>
    <w:p w14:paraId="4CE4D233" w14:textId="77777777" w:rsidR="00D2462C" w:rsidRDefault="00D2462C" w:rsidP="00EF68EA">
      <w:pPr>
        <w:tabs>
          <w:tab w:val="left" w:pos="2700"/>
        </w:tabs>
      </w:pPr>
    </w:p>
    <w:p w14:paraId="01A45F02" w14:textId="554272D9" w:rsidR="00EF68EA" w:rsidRDefault="00EF68EA" w:rsidP="00EF68EA">
      <w:pPr>
        <w:tabs>
          <w:tab w:val="left" w:pos="2700"/>
        </w:tabs>
      </w:pPr>
      <w:r>
        <w:lastRenderedPageBreak/>
        <w:t>In his book, ‘Planets, Stars, &amp; Orbs’, Edward Grant explains:</w:t>
      </w:r>
    </w:p>
    <w:p w14:paraId="19DD93EA" w14:textId="6437EAC2" w:rsidR="00EF68EA" w:rsidRDefault="00EF68EA" w:rsidP="00EF68EA">
      <w:pPr>
        <w:tabs>
          <w:tab w:val="left" w:pos="2700"/>
        </w:tabs>
        <w:ind w:left="720"/>
        <w:jc w:val="both"/>
      </w:pPr>
      <w:r>
        <w:t xml:space="preserve"> Aristotle distinguished two immaterial substances associated with each celestial orb: a soul and a separate intelligence...the former is an integral part of its orb, whereas the latter is distinct from its orb…the direct cause of motion is therefore the separate intelligence, which causes the soul to love and desire it so that the soul will move its orb around and around.</w:t>
      </w:r>
      <w:r>
        <w:rPr>
          <w:rStyle w:val="FootnoteReference"/>
        </w:rPr>
        <w:footnoteReference w:id="21"/>
      </w:r>
      <w:r>
        <w:t xml:space="preserve">  </w:t>
      </w:r>
    </w:p>
    <w:p w14:paraId="648036B9" w14:textId="398297B3" w:rsidR="00EF68EA" w:rsidRPr="00566161" w:rsidRDefault="00EF68EA" w:rsidP="00EF68EA">
      <w:pPr>
        <w:tabs>
          <w:tab w:val="left" w:pos="2700"/>
        </w:tabs>
      </w:pPr>
      <w:r>
        <w:t>Divinity inspired the soul into motion.  Just as each orb in this cosmological model embodied both the corporeal and the immaterial, the former moving the latter, an individual was both corporeal and immaterial, body and spirit.  The orbs were set into motion by the soul’s divine devotion, and the human soul’s impetus to move toward God was the hope and promise of reunion.  As the catalyst of the soul, the body also moved toward God, but separating the two gave the body freedom to choose how to move forward toward divinity while maintaining God’s authority over the soul.</w:t>
      </w:r>
    </w:p>
    <w:p w14:paraId="1AFD168C" w14:textId="6F6EABC6" w:rsidR="00D2462C" w:rsidRDefault="00EF68EA" w:rsidP="00EF68EA">
      <w:pPr>
        <w:tabs>
          <w:tab w:val="left" w:pos="2700"/>
        </w:tabs>
      </w:pPr>
      <w:r>
        <w:t xml:space="preserve">      The wheel as a symbol “implies an idea of movement, and symbolizes the cycle of time…the planets’ journey around the sun…the great rhythm of the universe”.</w:t>
      </w:r>
      <w:r>
        <w:rPr>
          <w:rStyle w:val="FootnoteReference"/>
        </w:rPr>
        <w:footnoteReference w:id="22"/>
      </w:r>
      <w:r>
        <w:t xml:space="preserve">  By extension, the wheel of fortune emulated the familiar structure of the cosmos – the highly organized movements of the Aristotelian-Ptolemaic spheres – as well as the vicissitudes of life through the passage of time.  Frequently accompanying the wheel was the image of the goddess Fortuna, or ‘Lady Fortune’.  Often Lady Fortune was depicted on</w:t>
      </w:r>
      <w:r w:rsidRPr="00D66F28">
        <w:t xml:space="preserve"> “unstable footing…standing on a wheel or orb” to emphasize her “unpredictable nature”, </w:t>
      </w:r>
      <w:r>
        <w:t xml:space="preserve">or she was blindfolded or had two faces to show her </w:t>
      </w:r>
      <w:r w:rsidR="00E816FE">
        <w:t xml:space="preserve">haphazard and </w:t>
      </w:r>
      <w:r>
        <w:t>capricious character.</w:t>
      </w:r>
      <w:r w:rsidRPr="00E612BD">
        <w:rPr>
          <w:rStyle w:val="FootnoteReference"/>
        </w:rPr>
        <w:t xml:space="preserve"> </w:t>
      </w:r>
      <w:r w:rsidRPr="00D66F28">
        <w:rPr>
          <w:rStyle w:val="FootnoteReference"/>
        </w:rPr>
        <w:footnoteReference w:id="23"/>
      </w:r>
      <w:r>
        <w:t xml:space="preserve">  </w:t>
      </w:r>
      <w:r w:rsidR="00E816FE">
        <w:t>The image of Lady Fortune was</w:t>
      </w:r>
      <w:r w:rsidRPr="00D66F28">
        <w:t xml:space="preserve"> a testament to “what so ostentatiously asserts its presence in everyday life”, </w:t>
      </w:r>
      <w:r w:rsidR="00C705DD" w:rsidRPr="00D66F28">
        <w:t xml:space="preserve">an undeniable element which posed a philosophical problem </w:t>
      </w:r>
      <w:r w:rsidR="00C705DD">
        <w:t>church leaders</w:t>
      </w:r>
      <w:r w:rsidR="00C705DD" w:rsidRPr="00D66F28">
        <w:t xml:space="preserve"> </w:t>
      </w:r>
      <w:r w:rsidR="00C705DD">
        <w:t xml:space="preserve">and astrologers </w:t>
      </w:r>
      <w:r w:rsidR="00C705DD" w:rsidRPr="00D66F28">
        <w:t>could not ignore, “the element of chance”.</w:t>
      </w:r>
      <w:r w:rsidR="00C705DD" w:rsidRPr="00D66F28">
        <w:rPr>
          <w:rStyle w:val="FootnoteReference"/>
        </w:rPr>
        <w:footnoteReference w:id="24"/>
      </w:r>
    </w:p>
    <w:p w14:paraId="14312782" w14:textId="03C0BBB3" w:rsidR="00D2462C" w:rsidRDefault="00C705DD" w:rsidP="00EF68EA">
      <w:pPr>
        <w:tabs>
          <w:tab w:val="left" w:pos="2700"/>
        </w:tabs>
      </w:pPr>
      <w:r w:rsidRPr="00F930FB">
        <w:rPr>
          <w:i/>
          <w:iCs/>
          <w:noProof/>
        </w:rPr>
        <w:drawing>
          <wp:anchor distT="0" distB="0" distL="114300" distR="114300" simplePos="0" relativeHeight="251659264" behindDoc="0" locked="0" layoutInCell="1" allowOverlap="1" wp14:anchorId="6E174401" wp14:editId="19E3CEF7">
            <wp:simplePos x="0" y="0"/>
            <wp:positionH relativeFrom="margin">
              <wp:posOffset>1809750</wp:posOffset>
            </wp:positionH>
            <wp:positionV relativeFrom="paragraph">
              <wp:posOffset>553085</wp:posOffset>
            </wp:positionV>
            <wp:extent cx="1466850" cy="210058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66850" cy="2100580"/>
                    </a:xfrm>
                    <a:prstGeom prst="rect">
                      <a:avLst/>
                    </a:prstGeom>
                  </pic:spPr>
                </pic:pic>
              </a:graphicData>
            </a:graphic>
            <wp14:sizeRelH relativeFrom="margin">
              <wp14:pctWidth>0</wp14:pctWidth>
            </wp14:sizeRelH>
            <wp14:sizeRelV relativeFrom="margin">
              <wp14:pctHeight>0</wp14:pctHeight>
            </wp14:sizeRelV>
          </wp:anchor>
        </w:drawing>
      </w:r>
      <w:r w:rsidR="00D2462C">
        <w:rPr>
          <w:noProof/>
        </w:rPr>
        <mc:AlternateContent>
          <mc:Choice Requires="wps">
            <w:drawing>
              <wp:anchor distT="0" distB="0" distL="114300" distR="114300" simplePos="0" relativeHeight="251660288" behindDoc="0" locked="0" layoutInCell="1" allowOverlap="1" wp14:anchorId="0533B8F8" wp14:editId="3A136930">
                <wp:simplePos x="0" y="0"/>
                <wp:positionH relativeFrom="margin">
                  <wp:align>center</wp:align>
                </wp:positionH>
                <wp:positionV relativeFrom="paragraph">
                  <wp:posOffset>2938145</wp:posOffset>
                </wp:positionV>
                <wp:extent cx="5667375" cy="352425"/>
                <wp:effectExtent l="0" t="0" r="9525" b="9525"/>
                <wp:wrapTopAndBottom/>
                <wp:docPr id="3" name="Text Box 3"/>
                <wp:cNvGraphicFramePr/>
                <a:graphic xmlns:a="http://schemas.openxmlformats.org/drawingml/2006/main">
                  <a:graphicData uri="http://schemas.microsoft.com/office/word/2010/wordprocessingShape">
                    <wps:wsp>
                      <wps:cNvSpPr txBox="1"/>
                      <wps:spPr>
                        <a:xfrm>
                          <a:off x="0" y="0"/>
                          <a:ext cx="5667375" cy="352425"/>
                        </a:xfrm>
                        <a:prstGeom prst="rect">
                          <a:avLst/>
                        </a:prstGeom>
                        <a:solidFill>
                          <a:prstClr val="white"/>
                        </a:solidFill>
                        <a:ln>
                          <a:noFill/>
                        </a:ln>
                      </wps:spPr>
                      <wps:txbx>
                        <w:txbxContent>
                          <w:p w14:paraId="405822DD" w14:textId="77777777" w:rsidR="001400D4" w:rsidRDefault="001400D4" w:rsidP="00EF68EA">
                            <w:pPr>
                              <w:pStyle w:val="Caption"/>
                              <w:jc w:val="both"/>
                            </w:pPr>
                            <w:r w:rsidRPr="00F930FB">
                              <w:rPr>
                                <w:i w:val="0"/>
                                <w:iCs w:val="0"/>
                              </w:rPr>
                              <w:t xml:space="preserve">Figure </w:t>
                            </w:r>
                            <w:r>
                              <w:rPr>
                                <w:i w:val="0"/>
                                <w:iCs w:val="0"/>
                              </w:rPr>
                              <w:t>2</w:t>
                            </w:r>
                            <w:r w:rsidRPr="00F930FB">
                              <w:rPr>
                                <w:i w:val="0"/>
                                <w:iCs w:val="0"/>
                              </w:rPr>
                              <w:t xml:space="preserve">: </w:t>
                            </w:r>
                            <w:proofErr w:type="spellStart"/>
                            <w:r w:rsidRPr="00F930FB">
                              <w:rPr>
                                <w:i w:val="0"/>
                                <w:iCs w:val="0"/>
                              </w:rPr>
                              <w:t>Clm</w:t>
                            </w:r>
                            <w:proofErr w:type="spellEnd"/>
                            <w:r w:rsidRPr="00F930FB">
                              <w:rPr>
                                <w:i w:val="0"/>
                                <w:iCs w:val="0"/>
                              </w:rPr>
                              <w:t xml:space="preserve"> 4660</w:t>
                            </w:r>
                            <w:r w:rsidRPr="00047C9F">
                              <w:t xml:space="preserve"> Rota </w:t>
                            </w:r>
                            <w:proofErr w:type="spellStart"/>
                            <w:r w:rsidRPr="00047C9F">
                              <w:t>Fortunae</w:t>
                            </w:r>
                            <w:proofErr w:type="spellEnd"/>
                            <w:r w:rsidRPr="00047C9F">
                              <w:t xml:space="preserve">, Carmina </w:t>
                            </w:r>
                            <w:proofErr w:type="spellStart"/>
                            <w:r w:rsidRPr="00F930FB">
                              <w:rPr>
                                <w:i w:val="0"/>
                                <w:iCs w:val="0"/>
                              </w:rPr>
                              <w:t>Burana</w:t>
                            </w:r>
                            <w:proofErr w:type="spellEnd"/>
                            <w:r w:rsidRPr="00F930FB">
                              <w:rPr>
                                <w:i w:val="0"/>
                                <w:iCs w:val="0"/>
                              </w:rPr>
                              <w:t xml:space="preserve">, Carinthia / Styria or South Tyrol, 1230 - 1399, </w:t>
                            </w:r>
                            <w:r>
                              <w:rPr>
                                <w:i w:val="0"/>
                                <w:iCs w:val="0"/>
                              </w:rPr>
                              <w:t xml:space="preserve">parchment, </w:t>
                            </w:r>
                            <w:r w:rsidRPr="00F930FB">
                              <w:rPr>
                                <w:i w:val="0"/>
                                <w:iCs w:val="0"/>
                              </w:rPr>
                              <w:t>25 x 17 centimeters, Bavarian State Library, Munich Germany</w:t>
                            </w:r>
                            <w:r w:rsidRPr="00047C9F">
                              <w:t xml:space="preserve">, </w:t>
                            </w:r>
                            <w:r>
                              <w:t>I</w:t>
                            </w:r>
                            <w:r w:rsidRPr="00047C9F">
                              <w:t xml:space="preserve">mage: </w:t>
                            </w:r>
                            <w:proofErr w:type="spellStart"/>
                            <w:r w:rsidRPr="00F930FB">
                              <w:rPr>
                                <w:i w:val="0"/>
                                <w:iCs w:val="0"/>
                              </w:rPr>
                              <w:t>Münchener</w:t>
                            </w:r>
                            <w:proofErr w:type="spellEnd"/>
                            <w:r w:rsidRPr="00F930FB">
                              <w:rPr>
                                <w:i w:val="0"/>
                                <w:iCs w:val="0"/>
                              </w:rPr>
                              <w:t xml:space="preserve"> </w:t>
                            </w:r>
                            <w:proofErr w:type="spellStart"/>
                            <w:r w:rsidRPr="00F930FB">
                              <w:rPr>
                                <w:i w:val="0"/>
                                <w:iCs w:val="0"/>
                              </w:rPr>
                              <w:t>DigitalisierungsZentrum</w:t>
                            </w:r>
                            <w:proofErr w:type="spellEnd"/>
                            <w:r w:rsidRPr="00F930FB">
                              <w:rPr>
                                <w:i w:val="0"/>
                                <w:iCs w:val="0"/>
                              </w:rPr>
                              <w:t xml:space="preserve"> / </w:t>
                            </w:r>
                            <w:proofErr w:type="spellStart"/>
                            <w:r w:rsidRPr="00F930FB">
                              <w:rPr>
                                <w:i w:val="0"/>
                                <w:iCs w:val="0"/>
                              </w:rPr>
                              <w:t>Digitale</w:t>
                            </w:r>
                            <w:proofErr w:type="spellEnd"/>
                            <w:r w:rsidRPr="00F930FB">
                              <w:rPr>
                                <w:i w:val="0"/>
                                <w:iCs w:val="0"/>
                              </w:rPr>
                              <w:t xml:space="preserve"> </w:t>
                            </w:r>
                            <w:proofErr w:type="spellStart"/>
                            <w:r w:rsidRPr="00F930FB">
                              <w:rPr>
                                <w:i w:val="0"/>
                                <w:iCs w:val="0"/>
                              </w:rPr>
                              <w:t>Bibliothek</w:t>
                            </w:r>
                            <w:proofErr w:type="spellEnd"/>
                            <w:r w:rsidRPr="00F930FB">
                              <w:rPr>
                                <w:i w:val="0"/>
                                <w:iCs w:val="0"/>
                              </w:rPr>
                              <w:t>.</w:t>
                            </w:r>
                          </w:p>
                          <w:p w14:paraId="103E3E0C" w14:textId="77777777" w:rsidR="001400D4" w:rsidRPr="002A401E" w:rsidRDefault="001400D4" w:rsidP="00EF68EA">
                            <w:pPr>
                              <w:pStyle w:val="Caption"/>
                              <w:rPr>
                                <w:noProof/>
                                <w:color w:val="4472C4" w:themeColor="accent1"/>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33B8F8" id="_x0000_t202" coordsize="21600,21600" o:spt="202" path="m,l,21600r21600,l21600,xe">
                <v:stroke joinstyle="miter"/>
                <v:path gradientshapeok="t" o:connecttype="rect"/>
              </v:shapetype>
              <v:shape id="Text Box 3" o:spid="_x0000_s1026" type="#_x0000_t202" style="position:absolute;margin-left:0;margin-top:231.35pt;width:446.25pt;height:27.7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" stroked="f">
                <v:textbox inset="0,0,0,0">
                  <w:txbxContent>
                    <w:p w14:paraId="405822DD" w14:textId="77777777" w:rsidR="001400D4" w:rsidRDefault="001400D4" w:rsidP="00EF68EA">
                      <w:pPr>
                        <w:pStyle w:val="Caption"/>
                        <w:jc w:val="both"/>
                      </w:pPr>
                      <w:r w:rsidRPr="00F930FB">
                        <w:rPr>
                          <w:i w:val="0"/>
                          <w:iCs w:val="0"/>
                        </w:rPr>
                        <w:t xml:space="preserve">Figure </w:t>
                      </w:r>
                      <w:r>
                        <w:rPr>
                          <w:i w:val="0"/>
                          <w:iCs w:val="0"/>
                        </w:rPr>
                        <w:t>2</w:t>
                      </w:r>
                      <w:r w:rsidRPr="00F930FB">
                        <w:rPr>
                          <w:i w:val="0"/>
                          <w:iCs w:val="0"/>
                        </w:rPr>
                        <w:t xml:space="preserve">: </w:t>
                      </w:r>
                      <w:proofErr w:type="spellStart"/>
                      <w:r w:rsidRPr="00F930FB">
                        <w:rPr>
                          <w:i w:val="0"/>
                          <w:iCs w:val="0"/>
                        </w:rPr>
                        <w:t>Clm</w:t>
                      </w:r>
                      <w:proofErr w:type="spellEnd"/>
                      <w:r w:rsidRPr="00F930FB">
                        <w:rPr>
                          <w:i w:val="0"/>
                          <w:iCs w:val="0"/>
                        </w:rPr>
                        <w:t xml:space="preserve"> 4660</w:t>
                      </w:r>
                      <w:r w:rsidRPr="00047C9F">
                        <w:t xml:space="preserve"> Rota </w:t>
                      </w:r>
                      <w:proofErr w:type="spellStart"/>
                      <w:r w:rsidRPr="00047C9F">
                        <w:t>Fortunae</w:t>
                      </w:r>
                      <w:proofErr w:type="spellEnd"/>
                      <w:r w:rsidRPr="00047C9F">
                        <w:t xml:space="preserve">, Carmina </w:t>
                      </w:r>
                      <w:proofErr w:type="spellStart"/>
                      <w:r w:rsidRPr="00F930FB">
                        <w:rPr>
                          <w:i w:val="0"/>
                          <w:iCs w:val="0"/>
                        </w:rPr>
                        <w:t>Burana</w:t>
                      </w:r>
                      <w:proofErr w:type="spellEnd"/>
                      <w:r w:rsidRPr="00F930FB">
                        <w:rPr>
                          <w:i w:val="0"/>
                          <w:iCs w:val="0"/>
                        </w:rPr>
                        <w:t xml:space="preserve">, Carinthia / Styria or South Tyrol, 1230 - 1399, </w:t>
                      </w:r>
                      <w:r>
                        <w:rPr>
                          <w:i w:val="0"/>
                          <w:iCs w:val="0"/>
                        </w:rPr>
                        <w:t xml:space="preserve">parchment, </w:t>
                      </w:r>
                      <w:r w:rsidRPr="00F930FB">
                        <w:rPr>
                          <w:i w:val="0"/>
                          <w:iCs w:val="0"/>
                        </w:rPr>
                        <w:t>25 x 17 centimeters, Bavarian State Library, Munich Germany</w:t>
                      </w:r>
                      <w:r w:rsidRPr="00047C9F">
                        <w:t xml:space="preserve">, </w:t>
                      </w:r>
                      <w:r>
                        <w:t>I</w:t>
                      </w:r>
                      <w:r w:rsidRPr="00047C9F">
                        <w:t xml:space="preserve">mage: </w:t>
                      </w:r>
                      <w:proofErr w:type="spellStart"/>
                      <w:r w:rsidRPr="00F930FB">
                        <w:rPr>
                          <w:i w:val="0"/>
                          <w:iCs w:val="0"/>
                        </w:rPr>
                        <w:t>Münchener</w:t>
                      </w:r>
                      <w:proofErr w:type="spellEnd"/>
                      <w:r w:rsidRPr="00F930FB">
                        <w:rPr>
                          <w:i w:val="0"/>
                          <w:iCs w:val="0"/>
                        </w:rPr>
                        <w:t xml:space="preserve"> </w:t>
                      </w:r>
                      <w:proofErr w:type="spellStart"/>
                      <w:r w:rsidRPr="00F930FB">
                        <w:rPr>
                          <w:i w:val="0"/>
                          <w:iCs w:val="0"/>
                        </w:rPr>
                        <w:t>DigitalisierungsZentrum</w:t>
                      </w:r>
                      <w:proofErr w:type="spellEnd"/>
                      <w:r w:rsidRPr="00F930FB">
                        <w:rPr>
                          <w:i w:val="0"/>
                          <w:iCs w:val="0"/>
                        </w:rPr>
                        <w:t xml:space="preserve"> / </w:t>
                      </w:r>
                      <w:proofErr w:type="spellStart"/>
                      <w:r w:rsidRPr="00F930FB">
                        <w:rPr>
                          <w:i w:val="0"/>
                          <w:iCs w:val="0"/>
                        </w:rPr>
                        <w:t>Digitale</w:t>
                      </w:r>
                      <w:proofErr w:type="spellEnd"/>
                      <w:r w:rsidRPr="00F930FB">
                        <w:rPr>
                          <w:i w:val="0"/>
                          <w:iCs w:val="0"/>
                        </w:rPr>
                        <w:t xml:space="preserve"> </w:t>
                      </w:r>
                      <w:proofErr w:type="spellStart"/>
                      <w:r w:rsidRPr="00F930FB">
                        <w:rPr>
                          <w:i w:val="0"/>
                          <w:iCs w:val="0"/>
                        </w:rPr>
                        <w:t>Bibliothek</w:t>
                      </w:r>
                      <w:proofErr w:type="spellEnd"/>
                      <w:r w:rsidRPr="00F930FB">
                        <w:rPr>
                          <w:i w:val="0"/>
                          <w:iCs w:val="0"/>
                        </w:rPr>
                        <w:t>.</w:t>
                      </w:r>
                    </w:p>
                    <w:p w14:paraId="103E3E0C" w14:textId="77777777" w:rsidR="001400D4" w:rsidRPr="002A401E" w:rsidRDefault="001400D4" w:rsidP="00EF68EA">
                      <w:pPr>
                        <w:pStyle w:val="Caption"/>
                        <w:rPr>
                          <w:noProof/>
                          <w:color w:val="4472C4" w:themeColor="accent1"/>
                        </w:rPr>
                      </w:pPr>
                    </w:p>
                  </w:txbxContent>
                </v:textbox>
                <w10:wrap type="topAndBottom" anchorx="margin"/>
              </v:shape>
            </w:pict>
          </mc:Fallback>
        </mc:AlternateContent>
      </w:r>
      <w:r w:rsidR="00D2462C">
        <w:t xml:space="preserve">      </w:t>
      </w:r>
      <w:r w:rsidR="00D2462C">
        <w:t xml:space="preserve">The two images below feature contemporaneous depictions of Lady Fortune.  The first image is from Carmina </w:t>
      </w:r>
      <w:proofErr w:type="spellStart"/>
      <w:r w:rsidR="00D2462C">
        <w:t>Burana</w:t>
      </w:r>
      <w:proofErr w:type="spellEnd"/>
      <w:r w:rsidR="00D2462C">
        <w:t xml:space="preserve"> - a German manuscript of poems and songs from 1230 C.E.  The second image of Lady Fortune is from Jean de </w:t>
      </w:r>
      <w:proofErr w:type="spellStart"/>
      <w:r w:rsidR="00D2462C">
        <w:t>Meung’s</w:t>
      </w:r>
      <w:proofErr w:type="spellEnd"/>
      <w:r w:rsidR="00D2462C">
        <w:t xml:space="preserve"> and Guillaume de </w:t>
      </w:r>
      <w:proofErr w:type="spellStart"/>
      <w:r w:rsidR="00D2462C">
        <w:t>Lorris’</w:t>
      </w:r>
      <w:proofErr w:type="spellEnd"/>
      <w:r w:rsidR="00D2462C">
        <w:t xml:space="preserve"> collection (‘</w:t>
      </w:r>
      <w:proofErr w:type="spellStart"/>
      <w:r w:rsidR="00D2462C">
        <w:t>Recueil</w:t>
      </w:r>
      <w:proofErr w:type="spellEnd"/>
      <w:r w:rsidR="00D2462C">
        <w:t>’) of writings published in</w:t>
      </w:r>
    </w:p>
    <w:p w14:paraId="28D78A21" w14:textId="4C09C6DB" w:rsidR="002E3970" w:rsidRDefault="00D2462C" w:rsidP="00EF68EA">
      <w:pPr>
        <w:tabs>
          <w:tab w:val="left" w:pos="2700"/>
        </w:tabs>
      </w:pPr>
      <w:r>
        <w:rPr>
          <w:noProof/>
        </w:rPr>
        <w:lastRenderedPageBreak/>
        <mc:AlternateContent>
          <mc:Choice Requires="wps">
            <w:drawing>
              <wp:anchor distT="0" distB="0" distL="114300" distR="114300" simplePos="0" relativeHeight="251661312" behindDoc="0" locked="0" layoutInCell="1" allowOverlap="1" wp14:anchorId="3FF7C0D9" wp14:editId="6690EC5E">
                <wp:simplePos x="0" y="0"/>
                <wp:positionH relativeFrom="margin">
                  <wp:align>center</wp:align>
                </wp:positionH>
                <wp:positionV relativeFrom="paragraph">
                  <wp:posOffset>2252345</wp:posOffset>
                </wp:positionV>
                <wp:extent cx="5464810" cy="442595"/>
                <wp:effectExtent l="0" t="0" r="2540" b="0"/>
                <wp:wrapTopAndBottom/>
                <wp:docPr id="6" name="Text Box 6"/>
                <wp:cNvGraphicFramePr/>
                <a:graphic xmlns:a="http://schemas.openxmlformats.org/drawingml/2006/main">
                  <a:graphicData uri="http://schemas.microsoft.com/office/word/2010/wordprocessingShape">
                    <wps:wsp>
                      <wps:cNvSpPr txBox="1"/>
                      <wps:spPr>
                        <a:xfrm>
                          <a:off x="0" y="0"/>
                          <a:ext cx="5464810" cy="442595"/>
                        </a:xfrm>
                        <a:prstGeom prst="rect">
                          <a:avLst/>
                        </a:prstGeom>
                        <a:solidFill>
                          <a:prstClr val="white"/>
                        </a:solidFill>
                        <a:ln>
                          <a:noFill/>
                        </a:ln>
                      </wps:spPr>
                      <wps:txbx>
                        <w:txbxContent>
                          <w:p w14:paraId="0D8DCD4E" w14:textId="77777777" w:rsidR="001400D4" w:rsidRDefault="001400D4" w:rsidP="00EF68EA">
                            <w:pPr>
                              <w:pStyle w:val="Caption"/>
                              <w:jc w:val="both"/>
                            </w:pPr>
                            <w:r w:rsidRPr="00F930FB">
                              <w:rPr>
                                <w:i w:val="0"/>
                                <w:iCs w:val="0"/>
                              </w:rPr>
                              <w:t xml:space="preserve">Figure </w:t>
                            </w:r>
                            <w:r>
                              <w:rPr>
                                <w:i w:val="0"/>
                                <w:iCs w:val="0"/>
                              </w:rPr>
                              <w:t>3</w:t>
                            </w:r>
                            <w:r w:rsidRPr="00F930FB">
                              <w:rPr>
                                <w:i w:val="0"/>
                                <w:iCs w:val="0"/>
                              </w:rPr>
                              <w:t>:</w:t>
                            </w:r>
                            <w:r>
                              <w:rPr>
                                <w:i w:val="0"/>
                                <w:iCs w:val="0"/>
                              </w:rPr>
                              <w:t xml:space="preserve"> </w:t>
                            </w:r>
                            <w:proofErr w:type="spellStart"/>
                            <w:r w:rsidRPr="009C13DC">
                              <w:rPr>
                                <w:i w:val="0"/>
                                <w:iCs w:val="0"/>
                              </w:rPr>
                              <w:t>Recueil</w:t>
                            </w:r>
                            <w:proofErr w:type="spellEnd"/>
                            <w:r w:rsidRPr="009C13DC">
                              <w:rPr>
                                <w:i w:val="0"/>
                                <w:iCs w:val="0"/>
                              </w:rPr>
                              <w:t xml:space="preserve">, Guillaume de </w:t>
                            </w:r>
                            <w:proofErr w:type="spellStart"/>
                            <w:r w:rsidRPr="009C13DC">
                              <w:rPr>
                                <w:i w:val="0"/>
                                <w:iCs w:val="0"/>
                              </w:rPr>
                              <w:t>Lorris</w:t>
                            </w:r>
                            <w:proofErr w:type="spellEnd"/>
                            <w:r w:rsidRPr="009C13DC">
                              <w:rPr>
                                <w:i w:val="0"/>
                                <w:iCs w:val="0"/>
                              </w:rPr>
                              <w:t xml:space="preserve">, </w:t>
                            </w:r>
                            <w:proofErr w:type="spellStart"/>
                            <w:r w:rsidRPr="009C13DC">
                              <w:rPr>
                                <w:i w:val="0"/>
                                <w:iCs w:val="0"/>
                              </w:rPr>
                              <w:t>BnF</w:t>
                            </w:r>
                            <w:proofErr w:type="spellEnd"/>
                            <w:r w:rsidRPr="009C13DC">
                              <w:rPr>
                                <w:i w:val="0"/>
                                <w:iCs w:val="0"/>
                              </w:rPr>
                              <w:t xml:space="preserve"> MS </w:t>
                            </w:r>
                            <w:proofErr w:type="spellStart"/>
                            <w:r w:rsidRPr="009C13DC">
                              <w:rPr>
                                <w:i w:val="0"/>
                                <w:iCs w:val="0"/>
                              </w:rPr>
                              <w:t>Français</w:t>
                            </w:r>
                            <w:proofErr w:type="spellEnd"/>
                            <w:r w:rsidRPr="009C13DC">
                              <w:rPr>
                                <w:i w:val="0"/>
                                <w:iCs w:val="0"/>
                              </w:rPr>
                              <w:t xml:space="preserve"> 2195, f.156v</w:t>
                            </w:r>
                            <w:r w:rsidRPr="00F930FB">
                              <w:rPr>
                                <w:i w:val="0"/>
                                <w:iCs w:val="0"/>
                              </w:rPr>
                              <w:t xml:space="preserve"> </w:t>
                            </w:r>
                            <w:r>
                              <w:rPr>
                                <w:i w:val="0"/>
                                <w:iCs w:val="0"/>
                              </w:rPr>
                              <w:t>Paris</w:t>
                            </w:r>
                            <w:r w:rsidRPr="00F930FB">
                              <w:rPr>
                                <w:i w:val="0"/>
                                <w:iCs w:val="0"/>
                              </w:rPr>
                              <w:t xml:space="preserve"> / </w:t>
                            </w:r>
                            <w:r>
                              <w:rPr>
                                <w:i w:val="0"/>
                                <w:iCs w:val="0"/>
                              </w:rPr>
                              <w:t>France</w:t>
                            </w:r>
                            <w:r w:rsidRPr="00F930FB">
                              <w:rPr>
                                <w:i w:val="0"/>
                                <w:iCs w:val="0"/>
                              </w:rPr>
                              <w:t xml:space="preserve">, </w:t>
                            </w:r>
                            <w:r>
                              <w:rPr>
                                <w:i w:val="0"/>
                                <w:iCs w:val="0"/>
                              </w:rPr>
                              <w:t>1361</w:t>
                            </w:r>
                            <w:r w:rsidRPr="00F930FB">
                              <w:rPr>
                                <w:i w:val="0"/>
                                <w:iCs w:val="0"/>
                              </w:rPr>
                              <w:t xml:space="preserve">, </w:t>
                            </w:r>
                            <w:r>
                              <w:rPr>
                                <w:i w:val="0"/>
                                <w:iCs w:val="0"/>
                              </w:rPr>
                              <w:t xml:space="preserve">parchment, </w:t>
                            </w:r>
                            <w:r w:rsidRPr="00F930FB">
                              <w:rPr>
                                <w:i w:val="0"/>
                                <w:iCs w:val="0"/>
                              </w:rPr>
                              <w:t>2</w:t>
                            </w:r>
                            <w:r>
                              <w:rPr>
                                <w:i w:val="0"/>
                                <w:iCs w:val="0"/>
                              </w:rPr>
                              <w:t>0</w:t>
                            </w:r>
                            <w:r w:rsidRPr="00F930FB">
                              <w:rPr>
                                <w:i w:val="0"/>
                                <w:iCs w:val="0"/>
                              </w:rPr>
                              <w:t xml:space="preserve"> x 1</w:t>
                            </w:r>
                            <w:r>
                              <w:rPr>
                                <w:i w:val="0"/>
                                <w:iCs w:val="0"/>
                              </w:rPr>
                              <w:t>4</w:t>
                            </w:r>
                            <w:r w:rsidRPr="00F930FB">
                              <w:rPr>
                                <w:i w:val="0"/>
                                <w:iCs w:val="0"/>
                              </w:rPr>
                              <w:t xml:space="preserve"> centimeters, </w:t>
                            </w:r>
                            <w:proofErr w:type="spellStart"/>
                            <w:r>
                              <w:rPr>
                                <w:i w:val="0"/>
                                <w:iCs w:val="0"/>
                              </w:rPr>
                              <w:t>Bibliotheque</w:t>
                            </w:r>
                            <w:proofErr w:type="spellEnd"/>
                            <w:r>
                              <w:rPr>
                                <w:i w:val="0"/>
                                <w:iCs w:val="0"/>
                              </w:rPr>
                              <w:t xml:space="preserve"> </w:t>
                            </w:r>
                            <w:proofErr w:type="spellStart"/>
                            <w:r>
                              <w:rPr>
                                <w:i w:val="0"/>
                                <w:iCs w:val="0"/>
                              </w:rPr>
                              <w:t>Nationale</w:t>
                            </w:r>
                            <w:proofErr w:type="spellEnd"/>
                            <w:r>
                              <w:rPr>
                                <w:i w:val="0"/>
                                <w:iCs w:val="0"/>
                              </w:rPr>
                              <w:t xml:space="preserve"> de France</w:t>
                            </w:r>
                            <w:r w:rsidRPr="00F930FB">
                              <w:rPr>
                                <w:i w:val="0"/>
                                <w:iCs w:val="0"/>
                              </w:rPr>
                              <w:t xml:space="preserve">, </w:t>
                            </w:r>
                            <w:r>
                              <w:rPr>
                                <w:i w:val="0"/>
                                <w:iCs w:val="0"/>
                              </w:rPr>
                              <w:t>Paris,</w:t>
                            </w:r>
                            <w:r w:rsidRPr="00F930FB">
                              <w:rPr>
                                <w:i w:val="0"/>
                                <w:iCs w:val="0"/>
                              </w:rPr>
                              <w:t xml:space="preserve"> </w:t>
                            </w:r>
                            <w:r>
                              <w:rPr>
                                <w:i w:val="0"/>
                                <w:iCs w:val="0"/>
                              </w:rPr>
                              <w:t>France</w:t>
                            </w:r>
                            <w:r w:rsidRPr="00047C9F">
                              <w:t xml:space="preserve">, </w:t>
                            </w:r>
                            <w:r>
                              <w:t>I</w:t>
                            </w:r>
                            <w:r w:rsidRPr="00047C9F">
                              <w:t xml:space="preserve">mage: </w:t>
                            </w:r>
                            <w:proofErr w:type="spellStart"/>
                            <w:r>
                              <w:rPr>
                                <w:i w:val="0"/>
                                <w:iCs w:val="0"/>
                              </w:rPr>
                              <w:t>BnF</w:t>
                            </w:r>
                            <w:proofErr w:type="spellEnd"/>
                            <w:r>
                              <w:rPr>
                                <w:i w:val="0"/>
                                <w:iCs w:val="0"/>
                              </w:rPr>
                              <w:t xml:space="preserve"> Gallica</w:t>
                            </w:r>
                            <w:r w:rsidRPr="00F930FB">
                              <w:rPr>
                                <w:i w:val="0"/>
                                <w:iCs w:val="0"/>
                              </w:rPr>
                              <w:t>.</w:t>
                            </w:r>
                          </w:p>
                          <w:p w14:paraId="1409DFE3" w14:textId="77777777" w:rsidR="001400D4" w:rsidRPr="006D0243" w:rsidRDefault="001400D4" w:rsidP="00EF68EA">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F7C0D9" id="Text Box 6" o:spid="_x0000_s1027" type="#_x0000_t202" style="position:absolute;margin-left:0;margin-top:177.35pt;width:430.3pt;height:34.8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" stroked="f">
                <v:textbox inset="0,0,0,0">
                  <w:txbxContent>
                    <w:p w14:paraId="0D8DCD4E" w14:textId="77777777" w:rsidR="001400D4" w:rsidRDefault="001400D4" w:rsidP="00EF68EA">
                      <w:pPr>
                        <w:pStyle w:val="Caption"/>
                        <w:jc w:val="both"/>
                      </w:pPr>
                      <w:r w:rsidRPr="00F930FB">
                        <w:rPr>
                          <w:i w:val="0"/>
                          <w:iCs w:val="0"/>
                        </w:rPr>
                        <w:t xml:space="preserve">Figure </w:t>
                      </w:r>
                      <w:r>
                        <w:rPr>
                          <w:i w:val="0"/>
                          <w:iCs w:val="0"/>
                        </w:rPr>
                        <w:t>3</w:t>
                      </w:r>
                      <w:r w:rsidRPr="00F930FB">
                        <w:rPr>
                          <w:i w:val="0"/>
                          <w:iCs w:val="0"/>
                        </w:rPr>
                        <w:t>:</w:t>
                      </w:r>
                      <w:r>
                        <w:rPr>
                          <w:i w:val="0"/>
                          <w:iCs w:val="0"/>
                        </w:rPr>
                        <w:t xml:space="preserve"> </w:t>
                      </w:r>
                      <w:proofErr w:type="spellStart"/>
                      <w:r w:rsidRPr="009C13DC">
                        <w:rPr>
                          <w:i w:val="0"/>
                          <w:iCs w:val="0"/>
                        </w:rPr>
                        <w:t>Recueil</w:t>
                      </w:r>
                      <w:proofErr w:type="spellEnd"/>
                      <w:r w:rsidRPr="009C13DC">
                        <w:rPr>
                          <w:i w:val="0"/>
                          <w:iCs w:val="0"/>
                        </w:rPr>
                        <w:t xml:space="preserve">, Guillaume de </w:t>
                      </w:r>
                      <w:proofErr w:type="spellStart"/>
                      <w:r w:rsidRPr="009C13DC">
                        <w:rPr>
                          <w:i w:val="0"/>
                          <w:iCs w:val="0"/>
                        </w:rPr>
                        <w:t>Lorris</w:t>
                      </w:r>
                      <w:proofErr w:type="spellEnd"/>
                      <w:r w:rsidRPr="009C13DC">
                        <w:rPr>
                          <w:i w:val="0"/>
                          <w:iCs w:val="0"/>
                        </w:rPr>
                        <w:t xml:space="preserve">, </w:t>
                      </w:r>
                      <w:proofErr w:type="spellStart"/>
                      <w:r w:rsidRPr="009C13DC">
                        <w:rPr>
                          <w:i w:val="0"/>
                          <w:iCs w:val="0"/>
                        </w:rPr>
                        <w:t>BnF</w:t>
                      </w:r>
                      <w:proofErr w:type="spellEnd"/>
                      <w:r w:rsidRPr="009C13DC">
                        <w:rPr>
                          <w:i w:val="0"/>
                          <w:iCs w:val="0"/>
                        </w:rPr>
                        <w:t xml:space="preserve"> MS </w:t>
                      </w:r>
                      <w:proofErr w:type="spellStart"/>
                      <w:r w:rsidRPr="009C13DC">
                        <w:rPr>
                          <w:i w:val="0"/>
                          <w:iCs w:val="0"/>
                        </w:rPr>
                        <w:t>Français</w:t>
                      </w:r>
                      <w:proofErr w:type="spellEnd"/>
                      <w:r w:rsidRPr="009C13DC">
                        <w:rPr>
                          <w:i w:val="0"/>
                          <w:iCs w:val="0"/>
                        </w:rPr>
                        <w:t xml:space="preserve"> 2195, f.156v</w:t>
                      </w:r>
                      <w:r w:rsidRPr="00F930FB">
                        <w:rPr>
                          <w:i w:val="0"/>
                          <w:iCs w:val="0"/>
                        </w:rPr>
                        <w:t xml:space="preserve"> </w:t>
                      </w:r>
                      <w:r>
                        <w:rPr>
                          <w:i w:val="0"/>
                          <w:iCs w:val="0"/>
                        </w:rPr>
                        <w:t>Paris</w:t>
                      </w:r>
                      <w:r w:rsidRPr="00F930FB">
                        <w:rPr>
                          <w:i w:val="0"/>
                          <w:iCs w:val="0"/>
                        </w:rPr>
                        <w:t xml:space="preserve"> / </w:t>
                      </w:r>
                      <w:r>
                        <w:rPr>
                          <w:i w:val="0"/>
                          <w:iCs w:val="0"/>
                        </w:rPr>
                        <w:t>France</w:t>
                      </w:r>
                      <w:r w:rsidRPr="00F930FB">
                        <w:rPr>
                          <w:i w:val="0"/>
                          <w:iCs w:val="0"/>
                        </w:rPr>
                        <w:t xml:space="preserve">, </w:t>
                      </w:r>
                      <w:r>
                        <w:rPr>
                          <w:i w:val="0"/>
                          <w:iCs w:val="0"/>
                        </w:rPr>
                        <w:t>1361</w:t>
                      </w:r>
                      <w:r w:rsidRPr="00F930FB">
                        <w:rPr>
                          <w:i w:val="0"/>
                          <w:iCs w:val="0"/>
                        </w:rPr>
                        <w:t xml:space="preserve">, </w:t>
                      </w:r>
                      <w:r>
                        <w:rPr>
                          <w:i w:val="0"/>
                          <w:iCs w:val="0"/>
                        </w:rPr>
                        <w:t xml:space="preserve">parchment, </w:t>
                      </w:r>
                      <w:r w:rsidRPr="00F930FB">
                        <w:rPr>
                          <w:i w:val="0"/>
                          <w:iCs w:val="0"/>
                        </w:rPr>
                        <w:t>2</w:t>
                      </w:r>
                      <w:r>
                        <w:rPr>
                          <w:i w:val="0"/>
                          <w:iCs w:val="0"/>
                        </w:rPr>
                        <w:t>0</w:t>
                      </w:r>
                      <w:r w:rsidRPr="00F930FB">
                        <w:rPr>
                          <w:i w:val="0"/>
                          <w:iCs w:val="0"/>
                        </w:rPr>
                        <w:t xml:space="preserve"> x 1</w:t>
                      </w:r>
                      <w:r>
                        <w:rPr>
                          <w:i w:val="0"/>
                          <w:iCs w:val="0"/>
                        </w:rPr>
                        <w:t>4</w:t>
                      </w:r>
                      <w:r w:rsidRPr="00F930FB">
                        <w:rPr>
                          <w:i w:val="0"/>
                          <w:iCs w:val="0"/>
                        </w:rPr>
                        <w:t xml:space="preserve"> centimeters, </w:t>
                      </w:r>
                      <w:proofErr w:type="spellStart"/>
                      <w:r>
                        <w:rPr>
                          <w:i w:val="0"/>
                          <w:iCs w:val="0"/>
                        </w:rPr>
                        <w:t>Bibliotheque</w:t>
                      </w:r>
                      <w:proofErr w:type="spellEnd"/>
                      <w:r>
                        <w:rPr>
                          <w:i w:val="0"/>
                          <w:iCs w:val="0"/>
                        </w:rPr>
                        <w:t xml:space="preserve"> </w:t>
                      </w:r>
                      <w:proofErr w:type="spellStart"/>
                      <w:r>
                        <w:rPr>
                          <w:i w:val="0"/>
                          <w:iCs w:val="0"/>
                        </w:rPr>
                        <w:t>Nationale</w:t>
                      </w:r>
                      <w:proofErr w:type="spellEnd"/>
                      <w:r>
                        <w:rPr>
                          <w:i w:val="0"/>
                          <w:iCs w:val="0"/>
                        </w:rPr>
                        <w:t xml:space="preserve"> de France</w:t>
                      </w:r>
                      <w:r w:rsidRPr="00F930FB">
                        <w:rPr>
                          <w:i w:val="0"/>
                          <w:iCs w:val="0"/>
                        </w:rPr>
                        <w:t xml:space="preserve">, </w:t>
                      </w:r>
                      <w:r>
                        <w:rPr>
                          <w:i w:val="0"/>
                          <w:iCs w:val="0"/>
                        </w:rPr>
                        <w:t>Paris,</w:t>
                      </w:r>
                      <w:r w:rsidRPr="00F930FB">
                        <w:rPr>
                          <w:i w:val="0"/>
                          <w:iCs w:val="0"/>
                        </w:rPr>
                        <w:t xml:space="preserve"> </w:t>
                      </w:r>
                      <w:r>
                        <w:rPr>
                          <w:i w:val="0"/>
                          <w:iCs w:val="0"/>
                        </w:rPr>
                        <w:t>France</w:t>
                      </w:r>
                      <w:r w:rsidRPr="00047C9F">
                        <w:t xml:space="preserve">, </w:t>
                      </w:r>
                      <w:r>
                        <w:t>I</w:t>
                      </w:r>
                      <w:r w:rsidRPr="00047C9F">
                        <w:t xml:space="preserve">mage: </w:t>
                      </w:r>
                      <w:proofErr w:type="spellStart"/>
                      <w:r>
                        <w:rPr>
                          <w:i w:val="0"/>
                          <w:iCs w:val="0"/>
                        </w:rPr>
                        <w:t>BnF</w:t>
                      </w:r>
                      <w:proofErr w:type="spellEnd"/>
                      <w:r>
                        <w:rPr>
                          <w:i w:val="0"/>
                          <w:iCs w:val="0"/>
                        </w:rPr>
                        <w:t xml:space="preserve"> Gallica</w:t>
                      </w:r>
                      <w:r w:rsidRPr="00F930FB">
                        <w:rPr>
                          <w:i w:val="0"/>
                          <w:iCs w:val="0"/>
                        </w:rPr>
                        <w:t>.</w:t>
                      </w:r>
                    </w:p>
                    <w:p w14:paraId="1409DFE3" w14:textId="77777777" w:rsidR="001400D4" w:rsidRPr="006D0243" w:rsidRDefault="001400D4" w:rsidP="00EF68EA">
                      <w:pPr>
                        <w:pStyle w:val="Caption"/>
                        <w:rPr>
                          <w:noProof/>
                        </w:rPr>
                      </w:pPr>
                    </w:p>
                  </w:txbxContent>
                </v:textbox>
                <w10:wrap type="topAndBottom" anchorx="margin"/>
              </v:shape>
            </w:pict>
          </mc:Fallback>
        </mc:AlternateContent>
      </w:r>
      <w:r>
        <w:rPr>
          <w:noProof/>
        </w:rPr>
        <w:drawing>
          <wp:anchor distT="0" distB="0" distL="114300" distR="114300" simplePos="0" relativeHeight="251662336" behindDoc="0" locked="0" layoutInCell="1" allowOverlap="1" wp14:anchorId="39485DFB" wp14:editId="432B2DC2">
            <wp:simplePos x="0" y="0"/>
            <wp:positionH relativeFrom="margin">
              <wp:align>center</wp:align>
            </wp:positionH>
            <wp:positionV relativeFrom="paragraph">
              <wp:posOffset>0</wp:posOffset>
            </wp:positionV>
            <wp:extent cx="1504950" cy="2252345"/>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04950" cy="2252345"/>
                    </a:xfrm>
                    <a:prstGeom prst="rect">
                      <a:avLst/>
                    </a:prstGeom>
                  </pic:spPr>
                </pic:pic>
              </a:graphicData>
            </a:graphic>
            <wp14:sizeRelH relativeFrom="margin">
              <wp14:pctWidth>0</wp14:pctWidth>
            </wp14:sizeRelH>
            <wp14:sizeRelV relativeFrom="margin">
              <wp14:pctHeight>0</wp14:pctHeight>
            </wp14:sizeRelV>
          </wp:anchor>
        </w:drawing>
      </w:r>
      <w:r w:rsidR="001856DD">
        <w:t>1361.  Both</w:t>
      </w:r>
      <w:r w:rsidR="00EF68EA">
        <w:t xml:space="preserve"> depicti</w:t>
      </w:r>
      <w:r w:rsidR="001856DD">
        <w:t>o</w:t>
      </w:r>
      <w:r w:rsidR="00EF68EA">
        <w:t>n</w:t>
      </w:r>
      <w:r w:rsidR="001856DD">
        <w:t>s</w:t>
      </w:r>
      <w:r w:rsidR="00EF68EA">
        <w:t xml:space="preserve"> </w:t>
      </w:r>
      <w:r w:rsidR="001856DD">
        <w:t>are</w:t>
      </w:r>
      <w:r w:rsidR="00EF68EA">
        <w:t xml:space="preserve"> common set-up</w:t>
      </w:r>
      <w:r w:rsidR="001856DD">
        <w:t>s</w:t>
      </w:r>
      <w:r w:rsidR="00EF68EA">
        <w:t xml:space="preserve"> for Lady Fortune</w:t>
      </w:r>
      <w:r w:rsidR="006A41D6">
        <w:t>: s</w:t>
      </w:r>
      <w:r w:rsidR="00EF68EA">
        <w:t xml:space="preserve">he is </w:t>
      </w:r>
      <w:r w:rsidR="001856DD">
        <w:t>positioned</w:t>
      </w:r>
      <w:r w:rsidR="00EF68EA">
        <w:t xml:space="preserve"> in the middle of the wheel </w:t>
      </w:r>
      <w:r w:rsidR="002F4234">
        <w:t>encircled</w:t>
      </w:r>
      <w:r w:rsidR="00EF68EA">
        <w:t xml:space="preserve"> by four figures, each in a different stage of fortune’s spin, each stage with a label</w:t>
      </w:r>
      <w:r w:rsidR="006A41D6">
        <w:t xml:space="preserve"> </w:t>
      </w:r>
      <w:r w:rsidR="00EF68EA">
        <w:t>– ‘regno’ (I reign), ‘</w:t>
      </w:r>
      <w:proofErr w:type="spellStart"/>
      <w:r w:rsidR="00EF68EA">
        <w:t>regnavi</w:t>
      </w:r>
      <w:proofErr w:type="spellEnd"/>
      <w:r w:rsidR="00EF68EA">
        <w:t>’ (I have reigned), ‘sum sine regno’ (I am without a kingdom), and ‘</w:t>
      </w:r>
      <w:proofErr w:type="spellStart"/>
      <w:r w:rsidR="00EF68EA">
        <w:t>regnabo</w:t>
      </w:r>
      <w:proofErr w:type="spellEnd"/>
      <w:r w:rsidR="00EF68EA">
        <w:t>’ (I shall reign).</w:t>
      </w:r>
      <w:r w:rsidR="00EF68EA">
        <w:rPr>
          <w:rStyle w:val="FootnoteReference"/>
        </w:rPr>
        <w:footnoteReference w:id="25"/>
      </w:r>
      <w:r w:rsidR="00EF68EA">
        <w:t xml:space="preserve">  </w:t>
      </w:r>
      <w:r w:rsidR="006A41D6">
        <w:t xml:space="preserve">There are </w:t>
      </w:r>
      <w:r w:rsidR="00551606">
        <w:t xml:space="preserve">also </w:t>
      </w:r>
      <w:r w:rsidR="006A41D6">
        <w:t xml:space="preserve">some subtle differences.  In the first image, </w:t>
      </w:r>
      <w:r w:rsidR="002F4234">
        <w:t xml:space="preserve">Lady Fortune </w:t>
      </w:r>
      <w:r w:rsidR="00551606">
        <w:t xml:space="preserve">is hands-free in terms of the wheel </w:t>
      </w:r>
      <w:r w:rsidR="006A41D6">
        <w:t>and is seated in front of it</w:t>
      </w:r>
      <w:r w:rsidR="00D87A23">
        <w:t>.  T</w:t>
      </w:r>
      <w:r w:rsidR="006A41D6">
        <w:t>he second image</w:t>
      </w:r>
      <w:r w:rsidR="00551606">
        <w:t xml:space="preserve"> depicts</w:t>
      </w:r>
      <w:r w:rsidR="006A41D6">
        <w:t xml:space="preserve"> Lady Fortune standing behind the wheel </w:t>
      </w:r>
      <w:r w:rsidR="00D87A23">
        <w:t xml:space="preserve">blindfolded - a depiction which is used to “convey the randomness of chance”- </w:t>
      </w:r>
      <w:r w:rsidR="006A41D6">
        <w:t xml:space="preserve">with her hands </w:t>
      </w:r>
      <w:r w:rsidR="003C76EE">
        <w:t>actively</w:t>
      </w:r>
      <w:r w:rsidR="006A41D6">
        <w:t xml:space="preserve"> maintaining its spin</w:t>
      </w:r>
      <w:r w:rsidR="009B7643">
        <w:t>.</w:t>
      </w:r>
      <w:r w:rsidR="009B7643">
        <w:rPr>
          <w:rStyle w:val="FootnoteReference"/>
        </w:rPr>
        <w:footnoteReference w:id="26"/>
      </w:r>
      <w:r w:rsidR="003C76EE">
        <w:t xml:space="preserve"> </w:t>
      </w:r>
      <w:r w:rsidR="009B7643">
        <w:t xml:space="preserve"> Lady Fortune’s engagement with the wheel’s motion is i</w:t>
      </w:r>
      <w:r w:rsidR="003C76EE">
        <w:t>ndicated by her hands – one lifting upward and on</w:t>
      </w:r>
      <w:r w:rsidR="00D87A23">
        <w:t>e</w:t>
      </w:r>
      <w:r w:rsidR="003C76EE">
        <w:t xml:space="preserve"> pushing downward on the spokes of the wheel.  </w:t>
      </w:r>
      <w:r w:rsidR="006A41D6">
        <w:t>T</w:t>
      </w:r>
      <w:r w:rsidR="002F4234">
        <w:t xml:space="preserve">he rotation of the wheel is evident in the figures surrounding her </w:t>
      </w:r>
      <w:r w:rsidR="006A41D6">
        <w:t xml:space="preserve">in both images </w:t>
      </w:r>
      <w:r w:rsidR="002F4234">
        <w:t>as they grip the wheel on descent, robes falling toward the ground, and climb on ascent</w:t>
      </w:r>
      <w:r w:rsidR="00B03253">
        <w:t>, hands reaching for the top</w:t>
      </w:r>
      <w:r w:rsidR="002F4234">
        <w:t>.</w:t>
      </w:r>
      <w:r w:rsidR="00F23F62">
        <w:t xml:space="preserve">  </w:t>
      </w:r>
      <w:r w:rsidR="00382ECD">
        <w:t xml:space="preserve">The implied perpetuity of the wheel’s spin and the figures’ adherence to the wheel offer a fatalistic, choiceless view of existence.  Even so, chance still occupies a central space within that order, whether it be cosmological, spiritual, or astrological. </w:t>
      </w:r>
    </w:p>
    <w:p w14:paraId="365E75EA" w14:textId="4AD767CE" w:rsidR="002E3970" w:rsidRPr="002E3970" w:rsidRDefault="00382ECD" w:rsidP="00EF68EA">
      <w:pPr>
        <w:tabs>
          <w:tab w:val="left" w:pos="2700"/>
        </w:tabs>
      </w:pPr>
      <w:r>
        <w:t xml:space="preserve"> </w:t>
      </w:r>
      <w:r w:rsidR="002E3970">
        <w:t xml:space="preserve">    </w:t>
      </w:r>
      <w:r w:rsidR="008B79C2">
        <w:t>The inclusion of chance</w:t>
      </w:r>
      <w:r w:rsidR="00347A11">
        <w:t xml:space="preserve"> as free will</w:t>
      </w:r>
      <w:r w:rsidR="008B79C2">
        <w:t xml:space="preserve"> within the ordered movement of the wheel reflects Aquinas’ astrological theory that while the planets have some authority in human life, ultimately choice can be used to negotiate fate.  Furthermore, e</w:t>
      </w:r>
      <w:r w:rsidR="00F23F62">
        <w:t xml:space="preserve">mploying Curry’s definition of astrology as relating heavenly bodies to </w:t>
      </w:r>
      <w:r w:rsidR="003C76EE">
        <w:t xml:space="preserve">earthly </w:t>
      </w:r>
      <w:r w:rsidR="00F23F62">
        <w:t xml:space="preserve">lives, </w:t>
      </w:r>
      <w:r w:rsidR="003C76EE">
        <w:t>these</w:t>
      </w:r>
      <w:r w:rsidR="00F23F62">
        <w:t xml:space="preserve"> image</w:t>
      </w:r>
      <w:r w:rsidR="00D564AC">
        <w:t>s</w:t>
      </w:r>
      <w:r w:rsidR="00F23F62">
        <w:t xml:space="preserve"> </w:t>
      </w:r>
      <w:r w:rsidR="003C76EE">
        <w:t>are</w:t>
      </w:r>
      <w:r w:rsidR="00F23F62">
        <w:t xml:space="preserve"> </w:t>
      </w:r>
      <w:r>
        <w:t xml:space="preserve">not only </w:t>
      </w:r>
      <w:r w:rsidR="00994D8E">
        <w:t xml:space="preserve">humanized </w:t>
      </w:r>
      <w:r w:rsidR="00F23F62">
        <w:t>replica</w:t>
      </w:r>
      <w:r>
        <w:t>s</w:t>
      </w:r>
      <w:r w:rsidR="00F23F62">
        <w:t xml:space="preserve"> of the </w:t>
      </w:r>
      <w:r w:rsidR="003C76EE">
        <w:t>cosmos</w:t>
      </w:r>
      <w:r w:rsidR="00E214BB">
        <w:t xml:space="preserve"> (consistent, directed revolution occurs around a central focal point, reflecting the movement of the planets and spheres around the Earth)</w:t>
      </w:r>
      <w:r w:rsidR="00F23F62">
        <w:t xml:space="preserve">. </w:t>
      </w:r>
      <w:r>
        <w:t xml:space="preserve"> They are also a means by which </w:t>
      </w:r>
      <w:r w:rsidR="008B79C2">
        <w:t>a</w:t>
      </w:r>
      <w:r w:rsidR="00E214BB">
        <w:t xml:space="preserve"> larger existential problem </w:t>
      </w:r>
      <w:r w:rsidR="008B79C2">
        <w:t xml:space="preserve">is related </w:t>
      </w:r>
      <w:r w:rsidR="00E214BB">
        <w:t xml:space="preserve">to the human experience. </w:t>
      </w:r>
      <w:r w:rsidR="00F23F62">
        <w:t xml:space="preserve"> </w:t>
      </w:r>
      <w:r w:rsidR="008B79C2">
        <w:t>This problem being that reality unfolds in everyday life as “incessant change”.</w:t>
      </w:r>
      <w:r w:rsidR="008B79C2">
        <w:rPr>
          <w:rStyle w:val="FootnoteReference"/>
        </w:rPr>
        <w:footnoteReference w:id="27"/>
      </w:r>
      <w:r w:rsidR="008B79C2">
        <w:t xml:space="preserve">  Occurrences are “’on the whole’ or ‘for the most part’” – an experience which deviates from the harmonious and steady rhythm observed in the cosmos, and an experience which deviates from the predictive claims of astrology.</w:t>
      </w:r>
      <w:r w:rsidR="008B79C2">
        <w:rPr>
          <w:rStyle w:val="FootnoteReference"/>
        </w:rPr>
        <w:footnoteReference w:id="28"/>
      </w:r>
      <w:r w:rsidR="008B79C2">
        <w:t xml:space="preserve">  </w:t>
      </w:r>
    </w:p>
    <w:p w14:paraId="7A9F64C4" w14:textId="66FF5D8E" w:rsidR="002E3970" w:rsidRDefault="00A54D8A" w:rsidP="00EF68EA">
      <w:pPr>
        <w:tabs>
          <w:tab w:val="left" w:pos="2700"/>
        </w:tabs>
      </w:pPr>
      <w:r>
        <w:lastRenderedPageBreak/>
        <w:t xml:space="preserve">      These images are also a part of a larger literary context.  The first image, as mentioned before, is from the </w:t>
      </w:r>
      <w:r w:rsidRPr="00A54D8A">
        <w:rPr>
          <w:i/>
          <w:iCs/>
        </w:rPr>
        <w:t xml:space="preserve">Carmina </w:t>
      </w:r>
      <w:proofErr w:type="spellStart"/>
      <w:r w:rsidRPr="00A54D8A">
        <w:rPr>
          <w:i/>
          <w:iCs/>
        </w:rPr>
        <w:t>Burana</w:t>
      </w:r>
      <w:proofErr w:type="spellEnd"/>
      <w:r>
        <w:t>.  This text was written by rebellious clergymen called ‘Goliards’ who prided themselves on directing “satire and cynicism…at the religious orders” writing often bawdy tales of lust and love, and corruption within the church.</w:t>
      </w:r>
      <w:r>
        <w:rPr>
          <w:rStyle w:val="FootnoteReference"/>
        </w:rPr>
        <w:footnoteReference w:id="29"/>
      </w:r>
      <w:r w:rsidR="00DB3AED">
        <w:t xml:space="preserve">  As the authenticity of astrology was “based almost entirely on theology”, astrological inquiry strived to answer “whether scripture condemned or supported the practice of astrology” so that, by extension, the church could have a clear stance on the subject.</w:t>
      </w:r>
      <w:r w:rsidR="00DB3AED">
        <w:rPr>
          <w:rStyle w:val="FootnoteReference"/>
        </w:rPr>
        <w:footnoteReference w:id="30"/>
      </w:r>
      <w:r w:rsidR="00DB0E98">
        <w:t xml:space="preserve">  </w:t>
      </w:r>
      <w:r w:rsidR="00C87FD9">
        <w:t>Throughout the text</w:t>
      </w:r>
      <w:r w:rsidR="00196867">
        <w:t xml:space="preserve"> of the </w:t>
      </w:r>
      <w:r w:rsidR="00196867" w:rsidRPr="00196867">
        <w:rPr>
          <w:i/>
          <w:iCs/>
        </w:rPr>
        <w:t>Carmina</w:t>
      </w:r>
      <w:r w:rsidR="00C87FD9">
        <w:t>, the speaker laments to Lady Fortune</w:t>
      </w:r>
      <w:r w:rsidR="008E22D2">
        <w:t xml:space="preserve"> about her fickle nature.  In ‘Fortune </w:t>
      </w:r>
      <w:proofErr w:type="spellStart"/>
      <w:r w:rsidR="008E22D2">
        <w:t>plango</w:t>
      </w:r>
      <w:proofErr w:type="spellEnd"/>
      <w:r w:rsidR="008E22D2">
        <w:t xml:space="preserve"> </w:t>
      </w:r>
      <w:proofErr w:type="spellStart"/>
      <w:r w:rsidR="008E22D2">
        <w:t>vulnera</w:t>
      </w:r>
      <w:proofErr w:type="spellEnd"/>
      <w:r w:rsidR="008E22D2">
        <w:t xml:space="preserve"> (I bemoan the wounds of Fortune)’, he says “I used to sit raised up, crowned…now I fall from the peak deprived of glory” and goes on to say “far too high up sits the king…let him fear ruin!”.</w:t>
      </w:r>
      <w:r w:rsidR="008E22D2">
        <w:rPr>
          <w:rStyle w:val="FootnoteReference"/>
        </w:rPr>
        <w:footnoteReference w:id="31"/>
      </w:r>
      <w:r w:rsidR="008E22D2">
        <w:t xml:space="preserve">  In this last line, the wheel’s repetitive motion</w:t>
      </w:r>
      <w:r w:rsidR="00532B38">
        <w:t xml:space="preserve"> and his position on the wheel</w:t>
      </w:r>
      <w:r w:rsidR="008E22D2">
        <w:t xml:space="preserve"> allows the speaker to see into the future, to predict that the king on top will fall</w:t>
      </w:r>
      <w:r w:rsidR="00532B38">
        <w:t xml:space="preserve"> as he did.  When applied to the image of Lady Fortune and her wheel, employing Curry’s definition of astrology, the position of the figures on the wheel </w:t>
      </w:r>
      <w:r w:rsidR="00CB290B">
        <w:t xml:space="preserve">become predictors of future positions or outcomes for themselves but cannot deviate from the path of the spinning wheel.  They reflect the role of celestial bodies in astrology, their positions and cyclical regularity being indicators of individual outcomes.  This image becomes defiant under this lens, suggesting that a future dictated by divine providence can be known using the celestial positions in astrology.  This attitude aligns well with the Goliard’s </w:t>
      </w:r>
      <w:r w:rsidR="00592AFE">
        <w:t>disenchantment and protest of the church.  The image of Lady Fortune reflects the predictive capacity of astrology which church leaders were grappling with and, in this case, connects directly to its literary context within satire.</w:t>
      </w:r>
    </w:p>
    <w:p w14:paraId="4FF1186E" w14:textId="1841ED31" w:rsidR="002E3970" w:rsidRDefault="00592AFE" w:rsidP="00EF68EA">
      <w:pPr>
        <w:tabs>
          <w:tab w:val="left" w:pos="2700"/>
        </w:tabs>
      </w:pPr>
      <w:r>
        <w:t xml:space="preserve">      The second image </w:t>
      </w:r>
      <w:r w:rsidR="00F856D4">
        <w:t xml:space="preserve">from </w:t>
      </w:r>
      <w:r w:rsidR="00605C6A" w:rsidRPr="00605C6A">
        <w:rPr>
          <w:i/>
          <w:iCs/>
        </w:rPr>
        <w:t>Le Roman de le Rose</w:t>
      </w:r>
      <w:r w:rsidR="00605C6A">
        <w:t xml:space="preserve">, </w:t>
      </w:r>
      <w:r w:rsidR="00F856D4">
        <w:t xml:space="preserve">a tale which portrays Lady Fortune as intractable.  When engaging in the connection between Lady fortune and aging, </w:t>
      </w:r>
      <w:r w:rsidR="00FB384A">
        <w:t>Barbara Thompson</w:t>
      </w:r>
      <w:r w:rsidR="00605C6A">
        <w:t xml:space="preserve"> speaks of a scene featuring the Duenna who, feeling her descent on the wheel into old age, looks back on her life with regret, lamenting that “she should have taken advantage of her position at the time” when she was young, beautiful and wealthy.</w:t>
      </w:r>
      <w:r w:rsidR="00605C6A">
        <w:rPr>
          <w:rStyle w:val="FootnoteReference"/>
        </w:rPr>
        <w:footnoteReference w:id="32"/>
      </w:r>
      <w:r w:rsidR="00605C6A">
        <w:t xml:space="preserve">  </w:t>
      </w:r>
      <w:r w:rsidR="00FB384A">
        <w:t>Thompson</w:t>
      </w:r>
      <w:r w:rsidR="00605C6A">
        <w:t xml:space="preserve"> points out that the Duenna is not aware that “building up more wealth at the top of the wheel” does not guard against one’s inevitable descent to the bottom of the wheel (growing old, becoming impoverished).</w:t>
      </w:r>
      <w:r w:rsidR="00605C6A">
        <w:rPr>
          <w:rStyle w:val="FootnoteReference"/>
        </w:rPr>
        <w:footnoteReference w:id="33"/>
      </w:r>
      <w:r w:rsidR="00605C6A">
        <w:t xml:space="preserve">  Indeed the story is filled with examples of Fortune having her way with humanity regardless of an individual’s choices.  It is this </w:t>
      </w:r>
      <w:r w:rsidR="001400D4">
        <w:t>quality of Lady Fortune, her unpredictability, her stealth – even tricking the Duenna into believing she could have done something about her own fate – which portrays an astrology of fate without free will.  Regardless of one’s position on the wheel, one cannot know his or her future outcomes as the cyclical, repetitive motion of the wheel is obscured by Lady Fortune’s impulsive unpredictability.</w:t>
      </w:r>
    </w:p>
    <w:p w14:paraId="22839C98" w14:textId="0784ED5B" w:rsidR="00EF68EA" w:rsidRDefault="006271C7" w:rsidP="00EF68EA">
      <w:pPr>
        <w:tabs>
          <w:tab w:val="left" w:pos="2700"/>
        </w:tabs>
      </w:pPr>
      <w:r>
        <w:t xml:space="preserve">      </w:t>
      </w:r>
      <w:r w:rsidR="00EF68EA">
        <w:t xml:space="preserve">The illuminations in their entirety could be seen as a reflection of Aquinas’ managerial cosmos.  Lady Fortune </w:t>
      </w:r>
      <w:r>
        <w:t xml:space="preserve">turns her wheel </w:t>
      </w:r>
      <w:r w:rsidR="00EF68EA">
        <w:t>as the Primus Mobile</w:t>
      </w:r>
      <w:r w:rsidR="00FB384A">
        <w:t xml:space="preserve"> sets </w:t>
      </w:r>
      <w:r w:rsidR="00EF68EA">
        <w:t>the concentric circles</w:t>
      </w:r>
      <w:r w:rsidR="00FB384A">
        <w:t xml:space="preserve"> into motion</w:t>
      </w:r>
      <w:r w:rsidR="00EF68EA">
        <w:t xml:space="preserve">.  </w:t>
      </w:r>
      <w:r>
        <w:t xml:space="preserve">The many parts of the wheel contribute </w:t>
      </w:r>
      <w:r w:rsidR="00EF68EA">
        <w:t xml:space="preserve">in succession to </w:t>
      </w:r>
      <w:r>
        <w:t xml:space="preserve">its </w:t>
      </w:r>
      <w:r w:rsidR="00EF68EA">
        <w:t xml:space="preserve">momentum.  The spokes forced momentum outward from the center to the exterior wheel, the wheel then thrusted human kind into the cycle of life’s incessant </w:t>
      </w:r>
      <w:r w:rsidR="00EF68EA">
        <w:lastRenderedPageBreak/>
        <w:t>change.  Just as god’s divine plan emanated through administrative layers of stars and planets</w:t>
      </w:r>
      <w:r>
        <w:t>, each passing a message in descending fashion from the divine to the earthly which could be understood through astrology</w:t>
      </w:r>
      <w:r w:rsidR="00EF68EA">
        <w:t xml:space="preserve">, the wheel’s spin </w:t>
      </w:r>
      <w:r w:rsidR="00FB384A">
        <w:t>manifests an individual’s position</w:t>
      </w:r>
      <w:r>
        <w:t xml:space="preserve"> along </w:t>
      </w:r>
      <w:r w:rsidR="00FB384A">
        <w:t>its perimeter in a predictable manner</w:t>
      </w:r>
      <w:r w:rsidR="00EF68EA">
        <w:t xml:space="preserve">.  </w:t>
      </w:r>
      <w:r>
        <w:t xml:space="preserve">Both of these images provide a view of </w:t>
      </w:r>
      <w:r w:rsidR="00196867">
        <w:t xml:space="preserve">the </w:t>
      </w:r>
      <w:r>
        <w:t xml:space="preserve">medieval </w:t>
      </w:r>
      <w:r w:rsidR="00196867">
        <w:t xml:space="preserve">relationship between </w:t>
      </w:r>
      <w:r>
        <w:t>astrology</w:t>
      </w:r>
      <w:r w:rsidR="00196867">
        <w:t>, free will, and predestination</w:t>
      </w:r>
      <w:r>
        <w:t xml:space="preserve"> which is complex and nuanced.</w:t>
      </w:r>
    </w:p>
    <w:p w14:paraId="2E1B433E" w14:textId="77777777" w:rsidR="00EF68EA" w:rsidRPr="003C1136" w:rsidRDefault="00EF68EA" w:rsidP="00EF68EA">
      <w:pPr>
        <w:tabs>
          <w:tab w:val="left" w:pos="2700"/>
        </w:tabs>
        <w:rPr>
          <w:b/>
          <w:bCs/>
        </w:rPr>
      </w:pPr>
      <w:r w:rsidRPr="003C1136">
        <w:rPr>
          <w:b/>
          <w:bCs/>
        </w:rPr>
        <w:t>Conclusion</w:t>
      </w:r>
    </w:p>
    <w:p w14:paraId="34F26672" w14:textId="0E18AAF3" w:rsidR="007B2E0A" w:rsidRDefault="00EF68EA" w:rsidP="00A67A69">
      <w:pPr>
        <w:tabs>
          <w:tab w:val="left" w:pos="2700"/>
        </w:tabs>
      </w:pPr>
      <w:r>
        <w:t xml:space="preserve">      </w:t>
      </w:r>
      <w:r w:rsidR="00A67A69">
        <w:t>Through examining these images with defined terms of fate, free will, and astrology, I hope to have shown</w:t>
      </w:r>
      <w:r w:rsidR="00196867">
        <w:t xml:space="preserve"> that</w:t>
      </w:r>
      <w:r w:rsidR="00A67A69">
        <w:t xml:space="preserve"> the </w:t>
      </w:r>
      <w:r w:rsidR="00196867">
        <w:t xml:space="preserve">complexities of the relationship between these ideas meant the </w:t>
      </w:r>
      <w:r w:rsidR="00A67A69">
        <w:t xml:space="preserve">question of negotiability or fixity of the future in the Medieval period was not a simple ‘yes’ or ‘no’ but was instead a nuanced mixture of ‘yes’ </w:t>
      </w:r>
      <w:r w:rsidR="00A67A69" w:rsidRPr="00A67A69">
        <w:rPr>
          <w:i/>
          <w:iCs/>
        </w:rPr>
        <w:t>and</w:t>
      </w:r>
      <w:r w:rsidR="00A67A69">
        <w:t xml:space="preserve"> ‘no’.</w:t>
      </w:r>
    </w:p>
    <w:p w14:paraId="0C50F0FA" w14:textId="77777777" w:rsidR="00EF68EA" w:rsidRDefault="00EF68EA" w:rsidP="00EF68EA">
      <w:pPr>
        <w:tabs>
          <w:tab w:val="left" w:pos="2700"/>
        </w:tabs>
      </w:pPr>
    </w:p>
    <w:p w14:paraId="18396A55" w14:textId="77777777" w:rsidR="00EF68EA" w:rsidRDefault="00EF68EA" w:rsidP="00EF68EA">
      <w:pPr>
        <w:tabs>
          <w:tab w:val="left" w:pos="2700"/>
        </w:tabs>
      </w:pPr>
    </w:p>
    <w:p w14:paraId="6DB10B9A" w14:textId="77777777" w:rsidR="00EF68EA" w:rsidRDefault="00EF68EA" w:rsidP="00EF68EA">
      <w:pPr>
        <w:tabs>
          <w:tab w:val="left" w:pos="2700"/>
        </w:tabs>
      </w:pPr>
    </w:p>
    <w:p w14:paraId="78908D3B" w14:textId="2E1E9A4C" w:rsidR="00EF68EA" w:rsidRDefault="00EF68EA" w:rsidP="00EF68EA">
      <w:pPr>
        <w:tabs>
          <w:tab w:val="left" w:pos="2700"/>
        </w:tabs>
      </w:pPr>
    </w:p>
    <w:p w14:paraId="67122E2C" w14:textId="3F8242A6" w:rsidR="00C705DD" w:rsidRDefault="00C705DD" w:rsidP="00EF68EA">
      <w:pPr>
        <w:tabs>
          <w:tab w:val="left" w:pos="2700"/>
        </w:tabs>
      </w:pPr>
    </w:p>
    <w:p w14:paraId="0343AD08" w14:textId="5651AD66" w:rsidR="00C705DD" w:rsidRDefault="00C705DD" w:rsidP="00EF68EA">
      <w:pPr>
        <w:tabs>
          <w:tab w:val="left" w:pos="2700"/>
        </w:tabs>
      </w:pPr>
    </w:p>
    <w:p w14:paraId="16760351" w14:textId="4869FC10" w:rsidR="00C705DD" w:rsidRDefault="00C705DD" w:rsidP="00EF68EA">
      <w:pPr>
        <w:tabs>
          <w:tab w:val="left" w:pos="2700"/>
        </w:tabs>
      </w:pPr>
    </w:p>
    <w:p w14:paraId="24F7D026" w14:textId="51F90F94" w:rsidR="00C705DD" w:rsidRDefault="00C705DD" w:rsidP="00EF68EA">
      <w:pPr>
        <w:tabs>
          <w:tab w:val="left" w:pos="2700"/>
        </w:tabs>
      </w:pPr>
    </w:p>
    <w:p w14:paraId="5AD78F6F" w14:textId="1AA67A08" w:rsidR="00C705DD" w:rsidRDefault="00C705DD" w:rsidP="00EF68EA">
      <w:pPr>
        <w:tabs>
          <w:tab w:val="left" w:pos="2700"/>
        </w:tabs>
      </w:pPr>
    </w:p>
    <w:p w14:paraId="7FA43D2D" w14:textId="5ACBD0FF" w:rsidR="00C705DD" w:rsidRDefault="00C705DD" w:rsidP="00EF68EA">
      <w:pPr>
        <w:tabs>
          <w:tab w:val="left" w:pos="2700"/>
        </w:tabs>
      </w:pPr>
    </w:p>
    <w:p w14:paraId="581DA4F8" w14:textId="044EB23D" w:rsidR="00C705DD" w:rsidRDefault="00C705DD" w:rsidP="00EF68EA">
      <w:pPr>
        <w:tabs>
          <w:tab w:val="left" w:pos="2700"/>
        </w:tabs>
      </w:pPr>
    </w:p>
    <w:p w14:paraId="5A18701A" w14:textId="76917A25" w:rsidR="00C705DD" w:rsidRDefault="00C705DD" w:rsidP="00EF68EA">
      <w:pPr>
        <w:tabs>
          <w:tab w:val="left" w:pos="2700"/>
        </w:tabs>
      </w:pPr>
    </w:p>
    <w:p w14:paraId="4607E270" w14:textId="3786CC6A" w:rsidR="00C705DD" w:rsidRDefault="00C705DD" w:rsidP="00EF68EA">
      <w:pPr>
        <w:tabs>
          <w:tab w:val="left" w:pos="2700"/>
        </w:tabs>
      </w:pPr>
    </w:p>
    <w:p w14:paraId="495CBD4C" w14:textId="05D6EEB2" w:rsidR="00C705DD" w:rsidRDefault="00C705DD" w:rsidP="00EF68EA">
      <w:pPr>
        <w:tabs>
          <w:tab w:val="left" w:pos="2700"/>
        </w:tabs>
      </w:pPr>
    </w:p>
    <w:p w14:paraId="218FCD3A" w14:textId="24C0E424" w:rsidR="00C705DD" w:rsidRDefault="00C705DD" w:rsidP="00EF68EA">
      <w:pPr>
        <w:tabs>
          <w:tab w:val="left" w:pos="2700"/>
        </w:tabs>
      </w:pPr>
    </w:p>
    <w:p w14:paraId="16FD0A27" w14:textId="047B422E" w:rsidR="00C705DD" w:rsidRDefault="00C705DD" w:rsidP="00EF68EA">
      <w:pPr>
        <w:tabs>
          <w:tab w:val="left" w:pos="2700"/>
        </w:tabs>
      </w:pPr>
    </w:p>
    <w:p w14:paraId="07A6812F" w14:textId="19B68A78" w:rsidR="00C705DD" w:rsidRDefault="00C705DD" w:rsidP="00EF68EA">
      <w:pPr>
        <w:tabs>
          <w:tab w:val="left" w:pos="2700"/>
        </w:tabs>
      </w:pPr>
    </w:p>
    <w:p w14:paraId="0AEADF62" w14:textId="6F887882" w:rsidR="00C705DD" w:rsidRDefault="00C705DD" w:rsidP="00EF68EA">
      <w:pPr>
        <w:tabs>
          <w:tab w:val="left" w:pos="2700"/>
        </w:tabs>
      </w:pPr>
    </w:p>
    <w:p w14:paraId="6183FF1F" w14:textId="1FDF37AF" w:rsidR="00C705DD" w:rsidRDefault="00C705DD" w:rsidP="00EF68EA">
      <w:pPr>
        <w:tabs>
          <w:tab w:val="left" w:pos="2700"/>
        </w:tabs>
      </w:pPr>
    </w:p>
    <w:p w14:paraId="5167EBDF" w14:textId="1AD0A5CD" w:rsidR="00C705DD" w:rsidRDefault="00C705DD" w:rsidP="00EF68EA">
      <w:pPr>
        <w:tabs>
          <w:tab w:val="left" w:pos="2700"/>
        </w:tabs>
      </w:pPr>
    </w:p>
    <w:p w14:paraId="51757081" w14:textId="77777777" w:rsidR="00C705DD" w:rsidRDefault="00C705DD" w:rsidP="00EF68EA">
      <w:pPr>
        <w:tabs>
          <w:tab w:val="left" w:pos="2700"/>
        </w:tabs>
      </w:pPr>
    </w:p>
    <w:p w14:paraId="5C870A44" w14:textId="77777777" w:rsidR="00EF68EA" w:rsidRDefault="00EF68EA" w:rsidP="00EF68EA">
      <w:pPr>
        <w:tabs>
          <w:tab w:val="left" w:pos="2700"/>
        </w:tabs>
      </w:pPr>
    </w:p>
    <w:p w14:paraId="43A1BA08" w14:textId="77777777" w:rsidR="00EF68EA" w:rsidRPr="00C457F3" w:rsidRDefault="00EF68EA" w:rsidP="00EF68EA">
      <w:pPr>
        <w:tabs>
          <w:tab w:val="left" w:pos="2700"/>
        </w:tabs>
        <w:jc w:val="center"/>
        <w:rPr>
          <w:b/>
          <w:bCs/>
        </w:rPr>
      </w:pPr>
      <w:r w:rsidRPr="00C457F3">
        <w:rPr>
          <w:b/>
          <w:bCs/>
        </w:rPr>
        <w:t>Bibliography</w:t>
      </w:r>
    </w:p>
    <w:p w14:paraId="2E6A8AE4" w14:textId="77777777" w:rsidR="00EF68EA" w:rsidRPr="00C457F3" w:rsidRDefault="00EF68EA" w:rsidP="00EF68EA">
      <w:pPr>
        <w:tabs>
          <w:tab w:val="left" w:pos="2700"/>
        </w:tabs>
        <w:rPr>
          <w:b/>
          <w:bCs/>
        </w:rPr>
      </w:pPr>
      <w:r w:rsidRPr="00C457F3">
        <w:rPr>
          <w:b/>
          <w:bCs/>
        </w:rPr>
        <w:t>Primary Sources</w:t>
      </w:r>
    </w:p>
    <w:p w14:paraId="485F1954" w14:textId="77777777" w:rsidR="00EF68EA" w:rsidRPr="00C457F3" w:rsidRDefault="00EF68EA" w:rsidP="00EF68EA">
      <w:pPr>
        <w:tabs>
          <w:tab w:val="left" w:pos="2700"/>
        </w:tabs>
      </w:pPr>
      <w:r w:rsidRPr="00C457F3">
        <w:t xml:space="preserve">Augustine, St., </w:t>
      </w:r>
      <w:r w:rsidRPr="00C457F3">
        <w:rPr>
          <w:i/>
          <w:iCs/>
        </w:rPr>
        <w:t>Confessions</w:t>
      </w:r>
      <w:r w:rsidRPr="00C457F3">
        <w:t>, Volume I: Books 1-8, translated by Carolyn J.-B. Hammond, Loeb Classical Library 26, Cambridge, MA: Harvard University Press (2014).</w:t>
      </w:r>
    </w:p>
    <w:p w14:paraId="035B96D1" w14:textId="77777777" w:rsidR="00EF68EA" w:rsidRPr="00C457F3" w:rsidRDefault="00EF68EA" w:rsidP="00EF68EA">
      <w:pPr>
        <w:tabs>
          <w:tab w:val="left" w:pos="2700"/>
        </w:tabs>
      </w:pPr>
      <w:r w:rsidRPr="00C457F3">
        <w:t xml:space="preserve">Augustine, St., ‘On the Free Will Book II’, </w:t>
      </w:r>
      <w:r w:rsidRPr="00C457F3">
        <w:rPr>
          <w:i/>
          <w:iCs/>
        </w:rPr>
        <w:t>Selections from Medieval Philosophers: Augustine to Albert the Great</w:t>
      </w:r>
      <w:r w:rsidRPr="00C457F3">
        <w:t>, translated by Richard McKeon (ed), Charles Scribner’s Sons (1929), p. 11-64.</w:t>
      </w:r>
    </w:p>
    <w:p w14:paraId="6BB58798" w14:textId="30C75632" w:rsidR="00EF68EA" w:rsidRPr="00C457F3" w:rsidRDefault="00EF68EA" w:rsidP="00EF68EA">
      <w:pPr>
        <w:tabs>
          <w:tab w:val="left" w:pos="2700"/>
        </w:tabs>
      </w:pPr>
      <w:r w:rsidRPr="00C457F3">
        <w:t xml:space="preserve">Aquinas, Thomas, </w:t>
      </w:r>
      <w:r w:rsidRPr="00C457F3">
        <w:rPr>
          <w:i/>
          <w:iCs/>
        </w:rPr>
        <w:t>Shorter Summa</w:t>
      </w:r>
      <w:r w:rsidRPr="00C457F3">
        <w:t>,</w:t>
      </w:r>
      <w:r w:rsidR="009F7D7F" w:rsidRPr="009F7D7F">
        <w:t xml:space="preserve"> </w:t>
      </w:r>
      <w:r w:rsidR="009F7D7F">
        <w:t>Ed. Peter Kreeft, Sophia Institute Press: Manchester, NH (1993)</w:t>
      </w:r>
    </w:p>
    <w:p w14:paraId="2E1FD0D9" w14:textId="77777777" w:rsidR="00EF68EA" w:rsidRPr="00C457F3" w:rsidRDefault="00EF68EA" w:rsidP="00EF68EA">
      <w:pPr>
        <w:tabs>
          <w:tab w:val="left" w:pos="2700"/>
        </w:tabs>
        <w:rPr>
          <w:b/>
          <w:bCs/>
        </w:rPr>
      </w:pPr>
      <w:r w:rsidRPr="00C457F3">
        <w:rPr>
          <w:b/>
          <w:bCs/>
        </w:rPr>
        <w:t>Secondary Sources</w:t>
      </w:r>
    </w:p>
    <w:p w14:paraId="34DF8287" w14:textId="77777777" w:rsidR="00EF68EA" w:rsidRPr="00C457F3" w:rsidRDefault="00EF68EA" w:rsidP="00EF68EA">
      <w:pPr>
        <w:tabs>
          <w:tab w:val="left" w:pos="2700"/>
        </w:tabs>
      </w:pPr>
      <w:r w:rsidRPr="00C457F3">
        <w:t xml:space="preserve">Brown, Alex, ‘Turn, Turn, Turn’, </w:t>
      </w:r>
      <w:r w:rsidRPr="00C457F3">
        <w:rPr>
          <w:i/>
          <w:iCs/>
        </w:rPr>
        <w:t>History Today</w:t>
      </w:r>
      <w:r w:rsidRPr="00C457F3">
        <w:t xml:space="preserve"> (Jan. 2018), p. 26-35.</w:t>
      </w:r>
    </w:p>
    <w:p w14:paraId="7D9F44B0" w14:textId="5B64646F" w:rsidR="00EF68EA" w:rsidRDefault="00EF68EA" w:rsidP="00EF68EA">
      <w:pPr>
        <w:tabs>
          <w:tab w:val="left" w:pos="2700"/>
        </w:tabs>
      </w:pPr>
      <w:r w:rsidRPr="00C457F3">
        <w:t xml:space="preserve">Campion, Nicholas, </w:t>
      </w:r>
      <w:r w:rsidRPr="00C457F3">
        <w:rPr>
          <w:i/>
          <w:iCs/>
        </w:rPr>
        <w:t>A History of Western Astrology Volume II: The Medieval and Modern Worlds</w:t>
      </w:r>
      <w:r w:rsidRPr="00C457F3">
        <w:t>, Bloomsbury (2009).</w:t>
      </w:r>
    </w:p>
    <w:p w14:paraId="6F61E120" w14:textId="535BA1F4" w:rsidR="002F0078" w:rsidRDefault="00DB0E98" w:rsidP="009F7D7F">
      <w:pPr>
        <w:tabs>
          <w:tab w:val="left" w:pos="2700"/>
        </w:tabs>
      </w:pPr>
      <w:r w:rsidRPr="00DB0E98">
        <w:t xml:space="preserve">Campion Nicholas, </w:t>
      </w:r>
      <w:r>
        <w:rPr>
          <w:i/>
          <w:iCs/>
        </w:rPr>
        <w:t xml:space="preserve">Astrology and Cosmology in the </w:t>
      </w:r>
      <w:r w:rsidRPr="00DB0E98">
        <w:rPr>
          <w:i/>
          <w:iCs/>
        </w:rPr>
        <w:t>World’s Religions</w:t>
      </w:r>
      <w:r w:rsidRPr="00DB0E98">
        <w:t xml:space="preserve">, </w:t>
      </w:r>
      <w:r>
        <w:t>New York University Press: New York/London (2012),</w:t>
      </w:r>
    </w:p>
    <w:p w14:paraId="29D6091C" w14:textId="34954C54" w:rsidR="002F0078" w:rsidRPr="00C457F3" w:rsidRDefault="002F0078" w:rsidP="00EF68EA">
      <w:pPr>
        <w:pStyle w:val="FootnoteText"/>
        <w:rPr>
          <w:sz w:val="22"/>
          <w:szCs w:val="22"/>
        </w:rPr>
      </w:pPr>
      <w:r w:rsidRPr="002F0078">
        <w:rPr>
          <w:sz w:val="22"/>
          <w:szCs w:val="22"/>
        </w:rPr>
        <w:t xml:space="preserve">Curry, Patrick, ‘Astrology’, in Boyd, Kelly (ed.) </w:t>
      </w:r>
      <w:r w:rsidRPr="002F0078">
        <w:rPr>
          <w:i/>
          <w:iCs/>
          <w:sz w:val="22"/>
          <w:szCs w:val="22"/>
        </w:rPr>
        <w:t xml:space="preserve">The </w:t>
      </w:r>
      <w:proofErr w:type="spellStart"/>
      <w:r w:rsidRPr="002F0078">
        <w:rPr>
          <w:i/>
          <w:iCs/>
          <w:sz w:val="22"/>
          <w:szCs w:val="22"/>
        </w:rPr>
        <w:t>Encyclopaedia</w:t>
      </w:r>
      <w:proofErr w:type="spellEnd"/>
      <w:r w:rsidRPr="002F0078">
        <w:rPr>
          <w:i/>
          <w:iCs/>
          <w:sz w:val="22"/>
          <w:szCs w:val="22"/>
        </w:rPr>
        <w:t xml:space="preserve"> of Historians and Historical Writing, </w:t>
      </w:r>
      <w:r w:rsidRPr="002F0078">
        <w:rPr>
          <w:sz w:val="22"/>
          <w:szCs w:val="22"/>
        </w:rPr>
        <w:t>2 Vols. London: Fitzroy Dearborn (1999), Vol. 1, pp 55-</w:t>
      </w:r>
      <w:r>
        <w:rPr>
          <w:sz w:val="22"/>
          <w:szCs w:val="22"/>
        </w:rPr>
        <w:t>5</w:t>
      </w:r>
      <w:r w:rsidRPr="002F0078">
        <w:rPr>
          <w:sz w:val="22"/>
          <w:szCs w:val="22"/>
        </w:rPr>
        <w:t>7</w:t>
      </w:r>
      <w:r>
        <w:rPr>
          <w:sz w:val="22"/>
          <w:szCs w:val="22"/>
        </w:rPr>
        <w:t>.</w:t>
      </w:r>
    </w:p>
    <w:p w14:paraId="1BAB7A2F" w14:textId="77777777" w:rsidR="00EF68EA" w:rsidRPr="00C457F3" w:rsidRDefault="00EF68EA" w:rsidP="00EF68EA">
      <w:pPr>
        <w:pStyle w:val="FootnoteText"/>
        <w:rPr>
          <w:sz w:val="22"/>
          <w:szCs w:val="22"/>
        </w:rPr>
      </w:pPr>
    </w:p>
    <w:p w14:paraId="37A7095D" w14:textId="77777777" w:rsidR="00EF68EA" w:rsidRPr="00C457F3" w:rsidRDefault="00EF68EA" w:rsidP="00EF68EA">
      <w:pPr>
        <w:tabs>
          <w:tab w:val="left" w:pos="2700"/>
        </w:tabs>
      </w:pPr>
      <w:r w:rsidRPr="00C457F3">
        <w:t xml:space="preserve">Grant, Edward, </w:t>
      </w:r>
      <w:r w:rsidRPr="00C457F3">
        <w:rPr>
          <w:i/>
          <w:iCs/>
        </w:rPr>
        <w:t>Planets, Stars, &amp; Orbs: The Medieval Cosmos, 1200-1687</w:t>
      </w:r>
      <w:r w:rsidRPr="00C457F3">
        <w:t>, New York: Cambridge (1996</w:t>
      </w:r>
    </w:p>
    <w:p w14:paraId="1E1EF60D" w14:textId="77777777" w:rsidR="00EF68EA" w:rsidRPr="00C457F3" w:rsidRDefault="00EF68EA" w:rsidP="00EF68EA">
      <w:pPr>
        <w:tabs>
          <w:tab w:val="left" w:pos="2700"/>
        </w:tabs>
      </w:pPr>
      <w:r w:rsidRPr="00C457F3">
        <w:t xml:space="preserve">Julien, Nadia, </w:t>
      </w:r>
      <w:r w:rsidRPr="00C457F3">
        <w:rPr>
          <w:i/>
          <w:iCs/>
        </w:rPr>
        <w:t>The Mammoth Dictionary of Symbols: Understanding the Hidden Language of Symbols,</w:t>
      </w:r>
      <w:r w:rsidRPr="00C457F3">
        <w:t xml:space="preserve"> </w:t>
      </w:r>
      <w:proofErr w:type="spellStart"/>
      <w:r w:rsidRPr="00C457F3">
        <w:t>Bekeley</w:t>
      </w:r>
      <w:proofErr w:type="spellEnd"/>
      <w:r w:rsidRPr="00C457F3">
        <w:t>: Peach Pit Press (1995)</w:t>
      </w:r>
    </w:p>
    <w:p w14:paraId="24D20C38" w14:textId="77777777" w:rsidR="00EF68EA" w:rsidRPr="00C457F3" w:rsidRDefault="00EF68EA" w:rsidP="00EF68EA">
      <w:pPr>
        <w:tabs>
          <w:tab w:val="left" w:pos="2700"/>
        </w:tabs>
      </w:pPr>
      <w:r w:rsidRPr="00C457F3">
        <w:t xml:space="preserve">Lewis, C.S. </w:t>
      </w:r>
      <w:r w:rsidRPr="00C457F3">
        <w:rPr>
          <w:i/>
          <w:iCs/>
        </w:rPr>
        <w:t>The Discarded Image</w:t>
      </w:r>
      <w:r w:rsidRPr="00C457F3">
        <w:t xml:space="preserve">. New York: Cambridge </w:t>
      </w:r>
      <w:r>
        <w:t>(</w:t>
      </w:r>
      <w:r w:rsidRPr="00C457F3">
        <w:t>1964</w:t>
      </w:r>
      <w:r>
        <w:t>)</w:t>
      </w:r>
      <w:r w:rsidRPr="00C457F3">
        <w:t>.</w:t>
      </w:r>
    </w:p>
    <w:p w14:paraId="5BB2E63A" w14:textId="7937238C" w:rsidR="009F7D7F" w:rsidRPr="00C457F3" w:rsidRDefault="009F7D7F" w:rsidP="00EF68EA">
      <w:pPr>
        <w:tabs>
          <w:tab w:val="left" w:pos="2700"/>
        </w:tabs>
      </w:pPr>
      <w:r>
        <w:t xml:space="preserve">Orff, Carl, </w:t>
      </w:r>
      <w:r w:rsidRPr="008E22D2">
        <w:rPr>
          <w:i/>
          <w:iCs/>
        </w:rPr>
        <w:t xml:space="preserve">Carmina </w:t>
      </w:r>
      <w:proofErr w:type="spellStart"/>
      <w:r w:rsidRPr="008E22D2">
        <w:rPr>
          <w:i/>
          <w:iCs/>
        </w:rPr>
        <w:t>Burana</w:t>
      </w:r>
      <w:proofErr w:type="spellEnd"/>
      <w:r w:rsidRPr="008E22D2">
        <w:rPr>
          <w:i/>
          <w:iCs/>
        </w:rPr>
        <w:t xml:space="preserve"> Lyrics</w:t>
      </w:r>
      <w:r>
        <w:t xml:space="preserve">, Schott </w:t>
      </w:r>
      <w:proofErr w:type="spellStart"/>
      <w:r>
        <w:t>Musik</w:t>
      </w:r>
      <w:proofErr w:type="spellEnd"/>
      <w:r>
        <w:t xml:space="preserve"> International: Mainz, Germany, classical.net (2020).</w:t>
      </w:r>
    </w:p>
    <w:p w14:paraId="044EC239" w14:textId="5E940767" w:rsidR="00EF68EA" w:rsidRPr="00C457F3" w:rsidRDefault="00EF68EA" w:rsidP="00EF68EA">
      <w:pPr>
        <w:pStyle w:val="FootnoteText"/>
        <w:rPr>
          <w:sz w:val="22"/>
          <w:szCs w:val="22"/>
        </w:rPr>
      </w:pPr>
      <w:r w:rsidRPr="00C457F3">
        <w:rPr>
          <w:sz w:val="22"/>
          <w:szCs w:val="22"/>
        </w:rPr>
        <w:t xml:space="preserve">Patch, Howard Rollin, ‘The Tradition of The Goddess Fortuna in Medieval Philosophy and Literature’, </w:t>
      </w:r>
      <w:r w:rsidRPr="00C457F3">
        <w:rPr>
          <w:i/>
          <w:iCs/>
          <w:sz w:val="22"/>
          <w:szCs w:val="22"/>
        </w:rPr>
        <w:t>Smith College Studies in Modern Language</w:t>
      </w:r>
      <w:r w:rsidRPr="00C457F3">
        <w:rPr>
          <w:sz w:val="22"/>
          <w:szCs w:val="22"/>
        </w:rPr>
        <w:t>, Vol. III No. 4 (July 1922)</w:t>
      </w:r>
      <w:r w:rsidR="009F7D7F">
        <w:rPr>
          <w:sz w:val="22"/>
          <w:szCs w:val="22"/>
        </w:rPr>
        <w:t>.</w:t>
      </w:r>
    </w:p>
    <w:p w14:paraId="3517D8F0" w14:textId="6EEA30BF" w:rsidR="009F7D7F" w:rsidRDefault="009F7D7F" w:rsidP="00EF68EA">
      <w:pPr>
        <w:pStyle w:val="FootnoteText"/>
        <w:rPr>
          <w:sz w:val="22"/>
          <w:szCs w:val="22"/>
        </w:rPr>
      </w:pPr>
    </w:p>
    <w:p w14:paraId="295D0D1E" w14:textId="3738B1D4" w:rsidR="009F7D7F" w:rsidRPr="00C457F3" w:rsidRDefault="009F7D7F" w:rsidP="00EF68EA">
      <w:pPr>
        <w:pStyle w:val="FootnoteText"/>
        <w:rPr>
          <w:sz w:val="22"/>
          <w:szCs w:val="22"/>
        </w:rPr>
      </w:pPr>
      <w:r w:rsidRPr="009F7D7F">
        <w:rPr>
          <w:sz w:val="22"/>
          <w:szCs w:val="22"/>
        </w:rPr>
        <w:t xml:space="preserve">Thompson, Barbara, ‘The Paradoxes of Fortune in the Romance of the Rose’, </w:t>
      </w:r>
      <w:proofErr w:type="spellStart"/>
      <w:r w:rsidRPr="009F7D7F">
        <w:rPr>
          <w:i/>
          <w:iCs/>
          <w:sz w:val="22"/>
          <w:szCs w:val="22"/>
        </w:rPr>
        <w:t>Chimères</w:t>
      </w:r>
      <w:proofErr w:type="spellEnd"/>
      <w:r w:rsidRPr="009F7D7F">
        <w:rPr>
          <w:sz w:val="22"/>
          <w:szCs w:val="22"/>
        </w:rPr>
        <w:t>, Vol. 6.1, No. 13, (1972).</w:t>
      </w:r>
    </w:p>
    <w:p w14:paraId="2BEA31C1" w14:textId="77777777" w:rsidR="00EF68EA" w:rsidRPr="00C457F3" w:rsidRDefault="00EF68EA" w:rsidP="00EF68EA">
      <w:pPr>
        <w:pStyle w:val="FootnoteText"/>
        <w:rPr>
          <w:sz w:val="22"/>
          <w:szCs w:val="22"/>
        </w:rPr>
      </w:pPr>
    </w:p>
    <w:p w14:paraId="5283895C" w14:textId="77777777" w:rsidR="00EF68EA" w:rsidRPr="00C457F3" w:rsidRDefault="00EF68EA" w:rsidP="00EF68EA">
      <w:pPr>
        <w:tabs>
          <w:tab w:val="left" w:pos="2700"/>
        </w:tabs>
      </w:pPr>
      <w:r w:rsidRPr="00C457F3">
        <w:rPr>
          <w:b/>
          <w:bCs/>
        </w:rPr>
        <w:t>Images</w:t>
      </w:r>
    </w:p>
    <w:p w14:paraId="1B397CDE" w14:textId="34C77DF5" w:rsidR="00EF68EA" w:rsidRPr="00C457F3" w:rsidRDefault="00EF68EA" w:rsidP="00EF68EA">
      <w:pPr>
        <w:pStyle w:val="Caption"/>
        <w:jc w:val="both"/>
        <w:rPr>
          <w:i w:val="0"/>
          <w:iCs w:val="0"/>
          <w:color w:val="auto"/>
          <w:sz w:val="22"/>
          <w:szCs w:val="22"/>
        </w:rPr>
      </w:pPr>
      <w:r w:rsidRPr="00C457F3">
        <w:rPr>
          <w:i w:val="0"/>
          <w:iCs w:val="0"/>
          <w:color w:val="auto"/>
          <w:sz w:val="22"/>
          <w:szCs w:val="22"/>
        </w:rPr>
        <w:t xml:space="preserve">Figure </w:t>
      </w:r>
      <w:r w:rsidRPr="00C457F3">
        <w:rPr>
          <w:i w:val="0"/>
          <w:iCs w:val="0"/>
          <w:color w:val="auto"/>
          <w:sz w:val="22"/>
          <w:szCs w:val="22"/>
        </w:rPr>
        <w:fldChar w:fldCharType="begin"/>
      </w:r>
      <w:r w:rsidRPr="00C457F3">
        <w:rPr>
          <w:i w:val="0"/>
          <w:iCs w:val="0"/>
          <w:color w:val="auto"/>
          <w:sz w:val="22"/>
          <w:szCs w:val="22"/>
        </w:rPr>
        <w:instrText xml:space="preserve"> SEQ Figure \* ARABIC </w:instrText>
      </w:r>
      <w:r w:rsidRPr="00C457F3">
        <w:rPr>
          <w:i w:val="0"/>
          <w:iCs w:val="0"/>
          <w:color w:val="auto"/>
          <w:sz w:val="22"/>
          <w:szCs w:val="22"/>
        </w:rPr>
        <w:fldChar w:fldCharType="separate"/>
      </w:r>
      <w:r w:rsidR="00D2462C">
        <w:rPr>
          <w:i w:val="0"/>
          <w:iCs w:val="0"/>
          <w:noProof/>
          <w:color w:val="auto"/>
          <w:sz w:val="22"/>
          <w:szCs w:val="22"/>
        </w:rPr>
        <w:t>2</w:t>
      </w:r>
      <w:r w:rsidRPr="00C457F3">
        <w:rPr>
          <w:i w:val="0"/>
          <w:iCs w:val="0"/>
          <w:noProof/>
          <w:color w:val="auto"/>
          <w:sz w:val="22"/>
          <w:szCs w:val="22"/>
        </w:rPr>
        <w:fldChar w:fldCharType="end"/>
      </w:r>
      <w:r w:rsidRPr="00C457F3">
        <w:rPr>
          <w:i w:val="0"/>
          <w:iCs w:val="0"/>
          <w:color w:val="auto"/>
          <w:sz w:val="22"/>
          <w:szCs w:val="22"/>
        </w:rPr>
        <w:t xml:space="preserve"> </w:t>
      </w:r>
      <w:r w:rsidRPr="00C457F3">
        <w:rPr>
          <w:color w:val="auto"/>
          <w:sz w:val="22"/>
          <w:szCs w:val="22"/>
        </w:rPr>
        <w:t>The Cosmos According to Aristotle and Ptolemy</w:t>
      </w:r>
      <w:r w:rsidRPr="00C457F3">
        <w:rPr>
          <w:i w:val="0"/>
          <w:iCs w:val="0"/>
          <w:color w:val="auto"/>
          <w:sz w:val="22"/>
          <w:szCs w:val="22"/>
        </w:rPr>
        <w:t>, Image: facultysites.vassar.edu.</w:t>
      </w:r>
    </w:p>
    <w:p w14:paraId="07782073" w14:textId="77777777" w:rsidR="00EF68EA" w:rsidRPr="00C457F3" w:rsidRDefault="00EF68EA" w:rsidP="00EF68EA">
      <w:pPr>
        <w:pStyle w:val="Caption"/>
        <w:jc w:val="both"/>
        <w:rPr>
          <w:i w:val="0"/>
          <w:iCs w:val="0"/>
          <w:color w:val="auto"/>
          <w:sz w:val="22"/>
          <w:szCs w:val="22"/>
        </w:rPr>
      </w:pPr>
      <w:r w:rsidRPr="00C457F3">
        <w:rPr>
          <w:i w:val="0"/>
          <w:iCs w:val="0"/>
          <w:color w:val="auto"/>
          <w:sz w:val="22"/>
          <w:szCs w:val="22"/>
        </w:rPr>
        <w:t xml:space="preserve">Figure 2: </w:t>
      </w:r>
      <w:proofErr w:type="spellStart"/>
      <w:r w:rsidRPr="00C457F3">
        <w:rPr>
          <w:i w:val="0"/>
          <w:iCs w:val="0"/>
          <w:color w:val="auto"/>
          <w:sz w:val="22"/>
          <w:szCs w:val="22"/>
        </w:rPr>
        <w:t>Clm</w:t>
      </w:r>
      <w:proofErr w:type="spellEnd"/>
      <w:r w:rsidRPr="00C457F3">
        <w:rPr>
          <w:i w:val="0"/>
          <w:iCs w:val="0"/>
          <w:color w:val="auto"/>
          <w:sz w:val="22"/>
          <w:szCs w:val="22"/>
        </w:rPr>
        <w:t xml:space="preserve"> 4660 </w:t>
      </w:r>
      <w:r w:rsidRPr="00C457F3">
        <w:rPr>
          <w:color w:val="auto"/>
          <w:sz w:val="22"/>
          <w:szCs w:val="22"/>
        </w:rPr>
        <w:t xml:space="preserve">Rota </w:t>
      </w:r>
      <w:proofErr w:type="spellStart"/>
      <w:r w:rsidRPr="00C457F3">
        <w:rPr>
          <w:color w:val="auto"/>
          <w:sz w:val="22"/>
          <w:szCs w:val="22"/>
        </w:rPr>
        <w:t>Fortunae</w:t>
      </w:r>
      <w:proofErr w:type="spellEnd"/>
      <w:r w:rsidRPr="00C457F3">
        <w:rPr>
          <w:i w:val="0"/>
          <w:iCs w:val="0"/>
          <w:color w:val="auto"/>
          <w:sz w:val="22"/>
          <w:szCs w:val="22"/>
        </w:rPr>
        <w:t xml:space="preserve">, Carmina </w:t>
      </w:r>
      <w:proofErr w:type="spellStart"/>
      <w:r w:rsidRPr="00C457F3">
        <w:rPr>
          <w:i w:val="0"/>
          <w:iCs w:val="0"/>
          <w:color w:val="auto"/>
          <w:sz w:val="22"/>
          <w:szCs w:val="22"/>
        </w:rPr>
        <w:t>Burana</w:t>
      </w:r>
      <w:proofErr w:type="spellEnd"/>
      <w:r w:rsidRPr="00C457F3">
        <w:rPr>
          <w:i w:val="0"/>
          <w:iCs w:val="0"/>
          <w:color w:val="auto"/>
          <w:sz w:val="22"/>
          <w:szCs w:val="22"/>
        </w:rPr>
        <w:t xml:space="preserve">, Carinthia / Styria or South Tyrol, 1230 - 1399, parchment, 25 x 17 centimeters, Bavarian State Library, Munich Germany, </w:t>
      </w:r>
      <w:r w:rsidRPr="00C457F3">
        <w:rPr>
          <w:color w:val="auto"/>
          <w:sz w:val="22"/>
          <w:szCs w:val="22"/>
        </w:rPr>
        <w:t>Image</w:t>
      </w:r>
      <w:r w:rsidRPr="00C457F3">
        <w:rPr>
          <w:i w:val="0"/>
          <w:iCs w:val="0"/>
          <w:color w:val="auto"/>
          <w:sz w:val="22"/>
          <w:szCs w:val="22"/>
        </w:rPr>
        <w:t xml:space="preserve">: </w:t>
      </w:r>
      <w:proofErr w:type="spellStart"/>
      <w:r w:rsidRPr="00C457F3">
        <w:rPr>
          <w:i w:val="0"/>
          <w:iCs w:val="0"/>
          <w:color w:val="auto"/>
          <w:sz w:val="22"/>
          <w:szCs w:val="22"/>
        </w:rPr>
        <w:t>Münchener</w:t>
      </w:r>
      <w:proofErr w:type="spellEnd"/>
      <w:r w:rsidRPr="00C457F3">
        <w:rPr>
          <w:i w:val="0"/>
          <w:iCs w:val="0"/>
          <w:color w:val="auto"/>
          <w:sz w:val="22"/>
          <w:szCs w:val="22"/>
        </w:rPr>
        <w:t xml:space="preserve"> </w:t>
      </w:r>
      <w:proofErr w:type="spellStart"/>
      <w:r w:rsidRPr="00C457F3">
        <w:rPr>
          <w:i w:val="0"/>
          <w:iCs w:val="0"/>
          <w:color w:val="auto"/>
          <w:sz w:val="22"/>
          <w:szCs w:val="22"/>
        </w:rPr>
        <w:t>DigitalisierungsZentrum</w:t>
      </w:r>
      <w:proofErr w:type="spellEnd"/>
      <w:r w:rsidRPr="00C457F3">
        <w:rPr>
          <w:i w:val="0"/>
          <w:iCs w:val="0"/>
          <w:color w:val="auto"/>
          <w:sz w:val="22"/>
          <w:szCs w:val="22"/>
        </w:rPr>
        <w:t xml:space="preserve"> / </w:t>
      </w:r>
      <w:proofErr w:type="spellStart"/>
      <w:r w:rsidRPr="00C457F3">
        <w:rPr>
          <w:i w:val="0"/>
          <w:iCs w:val="0"/>
          <w:color w:val="auto"/>
          <w:sz w:val="22"/>
          <w:szCs w:val="22"/>
        </w:rPr>
        <w:t>Digitale</w:t>
      </w:r>
      <w:proofErr w:type="spellEnd"/>
      <w:r w:rsidRPr="00C457F3">
        <w:rPr>
          <w:i w:val="0"/>
          <w:iCs w:val="0"/>
          <w:color w:val="auto"/>
          <w:sz w:val="22"/>
          <w:szCs w:val="22"/>
        </w:rPr>
        <w:t xml:space="preserve"> </w:t>
      </w:r>
      <w:proofErr w:type="spellStart"/>
      <w:r w:rsidRPr="00C457F3">
        <w:rPr>
          <w:i w:val="0"/>
          <w:iCs w:val="0"/>
          <w:color w:val="auto"/>
          <w:sz w:val="22"/>
          <w:szCs w:val="22"/>
        </w:rPr>
        <w:t>Bibliothek</w:t>
      </w:r>
      <w:proofErr w:type="spellEnd"/>
      <w:r w:rsidRPr="00C457F3">
        <w:rPr>
          <w:i w:val="0"/>
          <w:iCs w:val="0"/>
          <w:color w:val="auto"/>
          <w:sz w:val="22"/>
          <w:szCs w:val="22"/>
        </w:rPr>
        <w:t>.</w:t>
      </w:r>
    </w:p>
    <w:p w14:paraId="1B7AD8C5" w14:textId="02A700F2" w:rsidR="00D14CEF" w:rsidRPr="00B17EE6" w:rsidRDefault="00EF68EA" w:rsidP="00B17EE6">
      <w:pPr>
        <w:pStyle w:val="Caption"/>
        <w:jc w:val="both"/>
        <w:rPr>
          <w:i w:val="0"/>
          <w:iCs w:val="0"/>
          <w:color w:val="auto"/>
          <w:sz w:val="22"/>
          <w:szCs w:val="22"/>
        </w:rPr>
      </w:pPr>
      <w:r w:rsidRPr="00C457F3">
        <w:rPr>
          <w:i w:val="0"/>
          <w:iCs w:val="0"/>
          <w:color w:val="auto"/>
          <w:sz w:val="22"/>
          <w:szCs w:val="22"/>
        </w:rPr>
        <w:t xml:space="preserve">Figure 3: </w:t>
      </w:r>
      <w:proofErr w:type="spellStart"/>
      <w:r w:rsidRPr="00C457F3">
        <w:rPr>
          <w:i w:val="0"/>
          <w:iCs w:val="0"/>
          <w:color w:val="auto"/>
          <w:sz w:val="22"/>
          <w:szCs w:val="22"/>
        </w:rPr>
        <w:t>Recueil</w:t>
      </w:r>
      <w:proofErr w:type="spellEnd"/>
      <w:r w:rsidRPr="00C457F3">
        <w:rPr>
          <w:i w:val="0"/>
          <w:iCs w:val="0"/>
          <w:color w:val="auto"/>
          <w:sz w:val="22"/>
          <w:szCs w:val="22"/>
        </w:rPr>
        <w:t xml:space="preserve">, Guillaume de </w:t>
      </w:r>
      <w:proofErr w:type="spellStart"/>
      <w:r w:rsidRPr="00C457F3">
        <w:rPr>
          <w:i w:val="0"/>
          <w:iCs w:val="0"/>
          <w:color w:val="auto"/>
          <w:sz w:val="22"/>
          <w:szCs w:val="22"/>
        </w:rPr>
        <w:t>Lorris</w:t>
      </w:r>
      <w:proofErr w:type="spellEnd"/>
      <w:r w:rsidRPr="00C457F3">
        <w:rPr>
          <w:i w:val="0"/>
          <w:iCs w:val="0"/>
          <w:color w:val="auto"/>
          <w:sz w:val="22"/>
          <w:szCs w:val="22"/>
        </w:rPr>
        <w:t xml:space="preserve">, </w:t>
      </w:r>
      <w:proofErr w:type="spellStart"/>
      <w:r w:rsidRPr="00C457F3">
        <w:rPr>
          <w:i w:val="0"/>
          <w:iCs w:val="0"/>
          <w:color w:val="auto"/>
          <w:sz w:val="22"/>
          <w:szCs w:val="22"/>
        </w:rPr>
        <w:t>BnF</w:t>
      </w:r>
      <w:proofErr w:type="spellEnd"/>
      <w:r w:rsidRPr="00C457F3">
        <w:rPr>
          <w:i w:val="0"/>
          <w:iCs w:val="0"/>
          <w:color w:val="auto"/>
          <w:sz w:val="22"/>
          <w:szCs w:val="22"/>
        </w:rPr>
        <w:t xml:space="preserve"> MS </w:t>
      </w:r>
      <w:proofErr w:type="spellStart"/>
      <w:r w:rsidRPr="00C457F3">
        <w:rPr>
          <w:i w:val="0"/>
          <w:iCs w:val="0"/>
          <w:color w:val="auto"/>
          <w:sz w:val="22"/>
          <w:szCs w:val="22"/>
        </w:rPr>
        <w:t>Français</w:t>
      </w:r>
      <w:proofErr w:type="spellEnd"/>
      <w:r w:rsidRPr="00C457F3">
        <w:rPr>
          <w:i w:val="0"/>
          <w:iCs w:val="0"/>
          <w:color w:val="auto"/>
          <w:sz w:val="22"/>
          <w:szCs w:val="22"/>
        </w:rPr>
        <w:t xml:space="preserve"> 2195, f.156v Paris / France, 1361, parchment, 20 x 14 centimeters, </w:t>
      </w:r>
      <w:proofErr w:type="spellStart"/>
      <w:r w:rsidRPr="00C457F3">
        <w:rPr>
          <w:i w:val="0"/>
          <w:iCs w:val="0"/>
          <w:color w:val="auto"/>
          <w:sz w:val="22"/>
          <w:szCs w:val="22"/>
        </w:rPr>
        <w:t>Bibliotheque</w:t>
      </w:r>
      <w:proofErr w:type="spellEnd"/>
      <w:r w:rsidRPr="00C457F3">
        <w:rPr>
          <w:i w:val="0"/>
          <w:iCs w:val="0"/>
          <w:color w:val="auto"/>
          <w:sz w:val="22"/>
          <w:szCs w:val="22"/>
        </w:rPr>
        <w:t xml:space="preserve"> </w:t>
      </w:r>
      <w:proofErr w:type="spellStart"/>
      <w:r w:rsidRPr="00C457F3">
        <w:rPr>
          <w:i w:val="0"/>
          <w:iCs w:val="0"/>
          <w:color w:val="auto"/>
          <w:sz w:val="22"/>
          <w:szCs w:val="22"/>
        </w:rPr>
        <w:t>Nationale</w:t>
      </w:r>
      <w:proofErr w:type="spellEnd"/>
      <w:r w:rsidRPr="00C457F3">
        <w:rPr>
          <w:i w:val="0"/>
          <w:iCs w:val="0"/>
          <w:color w:val="auto"/>
          <w:sz w:val="22"/>
          <w:szCs w:val="22"/>
        </w:rPr>
        <w:t xml:space="preserve"> de France, Paris, France, </w:t>
      </w:r>
      <w:r w:rsidRPr="00C457F3">
        <w:rPr>
          <w:color w:val="auto"/>
          <w:sz w:val="22"/>
          <w:szCs w:val="22"/>
        </w:rPr>
        <w:t>Image</w:t>
      </w:r>
      <w:r w:rsidRPr="00C457F3">
        <w:rPr>
          <w:i w:val="0"/>
          <w:iCs w:val="0"/>
          <w:color w:val="auto"/>
          <w:sz w:val="22"/>
          <w:szCs w:val="22"/>
        </w:rPr>
        <w:t xml:space="preserve">: </w:t>
      </w:r>
      <w:proofErr w:type="spellStart"/>
      <w:r w:rsidRPr="00C457F3">
        <w:rPr>
          <w:i w:val="0"/>
          <w:iCs w:val="0"/>
          <w:color w:val="auto"/>
          <w:sz w:val="22"/>
          <w:szCs w:val="22"/>
        </w:rPr>
        <w:t>BnF</w:t>
      </w:r>
      <w:proofErr w:type="spellEnd"/>
      <w:r w:rsidRPr="00C457F3">
        <w:rPr>
          <w:i w:val="0"/>
          <w:iCs w:val="0"/>
          <w:color w:val="auto"/>
          <w:sz w:val="22"/>
          <w:szCs w:val="22"/>
        </w:rPr>
        <w:t xml:space="preserve"> Gallica.</w:t>
      </w:r>
    </w:p>
    <w:sectPr w:rsidR="00D14CEF" w:rsidRPr="00B17EE6" w:rsidSect="0007702E">
      <w:headerReference w:type="default" r:id="rId12"/>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EB3F5B" w14:textId="77777777" w:rsidR="003074E8" w:rsidRDefault="003074E8" w:rsidP="00EF68EA">
      <w:pPr>
        <w:spacing w:after="0" w:line="240" w:lineRule="auto"/>
      </w:pPr>
      <w:r>
        <w:separator/>
      </w:r>
    </w:p>
  </w:endnote>
  <w:endnote w:type="continuationSeparator" w:id="0">
    <w:p w14:paraId="543E1EFF" w14:textId="77777777" w:rsidR="003074E8" w:rsidRDefault="003074E8" w:rsidP="00EF68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9AC581" w14:textId="77777777" w:rsidR="003074E8" w:rsidRDefault="003074E8" w:rsidP="00EF68EA">
      <w:pPr>
        <w:spacing w:after="0" w:line="240" w:lineRule="auto"/>
      </w:pPr>
      <w:r>
        <w:separator/>
      </w:r>
    </w:p>
  </w:footnote>
  <w:footnote w:type="continuationSeparator" w:id="0">
    <w:p w14:paraId="4526BF22" w14:textId="77777777" w:rsidR="003074E8" w:rsidRDefault="003074E8" w:rsidP="00EF68EA">
      <w:pPr>
        <w:spacing w:after="0" w:line="240" w:lineRule="auto"/>
      </w:pPr>
      <w:r>
        <w:continuationSeparator/>
      </w:r>
    </w:p>
  </w:footnote>
  <w:footnote w:id="1">
    <w:p w14:paraId="6BA02115" w14:textId="12ED0335" w:rsidR="001400D4" w:rsidRDefault="001400D4" w:rsidP="00C8187D">
      <w:pPr>
        <w:pStyle w:val="FootnoteText"/>
        <w:ind w:firstLine="720"/>
      </w:pPr>
      <w:r>
        <w:rPr>
          <w:rStyle w:val="FootnoteReference"/>
        </w:rPr>
        <w:footnoteRef/>
      </w:r>
      <w:r>
        <w:t xml:space="preserve"> </w:t>
      </w:r>
      <w:r w:rsidRPr="002F0078">
        <w:t xml:space="preserve">Curry, Patrick, ‘Astrology’, in Boyd, Kelly (ed.) </w:t>
      </w:r>
      <w:r w:rsidRPr="002F0078">
        <w:rPr>
          <w:i/>
          <w:iCs/>
        </w:rPr>
        <w:t xml:space="preserve">The </w:t>
      </w:r>
      <w:proofErr w:type="spellStart"/>
      <w:r w:rsidRPr="002F0078">
        <w:rPr>
          <w:i/>
          <w:iCs/>
        </w:rPr>
        <w:t>Encyclopaedia</w:t>
      </w:r>
      <w:proofErr w:type="spellEnd"/>
      <w:r w:rsidRPr="002F0078">
        <w:rPr>
          <w:i/>
          <w:iCs/>
        </w:rPr>
        <w:t xml:space="preserve"> of Historians and Historical Writing,</w:t>
      </w:r>
      <w:r w:rsidRPr="002F0078">
        <w:t xml:space="preserve"> 2 Vols. London: Fitzroy Dearborn </w:t>
      </w:r>
      <w:r>
        <w:t>(</w:t>
      </w:r>
      <w:r w:rsidRPr="002F0078">
        <w:t>1999</w:t>
      </w:r>
      <w:r>
        <w:t>)</w:t>
      </w:r>
      <w:r w:rsidRPr="002F0078">
        <w:t xml:space="preserve">, Vol. 1, </w:t>
      </w:r>
      <w:r>
        <w:t xml:space="preserve">p. 55. </w:t>
      </w:r>
      <w:r w:rsidRPr="002F0078">
        <w:t>pp 55-7</w:t>
      </w:r>
    </w:p>
  </w:footnote>
  <w:footnote w:id="2">
    <w:p w14:paraId="77087C50" w14:textId="3D66016D" w:rsidR="001400D4" w:rsidRPr="000F1701" w:rsidRDefault="001400D4" w:rsidP="000F1701">
      <w:pPr>
        <w:pStyle w:val="FootnoteText"/>
        <w:ind w:firstLine="720"/>
      </w:pPr>
      <w:r>
        <w:rPr>
          <w:rStyle w:val="FootnoteReference"/>
        </w:rPr>
        <w:footnoteRef/>
      </w:r>
      <w:r>
        <w:t xml:space="preserve"> Evans, G. R., Introduction to </w:t>
      </w:r>
      <w:r w:rsidRPr="000F1701">
        <w:rPr>
          <w:i/>
          <w:iCs/>
        </w:rPr>
        <w:t>City of God</w:t>
      </w:r>
      <w:r>
        <w:t xml:space="preserve"> by St. Augustine, Trans. Henry </w:t>
      </w:r>
      <w:proofErr w:type="spellStart"/>
      <w:r>
        <w:t>Bettenson</w:t>
      </w:r>
      <w:proofErr w:type="spellEnd"/>
      <w:r>
        <w:t xml:space="preserve">, Penguin Classics: London (2003), p. </w:t>
      </w:r>
      <w:proofErr w:type="spellStart"/>
      <w:r>
        <w:t>viiii</w:t>
      </w:r>
      <w:proofErr w:type="spellEnd"/>
      <w:r>
        <w:t>.</w:t>
      </w:r>
    </w:p>
  </w:footnote>
  <w:footnote w:id="3">
    <w:p w14:paraId="1AC534A5" w14:textId="0D5182D0" w:rsidR="001400D4" w:rsidRDefault="001400D4" w:rsidP="00EF68EA">
      <w:pPr>
        <w:pStyle w:val="FootnoteText"/>
        <w:ind w:firstLine="720"/>
      </w:pPr>
      <w:r w:rsidRPr="00333E0E">
        <w:rPr>
          <w:rStyle w:val="FootnoteReference"/>
        </w:rPr>
        <w:footnoteRef/>
      </w:r>
      <w:r w:rsidRPr="00333E0E">
        <w:t xml:space="preserve"> Augustine, </w:t>
      </w:r>
      <w:r w:rsidRPr="00333E0E">
        <w:rPr>
          <w:i/>
          <w:iCs/>
        </w:rPr>
        <w:t>City of God</w:t>
      </w:r>
      <w:r w:rsidRPr="00333E0E">
        <w:t xml:space="preserve">, trans. Henry </w:t>
      </w:r>
      <w:proofErr w:type="spellStart"/>
      <w:r w:rsidRPr="00333E0E">
        <w:t>Bettenson</w:t>
      </w:r>
      <w:proofErr w:type="spellEnd"/>
      <w:r w:rsidRPr="00333E0E">
        <w:t>, Penguin Classics: London (2003), p.</w:t>
      </w:r>
      <w:r>
        <w:t xml:space="preserve"> </w:t>
      </w:r>
      <w:r w:rsidRPr="00333E0E">
        <w:t>157-157.</w:t>
      </w:r>
    </w:p>
  </w:footnote>
  <w:footnote w:id="4">
    <w:p w14:paraId="1A817084" w14:textId="77777777" w:rsidR="001400D4" w:rsidRPr="00333E0E" w:rsidRDefault="001400D4" w:rsidP="00EF68EA">
      <w:pPr>
        <w:pStyle w:val="FootnoteText"/>
        <w:ind w:firstLine="720"/>
      </w:pPr>
      <w:r w:rsidRPr="00333E0E">
        <w:rPr>
          <w:rStyle w:val="FootnoteReference"/>
        </w:rPr>
        <w:footnoteRef/>
      </w:r>
      <w:r w:rsidRPr="00333E0E">
        <w:t xml:space="preserve"> Augustine, City of God, p. 158. </w:t>
      </w:r>
    </w:p>
  </w:footnote>
  <w:footnote w:id="5">
    <w:p w14:paraId="72C631DF" w14:textId="77777777" w:rsidR="001400D4" w:rsidRPr="00333E0E" w:rsidRDefault="001400D4" w:rsidP="00EF68EA">
      <w:pPr>
        <w:pStyle w:val="FootnoteText"/>
        <w:ind w:firstLine="720"/>
      </w:pPr>
      <w:r w:rsidRPr="00333E0E">
        <w:rPr>
          <w:rStyle w:val="FootnoteReference"/>
        </w:rPr>
        <w:footnoteRef/>
      </w:r>
      <w:r w:rsidRPr="00333E0E">
        <w:t xml:space="preserve"> Patch, Howard Rollin, ‘The Tradition of The Goddess Fortuna in Medieval Philosophy and Literature’, </w:t>
      </w:r>
      <w:r w:rsidRPr="00333E0E">
        <w:rPr>
          <w:i/>
          <w:iCs/>
        </w:rPr>
        <w:t>Smith College Studies in Modern Language</w:t>
      </w:r>
      <w:r w:rsidRPr="00333E0E">
        <w:t>, Vol. III No. 4 (July 1922), p. 182.</w:t>
      </w:r>
    </w:p>
  </w:footnote>
  <w:footnote w:id="6">
    <w:p w14:paraId="38742183" w14:textId="77777777" w:rsidR="001400D4" w:rsidRPr="00333E0E" w:rsidRDefault="001400D4" w:rsidP="00EF68EA">
      <w:pPr>
        <w:pStyle w:val="FootnoteText"/>
        <w:ind w:firstLine="720"/>
      </w:pPr>
      <w:r w:rsidRPr="00333E0E">
        <w:rPr>
          <w:rStyle w:val="FootnoteReference"/>
        </w:rPr>
        <w:footnoteRef/>
      </w:r>
      <w:r w:rsidRPr="00333E0E">
        <w:t xml:space="preserve"> Patch, ‘Tradition of Goddess Fortune’, p. 182. </w:t>
      </w:r>
    </w:p>
  </w:footnote>
  <w:footnote w:id="7">
    <w:p w14:paraId="5A366ED6" w14:textId="77777777" w:rsidR="001400D4" w:rsidRPr="00333E0E" w:rsidRDefault="001400D4" w:rsidP="00EF68EA">
      <w:pPr>
        <w:pStyle w:val="FootnoteText"/>
        <w:ind w:firstLine="720"/>
      </w:pPr>
      <w:r w:rsidRPr="00333E0E">
        <w:rPr>
          <w:rStyle w:val="FootnoteReference"/>
        </w:rPr>
        <w:footnoteRef/>
      </w:r>
      <w:r w:rsidRPr="00333E0E">
        <w:t xml:space="preserve"> Augustine, St., ‘On the Free Will Book II’, </w:t>
      </w:r>
      <w:r w:rsidRPr="00333E0E">
        <w:rPr>
          <w:i/>
          <w:iCs/>
        </w:rPr>
        <w:t>Selections from Medieval Philosophers: Augustine to Albert the Great</w:t>
      </w:r>
      <w:r w:rsidRPr="00333E0E">
        <w:t>, trans Richard McKeon (ed), Charles Scribner’s Sons (1929), p. 13.</w:t>
      </w:r>
    </w:p>
  </w:footnote>
  <w:footnote w:id="8">
    <w:p w14:paraId="7546F62F" w14:textId="77777777" w:rsidR="001400D4" w:rsidRPr="00333E0E" w:rsidRDefault="001400D4" w:rsidP="00EF68EA">
      <w:pPr>
        <w:pStyle w:val="FootnoteText"/>
        <w:ind w:firstLine="720"/>
      </w:pPr>
      <w:r w:rsidRPr="00333E0E">
        <w:rPr>
          <w:rStyle w:val="FootnoteReference"/>
        </w:rPr>
        <w:footnoteRef/>
      </w:r>
      <w:r w:rsidRPr="00333E0E">
        <w:t xml:space="preserve"> Augustine, </w:t>
      </w:r>
      <w:r w:rsidRPr="00333E0E">
        <w:rPr>
          <w:i/>
          <w:iCs/>
        </w:rPr>
        <w:t>Free Will</w:t>
      </w:r>
      <w:r w:rsidRPr="00333E0E">
        <w:t>, p 13</w:t>
      </w:r>
    </w:p>
  </w:footnote>
  <w:footnote w:id="9">
    <w:p w14:paraId="3E5F5F3D" w14:textId="77777777" w:rsidR="001400D4" w:rsidRPr="00333E0E" w:rsidRDefault="001400D4" w:rsidP="00EF68EA">
      <w:pPr>
        <w:pStyle w:val="FootnoteText"/>
        <w:ind w:firstLine="720"/>
      </w:pPr>
      <w:r w:rsidRPr="00333E0E">
        <w:rPr>
          <w:rStyle w:val="FootnoteReference"/>
        </w:rPr>
        <w:footnoteRef/>
      </w:r>
      <w:r w:rsidRPr="00333E0E">
        <w:t xml:space="preserve"> Augustine, </w:t>
      </w:r>
      <w:r w:rsidRPr="00333E0E">
        <w:rPr>
          <w:i/>
          <w:iCs/>
        </w:rPr>
        <w:t>Free Will,</w:t>
      </w:r>
      <w:r w:rsidRPr="00333E0E">
        <w:t xml:space="preserve"> p 13</w:t>
      </w:r>
    </w:p>
  </w:footnote>
  <w:footnote w:id="10">
    <w:p w14:paraId="6BD56BDE" w14:textId="77777777" w:rsidR="001400D4" w:rsidRPr="00333E0E" w:rsidRDefault="001400D4" w:rsidP="00DB3AED">
      <w:pPr>
        <w:pStyle w:val="NoSpacing"/>
        <w:ind w:firstLine="720"/>
        <w:rPr>
          <w:sz w:val="20"/>
          <w:szCs w:val="20"/>
        </w:rPr>
      </w:pPr>
      <w:r w:rsidRPr="00333E0E">
        <w:rPr>
          <w:rStyle w:val="FootnoteReference"/>
          <w:sz w:val="20"/>
          <w:szCs w:val="20"/>
        </w:rPr>
        <w:footnoteRef/>
      </w:r>
      <w:r w:rsidRPr="00333E0E">
        <w:rPr>
          <w:sz w:val="20"/>
          <w:szCs w:val="20"/>
        </w:rPr>
        <w:t xml:space="preserve"> Augustine, St., </w:t>
      </w:r>
      <w:r w:rsidRPr="00333E0E">
        <w:rPr>
          <w:i/>
          <w:iCs/>
          <w:sz w:val="20"/>
          <w:szCs w:val="20"/>
        </w:rPr>
        <w:t>Confessions</w:t>
      </w:r>
      <w:r w:rsidRPr="00333E0E">
        <w:rPr>
          <w:sz w:val="20"/>
          <w:szCs w:val="20"/>
        </w:rPr>
        <w:t>, Volume I: Books 1-8, translated by Carolyn J.-B. Hammond, Loeb Classical Library 26, Cambridge, MA: Harvard University Press (2014), p. 141.</w:t>
      </w:r>
    </w:p>
  </w:footnote>
  <w:footnote w:id="11">
    <w:p w14:paraId="75981324" w14:textId="77777777" w:rsidR="001400D4" w:rsidRDefault="001400D4" w:rsidP="00EF68EA">
      <w:pPr>
        <w:pStyle w:val="NoSpacing"/>
        <w:ind w:firstLine="720"/>
      </w:pPr>
      <w:r w:rsidRPr="00333E0E">
        <w:rPr>
          <w:rStyle w:val="FootnoteReference"/>
          <w:sz w:val="20"/>
          <w:szCs w:val="20"/>
        </w:rPr>
        <w:footnoteRef/>
      </w:r>
      <w:r w:rsidRPr="00333E0E">
        <w:rPr>
          <w:sz w:val="20"/>
          <w:szCs w:val="20"/>
        </w:rPr>
        <w:t xml:space="preserve"> Augustine ‘Confessions’ p. 141.</w:t>
      </w:r>
    </w:p>
  </w:footnote>
  <w:footnote w:id="12">
    <w:p w14:paraId="65CAF974" w14:textId="3A87E2F8" w:rsidR="001400D4" w:rsidRPr="005C6E17" w:rsidRDefault="001400D4" w:rsidP="000F1701">
      <w:pPr>
        <w:pStyle w:val="FootnoteText"/>
        <w:ind w:firstLine="720"/>
      </w:pPr>
      <w:r>
        <w:rPr>
          <w:rStyle w:val="FootnoteReference"/>
        </w:rPr>
        <w:footnoteRef/>
      </w:r>
      <w:r>
        <w:t xml:space="preserve"> Kreeft, Peter, Introduction to </w:t>
      </w:r>
      <w:r w:rsidRPr="005C6E17">
        <w:rPr>
          <w:i/>
          <w:iCs/>
        </w:rPr>
        <w:t>Shorter Summa</w:t>
      </w:r>
      <w:r>
        <w:t xml:space="preserve"> by St. Thomas Aquinas, Ed. Peter Kreeft, Sophia Institute Press: Manchester, NH (1993), p. ix.</w:t>
      </w:r>
    </w:p>
  </w:footnote>
  <w:footnote w:id="13">
    <w:p w14:paraId="662330B4" w14:textId="77777777" w:rsidR="001400D4" w:rsidRPr="00333E0E" w:rsidRDefault="001400D4" w:rsidP="00EF68EA">
      <w:pPr>
        <w:pStyle w:val="FootnoteText"/>
        <w:ind w:firstLine="720"/>
      </w:pPr>
      <w:r w:rsidRPr="00333E0E">
        <w:rPr>
          <w:rStyle w:val="FootnoteReference"/>
        </w:rPr>
        <w:footnoteRef/>
      </w:r>
      <w:r w:rsidRPr="00333E0E">
        <w:t xml:space="preserve"> Aquinas, Thomas, qtd in Astronomy and Astrology in the World’s Religions, Nicholas Campion, New York University Press: New York and London (2012), p. 170. </w:t>
      </w:r>
    </w:p>
  </w:footnote>
  <w:footnote w:id="14">
    <w:p w14:paraId="6F10677E" w14:textId="77777777" w:rsidR="001400D4" w:rsidRPr="00333E0E" w:rsidRDefault="001400D4" w:rsidP="00EF68EA">
      <w:pPr>
        <w:pStyle w:val="FootnoteText"/>
        <w:ind w:firstLine="720"/>
      </w:pPr>
      <w:r w:rsidRPr="00333E0E">
        <w:rPr>
          <w:rStyle w:val="FootnoteReference"/>
        </w:rPr>
        <w:footnoteRef/>
      </w:r>
      <w:r w:rsidRPr="00333E0E">
        <w:t xml:space="preserve"> Aquinas, Thomas, </w:t>
      </w:r>
      <w:r w:rsidRPr="00333E0E">
        <w:rPr>
          <w:i/>
          <w:iCs/>
        </w:rPr>
        <w:t>Shorter Summa</w:t>
      </w:r>
      <w:r w:rsidRPr="00333E0E">
        <w:t>, Sophia Institute Press, Manchester, NH (1993), p. 136.</w:t>
      </w:r>
    </w:p>
  </w:footnote>
  <w:footnote w:id="15">
    <w:p w14:paraId="635F4183" w14:textId="77777777" w:rsidR="001400D4" w:rsidRPr="00333E0E" w:rsidRDefault="001400D4" w:rsidP="00EF68EA">
      <w:pPr>
        <w:pStyle w:val="FootnoteText"/>
        <w:ind w:firstLine="720"/>
      </w:pPr>
      <w:r w:rsidRPr="00333E0E">
        <w:rPr>
          <w:rStyle w:val="FootnoteReference"/>
        </w:rPr>
        <w:footnoteRef/>
      </w:r>
      <w:r w:rsidRPr="00333E0E">
        <w:t xml:space="preserve"> Aquinas, </w:t>
      </w:r>
      <w:r w:rsidRPr="00333E0E">
        <w:rPr>
          <w:i/>
          <w:iCs/>
        </w:rPr>
        <w:t>Summa</w:t>
      </w:r>
      <w:r w:rsidRPr="00333E0E">
        <w:t>, p.137</w:t>
      </w:r>
    </w:p>
  </w:footnote>
  <w:footnote w:id="16">
    <w:p w14:paraId="5861186D" w14:textId="77777777" w:rsidR="001400D4" w:rsidRPr="00333E0E" w:rsidRDefault="001400D4" w:rsidP="00EF68EA">
      <w:pPr>
        <w:pStyle w:val="FootnoteText"/>
        <w:ind w:firstLine="720"/>
      </w:pPr>
      <w:r w:rsidRPr="00333E0E">
        <w:rPr>
          <w:rStyle w:val="FootnoteReference"/>
        </w:rPr>
        <w:footnoteRef/>
      </w:r>
      <w:r w:rsidRPr="00333E0E">
        <w:t xml:space="preserve"> Aquinas </w:t>
      </w:r>
      <w:r w:rsidRPr="00333E0E">
        <w:rPr>
          <w:i/>
          <w:iCs/>
        </w:rPr>
        <w:t>Summa</w:t>
      </w:r>
      <w:r w:rsidRPr="00333E0E">
        <w:t>, p.142.</w:t>
      </w:r>
    </w:p>
  </w:footnote>
  <w:footnote w:id="17">
    <w:p w14:paraId="1FF305A3" w14:textId="77777777" w:rsidR="001400D4" w:rsidRPr="00333E0E" w:rsidRDefault="001400D4" w:rsidP="00EF68EA">
      <w:pPr>
        <w:pStyle w:val="FootnoteText"/>
        <w:ind w:firstLine="720"/>
      </w:pPr>
      <w:r w:rsidRPr="00333E0E">
        <w:rPr>
          <w:rStyle w:val="FootnoteReference"/>
        </w:rPr>
        <w:footnoteRef/>
      </w:r>
      <w:r w:rsidRPr="00333E0E">
        <w:t xml:space="preserve"> Aquinas, </w:t>
      </w:r>
      <w:r w:rsidRPr="00333E0E">
        <w:rPr>
          <w:i/>
          <w:iCs/>
        </w:rPr>
        <w:t>Summa</w:t>
      </w:r>
      <w:r w:rsidRPr="00333E0E">
        <w:t xml:space="preserve">, p.142 </w:t>
      </w:r>
    </w:p>
  </w:footnote>
  <w:footnote w:id="18">
    <w:p w14:paraId="492BF13E" w14:textId="79F2964D" w:rsidR="001400D4" w:rsidRPr="00333E0E" w:rsidRDefault="001400D4" w:rsidP="00EF68EA">
      <w:pPr>
        <w:pStyle w:val="FootnoteText"/>
        <w:ind w:firstLine="720"/>
      </w:pPr>
      <w:r w:rsidRPr="00333E0E">
        <w:rPr>
          <w:rStyle w:val="FootnoteReference"/>
        </w:rPr>
        <w:footnoteRef/>
      </w:r>
      <w:r w:rsidRPr="00333E0E">
        <w:t xml:space="preserve"> </w:t>
      </w:r>
      <w:r w:rsidRPr="00DB0E98">
        <w:t xml:space="preserve">Campion Nicholas, </w:t>
      </w:r>
      <w:r>
        <w:rPr>
          <w:i/>
          <w:iCs/>
        </w:rPr>
        <w:t xml:space="preserve">Astrology and Cosmology in the </w:t>
      </w:r>
      <w:r w:rsidRPr="00DB0E98">
        <w:rPr>
          <w:i/>
          <w:iCs/>
        </w:rPr>
        <w:t>World’s Religions</w:t>
      </w:r>
      <w:r w:rsidRPr="00DB0E98">
        <w:t xml:space="preserve">, </w:t>
      </w:r>
      <w:r>
        <w:t xml:space="preserve">New York University Press: New York/London (2012), </w:t>
      </w:r>
      <w:r w:rsidRPr="00DB0E98">
        <w:t>p.170.</w:t>
      </w:r>
    </w:p>
  </w:footnote>
  <w:footnote w:id="19">
    <w:p w14:paraId="35D2A5C0" w14:textId="77777777" w:rsidR="001400D4" w:rsidRPr="00333E0E" w:rsidRDefault="001400D4" w:rsidP="00EF68EA">
      <w:pPr>
        <w:pStyle w:val="FootnoteText"/>
        <w:ind w:firstLine="720"/>
      </w:pPr>
      <w:r w:rsidRPr="00333E0E">
        <w:rPr>
          <w:rStyle w:val="FootnoteReference"/>
        </w:rPr>
        <w:footnoteRef/>
      </w:r>
      <w:r w:rsidRPr="00333E0E">
        <w:t xml:space="preserve"> Campion Nicholas, </w:t>
      </w:r>
      <w:r w:rsidRPr="00333E0E">
        <w:rPr>
          <w:i/>
          <w:iCs/>
        </w:rPr>
        <w:t>World’s Religions</w:t>
      </w:r>
      <w:r w:rsidRPr="00333E0E">
        <w:t>, p.170</w:t>
      </w:r>
    </w:p>
  </w:footnote>
  <w:footnote w:id="20">
    <w:p w14:paraId="6D2D8280" w14:textId="77777777" w:rsidR="001400D4" w:rsidRPr="00333E0E" w:rsidRDefault="001400D4" w:rsidP="00EF68EA">
      <w:pPr>
        <w:pStyle w:val="FootnoteText"/>
        <w:ind w:firstLine="720"/>
      </w:pPr>
      <w:r w:rsidRPr="00333E0E">
        <w:rPr>
          <w:rStyle w:val="FootnoteReference"/>
        </w:rPr>
        <w:footnoteRef/>
      </w:r>
      <w:r w:rsidRPr="00333E0E">
        <w:t xml:space="preserve"> Grant, Edward, </w:t>
      </w:r>
      <w:r w:rsidRPr="00333E0E">
        <w:rPr>
          <w:i/>
          <w:iCs/>
        </w:rPr>
        <w:t>Planets, Stars, &amp; Orbs: The Medieval Cosmos, 1200-1687</w:t>
      </w:r>
      <w:r w:rsidRPr="00333E0E">
        <w:t xml:space="preserve">, New York: Cambridge (1996) p. 315. </w:t>
      </w:r>
    </w:p>
  </w:footnote>
  <w:footnote w:id="21">
    <w:p w14:paraId="05F45AD8" w14:textId="77777777" w:rsidR="001400D4" w:rsidRDefault="001400D4" w:rsidP="00EF68EA">
      <w:pPr>
        <w:pStyle w:val="FootnoteText"/>
        <w:ind w:firstLine="720"/>
      </w:pPr>
      <w:r w:rsidRPr="00333E0E">
        <w:rPr>
          <w:rStyle w:val="FootnoteReference"/>
        </w:rPr>
        <w:footnoteRef/>
      </w:r>
      <w:r w:rsidRPr="00333E0E">
        <w:t xml:space="preserve"> Grant, Edward, </w:t>
      </w:r>
      <w:r w:rsidRPr="00333E0E">
        <w:rPr>
          <w:i/>
          <w:iCs/>
        </w:rPr>
        <w:t>Planets, Stars, &amp; Orbs,</w:t>
      </w:r>
      <w:r w:rsidRPr="00333E0E">
        <w:t xml:space="preserve"> pp. 516-517.</w:t>
      </w:r>
      <w:r>
        <w:t xml:space="preserve"> </w:t>
      </w:r>
    </w:p>
  </w:footnote>
  <w:footnote w:id="22">
    <w:p w14:paraId="0A4DCB24" w14:textId="77777777" w:rsidR="001400D4" w:rsidRPr="00333E0E" w:rsidRDefault="001400D4" w:rsidP="00EF68EA">
      <w:pPr>
        <w:pStyle w:val="FootnoteText"/>
        <w:ind w:firstLine="720"/>
      </w:pPr>
      <w:r w:rsidRPr="00333E0E">
        <w:rPr>
          <w:rStyle w:val="FootnoteReference"/>
        </w:rPr>
        <w:footnoteRef/>
      </w:r>
      <w:r w:rsidRPr="00333E0E">
        <w:t xml:space="preserve"> Julien, Nadia, </w:t>
      </w:r>
      <w:r w:rsidRPr="00333E0E">
        <w:rPr>
          <w:i/>
          <w:iCs/>
        </w:rPr>
        <w:t>The Mammoth Dictionary of Symbols: Understanding the Hidden Language of Symbols,</w:t>
      </w:r>
      <w:r w:rsidRPr="00333E0E">
        <w:t xml:space="preserve"> </w:t>
      </w:r>
      <w:proofErr w:type="spellStart"/>
      <w:r w:rsidRPr="00333E0E">
        <w:t>Bekeley</w:t>
      </w:r>
      <w:proofErr w:type="spellEnd"/>
      <w:r w:rsidRPr="00333E0E">
        <w:t>: Peach Pit Press (1995) p. 71.</w:t>
      </w:r>
    </w:p>
  </w:footnote>
  <w:footnote w:id="23">
    <w:p w14:paraId="5FDB32CA" w14:textId="77777777" w:rsidR="001400D4" w:rsidRPr="00333E0E" w:rsidRDefault="001400D4" w:rsidP="00EF68EA">
      <w:pPr>
        <w:pStyle w:val="FootnoteText"/>
        <w:ind w:firstLine="720"/>
      </w:pPr>
      <w:r w:rsidRPr="00333E0E">
        <w:rPr>
          <w:rStyle w:val="FootnoteReference"/>
        </w:rPr>
        <w:footnoteRef/>
      </w:r>
      <w:r w:rsidRPr="00333E0E">
        <w:t xml:space="preserve"> Brown, Alex, Turn </w:t>
      </w:r>
      <w:proofErr w:type="spellStart"/>
      <w:r w:rsidRPr="00333E0E">
        <w:t>Turn</w:t>
      </w:r>
      <w:proofErr w:type="spellEnd"/>
      <w:r w:rsidRPr="00333E0E">
        <w:t xml:space="preserve"> </w:t>
      </w:r>
      <w:proofErr w:type="spellStart"/>
      <w:r w:rsidRPr="00333E0E">
        <w:t>Turn</w:t>
      </w:r>
      <w:proofErr w:type="spellEnd"/>
      <w:r w:rsidRPr="00333E0E">
        <w:t xml:space="preserve">, </w:t>
      </w:r>
      <w:r w:rsidRPr="00333E0E">
        <w:rPr>
          <w:i/>
          <w:iCs/>
        </w:rPr>
        <w:t>History Today</w:t>
      </w:r>
      <w:r w:rsidRPr="00333E0E">
        <w:t xml:space="preserve">, Vol 68 Issue 1 (Jan 2018), p. 26-27. </w:t>
      </w:r>
    </w:p>
  </w:footnote>
  <w:footnote w:id="24">
    <w:p w14:paraId="16BD9CAD" w14:textId="77777777" w:rsidR="00C705DD" w:rsidRDefault="00C705DD" w:rsidP="00C705DD">
      <w:pPr>
        <w:pStyle w:val="FootnoteText"/>
        <w:ind w:firstLine="720"/>
      </w:pPr>
      <w:r w:rsidRPr="00333E0E">
        <w:rPr>
          <w:rStyle w:val="FootnoteReference"/>
        </w:rPr>
        <w:footnoteRef/>
      </w:r>
      <w:r w:rsidRPr="00333E0E">
        <w:t xml:space="preserve"> Patch, </w:t>
      </w:r>
      <w:r w:rsidRPr="00333E0E">
        <w:rPr>
          <w:i/>
          <w:iCs/>
        </w:rPr>
        <w:t>Fortuna in</w:t>
      </w:r>
      <w:r w:rsidRPr="00333E0E">
        <w:t xml:space="preserve"> </w:t>
      </w:r>
      <w:r w:rsidRPr="00333E0E">
        <w:rPr>
          <w:i/>
          <w:iCs/>
        </w:rPr>
        <w:t>Medieval Philosophy and Literature</w:t>
      </w:r>
      <w:r w:rsidRPr="00333E0E">
        <w:t>, p. 179.</w:t>
      </w:r>
      <w:r>
        <w:t xml:space="preserve"> </w:t>
      </w:r>
    </w:p>
  </w:footnote>
  <w:footnote w:id="25">
    <w:p w14:paraId="4A152B10" w14:textId="77777777" w:rsidR="001400D4" w:rsidRPr="00333E0E" w:rsidRDefault="001400D4" w:rsidP="00EF68EA">
      <w:pPr>
        <w:pStyle w:val="FootnoteText"/>
        <w:ind w:firstLine="720"/>
      </w:pPr>
      <w:r w:rsidRPr="00333E0E">
        <w:rPr>
          <w:rStyle w:val="FootnoteReference"/>
        </w:rPr>
        <w:footnoteRef/>
      </w:r>
      <w:r w:rsidRPr="00333E0E">
        <w:t xml:space="preserve"> Brown, Alex, Turn, Turn, Turn, p. 26.</w:t>
      </w:r>
    </w:p>
  </w:footnote>
  <w:footnote w:id="26">
    <w:p w14:paraId="73FCB86A" w14:textId="3849B47C" w:rsidR="001400D4" w:rsidRDefault="001400D4" w:rsidP="009B7643">
      <w:pPr>
        <w:pStyle w:val="FootnoteText"/>
        <w:ind w:firstLine="720"/>
      </w:pPr>
      <w:r>
        <w:rPr>
          <w:rStyle w:val="FootnoteReference"/>
        </w:rPr>
        <w:footnoteRef/>
      </w:r>
      <w:r>
        <w:t xml:space="preserve"> </w:t>
      </w:r>
      <w:r w:rsidRPr="00333E0E">
        <w:t>Brown, Alex, Turn, Turn, Turn, p. 26.</w:t>
      </w:r>
    </w:p>
  </w:footnote>
  <w:footnote w:id="27">
    <w:p w14:paraId="0001F217" w14:textId="77777777" w:rsidR="001400D4" w:rsidRPr="00333E0E" w:rsidRDefault="001400D4" w:rsidP="008B79C2">
      <w:pPr>
        <w:pStyle w:val="FootnoteText"/>
        <w:ind w:firstLine="720"/>
      </w:pPr>
      <w:r w:rsidRPr="00333E0E">
        <w:rPr>
          <w:rStyle w:val="FootnoteReference"/>
        </w:rPr>
        <w:footnoteRef/>
      </w:r>
      <w:r w:rsidRPr="00333E0E">
        <w:t xml:space="preserve"> Lewis, C.S. </w:t>
      </w:r>
      <w:r w:rsidRPr="00333E0E">
        <w:rPr>
          <w:i/>
          <w:iCs/>
        </w:rPr>
        <w:t>The Discarded Image</w:t>
      </w:r>
      <w:r w:rsidRPr="00333E0E">
        <w:t>. New York: Cambridge, 1964. Print, p. 3-4</w:t>
      </w:r>
    </w:p>
  </w:footnote>
  <w:footnote w:id="28">
    <w:p w14:paraId="65B11500" w14:textId="77777777" w:rsidR="001400D4" w:rsidRPr="00333E0E" w:rsidRDefault="001400D4" w:rsidP="008B79C2">
      <w:pPr>
        <w:pStyle w:val="FootnoteText"/>
        <w:ind w:firstLine="720"/>
      </w:pPr>
      <w:r w:rsidRPr="00333E0E">
        <w:rPr>
          <w:rStyle w:val="FootnoteReference"/>
        </w:rPr>
        <w:footnoteRef/>
      </w:r>
      <w:r w:rsidRPr="00333E0E">
        <w:t xml:space="preserve"> Lewis, C.S. </w:t>
      </w:r>
      <w:r w:rsidRPr="00333E0E">
        <w:rPr>
          <w:i/>
          <w:iCs/>
        </w:rPr>
        <w:t>The Discarded Image</w:t>
      </w:r>
      <w:r w:rsidRPr="00333E0E">
        <w:t>, p. 3-4</w:t>
      </w:r>
    </w:p>
  </w:footnote>
  <w:footnote w:id="29">
    <w:p w14:paraId="3CCF6477" w14:textId="25E2E32A" w:rsidR="001400D4" w:rsidRDefault="001400D4" w:rsidP="00A54D8A">
      <w:pPr>
        <w:pStyle w:val="FootnoteText"/>
        <w:ind w:firstLine="720"/>
      </w:pPr>
      <w:r>
        <w:rPr>
          <w:rStyle w:val="FootnoteReference"/>
        </w:rPr>
        <w:footnoteRef/>
      </w:r>
      <w:r>
        <w:t xml:space="preserve"> Goodrum, R. Gordon, ‘Carmina </w:t>
      </w:r>
      <w:proofErr w:type="spellStart"/>
      <w:r>
        <w:t>Burana</w:t>
      </w:r>
      <w:proofErr w:type="spellEnd"/>
      <w:r>
        <w:t>: The Poetry of Wandering Scholars and Wayward Clerics’, The Choral Journal, Vol. 36, No. 2 (September 1995), p. 10.</w:t>
      </w:r>
    </w:p>
  </w:footnote>
  <w:footnote w:id="30">
    <w:p w14:paraId="60A63FAC" w14:textId="0C06A9BC" w:rsidR="001400D4" w:rsidRDefault="001400D4" w:rsidP="00DB3AED">
      <w:pPr>
        <w:pStyle w:val="FootnoteText"/>
        <w:ind w:firstLine="720"/>
      </w:pPr>
      <w:r>
        <w:rPr>
          <w:rStyle w:val="FootnoteReference"/>
        </w:rPr>
        <w:footnoteRef/>
      </w:r>
      <w:r>
        <w:t xml:space="preserve"> </w:t>
      </w:r>
      <w:r w:rsidRPr="00DB3AED">
        <w:t xml:space="preserve">Campion, Nicholas, </w:t>
      </w:r>
      <w:r w:rsidRPr="00DB3AED">
        <w:rPr>
          <w:i/>
          <w:iCs/>
        </w:rPr>
        <w:t>A History of Western Astrology Volume II: The Medieval and Modern Worlds</w:t>
      </w:r>
      <w:r w:rsidRPr="00DB3AED">
        <w:t>, Bloomsbury (2009)</w:t>
      </w:r>
      <w:r>
        <w:t>, p. 51</w:t>
      </w:r>
      <w:r w:rsidRPr="00DB3AED">
        <w:t>.</w:t>
      </w:r>
    </w:p>
  </w:footnote>
  <w:footnote w:id="31">
    <w:p w14:paraId="25820324" w14:textId="24582D2F" w:rsidR="001400D4" w:rsidRDefault="001400D4" w:rsidP="008E22D2">
      <w:pPr>
        <w:pStyle w:val="FootnoteText"/>
        <w:ind w:firstLine="720"/>
      </w:pPr>
      <w:r>
        <w:rPr>
          <w:rStyle w:val="FootnoteReference"/>
        </w:rPr>
        <w:footnoteRef/>
      </w:r>
      <w:r>
        <w:t xml:space="preserve"> Orff, Carl, </w:t>
      </w:r>
      <w:r w:rsidRPr="008E22D2">
        <w:rPr>
          <w:i/>
          <w:iCs/>
        </w:rPr>
        <w:t xml:space="preserve">Carmina </w:t>
      </w:r>
      <w:proofErr w:type="spellStart"/>
      <w:r w:rsidRPr="008E22D2">
        <w:rPr>
          <w:i/>
          <w:iCs/>
        </w:rPr>
        <w:t>Burana</w:t>
      </w:r>
      <w:proofErr w:type="spellEnd"/>
      <w:r w:rsidRPr="008E22D2">
        <w:rPr>
          <w:i/>
          <w:iCs/>
        </w:rPr>
        <w:t xml:space="preserve"> Lyrics</w:t>
      </w:r>
      <w:r>
        <w:t xml:space="preserve">, Schott </w:t>
      </w:r>
      <w:proofErr w:type="spellStart"/>
      <w:r>
        <w:t>Musik</w:t>
      </w:r>
      <w:proofErr w:type="spellEnd"/>
      <w:r>
        <w:t xml:space="preserve"> International: Mainz, Germany, classical.net (2020).</w:t>
      </w:r>
    </w:p>
  </w:footnote>
  <w:footnote w:id="32">
    <w:p w14:paraId="6B9CD103" w14:textId="4E238C52" w:rsidR="001400D4" w:rsidRDefault="001400D4" w:rsidP="00605C6A">
      <w:pPr>
        <w:pStyle w:val="FootnoteText"/>
        <w:ind w:firstLine="720"/>
      </w:pPr>
      <w:r>
        <w:rPr>
          <w:rStyle w:val="FootnoteReference"/>
        </w:rPr>
        <w:footnoteRef/>
      </w:r>
      <w:r>
        <w:t xml:space="preserve"> Thompson, Barbara, ‘The Paradoxes of Fortune in the Romance of the Rose’, </w:t>
      </w:r>
      <w:proofErr w:type="spellStart"/>
      <w:r w:rsidR="006271C7" w:rsidRPr="006271C7">
        <w:rPr>
          <w:i/>
          <w:iCs/>
        </w:rPr>
        <w:t>Chimères</w:t>
      </w:r>
      <w:proofErr w:type="spellEnd"/>
      <w:r>
        <w:t>, Vol. 6.1</w:t>
      </w:r>
      <w:r w:rsidR="006271C7">
        <w:t>, No. 13,</w:t>
      </w:r>
      <w:r>
        <w:t xml:space="preserve"> (1972) p. 37.</w:t>
      </w:r>
    </w:p>
  </w:footnote>
  <w:footnote w:id="33">
    <w:p w14:paraId="19268F05" w14:textId="131E6FFD" w:rsidR="001400D4" w:rsidRDefault="001400D4" w:rsidP="00605C6A">
      <w:pPr>
        <w:pStyle w:val="FootnoteText"/>
        <w:ind w:firstLine="720"/>
      </w:pPr>
      <w:r>
        <w:rPr>
          <w:rStyle w:val="FootnoteReference"/>
        </w:rPr>
        <w:footnoteRef/>
      </w:r>
      <w:r>
        <w:t xml:space="preserve"> Thompson, Barbara, ‘Paradoxes of Fortune’, p. 37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37959448"/>
      <w:docPartObj>
        <w:docPartGallery w:val="Page Numbers (Top of Page)"/>
        <w:docPartUnique/>
      </w:docPartObj>
    </w:sdtPr>
    <w:sdtEndPr>
      <w:rPr>
        <w:noProof/>
      </w:rPr>
    </w:sdtEndPr>
    <w:sdtContent>
      <w:p w14:paraId="75724978" w14:textId="1CECFCD2" w:rsidR="0007702E" w:rsidRDefault="0007702E">
        <w:pPr>
          <w:pStyle w:val="Header"/>
        </w:pPr>
        <w:r>
          <w:fldChar w:fldCharType="begin"/>
        </w:r>
        <w:r>
          <w:instrText xml:space="preserve"> PAGE   \* MERGEFORMAT </w:instrText>
        </w:r>
        <w:r>
          <w:fldChar w:fldCharType="separate"/>
        </w:r>
        <w:r>
          <w:rPr>
            <w:noProof/>
          </w:rPr>
          <w:t>2</w:t>
        </w:r>
        <w:r>
          <w:rPr>
            <w:noProof/>
          </w:rPr>
          <w:fldChar w:fldCharType="end"/>
        </w:r>
      </w:p>
    </w:sdtContent>
  </w:sdt>
  <w:p w14:paraId="61B083BB" w14:textId="77777777" w:rsidR="0007702E" w:rsidRDefault="000770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D3A9AE" w14:textId="317474F4" w:rsidR="0007702E" w:rsidRDefault="0007702E">
    <w:pPr>
      <w:pStyle w:val="Header"/>
    </w:pPr>
    <w:r>
      <w:t>Kim Harrer 1814398</w:t>
    </w:r>
    <w:r>
      <w:tab/>
    </w:r>
    <w:r>
      <w:tab/>
    </w:r>
    <w:sdt>
      <w:sdtPr>
        <w:id w:val="716015205"/>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B21258C" w14:textId="77777777" w:rsidR="0007702E" w:rsidRDefault="0007702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8EA"/>
    <w:rsid w:val="0007702E"/>
    <w:rsid w:val="000A47FC"/>
    <w:rsid w:val="000F1701"/>
    <w:rsid w:val="001400D4"/>
    <w:rsid w:val="0014216B"/>
    <w:rsid w:val="001856DD"/>
    <w:rsid w:val="00196867"/>
    <w:rsid w:val="002E3970"/>
    <w:rsid w:val="002F0078"/>
    <w:rsid w:val="002F4234"/>
    <w:rsid w:val="003074E8"/>
    <w:rsid w:val="00347A11"/>
    <w:rsid w:val="00382ECD"/>
    <w:rsid w:val="003C76EE"/>
    <w:rsid w:val="00403016"/>
    <w:rsid w:val="0051370A"/>
    <w:rsid w:val="00532B38"/>
    <w:rsid w:val="00551606"/>
    <w:rsid w:val="00592AFE"/>
    <w:rsid w:val="005A1C1F"/>
    <w:rsid w:val="005C6E17"/>
    <w:rsid w:val="00605C6A"/>
    <w:rsid w:val="006271C7"/>
    <w:rsid w:val="006A41D6"/>
    <w:rsid w:val="00772DE5"/>
    <w:rsid w:val="007B2E0A"/>
    <w:rsid w:val="00833580"/>
    <w:rsid w:val="008B79C2"/>
    <w:rsid w:val="008E22D2"/>
    <w:rsid w:val="00994D8E"/>
    <w:rsid w:val="009B7643"/>
    <w:rsid w:val="009F7D7F"/>
    <w:rsid w:val="00A54CBA"/>
    <w:rsid w:val="00A54D8A"/>
    <w:rsid w:val="00A67A69"/>
    <w:rsid w:val="00B03253"/>
    <w:rsid w:val="00B17EE6"/>
    <w:rsid w:val="00BA34FA"/>
    <w:rsid w:val="00C705DD"/>
    <w:rsid w:val="00C8187D"/>
    <w:rsid w:val="00C87FD9"/>
    <w:rsid w:val="00CB290B"/>
    <w:rsid w:val="00D14CEF"/>
    <w:rsid w:val="00D2462C"/>
    <w:rsid w:val="00D5316A"/>
    <w:rsid w:val="00D564AC"/>
    <w:rsid w:val="00D87A23"/>
    <w:rsid w:val="00DB0E98"/>
    <w:rsid w:val="00DB3AED"/>
    <w:rsid w:val="00E214BB"/>
    <w:rsid w:val="00E816FE"/>
    <w:rsid w:val="00ED4C28"/>
    <w:rsid w:val="00EF68EA"/>
    <w:rsid w:val="00F23F62"/>
    <w:rsid w:val="00F856D4"/>
    <w:rsid w:val="00FB38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D6236"/>
  <w15:chartTrackingRefBased/>
  <w15:docId w15:val="{7689ABF5-7708-498A-8E34-3F3748DEA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68EA"/>
  </w:style>
  <w:style w:type="paragraph" w:styleId="Heading3">
    <w:name w:val="heading 3"/>
    <w:basedOn w:val="Normal"/>
    <w:link w:val="Heading3Char"/>
    <w:semiHidden/>
    <w:unhideWhenUsed/>
    <w:qFormat/>
    <w:rsid w:val="00EF68EA"/>
    <w:pPr>
      <w:keepNext/>
      <w:spacing w:after="0" w:line="240" w:lineRule="auto"/>
      <w:ind w:left="720"/>
      <w:jc w:val="both"/>
      <w:outlineLvl w:val="2"/>
    </w:pPr>
    <w:rPr>
      <w:rFonts w:ascii="Tahoma" w:eastAsia="Times New Roman" w:hAnsi="Tahoma" w:cs="Tahoma"/>
      <w:b/>
      <w:bCs/>
      <w:sz w:val="20"/>
      <w:szCs w:val="20"/>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semiHidden/>
    <w:rsid w:val="00EF68EA"/>
    <w:rPr>
      <w:rFonts w:ascii="Tahoma" w:eastAsia="Times New Roman" w:hAnsi="Tahoma" w:cs="Tahoma"/>
      <w:b/>
      <w:bCs/>
      <w:sz w:val="20"/>
      <w:szCs w:val="20"/>
      <w:lang w:val="en-GB" w:eastAsia="zh-CN"/>
    </w:rPr>
  </w:style>
  <w:style w:type="paragraph" w:styleId="NormalWeb">
    <w:name w:val="Normal (Web)"/>
    <w:basedOn w:val="Normal"/>
    <w:unhideWhenUsed/>
    <w:rsid w:val="00EF68EA"/>
    <w:pPr>
      <w:spacing w:before="100" w:beforeAutospacing="1" w:after="100" w:afterAutospacing="1" w:line="240" w:lineRule="auto"/>
    </w:pPr>
    <w:rPr>
      <w:rFonts w:ascii="Georgia" w:eastAsia="SimSun" w:hAnsi="Georgia" w:cs="Times New Roman"/>
      <w:color w:val="000000"/>
      <w:sz w:val="21"/>
      <w:szCs w:val="21"/>
      <w:lang w:val="en-GB" w:eastAsia="zh-CN"/>
    </w:rPr>
  </w:style>
  <w:style w:type="paragraph" w:styleId="FootnoteText">
    <w:name w:val="footnote text"/>
    <w:basedOn w:val="Normal"/>
    <w:link w:val="FootnoteTextChar"/>
    <w:uiPriority w:val="99"/>
    <w:unhideWhenUsed/>
    <w:rsid w:val="00EF68EA"/>
    <w:pPr>
      <w:spacing w:after="0" w:line="240" w:lineRule="auto"/>
    </w:pPr>
    <w:rPr>
      <w:sz w:val="20"/>
      <w:szCs w:val="20"/>
    </w:rPr>
  </w:style>
  <w:style w:type="character" w:customStyle="1" w:styleId="FootnoteTextChar">
    <w:name w:val="Footnote Text Char"/>
    <w:basedOn w:val="DefaultParagraphFont"/>
    <w:link w:val="FootnoteText"/>
    <w:uiPriority w:val="99"/>
    <w:rsid w:val="00EF68EA"/>
    <w:rPr>
      <w:sz w:val="20"/>
      <w:szCs w:val="20"/>
    </w:rPr>
  </w:style>
  <w:style w:type="character" w:styleId="FootnoteReference">
    <w:name w:val="footnote reference"/>
    <w:basedOn w:val="DefaultParagraphFont"/>
    <w:uiPriority w:val="99"/>
    <w:semiHidden/>
    <w:unhideWhenUsed/>
    <w:rsid w:val="00EF68EA"/>
    <w:rPr>
      <w:vertAlign w:val="superscript"/>
    </w:rPr>
  </w:style>
  <w:style w:type="paragraph" w:styleId="Caption">
    <w:name w:val="caption"/>
    <w:basedOn w:val="Normal"/>
    <w:next w:val="Normal"/>
    <w:uiPriority w:val="35"/>
    <w:unhideWhenUsed/>
    <w:qFormat/>
    <w:rsid w:val="00EF68EA"/>
    <w:pPr>
      <w:spacing w:after="200" w:line="240" w:lineRule="auto"/>
    </w:pPr>
    <w:rPr>
      <w:i/>
      <w:iCs/>
      <w:color w:val="44546A" w:themeColor="text2"/>
      <w:sz w:val="18"/>
      <w:szCs w:val="18"/>
    </w:rPr>
  </w:style>
  <w:style w:type="paragraph" w:styleId="NoSpacing">
    <w:name w:val="No Spacing"/>
    <w:uiPriority w:val="1"/>
    <w:qFormat/>
    <w:rsid w:val="00EF68EA"/>
    <w:pPr>
      <w:spacing w:after="0" w:line="240" w:lineRule="auto"/>
    </w:pPr>
  </w:style>
  <w:style w:type="character" w:styleId="CommentReference">
    <w:name w:val="annotation reference"/>
    <w:basedOn w:val="DefaultParagraphFont"/>
    <w:uiPriority w:val="99"/>
    <w:semiHidden/>
    <w:unhideWhenUsed/>
    <w:rsid w:val="00EF68EA"/>
    <w:rPr>
      <w:sz w:val="16"/>
      <w:szCs w:val="16"/>
    </w:rPr>
  </w:style>
  <w:style w:type="paragraph" w:styleId="CommentText">
    <w:name w:val="annotation text"/>
    <w:basedOn w:val="Normal"/>
    <w:link w:val="CommentTextChar"/>
    <w:uiPriority w:val="99"/>
    <w:semiHidden/>
    <w:unhideWhenUsed/>
    <w:rsid w:val="00EF68EA"/>
    <w:pPr>
      <w:spacing w:line="240" w:lineRule="auto"/>
    </w:pPr>
    <w:rPr>
      <w:sz w:val="20"/>
      <w:szCs w:val="20"/>
    </w:rPr>
  </w:style>
  <w:style w:type="character" w:customStyle="1" w:styleId="CommentTextChar">
    <w:name w:val="Comment Text Char"/>
    <w:basedOn w:val="DefaultParagraphFont"/>
    <w:link w:val="CommentText"/>
    <w:uiPriority w:val="99"/>
    <w:semiHidden/>
    <w:rsid w:val="00EF68EA"/>
    <w:rPr>
      <w:sz w:val="20"/>
      <w:szCs w:val="20"/>
    </w:rPr>
  </w:style>
  <w:style w:type="paragraph" w:styleId="BalloonText">
    <w:name w:val="Balloon Text"/>
    <w:basedOn w:val="Normal"/>
    <w:link w:val="BalloonTextChar"/>
    <w:uiPriority w:val="99"/>
    <w:semiHidden/>
    <w:unhideWhenUsed/>
    <w:rsid w:val="00EF68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68EA"/>
    <w:rPr>
      <w:rFonts w:ascii="Segoe UI" w:hAnsi="Segoe UI" w:cs="Segoe UI"/>
      <w:sz w:val="18"/>
      <w:szCs w:val="18"/>
    </w:rPr>
  </w:style>
  <w:style w:type="paragraph" w:styleId="Header">
    <w:name w:val="header"/>
    <w:basedOn w:val="Normal"/>
    <w:link w:val="HeaderChar"/>
    <w:uiPriority w:val="99"/>
    <w:unhideWhenUsed/>
    <w:rsid w:val="000770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702E"/>
  </w:style>
  <w:style w:type="paragraph" w:styleId="Footer">
    <w:name w:val="footer"/>
    <w:basedOn w:val="Normal"/>
    <w:link w:val="FooterChar"/>
    <w:uiPriority w:val="99"/>
    <w:unhideWhenUsed/>
    <w:rsid w:val="000770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70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gi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C0494C-8848-48C4-AA14-A8D055AD1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703</TotalTime>
  <Pages>11</Pages>
  <Words>2960</Words>
  <Characters>16874</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Harrer</dc:creator>
  <cp:keywords/>
  <dc:description/>
  <cp:lastModifiedBy>Kim Harrer</cp:lastModifiedBy>
  <cp:revision>17</cp:revision>
  <dcterms:created xsi:type="dcterms:W3CDTF">2020-12-15T02:15:00Z</dcterms:created>
  <dcterms:modified xsi:type="dcterms:W3CDTF">2020-12-15T15:16:00Z</dcterms:modified>
</cp:coreProperties>
</file>