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FCB6A3" w14:textId="78EA601B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Module Code: BMHP5021</w:t>
      </w:r>
    </w:p>
    <w:p w14:paraId="6157A92B" w14:textId="77777777" w:rsidR="0034176F" w:rsidRDefault="0034176F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0F73D6C" w14:textId="3CDF65F8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Module Title: Protecting and Supporting Families in Health and Care</w:t>
      </w:r>
    </w:p>
    <w:p w14:paraId="77FC0BAA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B5878DE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Assignment Title: Component 1: Presentation</w:t>
      </w:r>
    </w:p>
    <w:p w14:paraId="659C6BC6" w14:textId="77777777" w:rsidR="0034176F" w:rsidRDefault="0034176F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DE26884" w14:textId="7197BF8D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Selected Case Review: Child A – 2023 Bradford Child Safeguarding Practice Review</w:t>
      </w:r>
    </w:p>
    <w:p w14:paraId="3E08C5C4" w14:textId="77777777" w:rsidR="0034176F" w:rsidRDefault="0034176F" w:rsidP="00D34270">
      <w:pPr>
        <w:rPr>
          <w:rFonts w:ascii="Arial" w:hAnsi="Arial" w:cs="Arial"/>
          <w:b/>
          <w:bCs/>
          <w:sz w:val="22"/>
          <w:szCs w:val="22"/>
        </w:rPr>
      </w:pPr>
    </w:p>
    <w:p w14:paraId="0215D254" w14:textId="65FD35E0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Professional Role: Social Service Worker / Children’s Social Care Practitioner</w:t>
      </w:r>
    </w:p>
    <w:p w14:paraId="1A329BB6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228C5BA1" w14:textId="216234E0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Student Name</w:t>
      </w:r>
      <w:r w:rsidR="0034176F">
        <w:rPr>
          <w:rFonts w:ascii="Arial" w:hAnsi="Arial" w:cs="Arial"/>
          <w:b/>
          <w:bCs/>
          <w:sz w:val="22"/>
          <w:szCs w:val="22"/>
        </w:rPr>
        <w:t xml:space="preserve">: </w:t>
      </w:r>
      <w:proofErr w:type="spellStart"/>
      <w:proofErr w:type="gramStart"/>
      <w:r w:rsidR="0034176F">
        <w:rPr>
          <w:rFonts w:ascii="Arial" w:hAnsi="Arial" w:cs="Arial"/>
          <w:b/>
          <w:bCs/>
          <w:sz w:val="22"/>
          <w:szCs w:val="22"/>
        </w:rPr>
        <w:t>mgid</w:t>
      </w:r>
      <w:proofErr w:type="spellEnd"/>
      <w:r w:rsidR="0034176F">
        <w:rPr>
          <w:rFonts w:ascii="Arial" w:hAnsi="Arial" w:cs="Arial"/>
          <w:b/>
          <w:bCs/>
          <w:sz w:val="22"/>
          <w:szCs w:val="22"/>
        </w:rPr>
        <w:t xml:space="preserve">  </w:t>
      </w:r>
      <w:proofErr w:type="spellStart"/>
      <w:r w:rsidR="0034176F">
        <w:rPr>
          <w:rFonts w:ascii="Arial" w:hAnsi="Arial" w:cs="Arial"/>
          <w:b/>
          <w:bCs/>
          <w:sz w:val="22"/>
          <w:szCs w:val="22"/>
        </w:rPr>
        <w:t>glal</w:t>
      </w:r>
      <w:proofErr w:type="spellEnd"/>
      <w:proofErr w:type="gramEnd"/>
    </w:p>
    <w:p w14:paraId="7DA3F70B" w14:textId="2D8CA662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 xml:space="preserve">Student Number: </w:t>
      </w:r>
      <w:r w:rsidR="0034176F">
        <w:rPr>
          <w:rFonts w:ascii="Arial" w:hAnsi="Arial" w:cs="Arial"/>
          <w:b/>
          <w:bCs/>
          <w:sz w:val="22"/>
          <w:szCs w:val="22"/>
        </w:rPr>
        <w:t>2422237</w:t>
      </w:r>
    </w:p>
    <w:p w14:paraId="16494CBF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511F6A8" w14:textId="09E5F616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Lecturer:</w:t>
      </w:r>
      <w:r w:rsidR="0034176F">
        <w:rPr>
          <w:rFonts w:ascii="Arial" w:hAnsi="Arial" w:cs="Arial"/>
          <w:b/>
          <w:bCs/>
          <w:sz w:val="22"/>
          <w:szCs w:val="22"/>
        </w:rPr>
        <w:t xml:space="preserve"> </w:t>
      </w:r>
      <w:r w:rsidR="0034176F" w:rsidRPr="0034176F">
        <w:rPr>
          <w:rFonts w:ascii="Arial" w:hAnsi="Arial" w:cs="Arial"/>
          <w:b/>
          <w:bCs/>
          <w:sz w:val="22"/>
          <w:szCs w:val="22"/>
        </w:rPr>
        <w:t>Robert Nartowski</w:t>
      </w:r>
    </w:p>
    <w:p w14:paraId="6D305881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t>Submission Date: 22 June 2026</w:t>
      </w:r>
    </w:p>
    <w:p w14:paraId="72C04605" w14:textId="77777777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32B61B3E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2003EF84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262E072F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0FDBA05C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5D4AD842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7B50E940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31744975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D9144C1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5B9F9CB0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758EB2C3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333D8416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740CF74B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0515EA71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E5A7009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0BE02E9" w14:textId="77777777" w:rsid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</w:p>
    <w:p w14:paraId="12E00795" w14:textId="5275EAD0" w:rsidR="00D34270" w:rsidRPr="00D34270" w:rsidRDefault="00D34270" w:rsidP="00D34270">
      <w:pPr>
        <w:rPr>
          <w:rFonts w:ascii="Arial" w:hAnsi="Arial" w:cs="Arial"/>
          <w:b/>
          <w:bCs/>
          <w:sz w:val="22"/>
          <w:szCs w:val="22"/>
        </w:rPr>
      </w:pPr>
      <w:r w:rsidRPr="00D34270">
        <w:rPr>
          <w:rFonts w:ascii="Arial" w:hAnsi="Arial" w:cs="Arial"/>
          <w:b/>
          <w:bCs/>
          <w:sz w:val="22"/>
          <w:szCs w:val="22"/>
        </w:rPr>
        <w:lastRenderedPageBreak/>
        <w:t>Reference List</w:t>
      </w:r>
    </w:p>
    <w:p w14:paraId="378F917B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</w:p>
    <w:p w14:paraId="19CCF7EC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Bostock, L., Lynch, A., Newlands, F. and Forrester, D. (2018) ‘Diffusion theory and multi-disciplinary working in children’s services’, Journal of Integrated Care, 26(2), pp. 120–129. Available at: https://doi.org/10.1108/JICA-10-2017-0039.</w:t>
      </w:r>
    </w:p>
    <w:p w14:paraId="7ECC7D95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Bradford District Safeguarding Children Partnership (2023) Local child safeguarding practice review: Commissioned by The Bradford Partnership – concerning Child A. Available at: https://learning.nspcc.org.uk/case-reviews/national-case-review-repository (Accessed: 9 June 2026).</w:t>
      </w:r>
    </w:p>
    <w:p w14:paraId="7F4C96E7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 xml:space="preserve">Buckler, R. (2023) Developing Child-Centred Practice for Safeguarding and Child Protection: Strategies for Every Early Years Setting. 1st </w:t>
      </w:r>
      <w:proofErr w:type="spellStart"/>
      <w:r w:rsidRPr="00D34270">
        <w:rPr>
          <w:rFonts w:ascii="Arial" w:hAnsi="Arial" w:cs="Arial"/>
          <w:sz w:val="22"/>
          <w:szCs w:val="22"/>
        </w:rPr>
        <w:t>edn</w:t>
      </w:r>
      <w:proofErr w:type="spellEnd"/>
      <w:r w:rsidRPr="00D34270">
        <w:rPr>
          <w:rFonts w:ascii="Arial" w:hAnsi="Arial" w:cs="Arial"/>
          <w:sz w:val="22"/>
          <w:szCs w:val="22"/>
        </w:rPr>
        <w:t>. Abingdon: Routledge/</w:t>
      </w:r>
      <w:proofErr w:type="spellStart"/>
      <w:r w:rsidRPr="00D34270">
        <w:rPr>
          <w:rFonts w:ascii="Arial" w:hAnsi="Arial" w:cs="Arial"/>
          <w:sz w:val="22"/>
          <w:szCs w:val="22"/>
        </w:rPr>
        <w:t>Speechmark</w:t>
      </w:r>
      <w:proofErr w:type="spellEnd"/>
      <w:r w:rsidRPr="00D34270">
        <w:rPr>
          <w:rFonts w:ascii="Arial" w:hAnsi="Arial" w:cs="Arial"/>
          <w:sz w:val="22"/>
          <w:szCs w:val="22"/>
        </w:rPr>
        <w:t>.</w:t>
      </w:r>
    </w:p>
    <w:p w14:paraId="7189E76C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Department for Education (2026) Working Together to Safeguard Children 2026: A guide to multi-agency working to help, protect and promote the welfare of children. Available at: https://www.gov.uk/government/publications/working-together-to-safeguard-children--2 (Accessed: 9 June 2026).</w:t>
      </w:r>
    </w:p>
    <w:p w14:paraId="14D9CB2A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Edwards, R., Gillies, V. and White, S. (2019) ‘Adverse Childhood Experiences (ACES): implications and challenges’, Social Policy and Society, 18(3), pp. 411–414. Available at: https://doi.org/10.1017/S1474746419000137.</w:t>
      </w:r>
    </w:p>
    <w:p w14:paraId="608BD383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HM Government (1989) Children Act 1989. Available at: https://www.legislation.gov.uk/ukpga/1989/41/contents (Accessed: 9 June 2026).</w:t>
      </w:r>
    </w:p>
    <w:p w14:paraId="4014839B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HM Government (2004) Children Act 2004. Available at: https://www.legislation.gov.uk/ukpga/2004/31/contents (Accessed: 9 June 2026).</w:t>
      </w:r>
    </w:p>
    <w:p w14:paraId="05B80E4E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HM Government (2021) Domestic Abuse Act 2021. Available at: https://www.legislation.gov.uk/ukpga/2021/17/contents (Accessed: 9 June 2026).</w:t>
      </w:r>
    </w:p>
    <w:p w14:paraId="64EBE2B7" w14:textId="648253D9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#</w:t>
      </w:r>
      <w:r w:rsidRPr="00D34270">
        <w:rPr>
          <w:rFonts w:ascii="Arial" w:hAnsi="Arial" w:cs="Arial"/>
          <w:sz w:val="22"/>
          <w:szCs w:val="22"/>
        </w:rPr>
        <w:t>Liverpool CAMHS (no date) What are Adverse Childhood Experiences ACEs? Available at: https://www.liverpoolcamhs.com/aces/what-are-adverse-childhood-experiences/ (Accessed: 9 June 2026).</w:t>
      </w:r>
    </w:p>
    <w:p w14:paraId="74BCC075" w14:textId="77777777" w:rsidR="00D34270" w:rsidRPr="00D34270" w:rsidRDefault="00D34270" w:rsidP="00D34270">
      <w:pPr>
        <w:rPr>
          <w:rFonts w:ascii="Arial" w:hAnsi="Arial" w:cs="Arial"/>
          <w:sz w:val="22"/>
          <w:szCs w:val="22"/>
        </w:rPr>
      </w:pPr>
      <w:proofErr w:type="spellStart"/>
      <w:r w:rsidRPr="00D34270">
        <w:rPr>
          <w:rFonts w:ascii="Arial" w:hAnsi="Arial" w:cs="Arial"/>
          <w:sz w:val="22"/>
          <w:szCs w:val="22"/>
        </w:rPr>
        <w:t>Okediji</w:t>
      </w:r>
      <w:proofErr w:type="spellEnd"/>
      <w:r w:rsidRPr="00D34270">
        <w:rPr>
          <w:rFonts w:ascii="Arial" w:hAnsi="Arial" w:cs="Arial"/>
          <w:sz w:val="22"/>
          <w:szCs w:val="22"/>
        </w:rPr>
        <w:t>, P., Troy, D., Heron, J., Kipping, R.R., Martin, R.M. and Wright, C. (2024) ‘Exploring the associations between adverse childhood experiences (ACEs) and adolescent cancer risk behaviours in the ALSPAC cohort’, BMC Public Health, 24, article 95. Available at: https://doi.org/10.1186/s12889-023-17516-4.</w:t>
      </w:r>
    </w:p>
    <w:p w14:paraId="196A5178" w14:textId="3BFB209D" w:rsidR="00E74CBA" w:rsidRPr="00D34270" w:rsidRDefault="00D34270" w:rsidP="00D34270">
      <w:pPr>
        <w:rPr>
          <w:rFonts w:ascii="Arial" w:hAnsi="Arial" w:cs="Arial"/>
          <w:sz w:val="22"/>
          <w:szCs w:val="22"/>
        </w:rPr>
      </w:pPr>
      <w:r w:rsidRPr="00D34270">
        <w:rPr>
          <w:rFonts w:ascii="Arial" w:hAnsi="Arial" w:cs="Arial"/>
          <w:sz w:val="22"/>
          <w:szCs w:val="22"/>
        </w:rPr>
        <w:t>Walsh, D., McCartney, G., Smith, M. and Armour, G. (2019) ‘Relationship between childhood socioeconomic position and adverse childhood experiences (ACEs): a systematic review’, Journal of Epidemiology and Community Health, 73(12), pp. 1087–1093. Available at: https://doi.org/10.1136/jech-2019-212738.</w:t>
      </w:r>
    </w:p>
    <w:sectPr w:rsidR="00E74CBA" w:rsidRPr="00D342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270"/>
    <w:rsid w:val="00022370"/>
    <w:rsid w:val="0034176F"/>
    <w:rsid w:val="004A604C"/>
    <w:rsid w:val="0094282E"/>
    <w:rsid w:val="00D34270"/>
    <w:rsid w:val="00E02DB0"/>
    <w:rsid w:val="00E74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4573C"/>
  <w15:chartTrackingRefBased/>
  <w15:docId w15:val="{FDC08E3F-7229-4AE6-A0AF-9C746C23F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42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42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42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42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42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42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42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42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42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2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42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42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42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42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42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42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42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42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42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42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42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42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42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42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42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42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42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42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42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42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42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424</Words>
  <Characters>2419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Mgid Glal (2422237)</dc:creator>
  <cp:keywords/>
  <dc:description/>
  <cp:lastModifiedBy>Mgid Glal (2422237)</cp:lastModifiedBy>
  <cp:revision>2</cp:revision>
  <dcterms:created xsi:type="dcterms:W3CDTF">2026-06-09T22:08:00Z</dcterms:created>
  <dcterms:modified xsi:type="dcterms:W3CDTF">2026-06-16T11:43:00Z</dcterms:modified>
</cp:coreProperties>
</file>