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AAB24C" w14:textId="77777777" w:rsidR="00BC5DC0" w:rsidRPr="00FE5A3C" w:rsidRDefault="00BC5DC0" w:rsidP="00BC5DC0">
      <w:pPr>
        <w:pStyle w:val="NoSpacing"/>
        <w:rPr>
          <w:sz w:val="18"/>
          <w:szCs w:val="18"/>
          <w:lang w:eastAsia="en-IN"/>
        </w:rPr>
      </w:pPr>
      <w:r w:rsidRPr="00FE5A3C">
        <w:rPr>
          <w:sz w:val="18"/>
          <w:szCs w:val="18"/>
          <w:lang w:eastAsia="en-IN"/>
        </w:rPr>
        <w:t>Direct Competitors &amp; Industry Benchmark Analysis</w:t>
      </w:r>
    </w:p>
    <w:p w14:paraId="1087008D" w14:textId="77777777" w:rsidR="00BC5DC0" w:rsidRPr="00FE5A3C" w:rsidRDefault="00BC5DC0" w:rsidP="00BC5DC0">
      <w:pPr>
        <w:pStyle w:val="NoSpacing"/>
        <w:rPr>
          <w:sz w:val="24"/>
          <w:szCs w:val="24"/>
          <w:lang w:eastAsia="en-IN"/>
        </w:rPr>
      </w:pPr>
      <w:r w:rsidRPr="00FE5A3C">
        <w:rPr>
          <w:sz w:val="24"/>
          <w:szCs w:val="24"/>
          <w:lang w:eastAsia="en-IN"/>
        </w:rPr>
        <w:t>Selected Benchmark Competitors</w:t>
      </w:r>
    </w:p>
    <w:p w14:paraId="262CED20" w14:textId="77777777" w:rsidR="00BC5DC0" w:rsidRPr="00FE5A3C" w:rsidRDefault="00BC5DC0" w:rsidP="00BC5DC0">
      <w:pPr>
        <w:pStyle w:val="NoSpacing"/>
        <w:rPr>
          <w:sz w:val="20"/>
          <w:szCs w:val="20"/>
          <w:lang w:eastAsia="en-IN"/>
        </w:rPr>
      </w:pPr>
      <w:r w:rsidRPr="00FE5A3C">
        <w:rPr>
          <w:sz w:val="20"/>
          <w:szCs w:val="20"/>
          <w:lang w:eastAsia="en-IN"/>
        </w:rPr>
        <w:t>Based on industry classification (Restaurants &amp; Bars / Pubs, Bars &amp; Night Clubs), the following are key competitors for RCI Hospitality Holdings, Inc.:</w:t>
      </w:r>
    </w:p>
    <w:tbl>
      <w:tblPr>
        <w:tblW w:w="11280" w:type="dxa"/>
        <w:tblCellMar>
          <w:top w:w="15" w:type="dxa"/>
          <w:left w:w="15" w:type="dxa"/>
          <w:bottom w:w="15" w:type="dxa"/>
          <w:right w:w="15" w:type="dxa"/>
        </w:tblCellMar>
        <w:tblLook w:val="04A0" w:firstRow="1" w:lastRow="0" w:firstColumn="1" w:lastColumn="0" w:noHBand="0" w:noVBand="1"/>
      </w:tblPr>
      <w:tblGrid>
        <w:gridCol w:w="3324"/>
        <w:gridCol w:w="1169"/>
        <w:gridCol w:w="6787"/>
      </w:tblGrid>
      <w:tr w:rsidR="00BC5DC0" w:rsidRPr="00FE5A3C" w14:paraId="7D343C20" w14:textId="77777777" w:rsidTr="00BC5DC0">
        <w:trPr>
          <w:tblHeader/>
        </w:trPr>
        <w:tc>
          <w:tcPr>
            <w:tcW w:w="0" w:type="auto"/>
            <w:tcBorders>
              <w:top w:val="nil"/>
            </w:tcBorders>
            <w:tcMar>
              <w:top w:w="150" w:type="dxa"/>
              <w:left w:w="0" w:type="dxa"/>
              <w:bottom w:w="150" w:type="dxa"/>
              <w:right w:w="240" w:type="dxa"/>
            </w:tcMar>
            <w:vAlign w:val="center"/>
            <w:hideMark/>
          </w:tcPr>
          <w:p w14:paraId="2491BE8A" w14:textId="77777777" w:rsidR="00BC5DC0" w:rsidRPr="00FE5A3C" w:rsidRDefault="00BC5DC0" w:rsidP="00BC5DC0">
            <w:pPr>
              <w:pStyle w:val="NoSpacing"/>
              <w:rPr>
                <w:sz w:val="20"/>
                <w:szCs w:val="20"/>
                <w:lang w:eastAsia="en-IN"/>
              </w:rPr>
            </w:pPr>
            <w:r w:rsidRPr="00FE5A3C">
              <w:rPr>
                <w:sz w:val="20"/>
                <w:szCs w:val="20"/>
                <w:lang w:eastAsia="en-IN"/>
              </w:rPr>
              <w:t>Competitor</w:t>
            </w:r>
          </w:p>
        </w:tc>
        <w:tc>
          <w:tcPr>
            <w:tcW w:w="0" w:type="auto"/>
            <w:tcBorders>
              <w:top w:val="nil"/>
            </w:tcBorders>
            <w:tcMar>
              <w:top w:w="150" w:type="dxa"/>
              <w:left w:w="240" w:type="dxa"/>
              <w:bottom w:w="150" w:type="dxa"/>
              <w:right w:w="240" w:type="dxa"/>
            </w:tcMar>
            <w:vAlign w:val="center"/>
            <w:hideMark/>
          </w:tcPr>
          <w:p w14:paraId="06478CC7" w14:textId="77777777" w:rsidR="00BC5DC0" w:rsidRPr="00FE5A3C" w:rsidRDefault="00BC5DC0" w:rsidP="00BC5DC0">
            <w:pPr>
              <w:pStyle w:val="NoSpacing"/>
              <w:rPr>
                <w:sz w:val="20"/>
                <w:szCs w:val="20"/>
                <w:lang w:eastAsia="en-IN"/>
              </w:rPr>
            </w:pPr>
            <w:r w:rsidRPr="00FE5A3C">
              <w:rPr>
                <w:sz w:val="20"/>
                <w:szCs w:val="20"/>
                <w:lang w:eastAsia="en-IN"/>
              </w:rPr>
              <w:t>Ticker</w:t>
            </w:r>
          </w:p>
        </w:tc>
        <w:tc>
          <w:tcPr>
            <w:tcW w:w="0" w:type="auto"/>
            <w:tcBorders>
              <w:top w:val="nil"/>
            </w:tcBorders>
            <w:tcMar>
              <w:top w:w="150" w:type="dxa"/>
              <w:left w:w="240" w:type="dxa"/>
              <w:bottom w:w="150" w:type="dxa"/>
              <w:right w:w="240" w:type="dxa"/>
            </w:tcMar>
            <w:vAlign w:val="center"/>
            <w:hideMark/>
          </w:tcPr>
          <w:p w14:paraId="01F05D34" w14:textId="77777777" w:rsidR="00BC5DC0" w:rsidRPr="00FE5A3C" w:rsidRDefault="00BC5DC0" w:rsidP="00BC5DC0">
            <w:pPr>
              <w:pStyle w:val="NoSpacing"/>
              <w:rPr>
                <w:sz w:val="20"/>
                <w:szCs w:val="20"/>
                <w:lang w:eastAsia="en-IN"/>
              </w:rPr>
            </w:pPr>
            <w:r w:rsidRPr="00FE5A3C">
              <w:rPr>
                <w:sz w:val="20"/>
                <w:szCs w:val="20"/>
                <w:lang w:eastAsia="en-IN"/>
              </w:rPr>
              <w:t>Business Focus</w:t>
            </w:r>
          </w:p>
        </w:tc>
      </w:tr>
      <w:tr w:rsidR="00BC5DC0" w:rsidRPr="00FE5A3C" w14:paraId="15F2996B" w14:textId="77777777" w:rsidTr="00BC5DC0">
        <w:tc>
          <w:tcPr>
            <w:tcW w:w="0" w:type="auto"/>
            <w:tcMar>
              <w:top w:w="150" w:type="dxa"/>
              <w:left w:w="0" w:type="dxa"/>
              <w:bottom w:w="150" w:type="dxa"/>
              <w:right w:w="240" w:type="dxa"/>
            </w:tcMar>
            <w:vAlign w:val="center"/>
            <w:hideMark/>
          </w:tcPr>
          <w:p w14:paraId="57F38638" w14:textId="77777777" w:rsidR="00BC5DC0" w:rsidRPr="00FE5A3C" w:rsidRDefault="00BC5DC0" w:rsidP="00BC5DC0">
            <w:pPr>
              <w:pStyle w:val="NoSpacing"/>
              <w:rPr>
                <w:sz w:val="20"/>
                <w:szCs w:val="20"/>
                <w:lang w:eastAsia="en-IN"/>
              </w:rPr>
            </w:pPr>
            <w:r w:rsidRPr="00FE5A3C">
              <w:rPr>
                <w:sz w:val="20"/>
                <w:szCs w:val="20"/>
                <w:lang w:eastAsia="en-IN"/>
              </w:rPr>
              <w:t>Dave &amp; Buster's Entertainment</w:t>
            </w:r>
          </w:p>
        </w:tc>
        <w:tc>
          <w:tcPr>
            <w:tcW w:w="0" w:type="auto"/>
            <w:tcMar>
              <w:top w:w="150" w:type="dxa"/>
              <w:left w:w="240" w:type="dxa"/>
              <w:bottom w:w="150" w:type="dxa"/>
              <w:right w:w="240" w:type="dxa"/>
            </w:tcMar>
            <w:vAlign w:val="center"/>
            <w:hideMark/>
          </w:tcPr>
          <w:p w14:paraId="34710728" w14:textId="77777777" w:rsidR="00BC5DC0" w:rsidRPr="00FE5A3C" w:rsidRDefault="00BC5DC0" w:rsidP="00BC5DC0">
            <w:pPr>
              <w:pStyle w:val="NoSpacing"/>
              <w:rPr>
                <w:sz w:val="20"/>
                <w:szCs w:val="20"/>
                <w:lang w:eastAsia="en-IN"/>
              </w:rPr>
            </w:pPr>
            <w:r w:rsidRPr="00FE5A3C">
              <w:rPr>
                <w:sz w:val="20"/>
                <w:szCs w:val="20"/>
                <w:lang w:eastAsia="en-IN"/>
              </w:rPr>
              <w:t>PLAY</w:t>
            </w:r>
          </w:p>
        </w:tc>
        <w:tc>
          <w:tcPr>
            <w:tcW w:w="0" w:type="auto"/>
            <w:tcMar>
              <w:top w:w="150" w:type="dxa"/>
              <w:left w:w="240" w:type="dxa"/>
              <w:bottom w:w="150" w:type="dxa"/>
              <w:right w:w="0" w:type="dxa"/>
            </w:tcMar>
            <w:vAlign w:val="center"/>
            <w:hideMark/>
          </w:tcPr>
          <w:p w14:paraId="6F2C6A30" w14:textId="77777777" w:rsidR="00BC5DC0" w:rsidRPr="00FE5A3C" w:rsidRDefault="00BC5DC0" w:rsidP="00BC5DC0">
            <w:pPr>
              <w:pStyle w:val="NoSpacing"/>
              <w:rPr>
                <w:sz w:val="20"/>
                <w:szCs w:val="20"/>
                <w:lang w:eastAsia="en-IN"/>
              </w:rPr>
            </w:pPr>
            <w:r w:rsidRPr="00FE5A3C">
              <w:rPr>
                <w:sz w:val="20"/>
                <w:szCs w:val="20"/>
                <w:lang w:eastAsia="en-IN"/>
              </w:rPr>
              <w:t>Entertainment/restaurant chain with arcade games and sports bar</w:t>
            </w:r>
          </w:p>
        </w:tc>
      </w:tr>
      <w:tr w:rsidR="00BC5DC0" w:rsidRPr="00FE5A3C" w14:paraId="4BA5D0A4" w14:textId="77777777" w:rsidTr="00BC5DC0">
        <w:tc>
          <w:tcPr>
            <w:tcW w:w="0" w:type="auto"/>
            <w:tcMar>
              <w:top w:w="150" w:type="dxa"/>
              <w:left w:w="0" w:type="dxa"/>
              <w:bottom w:w="150" w:type="dxa"/>
              <w:right w:w="240" w:type="dxa"/>
            </w:tcMar>
            <w:vAlign w:val="center"/>
            <w:hideMark/>
          </w:tcPr>
          <w:p w14:paraId="16F45997" w14:textId="77777777" w:rsidR="00BC5DC0" w:rsidRPr="00FE5A3C" w:rsidRDefault="00BC5DC0" w:rsidP="00BC5DC0">
            <w:pPr>
              <w:pStyle w:val="NoSpacing"/>
              <w:rPr>
                <w:sz w:val="20"/>
                <w:szCs w:val="20"/>
                <w:lang w:eastAsia="en-IN"/>
              </w:rPr>
            </w:pPr>
            <w:r w:rsidRPr="00FE5A3C">
              <w:rPr>
                <w:sz w:val="20"/>
                <w:szCs w:val="20"/>
                <w:lang w:eastAsia="en-IN"/>
              </w:rPr>
              <w:t>Caesars Entertainment</w:t>
            </w:r>
          </w:p>
        </w:tc>
        <w:tc>
          <w:tcPr>
            <w:tcW w:w="0" w:type="auto"/>
            <w:tcMar>
              <w:top w:w="150" w:type="dxa"/>
              <w:left w:w="240" w:type="dxa"/>
              <w:bottom w:w="150" w:type="dxa"/>
              <w:right w:w="240" w:type="dxa"/>
            </w:tcMar>
            <w:vAlign w:val="center"/>
            <w:hideMark/>
          </w:tcPr>
          <w:p w14:paraId="371DC6C7" w14:textId="77777777" w:rsidR="00BC5DC0" w:rsidRPr="00FE5A3C" w:rsidRDefault="00BC5DC0" w:rsidP="00BC5DC0">
            <w:pPr>
              <w:pStyle w:val="NoSpacing"/>
              <w:rPr>
                <w:sz w:val="20"/>
                <w:szCs w:val="20"/>
                <w:lang w:eastAsia="en-IN"/>
              </w:rPr>
            </w:pPr>
            <w:r w:rsidRPr="00FE5A3C">
              <w:rPr>
                <w:sz w:val="20"/>
                <w:szCs w:val="20"/>
                <w:lang w:eastAsia="en-IN"/>
              </w:rPr>
              <w:t>CZR</w:t>
            </w:r>
          </w:p>
        </w:tc>
        <w:tc>
          <w:tcPr>
            <w:tcW w:w="0" w:type="auto"/>
            <w:tcMar>
              <w:top w:w="150" w:type="dxa"/>
              <w:left w:w="240" w:type="dxa"/>
              <w:bottom w:w="150" w:type="dxa"/>
              <w:right w:w="0" w:type="dxa"/>
            </w:tcMar>
            <w:vAlign w:val="center"/>
            <w:hideMark/>
          </w:tcPr>
          <w:p w14:paraId="0C5FA0BB" w14:textId="77777777" w:rsidR="00BC5DC0" w:rsidRPr="00FE5A3C" w:rsidRDefault="00BC5DC0" w:rsidP="00BC5DC0">
            <w:pPr>
              <w:pStyle w:val="NoSpacing"/>
              <w:rPr>
                <w:sz w:val="20"/>
                <w:szCs w:val="20"/>
                <w:lang w:eastAsia="en-IN"/>
              </w:rPr>
            </w:pPr>
            <w:r w:rsidRPr="00FE5A3C">
              <w:rPr>
                <w:sz w:val="20"/>
                <w:szCs w:val="20"/>
                <w:lang w:eastAsia="en-IN"/>
              </w:rPr>
              <w:t>Casino/hospitality operator with entertainment venues</w:t>
            </w:r>
          </w:p>
        </w:tc>
      </w:tr>
      <w:tr w:rsidR="00BC5DC0" w:rsidRPr="00FE5A3C" w14:paraId="4F519E3F" w14:textId="77777777" w:rsidTr="00BC5DC0">
        <w:tc>
          <w:tcPr>
            <w:tcW w:w="0" w:type="auto"/>
            <w:tcMar>
              <w:top w:w="150" w:type="dxa"/>
              <w:left w:w="0" w:type="dxa"/>
              <w:bottom w:w="150" w:type="dxa"/>
              <w:right w:w="240" w:type="dxa"/>
            </w:tcMar>
            <w:vAlign w:val="center"/>
            <w:hideMark/>
          </w:tcPr>
          <w:p w14:paraId="334211F3" w14:textId="77777777" w:rsidR="00BC5DC0" w:rsidRPr="00FE5A3C" w:rsidRDefault="00BC5DC0" w:rsidP="00BC5DC0">
            <w:pPr>
              <w:pStyle w:val="NoSpacing"/>
              <w:rPr>
                <w:sz w:val="20"/>
                <w:szCs w:val="20"/>
                <w:lang w:eastAsia="en-IN"/>
              </w:rPr>
            </w:pPr>
            <w:r w:rsidRPr="00FE5A3C">
              <w:rPr>
                <w:sz w:val="20"/>
                <w:szCs w:val="20"/>
                <w:lang w:eastAsia="en-IN"/>
              </w:rPr>
              <w:t>Penn Entertainment</w:t>
            </w:r>
          </w:p>
        </w:tc>
        <w:tc>
          <w:tcPr>
            <w:tcW w:w="0" w:type="auto"/>
            <w:tcMar>
              <w:top w:w="150" w:type="dxa"/>
              <w:left w:w="240" w:type="dxa"/>
              <w:bottom w:w="150" w:type="dxa"/>
              <w:right w:w="240" w:type="dxa"/>
            </w:tcMar>
            <w:vAlign w:val="center"/>
            <w:hideMark/>
          </w:tcPr>
          <w:p w14:paraId="08B7601D" w14:textId="77777777" w:rsidR="00BC5DC0" w:rsidRPr="00FE5A3C" w:rsidRDefault="00BC5DC0" w:rsidP="00BC5DC0">
            <w:pPr>
              <w:pStyle w:val="NoSpacing"/>
              <w:rPr>
                <w:sz w:val="20"/>
                <w:szCs w:val="20"/>
                <w:lang w:eastAsia="en-IN"/>
              </w:rPr>
            </w:pPr>
            <w:r w:rsidRPr="00FE5A3C">
              <w:rPr>
                <w:sz w:val="20"/>
                <w:szCs w:val="20"/>
                <w:lang w:eastAsia="en-IN"/>
              </w:rPr>
              <w:t>PENN</w:t>
            </w:r>
          </w:p>
        </w:tc>
        <w:tc>
          <w:tcPr>
            <w:tcW w:w="0" w:type="auto"/>
            <w:tcMar>
              <w:top w:w="150" w:type="dxa"/>
              <w:left w:w="240" w:type="dxa"/>
              <w:bottom w:w="150" w:type="dxa"/>
              <w:right w:w="0" w:type="dxa"/>
            </w:tcMar>
            <w:vAlign w:val="center"/>
            <w:hideMark/>
          </w:tcPr>
          <w:p w14:paraId="7DEEDAEC" w14:textId="77777777" w:rsidR="00BC5DC0" w:rsidRPr="00FE5A3C" w:rsidRDefault="00BC5DC0" w:rsidP="00BC5DC0">
            <w:pPr>
              <w:pStyle w:val="NoSpacing"/>
              <w:rPr>
                <w:sz w:val="20"/>
                <w:szCs w:val="20"/>
                <w:lang w:eastAsia="en-IN"/>
              </w:rPr>
            </w:pPr>
            <w:r w:rsidRPr="00FE5A3C">
              <w:rPr>
                <w:sz w:val="20"/>
                <w:szCs w:val="20"/>
                <w:lang w:eastAsia="en-IN"/>
              </w:rPr>
              <w:t>Gaming and entertainment properties</w:t>
            </w:r>
          </w:p>
        </w:tc>
      </w:tr>
      <w:tr w:rsidR="00BC5DC0" w:rsidRPr="00FE5A3C" w14:paraId="216DB185" w14:textId="77777777" w:rsidTr="00BC5DC0">
        <w:tc>
          <w:tcPr>
            <w:tcW w:w="0" w:type="auto"/>
            <w:tcMar>
              <w:top w:w="150" w:type="dxa"/>
              <w:left w:w="0" w:type="dxa"/>
              <w:bottom w:w="150" w:type="dxa"/>
              <w:right w:w="240" w:type="dxa"/>
            </w:tcMar>
            <w:vAlign w:val="center"/>
            <w:hideMark/>
          </w:tcPr>
          <w:p w14:paraId="0930C350" w14:textId="77777777" w:rsidR="00BC5DC0" w:rsidRPr="00FE5A3C" w:rsidRDefault="00BC5DC0" w:rsidP="00BC5DC0">
            <w:pPr>
              <w:pStyle w:val="NoSpacing"/>
              <w:rPr>
                <w:sz w:val="20"/>
                <w:szCs w:val="20"/>
                <w:lang w:eastAsia="en-IN"/>
              </w:rPr>
            </w:pPr>
            <w:r w:rsidRPr="00FE5A3C">
              <w:rPr>
                <w:sz w:val="20"/>
                <w:szCs w:val="20"/>
                <w:lang w:eastAsia="en-IN"/>
              </w:rPr>
              <w:t>Las Vegas Sands</w:t>
            </w:r>
          </w:p>
        </w:tc>
        <w:tc>
          <w:tcPr>
            <w:tcW w:w="0" w:type="auto"/>
            <w:tcMar>
              <w:top w:w="150" w:type="dxa"/>
              <w:left w:w="240" w:type="dxa"/>
              <w:bottom w:w="150" w:type="dxa"/>
              <w:right w:w="240" w:type="dxa"/>
            </w:tcMar>
            <w:vAlign w:val="center"/>
            <w:hideMark/>
          </w:tcPr>
          <w:p w14:paraId="2EC1812C" w14:textId="77777777" w:rsidR="00BC5DC0" w:rsidRPr="00FE5A3C" w:rsidRDefault="00BC5DC0" w:rsidP="00BC5DC0">
            <w:pPr>
              <w:pStyle w:val="NoSpacing"/>
              <w:rPr>
                <w:sz w:val="20"/>
                <w:szCs w:val="20"/>
                <w:lang w:eastAsia="en-IN"/>
              </w:rPr>
            </w:pPr>
            <w:r w:rsidRPr="00FE5A3C">
              <w:rPr>
                <w:sz w:val="20"/>
                <w:szCs w:val="20"/>
                <w:lang w:eastAsia="en-IN"/>
              </w:rPr>
              <w:t>LVS</w:t>
            </w:r>
          </w:p>
        </w:tc>
        <w:tc>
          <w:tcPr>
            <w:tcW w:w="0" w:type="auto"/>
            <w:tcMar>
              <w:top w:w="150" w:type="dxa"/>
              <w:left w:w="240" w:type="dxa"/>
              <w:bottom w:w="150" w:type="dxa"/>
              <w:right w:w="0" w:type="dxa"/>
            </w:tcMar>
            <w:vAlign w:val="center"/>
            <w:hideMark/>
          </w:tcPr>
          <w:p w14:paraId="508535CC" w14:textId="77777777" w:rsidR="00BC5DC0" w:rsidRPr="00FE5A3C" w:rsidRDefault="00BC5DC0" w:rsidP="00BC5DC0">
            <w:pPr>
              <w:pStyle w:val="NoSpacing"/>
              <w:rPr>
                <w:sz w:val="20"/>
                <w:szCs w:val="20"/>
                <w:lang w:eastAsia="en-IN"/>
              </w:rPr>
            </w:pPr>
            <w:r w:rsidRPr="00FE5A3C">
              <w:rPr>
                <w:sz w:val="20"/>
                <w:szCs w:val="20"/>
                <w:lang w:eastAsia="en-IN"/>
              </w:rPr>
              <w:t>Integrated resort and casino operator</w:t>
            </w:r>
          </w:p>
        </w:tc>
      </w:tr>
      <w:tr w:rsidR="00BC5DC0" w:rsidRPr="00FE5A3C" w14:paraId="7FA79797" w14:textId="77777777" w:rsidTr="00BC5DC0">
        <w:tc>
          <w:tcPr>
            <w:tcW w:w="0" w:type="auto"/>
            <w:tcMar>
              <w:top w:w="150" w:type="dxa"/>
              <w:left w:w="0" w:type="dxa"/>
              <w:bottom w:w="150" w:type="dxa"/>
              <w:right w:w="240" w:type="dxa"/>
            </w:tcMar>
            <w:vAlign w:val="center"/>
            <w:hideMark/>
          </w:tcPr>
          <w:p w14:paraId="08401010" w14:textId="77777777" w:rsidR="00BC5DC0" w:rsidRPr="00FE5A3C" w:rsidRDefault="00BC5DC0" w:rsidP="00BC5DC0">
            <w:pPr>
              <w:pStyle w:val="NoSpacing"/>
              <w:rPr>
                <w:sz w:val="20"/>
                <w:szCs w:val="20"/>
                <w:lang w:eastAsia="en-IN"/>
              </w:rPr>
            </w:pPr>
            <w:r w:rsidRPr="00FE5A3C">
              <w:rPr>
                <w:sz w:val="20"/>
                <w:szCs w:val="20"/>
                <w:lang w:eastAsia="en-IN"/>
              </w:rPr>
              <w:t>Red Robin Gourmet Burgers</w:t>
            </w:r>
          </w:p>
        </w:tc>
        <w:tc>
          <w:tcPr>
            <w:tcW w:w="0" w:type="auto"/>
            <w:tcMar>
              <w:top w:w="150" w:type="dxa"/>
              <w:left w:w="240" w:type="dxa"/>
              <w:bottom w:w="150" w:type="dxa"/>
              <w:right w:w="240" w:type="dxa"/>
            </w:tcMar>
            <w:vAlign w:val="center"/>
            <w:hideMark/>
          </w:tcPr>
          <w:p w14:paraId="1CB4FA00" w14:textId="77777777" w:rsidR="00BC5DC0" w:rsidRPr="00FE5A3C" w:rsidRDefault="00BC5DC0" w:rsidP="00BC5DC0">
            <w:pPr>
              <w:pStyle w:val="NoSpacing"/>
              <w:rPr>
                <w:sz w:val="20"/>
                <w:szCs w:val="20"/>
                <w:lang w:eastAsia="en-IN"/>
              </w:rPr>
            </w:pPr>
            <w:r w:rsidRPr="00FE5A3C">
              <w:rPr>
                <w:sz w:val="20"/>
                <w:szCs w:val="20"/>
                <w:lang w:eastAsia="en-IN"/>
              </w:rPr>
              <w:t>RRGB</w:t>
            </w:r>
          </w:p>
        </w:tc>
        <w:tc>
          <w:tcPr>
            <w:tcW w:w="0" w:type="auto"/>
            <w:tcMar>
              <w:top w:w="150" w:type="dxa"/>
              <w:left w:w="240" w:type="dxa"/>
              <w:bottom w:w="150" w:type="dxa"/>
              <w:right w:w="0" w:type="dxa"/>
            </w:tcMar>
            <w:vAlign w:val="center"/>
            <w:hideMark/>
          </w:tcPr>
          <w:p w14:paraId="65E790B7" w14:textId="77777777" w:rsidR="00BC5DC0" w:rsidRPr="00FE5A3C" w:rsidRDefault="00BC5DC0" w:rsidP="00BC5DC0">
            <w:pPr>
              <w:pStyle w:val="NoSpacing"/>
              <w:rPr>
                <w:sz w:val="20"/>
                <w:szCs w:val="20"/>
                <w:lang w:eastAsia="en-IN"/>
              </w:rPr>
            </w:pPr>
            <w:r w:rsidRPr="00FE5A3C">
              <w:rPr>
                <w:sz w:val="20"/>
                <w:szCs w:val="20"/>
                <w:lang w:eastAsia="en-IN"/>
              </w:rPr>
              <w:t>Casual dining restaurant chain</w:t>
            </w:r>
          </w:p>
        </w:tc>
      </w:tr>
      <w:tr w:rsidR="00BC5DC0" w:rsidRPr="00FE5A3C" w14:paraId="47D5BCCE" w14:textId="77777777" w:rsidTr="00BC5DC0">
        <w:tc>
          <w:tcPr>
            <w:tcW w:w="0" w:type="auto"/>
            <w:tcMar>
              <w:top w:w="150" w:type="dxa"/>
              <w:left w:w="0" w:type="dxa"/>
              <w:bottom w:w="150" w:type="dxa"/>
              <w:right w:w="240" w:type="dxa"/>
            </w:tcMar>
            <w:vAlign w:val="center"/>
            <w:hideMark/>
          </w:tcPr>
          <w:p w14:paraId="5B6F7743" w14:textId="77777777" w:rsidR="00BC5DC0" w:rsidRPr="00FE5A3C" w:rsidRDefault="00BC5DC0" w:rsidP="00BC5DC0">
            <w:pPr>
              <w:pStyle w:val="NoSpacing"/>
              <w:rPr>
                <w:sz w:val="20"/>
                <w:szCs w:val="20"/>
                <w:lang w:eastAsia="en-IN"/>
              </w:rPr>
            </w:pPr>
            <w:r w:rsidRPr="00FE5A3C">
              <w:rPr>
                <w:sz w:val="20"/>
                <w:szCs w:val="20"/>
                <w:lang w:eastAsia="en-IN"/>
              </w:rPr>
              <w:t>Ark Restaurants</w:t>
            </w:r>
          </w:p>
        </w:tc>
        <w:tc>
          <w:tcPr>
            <w:tcW w:w="0" w:type="auto"/>
            <w:tcMar>
              <w:top w:w="150" w:type="dxa"/>
              <w:left w:w="240" w:type="dxa"/>
              <w:bottom w:w="150" w:type="dxa"/>
              <w:right w:w="240" w:type="dxa"/>
            </w:tcMar>
            <w:vAlign w:val="center"/>
            <w:hideMark/>
          </w:tcPr>
          <w:p w14:paraId="5E3F2579" w14:textId="77777777" w:rsidR="00BC5DC0" w:rsidRPr="00FE5A3C" w:rsidRDefault="00BC5DC0" w:rsidP="00BC5DC0">
            <w:pPr>
              <w:pStyle w:val="NoSpacing"/>
              <w:rPr>
                <w:sz w:val="20"/>
                <w:szCs w:val="20"/>
                <w:lang w:eastAsia="en-IN"/>
              </w:rPr>
            </w:pPr>
            <w:r w:rsidRPr="00FE5A3C">
              <w:rPr>
                <w:sz w:val="20"/>
                <w:szCs w:val="20"/>
                <w:lang w:eastAsia="en-IN"/>
              </w:rPr>
              <w:t>ARKR</w:t>
            </w:r>
          </w:p>
        </w:tc>
        <w:tc>
          <w:tcPr>
            <w:tcW w:w="0" w:type="auto"/>
            <w:tcMar>
              <w:top w:w="150" w:type="dxa"/>
              <w:left w:w="240" w:type="dxa"/>
              <w:bottom w:w="150" w:type="dxa"/>
              <w:right w:w="0" w:type="dxa"/>
            </w:tcMar>
            <w:vAlign w:val="center"/>
            <w:hideMark/>
          </w:tcPr>
          <w:p w14:paraId="378D6E85" w14:textId="77777777" w:rsidR="00BC5DC0" w:rsidRPr="00FE5A3C" w:rsidRDefault="00BC5DC0" w:rsidP="00BC5DC0">
            <w:pPr>
              <w:pStyle w:val="NoSpacing"/>
              <w:rPr>
                <w:sz w:val="20"/>
                <w:szCs w:val="20"/>
                <w:lang w:eastAsia="en-IN"/>
              </w:rPr>
            </w:pPr>
            <w:r w:rsidRPr="00FE5A3C">
              <w:rPr>
                <w:sz w:val="20"/>
                <w:szCs w:val="20"/>
                <w:lang w:eastAsia="en-IN"/>
              </w:rPr>
              <w:t>Restaurant and bar operations</w:t>
            </w:r>
          </w:p>
        </w:tc>
      </w:tr>
    </w:tbl>
    <w:p w14:paraId="6DB91887" w14:textId="77777777" w:rsidR="00BC5DC0" w:rsidRPr="00FE5A3C" w:rsidRDefault="00BC5DC0" w:rsidP="00BC5DC0">
      <w:pPr>
        <w:pStyle w:val="NoSpacing"/>
        <w:rPr>
          <w:sz w:val="20"/>
          <w:szCs w:val="20"/>
          <w:lang w:eastAsia="en-IN"/>
        </w:rPr>
      </w:pPr>
      <w:r w:rsidRPr="00FE5A3C">
        <w:rPr>
          <w:i/>
          <w:iCs/>
          <w:sz w:val="20"/>
          <w:szCs w:val="20"/>
          <w:lang w:eastAsia="en-IN"/>
        </w:rPr>
        <w:t>Source: Industry classification data </w:t>
      </w:r>
    </w:p>
    <w:p w14:paraId="70EEF03F" w14:textId="77777777" w:rsidR="00BC5DC0" w:rsidRPr="00FE5A3C" w:rsidRDefault="00BC5DC0" w:rsidP="00BC5DC0">
      <w:pPr>
        <w:pStyle w:val="NoSpacing"/>
        <w:rPr>
          <w:rFonts w:ascii="Times New Roman" w:hAnsi="Times New Roman" w:cs="Times New Roman"/>
          <w:sz w:val="20"/>
          <w:szCs w:val="20"/>
          <w:lang w:eastAsia="en-IN"/>
        </w:rPr>
      </w:pPr>
      <w:r w:rsidRPr="00FE5A3C">
        <w:rPr>
          <w:rFonts w:ascii="Times New Roman" w:hAnsi="Times New Roman" w:cs="Times New Roman"/>
          <w:sz w:val="20"/>
          <w:szCs w:val="20"/>
          <w:lang w:eastAsia="en-IN"/>
        </w:rPr>
        <w:pict w14:anchorId="4ABCF79E">
          <v:rect id="_x0000_i1025" style="width:0;height:.75pt" o:hralign="center" o:hrstd="t" o:hr="t" fillcolor="#a0a0a0" stroked="f"/>
        </w:pict>
      </w:r>
    </w:p>
    <w:p w14:paraId="19838ECF" w14:textId="77777777" w:rsidR="00BC5DC0" w:rsidRPr="00FE5A3C" w:rsidRDefault="00BC5DC0" w:rsidP="00BC5DC0">
      <w:pPr>
        <w:pStyle w:val="NoSpacing"/>
        <w:rPr>
          <w:sz w:val="24"/>
          <w:szCs w:val="24"/>
          <w:lang w:eastAsia="en-IN"/>
        </w:rPr>
      </w:pPr>
      <w:r w:rsidRPr="00FE5A3C">
        <w:rPr>
          <w:sz w:val="24"/>
          <w:szCs w:val="24"/>
          <w:lang w:eastAsia="en-IN"/>
        </w:rPr>
        <w:t>Benchmark Comparison Table</w:t>
      </w:r>
    </w:p>
    <w:tbl>
      <w:tblPr>
        <w:tblW w:w="0" w:type="auto"/>
        <w:tblCellMar>
          <w:top w:w="15" w:type="dxa"/>
          <w:left w:w="15" w:type="dxa"/>
          <w:bottom w:w="15" w:type="dxa"/>
          <w:right w:w="15" w:type="dxa"/>
        </w:tblCellMar>
        <w:tblLook w:val="04A0" w:firstRow="1" w:lastRow="0" w:firstColumn="1" w:lastColumn="0" w:noHBand="0" w:noVBand="1"/>
      </w:tblPr>
      <w:tblGrid>
        <w:gridCol w:w="1323"/>
        <w:gridCol w:w="1443"/>
        <w:gridCol w:w="1557"/>
        <w:gridCol w:w="1261"/>
        <w:gridCol w:w="1174"/>
        <w:gridCol w:w="1168"/>
        <w:gridCol w:w="1100"/>
      </w:tblGrid>
      <w:tr w:rsidR="00FE5A3C" w:rsidRPr="00FE5A3C" w14:paraId="54889A66" w14:textId="77777777" w:rsidTr="00BC5DC0">
        <w:trPr>
          <w:tblHeader/>
        </w:trPr>
        <w:tc>
          <w:tcPr>
            <w:tcW w:w="0" w:type="auto"/>
            <w:tcBorders>
              <w:top w:val="nil"/>
            </w:tcBorders>
            <w:tcMar>
              <w:top w:w="150" w:type="dxa"/>
              <w:left w:w="0" w:type="dxa"/>
              <w:bottom w:w="150" w:type="dxa"/>
              <w:right w:w="240" w:type="dxa"/>
            </w:tcMar>
            <w:vAlign w:val="center"/>
            <w:hideMark/>
          </w:tcPr>
          <w:p w14:paraId="670A60A8" w14:textId="77777777" w:rsidR="00BC5DC0" w:rsidRPr="00FE5A3C" w:rsidRDefault="00BC5DC0" w:rsidP="00BC5DC0">
            <w:pPr>
              <w:pStyle w:val="NoSpacing"/>
              <w:rPr>
                <w:sz w:val="20"/>
                <w:szCs w:val="20"/>
                <w:lang w:eastAsia="en-IN"/>
              </w:rPr>
            </w:pPr>
            <w:r w:rsidRPr="00FE5A3C">
              <w:rPr>
                <w:sz w:val="20"/>
                <w:szCs w:val="20"/>
                <w:lang w:eastAsia="en-IN"/>
              </w:rPr>
              <w:t>Metric</w:t>
            </w:r>
          </w:p>
        </w:tc>
        <w:tc>
          <w:tcPr>
            <w:tcW w:w="0" w:type="auto"/>
            <w:tcBorders>
              <w:top w:val="nil"/>
            </w:tcBorders>
            <w:tcMar>
              <w:top w:w="150" w:type="dxa"/>
              <w:left w:w="240" w:type="dxa"/>
              <w:bottom w:w="150" w:type="dxa"/>
              <w:right w:w="240" w:type="dxa"/>
            </w:tcMar>
            <w:vAlign w:val="center"/>
            <w:hideMark/>
          </w:tcPr>
          <w:p w14:paraId="142AF57C" w14:textId="77777777" w:rsidR="00BC5DC0" w:rsidRPr="00FE5A3C" w:rsidRDefault="00BC5DC0" w:rsidP="00BC5DC0">
            <w:pPr>
              <w:pStyle w:val="NoSpacing"/>
              <w:rPr>
                <w:sz w:val="20"/>
                <w:szCs w:val="20"/>
                <w:lang w:eastAsia="en-IN"/>
              </w:rPr>
            </w:pPr>
            <w:r w:rsidRPr="00FE5A3C">
              <w:rPr>
                <w:sz w:val="20"/>
                <w:szCs w:val="20"/>
                <w:lang w:eastAsia="en-IN"/>
              </w:rPr>
              <w:t>RCI Hospitality (RICK)</w:t>
            </w:r>
          </w:p>
        </w:tc>
        <w:tc>
          <w:tcPr>
            <w:tcW w:w="0" w:type="auto"/>
            <w:tcBorders>
              <w:top w:val="nil"/>
            </w:tcBorders>
            <w:tcMar>
              <w:top w:w="150" w:type="dxa"/>
              <w:left w:w="240" w:type="dxa"/>
              <w:bottom w:w="150" w:type="dxa"/>
              <w:right w:w="240" w:type="dxa"/>
            </w:tcMar>
            <w:vAlign w:val="center"/>
            <w:hideMark/>
          </w:tcPr>
          <w:p w14:paraId="4F185177" w14:textId="77777777" w:rsidR="00BC5DC0" w:rsidRPr="00FE5A3C" w:rsidRDefault="00BC5DC0" w:rsidP="00BC5DC0">
            <w:pPr>
              <w:pStyle w:val="NoSpacing"/>
              <w:rPr>
                <w:sz w:val="20"/>
                <w:szCs w:val="20"/>
                <w:lang w:eastAsia="en-IN"/>
              </w:rPr>
            </w:pPr>
            <w:r w:rsidRPr="00FE5A3C">
              <w:rPr>
                <w:sz w:val="20"/>
                <w:szCs w:val="20"/>
                <w:lang w:eastAsia="en-IN"/>
              </w:rPr>
              <w:t>Industry Median/Avg</w:t>
            </w:r>
          </w:p>
        </w:tc>
        <w:tc>
          <w:tcPr>
            <w:tcW w:w="0" w:type="auto"/>
            <w:tcBorders>
              <w:top w:val="nil"/>
            </w:tcBorders>
            <w:tcMar>
              <w:top w:w="150" w:type="dxa"/>
              <w:left w:w="240" w:type="dxa"/>
              <w:bottom w:w="150" w:type="dxa"/>
              <w:right w:w="240" w:type="dxa"/>
            </w:tcMar>
            <w:vAlign w:val="center"/>
            <w:hideMark/>
          </w:tcPr>
          <w:p w14:paraId="72FA1DA4" w14:textId="77777777" w:rsidR="00BC5DC0" w:rsidRPr="00FE5A3C" w:rsidRDefault="00BC5DC0" w:rsidP="00BC5DC0">
            <w:pPr>
              <w:pStyle w:val="NoSpacing"/>
              <w:rPr>
                <w:sz w:val="20"/>
                <w:szCs w:val="20"/>
                <w:lang w:eastAsia="en-IN"/>
              </w:rPr>
            </w:pPr>
            <w:r w:rsidRPr="00FE5A3C">
              <w:rPr>
                <w:sz w:val="20"/>
                <w:szCs w:val="20"/>
                <w:lang w:eastAsia="en-IN"/>
              </w:rPr>
              <w:t>Dave &amp; Buster's (PLAY)</w:t>
            </w:r>
          </w:p>
        </w:tc>
        <w:tc>
          <w:tcPr>
            <w:tcW w:w="0" w:type="auto"/>
            <w:tcBorders>
              <w:top w:val="nil"/>
            </w:tcBorders>
            <w:tcMar>
              <w:top w:w="150" w:type="dxa"/>
              <w:left w:w="240" w:type="dxa"/>
              <w:bottom w:w="150" w:type="dxa"/>
              <w:right w:w="240" w:type="dxa"/>
            </w:tcMar>
            <w:vAlign w:val="center"/>
            <w:hideMark/>
          </w:tcPr>
          <w:p w14:paraId="00500D80" w14:textId="77777777" w:rsidR="00BC5DC0" w:rsidRPr="00FE5A3C" w:rsidRDefault="00BC5DC0" w:rsidP="00BC5DC0">
            <w:pPr>
              <w:pStyle w:val="NoSpacing"/>
              <w:rPr>
                <w:sz w:val="20"/>
                <w:szCs w:val="20"/>
                <w:lang w:eastAsia="en-IN"/>
              </w:rPr>
            </w:pPr>
            <w:r w:rsidRPr="00FE5A3C">
              <w:rPr>
                <w:sz w:val="20"/>
                <w:szCs w:val="20"/>
                <w:lang w:eastAsia="en-IN"/>
              </w:rPr>
              <w:t>Caesars (CZR)</w:t>
            </w:r>
          </w:p>
        </w:tc>
        <w:tc>
          <w:tcPr>
            <w:tcW w:w="0" w:type="auto"/>
            <w:tcBorders>
              <w:top w:val="nil"/>
            </w:tcBorders>
            <w:tcMar>
              <w:top w:w="150" w:type="dxa"/>
              <w:left w:w="240" w:type="dxa"/>
              <w:bottom w:w="150" w:type="dxa"/>
              <w:right w:w="240" w:type="dxa"/>
            </w:tcMar>
            <w:vAlign w:val="center"/>
            <w:hideMark/>
          </w:tcPr>
          <w:p w14:paraId="1A2290CA" w14:textId="77777777" w:rsidR="00BC5DC0" w:rsidRPr="00FE5A3C" w:rsidRDefault="00BC5DC0" w:rsidP="00BC5DC0">
            <w:pPr>
              <w:pStyle w:val="NoSpacing"/>
              <w:rPr>
                <w:sz w:val="20"/>
                <w:szCs w:val="20"/>
                <w:lang w:eastAsia="en-IN"/>
              </w:rPr>
            </w:pPr>
            <w:r w:rsidRPr="00FE5A3C">
              <w:rPr>
                <w:sz w:val="20"/>
                <w:szCs w:val="20"/>
                <w:lang w:eastAsia="en-IN"/>
              </w:rPr>
              <w:t>Penn (PENN)</w:t>
            </w:r>
          </w:p>
        </w:tc>
        <w:tc>
          <w:tcPr>
            <w:tcW w:w="0" w:type="auto"/>
            <w:tcBorders>
              <w:top w:val="nil"/>
            </w:tcBorders>
            <w:tcMar>
              <w:top w:w="150" w:type="dxa"/>
              <w:left w:w="240" w:type="dxa"/>
              <w:bottom w:w="150" w:type="dxa"/>
              <w:right w:w="240" w:type="dxa"/>
            </w:tcMar>
            <w:vAlign w:val="center"/>
            <w:hideMark/>
          </w:tcPr>
          <w:p w14:paraId="3B194C15" w14:textId="77777777" w:rsidR="00BC5DC0" w:rsidRPr="00FE5A3C" w:rsidRDefault="00BC5DC0" w:rsidP="00BC5DC0">
            <w:pPr>
              <w:pStyle w:val="NoSpacing"/>
              <w:rPr>
                <w:sz w:val="20"/>
                <w:szCs w:val="20"/>
                <w:lang w:eastAsia="en-IN"/>
              </w:rPr>
            </w:pPr>
            <w:r w:rsidRPr="00FE5A3C">
              <w:rPr>
                <w:sz w:val="20"/>
                <w:szCs w:val="20"/>
                <w:lang w:eastAsia="en-IN"/>
              </w:rPr>
              <w:t>Las Vegas Sands (LVS)</w:t>
            </w:r>
          </w:p>
        </w:tc>
      </w:tr>
      <w:tr w:rsidR="00FE5A3C" w:rsidRPr="00FE5A3C" w14:paraId="4771EB81" w14:textId="77777777" w:rsidTr="00BC5DC0">
        <w:tc>
          <w:tcPr>
            <w:tcW w:w="0" w:type="auto"/>
            <w:tcMar>
              <w:top w:w="150" w:type="dxa"/>
              <w:left w:w="0" w:type="dxa"/>
              <w:bottom w:w="150" w:type="dxa"/>
              <w:right w:w="240" w:type="dxa"/>
            </w:tcMar>
            <w:vAlign w:val="center"/>
            <w:hideMark/>
          </w:tcPr>
          <w:p w14:paraId="17982621" w14:textId="77777777" w:rsidR="00BC5DC0" w:rsidRPr="00FE5A3C" w:rsidRDefault="00BC5DC0" w:rsidP="00BC5DC0">
            <w:pPr>
              <w:pStyle w:val="NoSpacing"/>
              <w:rPr>
                <w:sz w:val="20"/>
                <w:szCs w:val="20"/>
                <w:lang w:eastAsia="en-IN"/>
              </w:rPr>
            </w:pPr>
            <w:r w:rsidRPr="00FE5A3C">
              <w:rPr>
                <w:sz w:val="20"/>
                <w:szCs w:val="20"/>
                <w:lang w:eastAsia="en-IN"/>
              </w:rPr>
              <w:t>Return on Equity (ROE)</w:t>
            </w:r>
          </w:p>
        </w:tc>
        <w:tc>
          <w:tcPr>
            <w:tcW w:w="0" w:type="auto"/>
            <w:tcMar>
              <w:top w:w="150" w:type="dxa"/>
              <w:left w:w="240" w:type="dxa"/>
              <w:bottom w:w="150" w:type="dxa"/>
              <w:right w:w="240" w:type="dxa"/>
            </w:tcMar>
            <w:vAlign w:val="center"/>
            <w:hideMark/>
          </w:tcPr>
          <w:p w14:paraId="42FB891E" w14:textId="77777777" w:rsidR="00BC5DC0" w:rsidRPr="00FE5A3C" w:rsidRDefault="00BC5DC0" w:rsidP="00BC5DC0">
            <w:pPr>
              <w:pStyle w:val="NoSpacing"/>
              <w:rPr>
                <w:sz w:val="20"/>
                <w:szCs w:val="20"/>
                <w:lang w:eastAsia="en-IN"/>
              </w:rPr>
            </w:pPr>
            <w:r w:rsidRPr="00FE5A3C">
              <w:rPr>
                <w:sz w:val="20"/>
                <w:szCs w:val="20"/>
                <w:lang w:eastAsia="en-IN"/>
              </w:rPr>
              <w:t>1.1%</w:t>
            </w:r>
          </w:p>
        </w:tc>
        <w:tc>
          <w:tcPr>
            <w:tcW w:w="0" w:type="auto"/>
            <w:tcMar>
              <w:top w:w="150" w:type="dxa"/>
              <w:left w:w="240" w:type="dxa"/>
              <w:bottom w:w="150" w:type="dxa"/>
              <w:right w:w="240" w:type="dxa"/>
            </w:tcMar>
            <w:vAlign w:val="center"/>
            <w:hideMark/>
          </w:tcPr>
          <w:p w14:paraId="46C82887" w14:textId="77777777" w:rsidR="00BC5DC0" w:rsidRPr="00FE5A3C" w:rsidRDefault="00BC5DC0" w:rsidP="00BC5DC0">
            <w:pPr>
              <w:pStyle w:val="NoSpacing"/>
              <w:rPr>
                <w:sz w:val="20"/>
                <w:szCs w:val="20"/>
                <w:lang w:eastAsia="en-IN"/>
              </w:rPr>
            </w:pPr>
            <w:r w:rsidRPr="00FE5A3C">
              <w:rPr>
                <w:sz w:val="20"/>
                <w:szCs w:val="20"/>
                <w:lang w:eastAsia="en-IN"/>
              </w:rPr>
              <w:t>10.4% </w:t>
            </w:r>
          </w:p>
        </w:tc>
        <w:tc>
          <w:tcPr>
            <w:tcW w:w="0" w:type="auto"/>
            <w:tcMar>
              <w:top w:w="150" w:type="dxa"/>
              <w:left w:w="240" w:type="dxa"/>
              <w:bottom w:w="150" w:type="dxa"/>
              <w:right w:w="240" w:type="dxa"/>
            </w:tcMar>
            <w:vAlign w:val="center"/>
            <w:hideMark/>
          </w:tcPr>
          <w:p w14:paraId="07C79AB6" w14:textId="77777777" w:rsidR="00BC5DC0" w:rsidRPr="00FE5A3C" w:rsidRDefault="00BC5DC0" w:rsidP="00BC5DC0">
            <w:pPr>
              <w:pStyle w:val="NoSpacing"/>
              <w:rPr>
                <w:sz w:val="20"/>
                <w:szCs w:val="20"/>
                <w:lang w:eastAsia="en-IN"/>
              </w:rPr>
            </w:pPr>
            <w:r w:rsidRPr="00FE5A3C">
              <w:rPr>
                <w:sz w:val="20"/>
                <w:szCs w:val="20"/>
                <w:lang w:eastAsia="en-IN"/>
              </w:rPr>
              <w:t>4.98% </w:t>
            </w:r>
          </w:p>
        </w:tc>
        <w:tc>
          <w:tcPr>
            <w:tcW w:w="0" w:type="auto"/>
            <w:tcMar>
              <w:top w:w="150" w:type="dxa"/>
              <w:left w:w="240" w:type="dxa"/>
              <w:bottom w:w="150" w:type="dxa"/>
              <w:right w:w="240" w:type="dxa"/>
            </w:tcMar>
            <w:vAlign w:val="center"/>
            <w:hideMark/>
          </w:tcPr>
          <w:p w14:paraId="0F86FF87" w14:textId="77777777" w:rsidR="00BC5DC0" w:rsidRPr="00FE5A3C" w:rsidRDefault="00BC5DC0" w:rsidP="00BC5DC0">
            <w:pPr>
              <w:pStyle w:val="NoSpacing"/>
              <w:rPr>
                <w:sz w:val="20"/>
                <w:szCs w:val="20"/>
                <w:lang w:eastAsia="en-IN"/>
              </w:rPr>
            </w:pPr>
            <w:r w:rsidRPr="00FE5A3C">
              <w:rPr>
                <w:sz w:val="20"/>
                <w:szCs w:val="20"/>
                <w:lang w:eastAsia="en-IN"/>
              </w:rPr>
              <w:t>11.98% </w:t>
            </w:r>
          </w:p>
        </w:tc>
        <w:tc>
          <w:tcPr>
            <w:tcW w:w="0" w:type="auto"/>
            <w:tcMar>
              <w:top w:w="150" w:type="dxa"/>
              <w:left w:w="240" w:type="dxa"/>
              <w:bottom w:w="150" w:type="dxa"/>
              <w:right w:w="240" w:type="dxa"/>
            </w:tcMar>
            <w:vAlign w:val="center"/>
            <w:hideMark/>
          </w:tcPr>
          <w:p w14:paraId="4905957D" w14:textId="77777777" w:rsidR="00BC5DC0" w:rsidRPr="00FE5A3C" w:rsidRDefault="00BC5DC0" w:rsidP="00BC5DC0">
            <w:pPr>
              <w:pStyle w:val="NoSpacing"/>
              <w:rPr>
                <w:sz w:val="20"/>
                <w:szCs w:val="20"/>
                <w:lang w:eastAsia="en-IN"/>
              </w:rPr>
            </w:pPr>
            <w:r w:rsidRPr="00FE5A3C">
              <w:rPr>
                <w:sz w:val="20"/>
                <w:szCs w:val="20"/>
                <w:lang w:eastAsia="en-IN"/>
              </w:rPr>
              <w:t>6.84% </w:t>
            </w:r>
          </w:p>
        </w:tc>
        <w:tc>
          <w:tcPr>
            <w:tcW w:w="0" w:type="auto"/>
            <w:tcMar>
              <w:top w:w="150" w:type="dxa"/>
              <w:left w:w="240" w:type="dxa"/>
              <w:bottom w:w="150" w:type="dxa"/>
              <w:right w:w="0" w:type="dxa"/>
            </w:tcMar>
            <w:vAlign w:val="center"/>
            <w:hideMark/>
          </w:tcPr>
          <w:p w14:paraId="7644C622" w14:textId="77777777" w:rsidR="00BC5DC0" w:rsidRPr="00FE5A3C" w:rsidRDefault="00BC5DC0" w:rsidP="00BC5DC0">
            <w:pPr>
              <w:pStyle w:val="NoSpacing"/>
              <w:rPr>
                <w:sz w:val="20"/>
                <w:szCs w:val="20"/>
                <w:lang w:eastAsia="en-IN"/>
              </w:rPr>
            </w:pPr>
            <w:r w:rsidRPr="00FE5A3C">
              <w:rPr>
                <w:sz w:val="20"/>
                <w:szCs w:val="20"/>
                <w:lang w:eastAsia="en-IN"/>
              </w:rPr>
              <w:t>4.98% </w:t>
            </w:r>
          </w:p>
        </w:tc>
      </w:tr>
      <w:tr w:rsidR="00FE5A3C" w:rsidRPr="00FE5A3C" w14:paraId="45D8F043" w14:textId="77777777" w:rsidTr="00BC5DC0">
        <w:tc>
          <w:tcPr>
            <w:tcW w:w="0" w:type="auto"/>
            <w:tcMar>
              <w:top w:w="150" w:type="dxa"/>
              <w:left w:w="0" w:type="dxa"/>
              <w:bottom w:w="150" w:type="dxa"/>
              <w:right w:w="240" w:type="dxa"/>
            </w:tcMar>
            <w:vAlign w:val="center"/>
            <w:hideMark/>
          </w:tcPr>
          <w:p w14:paraId="78649617" w14:textId="77777777" w:rsidR="00BC5DC0" w:rsidRPr="00FE5A3C" w:rsidRDefault="00BC5DC0" w:rsidP="00BC5DC0">
            <w:pPr>
              <w:pStyle w:val="NoSpacing"/>
              <w:rPr>
                <w:sz w:val="20"/>
                <w:szCs w:val="20"/>
                <w:lang w:eastAsia="en-IN"/>
              </w:rPr>
            </w:pPr>
            <w:r w:rsidRPr="00FE5A3C">
              <w:rPr>
                <w:sz w:val="20"/>
                <w:szCs w:val="20"/>
                <w:lang w:eastAsia="en-IN"/>
              </w:rPr>
              <w:t>Return on Assets (ROA)</w:t>
            </w:r>
          </w:p>
        </w:tc>
        <w:tc>
          <w:tcPr>
            <w:tcW w:w="0" w:type="auto"/>
            <w:tcMar>
              <w:top w:w="150" w:type="dxa"/>
              <w:left w:w="240" w:type="dxa"/>
              <w:bottom w:w="150" w:type="dxa"/>
              <w:right w:w="240" w:type="dxa"/>
            </w:tcMar>
            <w:vAlign w:val="center"/>
            <w:hideMark/>
          </w:tcPr>
          <w:p w14:paraId="45DEF594" w14:textId="77777777" w:rsidR="00BC5DC0" w:rsidRPr="00FE5A3C" w:rsidRDefault="00BC5DC0" w:rsidP="00BC5DC0">
            <w:pPr>
              <w:pStyle w:val="NoSpacing"/>
              <w:rPr>
                <w:sz w:val="20"/>
                <w:szCs w:val="20"/>
                <w:lang w:eastAsia="en-IN"/>
              </w:rPr>
            </w:pPr>
            <w:r w:rsidRPr="00FE5A3C">
              <w:rPr>
                <w:sz w:val="20"/>
                <w:szCs w:val="20"/>
                <w:lang w:eastAsia="en-IN"/>
              </w:rPr>
              <w:t>0.5%</w:t>
            </w:r>
          </w:p>
        </w:tc>
        <w:tc>
          <w:tcPr>
            <w:tcW w:w="0" w:type="auto"/>
            <w:tcMar>
              <w:top w:w="150" w:type="dxa"/>
              <w:left w:w="240" w:type="dxa"/>
              <w:bottom w:w="150" w:type="dxa"/>
              <w:right w:w="240" w:type="dxa"/>
            </w:tcMar>
            <w:vAlign w:val="center"/>
            <w:hideMark/>
          </w:tcPr>
          <w:p w14:paraId="1580071C" w14:textId="77777777" w:rsidR="00BC5DC0" w:rsidRPr="00FE5A3C" w:rsidRDefault="00BC5DC0" w:rsidP="00BC5DC0">
            <w:pPr>
              <w:pStyle w:val="NoSpacing"/>
              <w:rPr>
                <w:sz w:val="20"/>
                <w:szCs w:val="20"/>
                <w:lang w:eastAsia="en-IN"/>
              </w:rPr>
            </w:pPr>
            <w:r w:rsidRPr="00FE5A3C">
              <w:rPr>
                <w:sz w:val="20"/>
                <w:szCs w:val="20"/>
                <w:lang w:eastAsia="en-IN"/>
              </w:rPr>
              <w:t>4.9% </w:t>
            </w:r>
          </w:p>
        </w:tc>
        <w:tc>
          <w:tcPr>
            <w:tcW w:w="0" w:type="auto"/>
            <w:tcMar>
              <w:top w:w="150" w:type="dxa"/>
              <w:left w:w="240" w:type="dxa"/>
              <w:bottom w:w="150" w:type="dxa"/>
              <w:right w:w="240" w:type="dxa"/>
            </w:tcMar>
            <w:vAlign w:val="center"/>
            <w:hideMark/>
          </w:tcPr>
          <w:p w14:paraId="6B9D7691" w14:textId="77777777" w:rsidR="00BC5DC0" w:rsidRPr="00FE5A3C" w:rsidRDefault="00BC5DC0" w:rsidP="00BC5DC0">
            <w:pPr>
              <w:pStyle w:val="NoSpacing"/>
              <w:rPr>
                <w:sz w:val="20"/>
                <w:szCs w:val="20"/>
                <w:lang w:eastAsia="en-IN"/>
              </w:rPr>
            </w:pPr>
            <w:r w:rsidRPr="00FE5A3C">
              <w:rPr>
                <w:sz w:val="20"/>
                <w:szCs w:val="20"/>
                <w:lang w:eastAsia="en-IN"/>
              </w:rPr>
              <w:t>2.88% </w:t>
            </w:r>
          </w:p>
        </w:tc>
        <w:tc>
          <w:tcPr>
            <w:tcW w:w="0" w:type="auto"/>
            <w:tcMar>
              <w:top w:w="150" w:type="dxa"/>
              <w:left w:w="240" w:type="dxa"/>
              <w:bottom w:w="150" w:type="dxa"/>
              <w:right w:w="240" w:type="dxa"/>
            </w:tcMar>
            <w:vAlign w:val="center"/>
            <w:hideMark/>
          </w:tcPr>
          <w:p w14:paraId="12DA77C3" w14:textId="77777777" w:rsidR="00BC5DC0" w:rsidRPr="00FE5A3C" w:rsidRDefault="00BC5DC0" w:rsidP="00BC5DC0">
            <w:pPr>
              <w:pStyle w:val="NoSpacing"/>
              <w:rPr>
                <w:sz w:val="20"/>
                <w:szCs w:val="20"/>
                <w:lang w:eastAsia="en-IN"/>
              </w:rPr>
            </w:pPr>
            <w:r w:rsidRPr="00FE5A3C">
              <w:rPr>
                <w:sz w:val="20"/>
                <w:szCs w:val="20"/>
                <w:lang w:eastAsia="en-IN"/>
              </w:rPr>
              <w:t>2.51% </w:t>
            </w:r>
          </w:p>
        </w:tc>
        <w:tc>
          <w:tcPr>
            <w:tcW w:w="0" w:type="auto"/>
            <w:tcMar>
              <w:top w:w="150" w:type="dxa"/>
              <w:left w:w="240" w:type="dxa"/>
              <w:bottom w:w="150" w:type="dxa"/>
              <w:right w:w="240" w:type="dxa"/>
            </w:tcMar>
            <w:vAlign w:val="center"/>
            <w:hideMark/>
          </w:tcPr>
          <w:p w14:paraId="62313AA5" w14:textId="77777777" w:rsidR="00BC5DC0" w:rsidRPr="00FE5A3C" w:rsidRDefault="00BC5DC0" w:rsidP="00BC5DC0">
            <w:pPr>
              <w:pStyle w:val="NoSpacing"/>
              <w:rPr>
                <w:sz w:val="20"/>
                <w:szCs w:val="20"/>
                <w:lang w:eastAsia="en-IN"/>
              </w:rPr>
            </w:pPr>
            <w:r w:rsidRPr="00FE5A3C">
              <w:rPr>
                <w:sz w:val="20"/>
                <w:szCs w:val="20"/>
                <w:lang w:eastAsia="en-IN"/>
              </w:rPr>
              <w:t>5.68% </w:t>
            </w:r>
          </w:p>
        </w:tc>
        <w:tc>
          <w:tcPr>
            <w:tcW w:w="0" w:type="auto"/>
            <w:tcMar>
              <w:top w:w="150" w:type="dxa"/>
              <w:left w:w="240" w:type="dxa"/>
              <w:bottom w:w="150" w:type="dxa"/>
              <w:right w:w="0" w:type="dxa"/>
            </w:tcMar>
            <w:vAlign w:val="center"/>
            <w:hideMark/>
          </w:tcPr>
          <w:p w14:paraId="15A3BEBC" w14:textId="77777777" w:rsidR="00BC5DC0" w:rsidRPr="00FE5A3C" w:rsidRDefault="00BC5DC0" w:rsidP="00BC5DC0">
            <w:pPr>
              <w:pStyle w:val="NoSpacing"/>
              <w:rPr>
                <w:sz w:val="20"/>
                <w:szCs w:val="20"/>
                <w:lang w:eastAsia="en-IN"/>
              </w:rPr>
            </w:pPr>
            <w:r w:rsidRPr="00FE5A3C">
              <w:rPr>
                <w:sz w:val="20"/>
                <w:szCs w:val="20"/>
                <w:lang w:eastAsia="en-IN"/>
              </w:rPr>
              <w:t>2.88% </w:t>
            </w:r>
          </w:p>
        </w:tc>
      </w:tr>
      <w:tr w:rsidR="00FE5A3C" w:rsidRPr="00FE5A3C" w14:paraId="0BF601A6" w14:textId="77777777" w:rsidTr="00BC5DC0">
        <w:tc>
          <w:tcPr>
            <w:tcW w:w="0" w:type="auto"/>
            <w:tcMar>
              <w:top w:w="150" w:type="dxa"/>
              <w:left w:w="0" w:type="dxa"/>
              <w:bottom w:w="150" w:type="dxa"/>
              <w:right w:w="240" w:type="dxa"/>
            </w:tcMar>
            <w:vAlign w:val="center"/>
            <w:hideMark/>
          </w:tcPr>
          <w:p w14:paraId="2E861C7F" w14:textId="77777777" w:rsidR="00BC5DC0" w:rsidRPr="00FE5A3C" w:rsidRDefault="00BC5DC0" w:rsidP="00BC5DC0">
            <w:pPr>
              <w:pStyle w:val="NoSpacing"/>
              <w:rPr>
                <w:sz w:val="20"/>
                <w:szCs w:val="20"/>
                <w:lang w:eastAsia="en-IN"/>
              </w:rPr>
            </w:pPr>
            <w:r w:rsidRPr="00FE5A3C">
              <w:rPr>
                <w:sz w:val="20"/>
                <w:szCs w:val="20"/>
                <w:lang w:eastAsia="en-IN"/>
              </w:rPr>
              <w:t>Operating Margin</w:t>
            </w:r>
          </w:p>
        </w:tc>
        <w:tc>
          <w:tcPr>
            <w:tcW w:w="0" w:type="auto"/>
            <w:tcMar>
              <w:top w:w="150" w:type="dxa"/>
              <w:left w:w="240" w:type="dxa"/>
              <w:bottom w:w="150" w:type="dxa"/>
              <w:right w:w="240" w:type="dxa"/>
            </w:tcMar>
            <w:vAlign w:val="center"/>
            <w:hideMark/>
          </w:tcPr>
          <w:p w14:paraId="6A000C06" w14:textId="77777777" w:rsidR="00BC5DC0" w:rsidRPr="00FE5A3C" w:rsidRDefault="00BC5DC0" w:rsidP="00BC5DC0">
            <w:pPr>
              <w:pStyle w:val="NoSpacing"/>
              <w:rPr>
                <w:sz w:val="20"/>
                <w:szCs w:val="20"/>
                <w:lang w:eastAsia="en-IN"/>
              </w:rPr>
            </w:pPr>
            <w:r w:rsidRPr="00FE5A3C">
              <w:rPr>
                <w:sz w:val="20"/>
                <w:szCs w:val="20"/>
                <w:lang w:eastAsia="en-IN"/>
              </w:rPr>
              <w:t>6.4%</w:t>
            </w:r>
          </w:p>
        </w:tc>
        <w:tc>
          <w:tcPr>
            <w:tcW w:w="0" w:type="auto"/>
            <w:tcMar>
              <w:top w:w="150" w:type="dxa"/>
              <w:left w:w="240" w:type="dxa"/>
              <w:bottom w:w="150" w:type="dxa"/>
              <w:right w:w="240" w:type="dxa"/>
            </w:tcMar>
            <w:vAlign w:val="center"/>
            <w:hideMark/>
          </w:tcPr>
          <w:p w14:paraId="1EDA44DB" w14:textId="77777777" w:rsidR="00BC5DC0" w:rsidRPr="00FE5A3C" w:rsidRDefault="00BC5DC0" w:rsidP="00BC5DC0">
            <w:pPr>
              <w:pStyle w:val="NoSpacing"/>
              <w:rPr>
                <w:sz w:val="20"/>
                <w:szCs w:val="20"/>
                <w:lang w:eastAsia="en-IN"/>
              </w:rPr>
            </w:pPr>
            <w:r w:rsidRPr="00FE5A3C">
              <w:rPr>
                <w:sz w:val="20"/>
                <w:szCs w:val="20"/>
                <w:lang w:eastAsia="en-IN"/>
              </w:rPr>
              <w:t>8.7% </w:t>
            </w:r>
          </w:p>
        </w:tc>
        <w:tc>
          <w:tcPr>
            <w:tcW w:w="0" w:type="auto"/>
            <w:tcMar>
              <w:top w:w="150" w:type="dxa"/>
              <w:left w:w="240" w:type="dxa"/>
              <w:bottom w:w="150" w:type="dxa"/>
              <w:right w:w="240" w:type="dxa"/>
            </w:tcMar>
            <w:vAlign w:val="center"/>
            <w:hideMark/>
          </w:tcPr>
          <w:p w14:paraId="36905702" w14:textId="77777777" w:rsidR="00BC5DC0" w:rsidRPr="00FE5A3C" w:rsidRDefault="00BC5DC0" w:rsidP="00BC5DC0">
            <w:pPr>
              <w:pStyle w:val="NoSpacing"/>
              <w:rPr>
                <w:sz w:val="20"/>
                <w:szCs w:val="20"/>
                <w:lang w:eastAsia="en-IN"/>
              </w:rPr>
            </w:pPr>
            <w:r w:rsidRPr="00FE5A3C">
              <w:rPr>
                <w:sz w:val="20"/>
                <w:szCs w:val="20"/>
                <w:lang w:eastAsia="en-IN"/>
              </w:rPr>
              <w:t>14.7% </w:t>
            </w:r>
          </w:p>
        </w:tc>
        <w:tc>
          <w:tcPr>
            <w:tcW w:w="0" w:type="auto"/>
            <w:tcMar>
              <w:top w:w="150" w:type="dxa"/>
              <w:left w:w="240" w:type="dxa"/>
              <w:bottom w:w="150" w:type="dxa"/>
              <w:right w:w="240" w:type="dxa"/>
            </w:tcMar>
            <w:vAlign w:val="center"/>
            <w:hideMark/>
          </w:tcPr>
          <w:p w14:paraId="5A66AC36" w14:textId="77777777" w:rsidR="00BC5DC0" w:rsidRPr="00FE5A3C" w:rsidRDefault="00BC5DC0" w:rsidP="00BC5DC0">
            <w:pPr>
              <w:pStyle w:val="NoSpacing"/>
              <w:rPr>
                <w:sz w:val="20"/>
                <w:szCs w:val="20"/>
                <w:lang w:eastAsia="en-IN"/>
              </w:rPr>
            </w:pPr>
            <w:r w:rsidRPr="00FE5A3C">
              <w:rPr>
                <w:sz w:val="20"/>
                <w:szCs w:val="20"/>
                <w:lang w:eastAsia="en-IN"/>
              </w:rPr>
              <w:t>6.85% </w:t>
            </w:r>
          </w:p>
        </w:tc>
        <w:tc>
          <w:tcPr>
            <w:tcW w:w="0" w:type="auto"/>
            <w:tcMar>
              <w:top w:w="150" w:type="dxa"/>
              <w:left w:w="240" w:type="dxa"/>
              <w:bottom w:w="150" w:type="dxa"/>
              <w:right w:w="240" w:type="dxa"/>
            </w:tcMar>
            <w:vAlign w:val="center"/>
            <w:hideMark/>
          </w:tcPr>
          <w:p w14:paraId="2FE96E35" w14:textId="77777777" w:rsidR="00BC5DC0" w:rsidRPr="00FE5A3C" w:rsidRDefault="00BC5DC0" w:rsidP="00BC5DC0">
            <w:pPr>
              <w:pStyle w:val="NoSpacing"/>
              <w:rPr>
                <w:sz w:val="20"/>
                <w:szCs w:val="20"/>
                <w:lang w:eastAsia="en-IN"/>
              </w:rPr>
            </w:pPr>
            <w:r w:rsidRPr="00FE5A3C">
              <w:rPr>
                <w:sz w:val="20"/>
                <w:szCs w:val="20"/>
                <w:lang w:eastAsia="en-IN"/>
              </w:rPr>
              <w:t>7.95% </w:t>
            </w:r>
          </w:p>
        </w:tc>
        <w:tc>
          <w:tcPr>
            <w:tcW w:w="0" w:type="auto"/>
            <w:tcMar>
              <w:top w:w="150" w:type="dxa"/>
              <w:left w:w="240" w:type="dxa"/>
              <w:bottom w:w="150" w:type="dxa"/>
              <w:right w:w="0" w:type="dxa"/>
            </w:tcMar>
            <w:vAlign w:val="center"/>
            <w:hideMark/>
          </w:tcPr>
          <w:p w14:paraId="2935B1E2" w14:textId="77777777" w:rsidR="00BC5DC0" w:rsidRPr="00FE5A3C" w:rsidRDefault="00BC5DC0" w:rsidP="00BC5DC0">
            <w:pPr>
              <w:pStyle w:val="NoSpacing"/>
              <w:rPr>
                <w:sz w:val="20"/>
                <w:szCs w:val="20"/>
                <w:lang w:eastAsia="en-IN"/>
              </w:rPr>
            </w:pPr>
            <w:r w:rsidRPr="00FE5A3C">
              <w:rPr>
                <w:sz w:val="20"/>
                <w:szCs w:val="20"/>
                <w:lang w:eastAsia="en-IN"/>
              </w:rPr>
              <w:t>14.7% </w:t>
            </w:r>
          </w:p>
        </w:tc>
      </w:tr>
      <w:tr w:rsidR="00FE5A3C" w:rsidRPr="00FE5A3C" w14:paraId="756D65AE" w14:textId="77777777" w:rsidTr="00BC5DC0">
        <w:tc>
          <w:tcPr>
            <w:tcW w:w="0" w:type="auto"/>
            <w:tcMar>
              <w:top w:w="150" w:type="dxa"/>
              <w:left w:w="0" w:type="dxa"/>
              <w:bottom w:w="150" w:type="dxa"/>
              <w:right w:w="240" w:type="dxa"/>
            </w:tcMar>
            <w:vAlign w:val="center"/>
            <w:hideMark/>
          </w:tcPr>
          <w:p w14:paraId="77A9E8E9" w14:textId="77777777" w:rsidR="00BC5DC0" w:rsidRPr="00FE5A3C" w:rsidRDefault="00BC5DC0" w:rsidP="00BC5DC0">
            <w:pPr>
              <w:pStyle w:val="NoSpacing"/>
              <w:rPr>
                <w:sz w:val="20"/>
                <w:szCs w:val="20"/>
                <w:lang w:eastAsia="en-IN"/>
              </w:rPr>
            </w:pPr>
            <w:r w:rsidRPr="00FE5A3C">
              <w:rPr>
                <w:sz w:val="20"/>
                <w:szCs w:val="20"/>
                <w:lang w:eastAsia="en-IN"/>
              </w:rPr>
              <w:t>Net Margin</w:t>
            </w:r>
          </w:p>
        </w:tc>
        <w:tc>
          <w:tcPr>
            <w:tcW w:w="0" w:type="auto"/>
            <w:tcMar>
              <w:top w:w="150" w:type="dxa"/>
              <w:left w:w="240" w:type="dxa"/>
              <w:bottom w:w="150" w:type="dxa"/>
              <w:right w:w="240" w:type="dxa"/>
            </w:tcMar>
            <w:vAlign w:val="center"/>
            <w:hideMark/>
          </w:tcPr>
          <w:p w14:paraId="4C5927E8" w14:textId="77777777" w:rsidR="00BC5DC0" w:rsidRPr="00FE5A3C" w:rsidRDefault="00BC5DC0" w:rsidP="00BC5DC0">
            <w:pPr>
              <w:pStyle w:val="NoSpacing"/>
              <w:rPr>
                <w:sz w:val="20"/>
                <w:szCs w:val="20"/>
                <w:lang w:eastAsia="en-IN"/>
              </w:rPr>
            </w:pPr>
            <w:r w:rsidRPr="00FE5A3C">
              <w:rPr>
                <w:sz w:val="20"/>
                <w:szCs w:val="20"/>
                <w:lang w:eastAsia="en-IN"/>
              </w:rPr>
              <w:t>1.0%</w:t>
            </w:r>
          </w:p>
        </w:tc>
        <w:tc>
          <w:tcPr>
            <w:tcW w:w="0" w:type="auto"/>
            <w:tcMar>
              <w:top w:w="150" w:type="dxa"/>
              <w:left w:w="240" w:type="dxa"/>
              <w:bottom w:w="150" w:type="dxa"/>
              <w:right w:w="240" w:type="dxa"/>
            </w:tcMar>
            <w:vAlign w:val="center"/>
            <w:hideMark/>
          </w:tcPr>
          <w:p w14:paraId="135CD377" w14:textId="77777777" w:rsidR="00BC5DC0" w:rsidRPr="00FE5A3C" w:rsidRDefault="00BC5DC0" w:rsidP="00BC5DC0">
            <w:pPr>
              <w:pStyle w:val="NoSpacing"/>
              <w:rPr>
                <w:sz w:val="20"/>
                <w:szCs w:val="20"/>
                <w:lang w:eastAsia="en-IN"/>
              </w:rPr>
            </w:pPr>
            <w:r w:rsidRPr="00FE5A3C">
              <w:rPr>
                <w:sz w:val="20"/>
                <w:szCs w:val="20"/>
                <w:lang w:eastAsia="en-IN"/>
              </w:rPr>
              <w:t>1.8%–5.3% </w:t>
            </w:r>
          </w:p>
        </w:tc>
        <w:tc>
          <w:tcPr>
            <w:tcW w:w="0" w:type="auto"/>
            <w:tcMar>
              <w:top w:w="150" w:type="dxa"/>
              <w:left w:w="240" w:type="dxa"/>
              <w:bottom w:w="150" w:type="dxa"/>
              <w:right w:w="240" w:type="dxa"/>
            </w:tcMar>
            <w:vAlign w:val="center"/>
            <w:hideMark/>
          </w:tcPr>
          <w:p w14:paraId="6B292A16" w14:textId="77777777" w:rsidR="00BC5DC0" w:rsidRPr="00FE5A3C" w:rsidRDefault="00BC5DC0" w:rsidP="00BC5DC0">
            <w:pPr>
              <w:pStyle w:val="NoSpacing"/>
              <w:rPr>
                <w:sz w:val="20"/>
                <w:szCs w:val="20"/>
                <w:lang w:eastAsia="en-IN"/>
              </w:rPr>
            </w:pPr>
            <w:r w:rsidRPr="00FE5A3C">
              <w:rPr>
                <w:sz w:val="20"/>
                <w:szCs w:val="20"/>
                <w:lang w:eastAsia="en-IN"/>
              </w:rPr>
              <w:t>3.58% </w:t>
            </w:r>
          </w:p>
        </w:tc>
        <w:tc>
          <w:tcPr>
            <w:tcW w:w="0" w:type="auto"/>
            <w:tcMar>
              <w:top w:w="150" w:type="dxa"/>
              <w:left w:w="240" w:type="dxa"/>
              <w:bottom w:w="150" w:type="dxa"/>
              <w:right w:w="240" w:type="dxa"/>
            </w:tcMar>
            <w:vAlign w:val="center"/>
            <w:hideMark/>
          </w:tcPr>
          <w:p w14:paraId="25406E21" w14:textId="77777777" w:rsidR="00BC5DC0" w:rsidRPr="00FE5A3C" w:rsidRDefault="00BC5DC0" w:rsidP="00BC5DC0">
            <w:pPr>
              <w:pStyle w:val="NoSpacing"/>
              <w:rPr>
                <w:sz w:val="20"/>
                <w:szCs w:val="20"/>
                <w:lang w:eastAsia="en-IN"/>
              </w:rPr>
            </w:pPr>
            <w:r w:rsidRPr="00FE5A3C">
              <w:rPr>
                <w:sz w:val="20"/>
                <w:szCs w:val="20"/>
                <w:lang w:eastAsia="en-IN"/>
              </w:rPr>
              <w:t>2.4% </w:t>
            </w:r>
          </w:p>
        </w:tc>
        <w:tc>
          <w:tcPr>
            <w:tcW w:w="0" w:type="auto"/>
            <w:tcMar>
              <w:top w:w="150" w:type="dxa"/>
              <w:left w:w="240" w:type="dxa"/>
              <w:bottom w:w="150" w:type="dxa"/>
              <w:right w:w="240" w:type="dxa"/>
            </w:tcMar>
            <w:vAlign w:val="center"/>
            <w:hideMark/>
          </w:tcPr>
          <w:p w14:paraId="33CD9D43" w14:textId="77777777" w:rsidR="00BC5DC0" w:rsidRPr="00FE5A3C" w:rsidRDefault="00BC5DC0" w:rsidP="00BC5DC0">
            <w:pPr>
              <w:pStyle w:val="NoSpacing"/>
              <w:rPr>
                <w:sz w:val="20"/>
                <w:szCs w:val="20"/>
                <w:lang w:eastAsia="en-IN"/>
              </w:rPr>
            </w:pPr>
            <w:r w:rsidRPr="00FE5A3C">
              <w:rPr>
                <w:sz w:val="20"/>
                <w:szCs w:val="20"/>
                <w:lang w:eastAsia="en-IN"/>
              </w:rPr>
              <w:t>-13.27% </w:t>
            </w:r>
          </w:p>
        </w:tc>
        <w:tc>
          <w:tcPr>
            <w:tcW w:w="0" w:type="auto"/>
            <w:tcMar>
              <w:top w:w="150" w:type="dxa"/>
              <w:left w:w="240" w:type="dxa"/>
              <w:bottom w:w="150" w:type="dxa"/>
              <w:right w:w="0" w:type="dxa"/>
            </w:tcMar>
            <w:vAlign w:val="center"/>
            <w:hideMark/>
          </w:tcPr>
          <w:p w14:paraId="7216F2CC" w14:textId="77777777" w:rsidR="00BC5DC0" w:rsidRPr="00FE5A3C" w:rsidRDefault="00BC5DC0" w:rsidP="00BC5DC0">
            <w:pPr>
              <w:pStyle w:val="NoSpacing"/>
              <w:rPr>
                <w:sz w:val="20"/>
                <w:szCs w:val="20"/>
                <w:lang w:eastAsia="en-IN"/>
              </w:rPr>
            </w:pPr>
            <w:r w:rsidRPr="00FE5A3C">
              <w:rPr>
                <w:sz w:val="20"/>
                <w:szCs w:val="20"/>
                <w:lang w:eastAsia="en-IN"/>
              </w:rPr>
              <w:t>13.98% </w:t>
            </w:r>
          </w:p>
        </w:tc>
      </w:tr>
      <w:tr w:rsidR="00FE5A3C" w:rsidRPr="00FE5A3C" w14:paraId="5440F3FB" w14:textId="77777777" w:rsidTr="00BC5DC0">
        <w:tc>
          <w:tcPr>
            <w:tcW w:w="0" w:type="auto"/>
            <w:tcMar>
              <w:top w:w="150" w:type="dxa"/>
              <w:left w:w="0" w:type="dxa"/>
              <w:bottom w:w="150" w:type="dxa"/>
              <w:right w:w="240" w:type="dxa"/>
            </w:tcMar>
            <w:vAlign w:val="center"/>
            <w:hideMark/>
          </w:tcPr>
          <w:p w14:paraId="00E2C1DF" w14:textId="77777777" w:rsidR="00BC5DC0" w:rsidRPr="00FE5A3C" w:rsidRDefault="00BC5DC0" w:rsidP="00BC5DC0">
            <w:pPr>
              <w:pStyle w:val="NoSpacing"/>
              <w:rPr>
                <w:sz w:val="20"/>
                <w:szCs w:val="20"/>
                <w:lang w:eastAsia="en-IN"/>
              </w:rPr>
            </w:pPr>
            <w:r w:rsidRPr="00FE5A3C">
              <w:rPr>
                <w:sz w:val="20"/>
                <w:szCs w:val="20"/>
                <w:lang w:eastAsia="en-IN"/>
              </w:rPr>
              <w:t>Debt/Equity Ratio</w:t>
            </w:r>
          </w:p>
        </w:tc>
        <w:tc>
          <w:tcPr>
            <w:tcW w:w="0" w:type="auto"/>
            <w:tcMar>
              <w:top w:w="150" w:type="dxa"/>
              <w:left w:w="240" w:type="dxa"/>
              <w:bottom w:w="150" w:type="dxa"/>
              <w:right w:w="240" w:type="dxa"/>
            </w:tcMar>
            <w:vAlign w:val="center"/>
            <w:hideMark/>
          </w:tcPr>
          <w:p w14:paraId="16342CA8" w14:textId="77777777" w:rsidR="00BC5DC0" w:rsidRPr="00FE5A3C" w:rsidRDefault="00BC5DC0" w:rsidP="00BC5DC0">
            <w:pPr>
              <w:pStyle w:val="NoSpacing"/>
              <w:rPr>
                <w:sz w:val="20"/>
                <w:szCs w:val="20"/>
                <w:lang w:eastAsia="en-IN"/>
              </w:rPr>
            </w:pPr>
            <w:r w:rsidRPr="00FE5A3C">
              <w:rPr>
                <w:sz w:val="20"/>
                <w:szCs w:val="20"/>
                <w:lang w:eastAsia="en-IN"/>
              </w:rPr>
              <w:t>0.89</w:t>
            </w:r>
          </w:p>
        </w:tc>
        <w:tc>
          <w:tcPr>
            <w:tcW w:w="0" w:type="auto"/>
            <w:tcMar>
              <w:top w:w="150" w:type="dxa"/>
              <w:left w:w="240" w:type="dxa"/>
              <w:bottom w:w="150" w:type="dxa"/>
              <w:right w:w="240" w:type="dxa"/>
            </w:tcMar>
            <w:vAlign w:val="center"/>
            <w:hideMark/>
          </w:tcPr>
          <w:p w14:paraId="6AA1D5B0" w14:textId="77777777" w:rsidR="00BC5DC0" w:rsidRPr="00FE5A3C" w:rsidRDefault="00BC5DC0" w:rsidP="00BC5DC0">
            <w:pPr>
              <w:pStyle w:val="NoSpacing"/>
              <w:rPr>
                <w:sz w:val="20"/>
                <w:szCs w:val="20"/>
                <w:lang w:eastAsia="en-IN"/>
              </w:rPr>
            </w:pPr>
            <w:r w:rsidRPr="00FE5A3C">
              <w:rPr>
                <w:sz w:val="20"/>
                <w:szCs w:val="20"/>
                <w:lang w:eastAsia="en-IN"/>
              </w:rPr>
              <w:t>2.84–3.05x </w:t>
            </w:r>
          </w:p>
        </w:tc>
        <w:tc>
          <w:tcPr>
            <w:tcW w:w="0" w:type="auto"/>
            <w:tcMar>
              <w:top w:w="150" w:type="dxa"/>
              <w:left w:w="240" w:type="dxa"/>
              <w:bottom w:w="150" w:type="dxa"/>
              <w:right w:w="240" w:type="dxa"/>
            </w:tcMar>
            <w:vAlign w:val="center"/>
            <w:hideMark/>
          </w:tcPr>
          <w:p w14:paraId="5D8FB02B" w14:textId="77777777" w:rsidR="00BC5DC0" w:rsidRPr="00FE5A3C" w:rsidRDefault="00BC5DC0" w:rsidP="00BC5DC0">
            <w:pPr>
              <w:pStyle w:val="NoSpacing"/>
              <w:rPr>
                <w:sz w:val="20"/>
                <w:szCs w:val="20"/>
                <w:lang w:eastAsia="en-IN"/>
              </w:rPr>
            </w:pPr>
            <w:r w:rsidRPr="00FE5A3C">
              <w:rPr>
                <w:sz w:val="20"/>
                <w:szCs w:val="20"/>
                <w:lang w:eastAsia="en-IN"/>
              </w:rPr>
              <w:t>8.86x </w:t>
            </w:r>
          </w:p>
        </w:tc>
        <w:tc>
          <w:tcPr>
            <w:tcW w:w="0" w:type="auto"/>
            <w:tcMar>
              <w:top w:w="150" w:type="dxa"/>
              <w:left w:w="240" w:type="dxa"/>
              <w:bottom w:w="150" w:type="dxa"/>
              <w:right w:w="240" w:type="dxa"/>
            </w:tcMar>
            <w:vAlign w:val="center"/>
            <w:hideMark/>
          </w:tcPr>
          <w:p w14:paraId="6C664114" w14:textId="77777777" w:rsidR="00BC5DC0" w:rsidRPr="00FE5A3C" w:rsidRDefault="00BC5DC0" w:rsidP="00BC5DC0">
            <w:pPr>
              <w:pStyle w:val="NoSpacing"/>
              <w:rPr>
                <w:sz w:val="20"/>
                <w:szCs w:val="20"/>
                <w:lang w:eastAsia="en-IN"/>
              </w:rPr>
            </w:pPr>
            <w:r w:rsidRPr="00FE5A3C">
              <w:rPr>
                <w:sz w:val="20"/>
                <w:szCs w:val="20"/>
                <w:lang w:eastAsia="en-IN"/>
              </w:rPr>
              <w:t>2.88x </w:t>
            </w:r>
          </w:p>
        </w:tc>
        <w:tc>
          <w:tcPr>
            <w:tcW w:w="0" w:type="auto"/>
            <w:tcMar>
              <w:top w:w="150" w:type="dxa"/>
              <w:left w:w="240" w:type="dxa"/>
              <w:bottom w:w="150" w:type="dxa"/>
              <w:right w:w="240" w:type="dxa"/>
            </w:tcMar>
            <w:vAlign w:val="center"/>
            <w:hideMark/>
          </w:tcPr>
          <w:p w14:paraId="29DB85D7" w14:textId="77777777" w:rsidR="00BC5DC0" w:rsidRPr="00FE5A3C" w:rsidRDefault="00BC5DC0" w:rsidP="00BC5DC0">
            <w:pPr>
              <w:pStyle w:val="NoSpacing"/>
              <w:rPr>
                <w:sz w:val="20"/>
                <w:szCs w:val="20"/>
                <w:lang w:eastAsia="en-IN"/>
              </w:rPr>
            </w:pPr>
            <w:r w:rsidRPr="00FE5A3C">
              <w:rPr>
                <w:sz w:val="20"/>
                <w:szCs w:val="20"/>
                <w:lang w:eastAsia="en-IN"/>
              </w:rPr>
              <w:t>1.02x </w:t>
            </w:r>
          </w:p>
        </w:tc>
        <w:tc>
          <w:tcPr>
            <w:tcW w:w="0" w:type="auto"/>
            <w:tcMar>
              <w:top w:w="150" w:type="dxa"/>
              <w:left w:w="240" w:type="dxa"/>
              <w:bottom w:w="150" w:type="dxa"/>
              <w:right w:w="0" w:type="dxa"/>
            </w:tcMar>
            <w:vAlign w:val="center"/>
            <w:hideMark/>
          </w:tcPr>
          <w:p w14:paraId="65AA6065" w14:textId="77777777" w:rsidR="00BC5DC0" w:rsidRPr="00FE5A3C" w:rsidRDefault="00BC5DC0" w:rsidP="00BC5DC0">
            <w:pPr>
              <w:pStyle w:val="NoSpacing"/>
              <w:rPr>
                <w:sz w:val="20"/>
                <w:szCs w:val="20"/>
                <w:lang w:eastAsia="en-IN"/>
              </w:rPr>
            </w:pPr>
            <w:r w:rsidRPr="00FE5A3C">
              <w:rPr>
                <w:sz w:val="20"/>
                <w:szCs w:val="20"/>
                <w:lang w:eastAsia="en-IN"/>
              </w:rPr>
              <w:t>5.72x </w:t>
            </w:r>
          </w:p>
        </w:tc>
      </w:tr>
      <w:tr w:rsidR="00FE5A3C" w:rsidRPr="00FE5A3C" w14:paraId="11CAEC6C" w14:textId="77777777" w:rsidTr="00BC5DC0">
        <w:tc>
          <w:tcPr>
            <w:tcW w:w="0" w:type="auto"/>
            <w:tcMar>
              <w:top w:w="150" w:type="dxa"/>
              <w:left w:w="0" w:type="dxa"/>
              <w:bottom w:w="150" w:type="dxa"/>
              <w:right w:w="240" w:type="dxa"/>
            </w:tcMar>
            <w:vAlign w:val="center"/>
            <w:hideMark/>
          </w:tcPr>
          <w:p w14:paraId="5ADCD699" w14:textId="77777777" w:rsidR="00BC5DC0" w:rsidRPr="00FE5A3C" w:rsidRDefault="00BC5DC0" w:rsidP="00BC5DC0">
            <w:pPr>
              <w:pStyle w:val="NoSpacing"/>
              <w:rPr>
                <w:sz w:val="20"/>
                <w:szCs w:val="20"/>
                <w:lang w:eastAsia="en-IN"/>
              </w:rPr>
            </w:pPr>
            <w:r w:rsidRPr="00FE5A3C">
              <w:rPr>
                <w:sz w:val="20"/>
                <w:szCs w:val="20"/>
                <w:lang w:eastAsia="en-IN"/>
              </w:rPr>
              <w:t>Asset Turnover</w:t>
            </w:r>
          </w:p>
        </w:tc>
        <w:tc>
          <w:tcPr>
            <w:tcW w:w="0" w:type="auto"/>
            <w:tcMar>
              <w:top w:w="150" w:type="dxa"/>
              <w:left w:w="240" w:type="dxa"/>
              <w:bottom w:w="150" w:type="dxa"/>
              <w:right w:w="240" w:type="dxa"/>
            </w:tcMar>
            <w:vAlign w:val="center"/>
            <w:hideMark/>
          </w:tcPr>
          <w:p w14:paraId="6521936E" w14:textId="77777777" w:rsidR="00BC5DC0" w:rsidRPr="00FE5A3C" w:rsidRDefault="00BC5DC0" w:rsidP="00BC5DC0">
            <w:pPr>
              <w:pStyle w:val="NoSpacing"/>
              <w:rPr>
                <w:sz w:val="20"/>
                <w:szCs w:val="20"/>
                <w:lang w:eastAsia="en-IN"/>
              </w:rPr>
            </w:pPr>
            <w:r w:rsidRPr="00FE5A3C">
              <w:rPr>
                <w:sz w:val="20"/>
                <w:szCs w:val="20"/>
                <w:lang w:eastAsia="en-IN"/>
              </w:rPr>
              <w:t>0.48</w:t>
            </w:r>
          </w:p>
        </w:tc>
        <w:tc>
          <w:tcPr>
            <w:tcW w:w="0" w:type="auto"/>
            <w:tcMar>
              <w:top w:w="150" w:type="dxa"/>
              <w:left w:w="240" w:type="dxa"/>
              <w:bottom w:w="150" w:type="dxa"/>
              <w:right w:w="240" w:type="dxa"/>
            </w:tcMar>
            <w:vAlign w:val="center"/>
            <w:hideMark/>
          </w:tcPr>
          <w:p w14:paraId="5421D9B9" w14:textId="77777777" w:rsidR="00BC5DC0" w:rsidRPr="00FE5A3C" w:rsidRDefault="00BC5DC0" w:rsidP="00BC5DC0">
            <w:pPr>
              <w:pStyle w:val="NoSpacing"/>
              <w:rPr>
                <w:sz w:val="20"/>
                <w:szCs w:val="20"/>
                <w:lang w:eastAsia="en-IN"/>
              </w:rPr>
            </w:pPr>
            <w:r w:rsidRPr="00FE5A3C">
              <w:rPr>
                <w:sz w:val="20"/>
                <w:szCs w:val="20"/>
                <w:lang w:eastAsia="en-IN"/>
              </w:rPr>
              <w:t>0.61 </w:t>
            </w:r>
          </w:p>
        </w:tc>
        <w:tc>
          <w:tcPr>
            <w:tcW w:w="0" w:type="auto"/>
            <w:tcMar>
              <w:top w:w="150" w:type="dxa"/>
              <w:left w:w="240" w:type="dxa"/>
              <w:bottom w:w="150" w:type="dxa"/>
              <w:right w:w="240" w:type="dxa"/>
            </w:tcMar>
            <w:vAlign w:val="center"/>
            <w:hideMark/>
          </w:tcPr>
          <w:p w14:paraId="31AA643A" w14:textId="77777777" w:rsidR="00BC5DC0" w:rsidRPr="00FE5A3C" w:rsidRDefault="00BC5DC0" w:rsidP="00BC5DC0">
            <w:pPr>
              <w:pStyle w:val="NoSpacing"/>
              <w:rPr>
                <w:sz w:val="20"/>
                <w:szCs w:val="20"/>
                <w:lang w:eastAsia="en-IN"/>
              </w:rPr>
            </w:pPr>
            <w:r w:rsidRPr="00FE5A3C">
              <w:rPr>
                <w:sz w:val="20"/>
                <w:szCs w:val="20"/>
                <w:lang w:eastAsia="en-IN"/>
              </w:rPr>
              <w:t>0.54 </w:t>
            </w:r>
          </w:p>
        </w:tc>
        <w:tc>
          <w:tcPr>
            <w:tcW w:w="0" w:type="auto"/>
            <w:tcMar>
              <w:top w:w="150" w:type="dxa"/>
              <w:left w:w="240" w:type="dxa"/>
              <w:bottom w:w="150" w:type="dxa"/>
              <w:right w:w="240" w:type="dxa"/>
            </w:tcMar>
            <w:vAlign w:val="center"/>
            <w:hideMark/>
          </w:tcPr>
          <w:p w14:paraId="70D3CCA0" w14:textId="77777777" w:rsidR="00BC5DC0" w:rsidRPr="00FE5A3C" w:rsidRDefault="00BC5DC0" w:rsidP="00BC5DC0">
            <w:pPr>
              <w:pStyle w:val="NoSpacing"/>
              <w:rPr>
                <w:sz w:val="20"/>
                <w:szCs w:val="20"/>
                <w:lang w:eastAsia="en-IN"/>
              </w:rPr>
            </w:pPr>
            <w:r w:rsidRPr="00FE5A3C">
              <w:rPr>
                <w:sz w:val="20"/>
                <w:szCs w:val="20"/>
                <w:lang w:eastAsia="en-IN"/>
              </w:rPr>
              <w:t>0.35 </w:t>
            </w:r>
          </w:p>
        </w:tc>
        <w:tc>
          <w:tcPr>
            <w:tcW w:w="0" w:type="auto"/>
            <w:tcMar>
              <w:top w:w="150" w:type="dxa"/>
              <w:left w:w="240" w:type="dxa"/>
              <w:bottom w:w="150" w:type="dxa"/>
              <w:right w:w="240" w:type="dxa"/>
            </w:tcMar>
            <w:vAlign w:val="center"/>
            <w:hideMark/>
          </w:tcPr>
          <w:p w14:paraId="085E01E0" w14:textId="77777777" w:rsidR="00BC5DC0" w:rsidRPr="00FE5A3C" w:rsidRDefault="00BC5DC0" w:rsidP="00BC5DC0">
            <w:pPr>
              <w:pStyle w:val="NoSpacing"/>
              <w:rPr>
                <w:sz w:val="20"/>
                <w:szCs w:val="20"/>
                <w:lang w:eastAsia="en-IN"/>
              </w:rPr>
            </w:pPr>
            <w:r w:rsidRPr="00FE5A3C">
              <w:rPr>
                <w:sz w:val="20"/>
                <w:szCs w:val="20"/>
                <w:lang w:eastAsia="en-IN"/>
              </w:rPr>
              <w:t>0.46 </w:t>
            </w:r>
          </w:p>
        </w:tc>
        <w:tc>
          <w:tcPr>
            <w:tcW w:w="0" w:type="auto"/>
            <w:tcMar>
              <w:top w:w="150" w:type="dxa"/>
              <w:left w:w="240" w:type="dxa"/>
              <w:bottom w:w="150" w:type="dxa"/>
              <w:right w:w="0" w:type="dxa"/>
            </w:tcMar>
            <w:vAlign w:val="center"/>
            <w:hideMark/>
          </w:tcPr>
          <w:p w14:paraId="197AA9A5" w14:textId="77777777" w:rsidR="00BC5DC0" w:rsidRPr="00FE5A3C" w:rsidRDefault="00BC5DC0" w:rsidP="00BC5DC0">
            <w:pPr>
              <w:pStyle w:val="NoSpacing"/>
              <w:rPr>
                <w:sz w:val="20"/>
                <w:szCs w:val="20"/>
                <w:lang w:eastAsia="en-IN"/>
              </w:rPr>
            </w:pPr>
            <w:r w:rsidRPr="00FE5A3C">
              <w:rPr>
                <w:sz w:val="20"/>
                <w:szCs w:val="20"/>
                <w:lang w:eastAsia="en-IN"/>
              </w:rPr>
              <w:t>0.58 </w:t>
            </w:r>
          </w:p>
        </w:tc>
      </w:tr>
      <w:tr w:rsidR="00FE5A3C" w:rsidRPr="00FE5A3C" w14:paraId="6241DD90" w14:textId="77777777" w:rsidTr="00BC5DC0">
        <w:tc>
          <w:tcPr>
            <w:tcW w:w="0" w:type="auto"/>
            <w:tcMar>
              <w:top w:w="150" w:type="dxa"/>
              <w:left w:w="0" w:type="dxa"/>
              <w:bottom w:w="150" w:type="dxa"/>
              <w:right w:w="240" w:type="dxa"/>
            </w:tcMar>
            <w:vAlign w:val="center"/>
            <w:hideMark/>
          </w:tcPr>
          <w:p w14:paraId="30DC97AB" w14:textId="77777777" w:rsidR="00BC5DC0" w:rsidRPr="00FE5A3C" w:rsidRDefault="00BC5DC0" w:rsidP="00BC5DC0">
            <w:pPr>
              <w:pStyle w:val="NoSpacing"/>
              <w:rPr>
                <w:sz w:val="20"/>
                <w:szCs w:val="20"/>
                <w:lang w:eastAsia="en-IN"/>
              </w:rPr>
            </w:pPr>
            <w:r w:rsidRPr="00FE5A3C">
              <w:rPr>
                <w:sz w:val="20"/>
                <w:szCs w:val="20"/>
                <w:lang w:eastAsia="en-IN"/>
              </w:rPr>
              <w:t>Current Ratio</w:t>
            </w:r>
          </w:p>
        </w:tc>
        <w:tc>
          <w:tcPr>
            <w:tcW w:w="0" w:type="auto"/>
            <w:tcMar>
              <w:top w:w="150" w:type="dxa"/>
              <w:left w:w="240" w:type="dxa"/>
              <w:bottom w:w="150" w:type="dxa"/>
              <w:right w:w="240" w:type="dxa"/>
            </w:tcMar>
            <w:vAlign w:val="center"/>
            <w:hideMark/>
          </w:tcPr>
          <w:p w14:paraId="19B349F3" w14:textId="77777777" w:rsidR="00BC5DC0" w:rsidRPr="00FE5A3C" w:rsidRDefault="00BC5DC0" w:rsidP="00BC5DC0">
            <w:pPr>
              <w:pStyle w:val="NoSpacing"/>
              <w:rPr>
                <w:sz w:val="20"/>
                <w:szCs w:val="20"/>
                <w:lang w:eastAsia="en-IN"/>
              </w:rPr>
            </w:pPr>
            <w:r w:rsidRPr="00FE5A3C">
              <w:rPr>
                <w:sz w:val="20"/>
                <w:szCs w:val="20"/>
                <w:lang w:eastAsia="en-IN"/>
              </w:rPr>
              <w:t>0.98</w:t>
            </w:r>
          </w:p>
        </w:tc>
        <w:tc>
          <w:tcPr>
            <w:tcW w:w="0" w:type="auto"/>
            <w:tcMar>
              <w:top w:w="150" w:type="dxa"/>
              <w:left w:w="240" w:type="dxa"/>
              <w:bottom w:w="150" w:type="dxa"/>
              <w:right w:w="240" w:type="dxa"/>
            </w:tcMar>
            <w:vAlign w:val="center"/>
            <w:hideMark/>
          </w:tcPr>
          <w:p w14:paraId="0E28A60E" w14:textId="77777777" w:rsidR="00BC5DC0" w:rsidRPr="00FE5A3C" w:rsidRDefault="00BC5DC0" w:rsidP="00BC5DC0">
            <w:pPr>
              <w:pStyle w:val="NoSpacing"/>
              <w:rPr>
                <w:sz w:val="20"/>
                <w:szCs w:val="20"/>
                <w:lang w:eastAsia="en-IN"/>
              </w:rPr>
            </w:pPr>
            <w:r w:rsidRPr="00FE5A3C">
              <w:rPr>
                <w:sz w:val="20"/>
                <w:szCs w:val="20"/>
                <w:lang w:eastAsia="en-IN"/>
              </w:rPr>
              <w:t>~0.84 </w:t>
            </w:r>
          </w:p>
        </w:tc>
        <w:tc>
          <w:tcPr>
            <w:tcW w:w="0" w:type="auto"/>
            <w:tcMar>
              <w:top w:w="150" w:type="dxa"/>
              <w:left w:w="240" w:type="dxa"/>
              <w:bottom w:w="150" w:type="dxa"/>
              <w:right w:w="240" w:type="dxa"/>
            </w:tcMar>
            <w:vAlign w:val="center"/>
            <w:hideMark/>
          </w:tcPr>
          <w:p w14:paraId="48771218" w14:textId="77777777" w:rsidR="00BC5DC0" w:rsidRPr="00FE5A3C" w:rsidRDefault="00BC5DC0" w:rsidP="00BC5DC0">
            <w:pPr>
              <w:pStyle w:val="NoSpacing"/>
              <w:rPr>
                <w:sz w:val="20"/>
                <w:szCs w:val="20"/>
                <w:lang w:eastAsia="en-IN"/>
              </w:rPr>
            </w:pPr>
            <w:r w:rsidRPr="00FE5A3C">
              <w:rPr>
                <w:sz w:val="20"/>
                <w:szCs w:val="20"/>
                <w:lang w:eastAsia="en-IN"/>
              </w:rPr>
              <w:t>0.27 </w:t>
            </w:r>
          </w:p>
        </w:tc>
        <w:tc>
          <w:tcPr>
            <w:tcW w:w="0" w:type="auto"/>
            <w:tcMar>
              <w:top w:w="150" w:type="dxa"/>
              <w:left w:w="240" w:type="dxa"/>
              <w:bottom w:w="150" w:type="dxa"/>
              <w:right w:w="240" w:type="dxa"/>
            </w:tcMar>
            <w:vAlign w:val="center"/>
            <w:hideMark/>
          </w:tcPr>
          <w:p w14:paraId="1AFE069A" w14:textId="77777777" w:rsidR="00BC5DC0" w:rsidRPr="00FE5A3C" w:rsidRDefault="00BC5DC0" w:rsidP="00BC5DC0">
            <w:pPr>
              <w:pStyle w:val="NoSpacing"/>
              <w:rPr>
                <w:sz w:val="20"/>
                <w:szCs w:val="20"/>
                <w:lang w:eastAsia="en-IN"/>
              </w:rPr>
            </w:pPr>
            <w:r w:rsidRPr="00FE5A3C">
              <w:rPr>
                <w:sz w:val="20"/>
                <w:szCs w:val="20"/>
                <w:lang w:eastAsia="en-IN"/>
              </w:rPr>
              <w:t>0.80 </w:t>
            </w:r>
          </w:p>
        </w:tc>
        <w:tc>
          <w:tcPr>
            <w:tcW w:w="0" w:type="auto"/>
            <w:tcMar>
              <w:top w:w="150" w:type="dxa"/>
              <w:left w:w="240" w:type="dxa"/>
              <w:bottom w:w="150" w:type="dxa"/>
              <w:right w:w="240" w:type="dxa"/>
            </w:tcMar>
            <w:vAlign w:val="center"/>
            <w:hideMark/>
          </w:tcPr>
          <w:p w14:paraId="1E4FFA4B" w14:textId="77777777" w:rsidR="00BC5DC0" w:rsidRPr="00FE5A3C" w:rsidRDefault="00BC5DC0" w:rsidP="00BC5DC0">
            <w:pPr>
              <w:pStyle w:val="NoSpacing"/>
              <w:rPr>
                <w:sz w:val="20"/>
                <w:szCs w:val="20"/>
                <w:lang w:eastAsia="en-IN"/>
              </w:rPr>
            </w:pPr>
            <w:r w:rsidRPr="00FE5A3C">
              <w:rPr>
                <w:sz w:val="20"/>
                <w:szCs w:val="20"/>
                <w:lang w:eastAsia="en-IN"/>
              </w:rPr>
              <w:t>0.77 </w:t>
            </w:r>
          </w:p>
        </w:tc>
        <w:tc>
          <w:tcPr>
            <w:tcW w:w="0" w:type="auto"/>
            <w:tcMar>
              <w:top w:w="150" w:type="dxa"/>
              <w:left w:w="240" w:type="dxa"/>
              <w:bottom w:w="150" w:type="dxa"/>
              <w:right w:w="0" w:type="dxa"/>
            </w:tcMar>
            <w:vAlign w:val="center"/>
            <w:hideMark/>
          </w:tcPr>
          <w:p w14:paraId="7D41D97F" w14:textId="77777777" w:rsidR="00BC5DC0" w:rsidRPr="00FE5A3C" w:rsidRDefault="00BC5DC0" w:rsidP="00BC5DC0">
            <w:pPr>
              <w:pStyle w:val="NoSpacing"/>
              <w:rPr>
                <w:sz w:val="20"/>
                <w:szCs w:val="20"/>
                <w:lang w:eastAsia="en-IN"/>
              </w:rPr>
            </w:pPr>
            <w:r w:rsidRPr="00FE5A3C">
              <w:rPr>
                <w:sz w:val="20"/>
                <w:szCs w:val="20"/>
                <w:lang w:eastAsia="en-IN"/>
              </w:rPr>
              <w:t>0.81 </w:t>
            </w:r>
          </w:p>
        </w:tc>
      </w:tr>
    </w:tbl>
    <w:p w14:paraId="13DDC40B" w14:textId="77777777" w:rsidR="00BC5DC0" w:rsidRPr="00FE5A3C" w:rsidRDefault="00BC5DC0" w:rsidP="00BC5DC0">
      <w:pPr>
        <w:pStyle w:val="NoSpacing"/>
        <w:rPr>
          <w:rFonts w:ascii="Times New Roman" w:hAnsi="Times New Roman" w:cs="Times New Roman"/>
          <w:sz w:val="20"/>
          <w:szCs w:val="20"/>
          <w:lang w:eastAsia="en-IN"/>
        </w:rPr>
      </w:pPr>
      <w:r w:rsidRPr="00FE5A3C">
        <w:rPr>
          <w:rFonts w:ascii="Times New Roman" w:hAnsi="Times New Roman" w:cs="Times New Roman"/>
          <w:sz w:val="20"/>
          <w:szCs w:val="20"/>
          <w:lang w:eastAsia="en-IN"/>
        </w:rPr>
        <w:pict w14:anchorId="4E744DDA">
          <v:rect id="_x0000_i1026" style="width:0;height:.75pt" o:hralign="center" o:hrstd="t" o:hr="t" fillcolor="#a0a0a0" stroked="f"/>
        </w:pict>
      </w:r>
    </w:p>
    <w:p w14:paraId="7BA593A9" w14:textId="77777777" w:rsidR="00FE5A3C" w:rsidRDefault="00FE5A3C" w:rsidP="00BC5DC0">
      <w:pPr>
        <w:pStyle w:val="NoSpacing"/>
        <w:rPr>
          <w:sz w:val="24"/>
          <w:szCs w:val="24"/>
          <w:lang w:eastAsia="en-IN"/>
        </w:rPr>
      </w:pPr>
    </w:p>
    <w:p w14:paraId="254E6F56" w14:textId="77777777" w:rsidR="00FE5A3C" w:rsidRDefault="00FE5A3C" w:rsidP="00BC5DC0">
      <w:pPr>
        <w:pStyle w:val="NoSpacing"/>
        <w:rPr>
          <w:sz w:val="24"/>
          <w:szCs w:val="24"/>
          <w:lang w:eastAsia="en-IN"/>
        </w:rPr>
      </w:pPr>
    </w:p>
    <w:p w14:paraId="43C72370" w14:textId="77777777" w:rsidR="00FE5A3C" w:rsidRDefault="00FE5A3C" w:rsidP="00BC5DC0">
      <w:pPr>
        <w:pStyle w:val="NoSpacing"/>
        <w:rPr>
          <w:sz w:val="24"/>
          <w:szCs w:val="24"/>
          <w:lang w:eastAsia="en-IN"/>
        </w:rPr>
      </w:pPr>
    </w:p>
    <w:p w14:paraId="33C945BA" w14:textId="77777777" w:rsidR="00FE5A3C" w:rsidRDefault="00FE5A3C" w:rsidP="00BC5DC0">
      <w:pPr>
        <w:pStyle w:val="NoSpacing"/>
        <w:rPr>
          <w:sz w:val="24"/>
          <w:szCs w:val="24"/>
          <w:lang w:eastAsia="en-IN"/>
        </w:rPr>
      </w:pPr>
    </w:p>
    <w:p w14:paraId="3DB68E99" w14:textId="4B84B042" w:rsidR="00BC5DC0" w:rsidRPr="00FE5A3C" w:rsidRDefault="00BC5DC0" w:rsidP="00BC5DC0">
      <w:pPr>
        <w:pStyle w:val="NoSpacing"/>
        <w:rPr>
          <w:sz w:val="24"/>
          <w:szCs w:val="24"/>
          <w:lang w:eastAsia="en-IN"/>
        </w:rPr>
      </w:pPr>
      <w:r w:rsidRPr="00FE5A3C">
        <w:rPr>
          <w:sz w:val="24"/>
          <w:szCs w:val="24"/>
          <w:lang w:eastAsia="en-IN"/>
        </w:rPr>
        <w:lastRenderedPageBreak/>
        <w:t>Detailed Benchmark Analysis: Strengths &amp; Weaknesses</w:t>
      </w:r>
    </w:p>
    <w:p w14:paraId="1F894AB1" w14:textId="77777777" w:rsidR="00BC5DC0" w:rsidRPr="00FE5A3C" w:rsidRDefault="00BC5DC0" w:rsidP="00BC5DC0">
      <w:pPr>
        <w:pStyle w:val="NoSpacing"/>
        <w:rPr>
          <w:sz w:val="20"/>
          <w:szCs w:val="20"/>
          <w:lang w:eastAsia="en-IN"/>
        </w:rPr>
      </w:pPr>
      <w:r w:rsidRPr="00FE5A3C">
        <w:rPr>
          <w:sz w:val="20"/>
          <w:szCs w:val="20"/>
          <w:lang w:eastAsia="en-IN"/>
        </w:rPr>
        <w:t>Return on Equity (ROE) — Weakness</w:t>
      </w:r>
    </w:p>
    <w:tbl>
      <w:tblPr>
        <w:tblW w:w="11280" w:type="dxa"/>
        <w:tblCellMar>
          <w:top w:w="15" w:type="dxa"/>
          <w:left w:w="15" w:type="dxa"/>
          <w:bottom w:w="15" w:type="dxa"/>
          <w:right w:w="15" w:type="dxa"/>
        </w:tblCellMar>
        <w:tblLook w:val="04A0" w:firstRow="1" w:lastRow="0" w:firstColumn="1" w:lastColumn="0" w:noHBand="0" w:noVBand="1"/>
      </w:tblPr>
      <w:tblGrid>
        <w:gridCol w:w="3873"/>
        <w:gridCol w:w="7407"/>
      </w:tblGrid>
      <w:tr w:rsidR="00BC5DC0" w:rsidRPr="00FE5A3C" w14:paraId="1C561C18" w14:textId="77777777" w:rsidTr="00BC5DC0">
        <w:trPr>
          <w:tblHeader/>
        </w:trPr>
        <w:tc>
          <w:tcPr>
            <w:tcW w:w="0" w:type="auto"/>
            <w:tcBorders>
              <w:top w:val="nil"/>
            </w:tcBorders>
            <w:tcMar>
              <w:top w:w="150" w:type="dxa"/>
              <w:left w:w="0" w:type="dxa"/>
              <w:bottom w:w="150" w:type="dxa"/>
              <w:right w:w="240" w:type="dxa"/>
            </w:tcMar>
            <w:vAlign w:val="center"/>
            <w:hideMark/>
          </w:tcPr>
          <w:p w14:paraId="71032A3C" w14:textId="77777777" w:rsidR="00BC5DC0" w:rsidRPr="00FE5A3C" w:rsidRDefault="00BC5DC0" w:rsidP="00BC5DC0">
            <w:pPr>
              <w:pStyle w:val="NoSpacing"/>
              <w:rPr>
                <w:sz w:val="20"/>
                <w:szCs w:val="20"/>
                <w:lang w:eastAsia="en-IN"/>
              </w:rPr>
            </w:pPr>
          </w:p>
        </w:tc>
        <w:tc>
          <w:tcPr>
            <w:tcW w:w="0" w:type="auto"/>
            <w:tcBorders>
              <w:top w:val="nil"/>
            </w:tcBorders>
            <w:tcMar>
              <w:top w:w="150" w:type="dxa"/>
              <w:left w:w="240" w:type="dxa"/>
              <w:bottom w:w="150" w:type="dxa"/>
              <w:right w:w="240" w:type="dxa"/>
            </w:tcMar>
            <w:vAlign w:val="center"/>
            <w:hideMark/>
          </w:tcPr>
          <w:p w14:paraId="21783A02" w14:textId="77777777" w:rsidR="00BC5DC0" w:rsidRPr="00FE5A3C" w:rsidRDefault="00BC5DC0" w:rsidP="00BC5DC0">
            <w:pPr>
              <w:pStyle w:val="NoSpacing"/>
              <w:rPr>
                <w:rFonts w:ascii="Times New Roman" w:hAnsi="Times New Roman" w:cs="Times New Roman"/>
                <w:sz w:val="16"/>
                <w:szCs w:val="16"/>
                <w:lang w:eastAsia="en-IN"/>
              </w:rPr>
            </w:pPr>
          </w:p>
        </w:tc>
      </w:tr>
      <w:tr w:rsidR="00BC5DC0" w:rsidRPr="00FE5A3C" w14:paraId="46499162" w14:textId="77777777" w:rsidTr="00BC5DC0">
        <w:tc>
          <w:tcPr>
            <w:tcW w:w="0" w:type="auto"/>
            <w:tcMar>
              <w:top w:w="150" w:type="dxa"/>
              <w:left w:w="0" w:type="dxa"/>
              <w:bottom w:w="150" w:type="dxa"/>
              <w:right w:w="240" w:type="dxa"/>
            </w:tcMar>
            <w:vAlign w:val="center"/>
            <w:hideMark/>
          </w:tcPr>
          <w:p w14:paraId="2E80957E" w14:textId="77777777" w:rsidR="00BC5DC0" w:rsidRPr="00FE5A3C" w:rsidRDefault="00BC5DC0" w:rsidP="00BC5DC0">
            <w:pPr>
              <w:pStyle w:val="NoSpacing"/>
              <w:rPr>
                <w:sz w:val="20"/>
                <w:szCs w:val="20"/>
                <w:lang w:eastAsia="en-IN"/>
              </w:rPr>
            </w:pPr>
            <w:r w:rsidRPr="00FE5A3C">
              <w:rPr>
                <w:sz w:val="20"/>
                <w:szCs w:val="20"/>
                <w:lang w:eastAsia="en-IN"/>
              </w:rPr>
              <w:t>RICK (1.1%)</w:t>
            </w:r>
          </w:p>
        </w:tc>
        <w:tc>
          <w:tcPr>
            <w:tcW w:w="0" w:type="auto"/>
            <w:tcMar>
              <w:top w:w="150" w:type="dxa"/>
              <w:left w:w="240" w:type="dxa"/>
              <w:bottom w:w="150" w:type="dxa"/>
              <w:right w:w="0" w:type="dxa"/>
            </w:tcMar>
            <w:vAlign w:val="center"/>
            <w:hideMark/>
          </w:tcPr>
          <w:p w14:paraId="15F3D546" w14:textId="77777777" w:rsidR="00BC5DC0" w:rsidRPr="00FE5A3C" w:rsidRDefault="00BC5DC0" w:rsidP="00BC5DC0">
            <w:pPr>
              <w:pStyle w:val="NoSpacing"/>
              <w:rPr>
                <w:sz w:val="20"/>
                <w:szCs w:val="20"/>
                <w:lang w:eastAsia="en-IN"/>
              </w:rPr>
            </w:pPr>
            <w:r w:rsidRPr="00FE5A3C">
              <w:rPr>
                <w:sz w:val="20"/>
                <w:szCs w:val="20"/>
                <w:lang w:eastAsia="en-IN"/>
              </w:rPr>
              <w:t>Industry Median (10.4%)</w:t>
            </w:r>
          </w:p>
        </w:tc>
      </w:tr>
    </w:tbl>
    <w:p w14:paraId="0F5B23DD" w14:textId="77777777" w:rsidR="00BC5DC0" w:rsidRPr="00FE5A3C" w:rsidRDefault="00BC5DC0" w:rsidP="00BC5DC0">
      <w:pPr>
        <w:pStyle w:val="NoSpacing"/>
        <w:rPr>
          <w:sz w:val="20"/>
          <w:szCs w:val="20"/>
          <w:lang w:eastAsia="en-IN"/>
        </w:rPr>
      </w:pPr>
      <w:r w:rsidRPr="00FE5A3C">
        <w:rPr>
          <w:sz w:val="20"/>
          <w:szCs w:val="20"/>
          <w:lang w:eastAsia="en-IN"/>
        </w:rPr>
        <w:t>Analysis: RCI Hospitality's ROE is significantly below the industry average of ~10.4% . Compared to competitors like Penn Entertainment (6.84%)  and Caesars (11.98%) , RICK's 1.1% ROE indicates weaker efficiency in generating profits from shareholder equity. The company's recent asset impairments ($38.5M in FY2024) and lower net income are the primary drivers of this underperformance.</w:t>
      </w:r>
    </w:p>
    <w:p w14:paraId="367B7ECC" w14:textId="77777777" w:rsidR="00BC5DC0" w:rsidRPr="00FE5A3C" w:rsidRDefault="00BC5DC0" w:rsidP="00BC5DC0">
      <w:pPr>
        <w:pStyle w:val="NoSpacing"/>
        <w:rPr>
          <w:sz w:val="20"/>
          <w:szCs w:val="20"/>
          <w:lang w:eastAsia="en-IN"/>
        </w:rPr>
      </w:pPr>
      <w:r w:rsidRPr="00FE5A3C">
        <w:rPr>
          <w:sz w:val="20"/>
          <w:szCs w:val="20"/>
          <w:lang w:eastAsia="en-IN"/>
        </w:rPr>
        <w:t>Implication: Investors may view RICK as less capital-efficient than peers, potentially affecting its attractiveness for equity investments.</w:t>
      </w:r>
    </w:p>
    <w:p w14:paraId="3ABC23B6" w14:textId="77777777" w:rsidR="00BC5DC0" w:rsidRPr="00FE5A3C" w:rsidRDefault="00BC5DC0" w:rsidP="00BC5DC0">
      <w:pPr>
        <w:pStyle w:val="NoSpacing"/>
        <w:rPr>
          <w:rFonts w:ascii="Times New Roman" w:hAnsi="Times New Roman" w:cs="Times New Roman"/>
          <w:sz w:val="20"/>
          <w:szCs w:val="20"/>
          <w:lang w:eastAsia="en-IN"/>
        </w:rPr>
      </w:pPr>
      <w:r w:rsidRPr="00FE5A3C">
        <w:rPr>
          <w:rFonts w:ascii="Times New Roman" w:hAnsi="Times New Roman" w:cs="Times New Roman"/>
          <w:sz w:val="20"/>
          <w:szCs w:val="20"/>
          <w:lang w:eastAsia="en-IN"/>
        </w:rPr>
        <w:pict w14:anchorId="5EDB7BC9">
          <v:rect id="_x0000_i1027" style="width:0;height:.75pt" o:hralign="center" o:hrstd="t" o:hr="t" fillcolor="#a0a0a0" stroked="f"/>
        </w:pict>
      </w:r>
    </w:p>
    <w:p w14:paraId="5EB2E185" w14:textId="77777777" w:rsidR="00BC5DC0" w:rsidRPr="00FE5A3C" w:rsidRDefault="00BC5DC0" w:rsidP="00BC5DC0">
      <w:pPr>
        <w:pStyle w:val="NoSpacing"/>
        <w:rPr>
          <w:sz w:val="20"/>
          <w:szCs w:val="20"/>
          <w:lang w:eastAsia="en-IN"/>
        </w:rPr>
      </w:pPr>
      <w:r w:rsidRPr="00FE5A3C">
        <w:rPr>
          <w:sz w:val="20"/>
          <w:szCs w:val="20"/>
          <w:lang w:eastAsia="en-IN"/>
        </w:rPr>
        <w:t>Return on Assets (ROA) — Weakness</w:t>
      </w:r>
    </w:p>
    <w:tbl>
      <w:tblPr>
        <w:tblW w:w="11280" w:type="dxa"/>
        <w:tblCellMar>
          <w:top w:w="15" w:type="dxa"/>
          <w:left w:w="15" w:type="dxa"/>
          <w:bottom w:w="15" w:type="dxa"/>
          <w:right w:w="15" w:type="dxa"/>
        </w:tblCellMar>
        <w:tblLook w:val="04A0" w:firstRow="1" w:lastRow="0" w:firstColumn="1" w:lastColumn="0" w:noHBand="0" w:noVBand="1"/>
      </w:tblPr>
      <w:tblGrid>
        <w:gridCol w:w="3991"/>
        <w:gridCol w:w="7289"/>
      </w:tblGrid>
      <w:tr w:rsidR="00BC5DC0" w:rsidRPr="00FE5A3C" w14:paraId="609202F9" w14:textId="77777777" w:rsidTr="00BC5DC0">
        <w:trPr>
          <w:tblHeader/>
        </w:trPr>
        <w:tc>
          <w:tcPr>
            <w:tcW w:w="0" w:type="auto"/>
            <w:tcBorders>
              <w:top w:val="nil"/>
            </w:tcBorders>
            <w:tcMar>
              <w:top w:w="150" w:type="dxa"/>
              <w:left w:w="0" w:type="dxa"/>
              <w:bottom w:w="150" w:type="dxa"/>
              <w:right w:w="240" w:type="dxa"/>
            </w:tcMar>
            <w:vAlign w:val="center"/>
            <w:hideMark/>
          </w:tcPr>
          <w:p w14:paraId="0F829472" w14:textId="77777777" w:rsidR="00BC5DC0" w:rsidRPr="00FE5A3C" w:rsidRDefault="00BC5DC0" w:rsidP="00BC5DC0">
            <w:pPr>
              <w:pStyle w:val="NoSpacing"/>
              <w:rPr>
                <w:sz w:val="20"/>
                <w:szCs w:val="20"/>
                <w:lang w:eastAsia="en-IN"/>
              </w:rPr>
            </w:pPr>
          </w:p>
        </w:tc>
        <w:tc>
          <w:tcPr>
            <w:tcW w:w="0" w:type="auto"/>
            <w:tcBorders>
              <w:top w:val="nil"/>
            </w:tcBorders>
            <w:tcMar>
              <w:top w:w="150" w:type="dxa"/>
              <w:left w:w="240" w:type="dxa"/>
              <w:bottom w:w="150" w:type="dxa"/>
              <w:right w:w="240" w:type="dxa"/>
            </w:tcMar>
            <w:vAlign w:val="center"/>
            <w:hideMark/>
          </w:tcPr>
          <w:p w14:paraId="1F8586D3" w14:textId="77777777" w:rsidR="00BC5DC0" w:rsidRPr="00FE5A3C" w:rsidRDefault="00BC5DC0" w:rsidP="00BC5DC0">
            <w:pPr>
              <w:pStyle w:val="NoSpacing"/>
              <w:rPr>
                <w:rFonts w:ascii="Times New Roman" w:hAnsi="Times New Roman" w:cs="Times New Roman"/>
                <w:sz w:val="16"/>
                <w:szCs w:val="16"/>
                <w:lang w:eastAsia="en-IN"/>
              </w:rPr>
            </w:pPr>
          </w:p>
        </w:tc>
      </w:tr>
      <w:tr w:rsidR="00BC5DC0" w:rsidRPr="00FE5A3C" w14:paraId="6DA7EBF3" w14:textId="77777777" w:rsidTr="00BC5DC0">
        <w:tc>
          <w:tcPr>
            <w:tcW w:w="0" w:type="auto"/>
            <w:tcMar>
              <w:top w:w="150" w:type="dxa"/>
              <w:left w:w="0" w:type="dxa"/>
              <w:bottom w:w="150" w:type="dxa"/>
              <w:right w:w="240" w:type="dxa"/>
            </w:tcMar>
            <w:vAlign w:val="center"/>
            <w:hideMark/>
          </w:tcPr>
          <w:p w14:paraId="5C88FEBF" w14:textId="77777777" w:rsidR="00BC5DC0" w:rsidRPr="00FE5A3C" w:rsidRDefault="00BC5DC0" w:rsidP="00BC5DC0">
            <w:pPr>
              <w:pStyle w:val="NoSpacing"/>
              <w:rPr>
                <w:sz w:val="20"/>
                <w:szCs w:val="20"/>
                <w:lang w:eastAsia="en-IN"/>
              </w:rPr>
            </w:pPr>
            <w:r w:rsidRPr="00FE5A3C">
              <w:rPr>
                <w:sz w:val="20"/>
                <w:szCs w:val="20"/>
                <w:lang w:eastAsia="en-IN"/>
              </w:rPr>
              <w:t>RICK (0.5%)</w:t>
            </w:r>
          </w:p>
        </w:tc>
        <w:tc>
          <w:tcPr>
            <w:tcW w:w="0" w:type="auto"/>
            <w:tcMar>
              <w:top w:w="150" w:type="dxa"/>
              <w:left w:w="240" w:type="dxa"/>
              <w:bottom w:w="150" w:type="dxa"/>
              <w:right w:w="0" w:type="dxa"/>
            </w:tcMar>
            <w:vAlign w:val="center"/>
            <w:hideMark/>
          </w:tcPr>
          <w:p w14:paraId="0EA1BBA2" w14:textId="77777777" w:rsidR="00BC5DC0" w:rsidRPr="00FE5A3C" w:rsidRDefault="00BC5DC0" w:rsidP="00BC5DC0">
            <w:pPr>
              <w:pStyle w:val="NoSpacing"/>
              <w:rPr>
                <w:sz w:val="20"/>
                <w:szCs w:val="20"/>
                <w:lang w:eastAsia="en-IN"/>
              </w:rPr>
            </w:pPr>
            <w:r w:rsidRPr="00FE5A3C">
              <w:rPr>
                <w:sz w:val="20"/>
                <w:szCs w:val="20"/>
                <w:lang w:eastAsia="en-IN"/>
              </w:rPr>
              <w:t>Industry Median (4.9%)</w:t>
            </w:r>
          </w:p>
        </w:tc>
      </w:tr>
    </w:tbl>
    <w:p w14:paraId="5E13A8A9" w14:textId="77777777" w:rsidR="00BC5DC0" w:rsidRPr="00FE5A3C" w:rsidRDefault="00BC5DC0" w:rsidP="00BC5DC0">
      <w:pPr>
        <w:pStyle w:val="NoSpacing"/>
        <w:rPr>
          <w:sz w:val="20"/>
          <w:szCs w:val="20"/>
          <w:lang w:eastAsia="en-IN"/>
        </w:rPr>
      </w:pPr>
      <w:r w:rsidRPr="00FE5A3C">
        <w:rPr>
          <w:sz w:val="20"/>
          <w:szCs w:val="20"/>
          <w:lang w:eastAsia="en-IN"/>
        </w:rPr>
        <w:t>Analysis: RICK's ROA is also substantially below the benchmark . Competitors like Dave &amp; Buster's (2.88%)  and Ark Restaurants (7.46%)  show better asset utilization. Low ROA suggests RICK is less effective at converting its asset base into earnings, partly due to goodwill/intangible-heavy acquisitions and recent impairment charges.</w:t>
      </w:r>
    </w:p>
    <w:p w14:paraId="333A3E14" w14:textId="77777777" w:rsidR="00BC5DC0" w:rsidRPr="00FE5A3C" w:rsidRDefault="00BC5DC0" w:rsidP="00BC5DC0">
      <w:pPr>
        <w:pStyle w:val="NoSpacing"/>
        <w:rPr>
          <w:sz w:val="20"/>
          <w:szCs w:val="20"/>
          <w:lang w:eastAsia="en-IN"/>
        </w:rPr>
      </w:pPr>
      <w:r w:rsidRPr="00FE5A3C">
        <w:rPr>
          <w:sz w:val="20"/>
          <w:szCs w:val="20"/>
          <w:lang w:eastAsia="en-IN"/>
        </w:rPr>
        <w:t>Implication: Asset-heavy acquisitions without corresponding profit growth have depressed returns on invested capital.</w:t>
      </w:r>
    </w:p>
    <w:p w14:paraId="5C6C4135" w14:textId="77777777" w:rsidR="00BC5DC0" w:rsidRPr="00FE5A3C" w:rsidRDefault="00BC5DC0" w:rsidP="00BC5DC0">
      <w:pPr>
        <w:pStyle w:val="NoSpacing"/>
        <w:rPr>
          <w:rFonts w:ascii="Times New Roman" w:hAnsi="Times New Roman" w:cs="Times New Roman"/>
          <w:sz w:val="20"/>
          <w:szCs w:val="20"/>
          <w:lang w:eastAsia="en-IN"/>
        </w:rPr>
      </w:pPr>
      <w:r w:rsidRPr="00FE5A3C">
        <w:rPr>
          <w:rFonts w:ascii="Times New Roman" w:hAnsi="Times New Roman" w:cs="Times New Roman"/>
          <w:sz w:val="20"/>
          <w:szCs w:val="20"/>
          <w:lang w:eastAsia="en-IN"/>
        </w:rPr>
        <w:pict w14:anchorId="2528B4D3">
          <v:rect id="_x0000_i1028" style="width:0;height:.75pt" o:hralign="center" o:hrstd="t" o:hr="t" fillcolor="#a0a0a0" stroked="f"/>
        </w:pict>
      </w:r>
    </w:p>
    <w:p w14:paraId="400E7415" w14:textId="77777777" w:rsidR="00BC5DC0" w:rsidRPr="00FE5A3C" w:rsidRDefault="00BC5DC0" w:rsidP="00BC5DC0">
      <w:pPr>
        <w:pStyle w:val="NoSpacing"/>
        <w:rPr>
          <w:sz w:val="20"/>
          <w:szCs w:val="20"/>
          <w:lang w:eastAsia="en-IN"/>
        </w:rPr>
      </w:pPr>
      <w:r w:rsidRPr="00FE5A3C">
        <w:rPr>
          <w:sz w:val="20"/>
          <w:szCs w:val="20"/>
          <w:lang w:eastAsia="en-IN"/>
        </w:rPr>
        <w:t>Operating Margin — Neutral/Weakness</w:t>
      </w:r>
    </w:p>
    <w:tbl>
      <w:tblPr>
        <w:tblW w:w="11280" w:type="dxa"/>
        <w:tblCellMar>
          <w:top w:w="15" w:type="dxa"/>
          <w:left w:w="15" w:type="dxa"/>
          <w:bottom w:w="15" w:type="dxa"/>
          <w:right w:w="15" w:type="dxa"/>
        </w:tblCellMar>
        <w:tblLook w:val="04A0" w:firstRow="1" w:lastRow="0" w:firstColumn="1" w:lastColumn="0" w:noHBand="0" w:noVBand="1"/>
      </w:tblPr>
      <w:tblGrid>
        <w:gridCol w:w="3991"/>
        <w:gridCol w:w="7289"/>
      </w:tblGrid>
      <w:tr w:rsidR="00BC5DC0" w:rsidRPr="00FE5A3C" w14:paraId="53422483" w14:textId="77777777" w:rsidTr="00BC5DC0">
        <w:trPr>
          <w:tblHeader/>
        </w:trPr>
        <w:tc>
          <w:tcPr>
            <w:tcW w:w="0" w:type="auto"/>
            <w:tcBorders>
              <w:top w:val="nil"/>
            </w:tcBorders>
            <w:tcMar>
              <w:top w:w="150" w:type="dxa"/>
              <w:left w:w="0" w:type="dxa"/>
              <w:bottom w:w="150" w:type="dxa"/>
              <w:right w:w="240" w:type="dxa"/>
            </w:tcMar>
            <w:vAlign w:val="center"/>
            <w:hideMark/>
          </w:tcPr>
          <w:p w14:paraId="05881DB4" w14:textId="77777777" w:rsidR="00BC5DC0" w:rsidRPr="00FE5A3C" w:rsidRDefault="00BC5DC0" w:rsidP="00BC5DC0">
            <w:pPr>
              <w:pStyle w:val="NoSpacing"/>
              <w:rPr>
                <w:sz w:val="20"/>
                <w:szCs w:val="20"/>
                <w:lang w:eastAsia="en-IN"/>
              </w:rPr>
            </w:pPr>
          </w:p>
        </w:tc>
        <w:tc>
          <w:tcPr>
            <w:tcW w:w="0" w:type="auto"/>
            <w:tcBorders>
              <w:top w:val="nil"/>
            </w:tcBorders>
            <w:tcMar>
              <w:top w:w="150" w:type="dxa"/>
              <w:left w:w="240" w:type="dxa"/>
              <w:bottom w:w="150" w:type="dxa"/>
              <w:right w:w="240" w:type="dxa"/>
            </w:tcMar>
            <w:vAlign w:val="center"/>
            <w:hideMark/>
          </w:tcPr>
          <w:p w14:paraId="51E82E39" w14:textId="77777777" w:rsidR="00BC5DC0" w:rsidRPr="00FE5A3C" w:rsidRDefault="00BC5DC0" w:rsidP="00BC5DC0">
            <w:pPr>
              <w:pStyle w:val="NoSpacing"/>
              <w:rPr>
                <w:rFonts w:ascii="Times New Roman" w:hAnsi="Times New Roman" w:cs="Times New Roman"/>
                <w:sz w:val="16"/>
                <w:szCs w:val="16"/>
                <w:lang w:eastAsia="en-IN"/>
              </w:rPr>
            </w:pPr>
          </w:p>
        </w:tc>
      </w:tr>
      <w:tr w:rsidR="00BC5DC0" w:rsidRPr="00FE5A3C" w14:paraId="433ECB4D" w14:textId="77777777" w:rsidTr="00BC5DC0">
        <w:tc>
          <w:tcPr>
            <w:tcW w:w="0" w:type="auto"/>
            <w:tcMar>
              <w:top w:w="150" w:type="dxa"/>
              <w:left w:w="0" w:type="dxa"/>
              <w:bottom w:w="150" w:type="dxa"/>
              <w:right w:w="240" w:type="dxa"/>
            </w:tcMar>
            <w:vAlign w:val="center"/>
            <w:hideMark/>
          </w:tcPr>
          <w:p w14:paraId="2B7F8D55" w14:textId="77777777" w:rsidR="00BC5DC0" w:rsidRPr="00FE5A3C" w:rsidRDefault="00BC5DC0" w:rsidP="00BC5DC0">
            <w:pPr>
              <w:pStyle w:val="NoSpacing"/>
              <w:rPr>
                <w:sz w:val="20"/>
                <w:szCs w:val="20"/>
                <w:lang w:eastAsia="en-IN"/>
              </w:rPr>
            </w:pPr>
            <w:r w:rsidRPr="00FE5A3C">
              <w:rPr>
                <w:sz w:val="20"/>
                <w:szCs w:val="20"/>
                <w:lang w:eastAsia="en-IN"/>
              </w:rPr>
              <w:t>RICK (6.4%)</w:t>
            </w:r>
          </w:p>
        </w:tc>
        <w:tc>
          <w:tcPr>
            <w:tcW w:w="0" w:type="auto"/>
            <w:tcMar>
              <w:top w:w="150" w:type="dxa"/>
              <w:left w:w="240" w:type="dxa"/>
              <w:bottom w:w="150" w:type="dxa"/>
              <w:right w:w="0" w:type="dxa"/>
            </w:tcMar>
            <w:vAlign w:val="center"/>
            <w:hideMark/>
          </w:tcPr>
          <w:p w14:paraId="575DC441" w14:textId="77777777" w:rsidR="00BC5DC0" w:rsidRPr="00FE5A3C" w:rsidRDefault="00BC5DC0" w:rsidP="00BC5DC0">
            <w:pPr>
              <w:pStyle w:val="NoSpacing"/>
              <w:rPr>
                <w:sz w:val="20"/>
                <w:szCs w:val="20"/>
                <w:lang w:eastAsia="en-IN"/>
              </w:rPr>
            </w:pPr>
            <w:r w:rsidRPr="00FE5A3C">
              <w:rPr>
                <w:sz w:val="20"/>
                <w:szCs w:val="20"/>
                <w:lang w:eastAsia="en-IN"/>
              </w:rPr>
              <w:t>Industry Median (8.7%)</w:t>
            </w:r>
          </w:p>
        </w:tc>
      </w:tr>
    </w:tbl>
    <w:p w14:paraId="5B0A3312" w14:textId="77777777" w:rsidR="00BC5DC0" w:rsidRPr="00FE5A3C" w:rsidRDefault="00BC5DC0" w:rsidP="00BC5DC0">
      <w:pPr>
        <w:pStyle w:val="NoSpacing"/>
        <w:rPr>
          <w:sz w:val="20"/>
          <w:szCs w:val="20"/>
          <w:lang w:eastAsia="en-IN"/>
        </w:rPr>
      </w:pPr>
      <w:r w:rsidRPr="00FE5A3C">
        <w:rPr>
          <w:sz w:val="20"/>
          <w:szCs w:val="20"/>
          <w:lang w:eastAsia="en-IN"/>
        </w:rPr>
        <w:t>Analysis: RICK's 6.4% operating margin is below the industry average of 8.7% . Dave &amp; Buster's leads with 14.7% , while Caesars (6.85%)  is closer to RICK. The company's operating margins have shown volatility due to impairment charges and acquisition-related integration costs.</w:t>
      </w:r>
    </w:p>
    <w:p w14:paraId="31561B2C" w14:textId="77777777" w:rsidR="00BC5DC0" w:rsidRPr="00FE5A3C" w:rsidRDefault="00BC5DC0" w:rsidP="00BC5DC0">
      <w:pPr>
        <w:pStyle w:val="NoSpacing"/>
        <w:rPr>
          <w:sz w:val="20"/>
          <w:szCs w:val="20"/>
          <w:lang w:eastAsia="en-IN"/>
        </w:rPr>
      </w:pPr>
      <w:r w:rsidRPr="00FE5A3C">
        <w:rPr>
          <w:sz w:val="20"/>
          <w:szCs w:val="20"/>
          <w:lang w:eastAsia="en-IN"/>
        </w:rPr>
        <w:t>Implication: While margins are lower than peers, the gap is not as wide as ROE/ROA. Improvement in operational efficiency could bridge this gap over time.</w:t>
      </w:r>
    </w:p>
    <w:p w14:paraId="4F5D3476" w14:textId="77777777" w:rsidR="00BC5DC0" w:rsidRPr="00FE5A3C" w:rsidRDefault="00BC5DC0" w:rsidP="00BC5DC0">
      <w:pPr>
        <w:pStyle w:val="NoSpacing"/>
        <w:rPr>
          <w:rFonts w:ascii="Times New Roman" w:hAnsi="Times New Roman" w:cs="Times New Roman"/>
          <w:sz w:val="20"/>
          <w:szCs w:val="20"/>
          <w:lang w:eastAsia="en-IN"/>
        </w:rPr>
      </w:pPr>
      <w:r w:rsidRPr="00FE5A3C">
        <w:rPr>
          <w:rFonts w:ascii="Times New Roman" w:hAnsi="Times New Roman" w:cs="Times New Roman"/>
          <w:sz w:val="20"/>
          <w:szCs w:val="20"/>
          <w:lang w:eastAsia="en-IN"/>
        </w:rPr>
        <w:pict w14:anchorId="25ADBE39">
          <v:rect id="_x0000_i1029" style="width:0;height:.75pt" o:hralign="center" o:hrstd="t" o:hr="t" fillcolor="#a0a0a0" stroked="f"/>
        </w:pict>
      </w:r>
    </w:p>
    <w:p w14:paraId="45B265AA" w14:textId="77777777" w:rsidR="00BC5DC0" w:rsidRPr="00FE5A3C" w:rsidRDefault="00BC5DC0" w:rsidP="00BC5DC0">
      <w:pPr>
        <w:pStyle w:val="NoSpacing"/>
        <w:rPr>
          <w:sz w:val="20"/>
          <w:szCs w:val="20"/>
          <w:lang w:eastAsia="en-IN"/>
        </w:rPr>
      </w:pPr>
      <w:r w:rsidRPr="00FE5A3C">
        <w:rPr>
          <w:sz w:val="20"/>
          <w:szCs w:val="20"/>
          <w:lang w:eastAsia="en-IN"/>
        </w:rPr>
        <w:t>Net Margin — Neutral</w:t>
      </w:r>
    </w:p>
    <w:tbl>
      <w:tblPr>
        <w:tblW w:w="11280" w:type="dxa"/>
        <w:tblCellMar>
          <w:top w:w="15" w:type="dxa"/>
          <w:left w:w="15" w:type="dxa"/>
          <w:bottom w:w="15" w:type="dxa"/>
          <w:right w:w="15" w:type="dxa"/>
        </w:tblCellMar>
        <w:tblLook w:val="04A0" w:firstRow="1" w:lastRow="0" w:firstColumn="1" w:lastColumn="0" w:noHBand="0" w:noVBand="1"/>
      </w:tblPr>
      <w:tblGrid>
        <w:gridCol w:w="3585"/>
        <w:gridCol w:w="7695"/>
      </w:tblGrid>
      <w:tr w:rsidR="00BC5DC0" w:rsidRPr="00FE5A3C" w14:paraId="76C05012" w14:textId="77777777" w:rsidTr="00BC5DC0">
        <w:trPr>
          <w:tblHeader/>
        </w:trPr>
        <w:tc>
          <w:tcPr>
            <w:tcW w:w="0" w:type="auto"/>
            <w:tcBorders>
              <w:top w:val="nil"/>
            </w:tcBorders>
            <w:tcMar>
              <w:top w:w="150" w:type="dxa"/>
              <w:left w:w="0" w:type="dxa"/>
              <w:bottom w:w="150" w:type="dxa"/>
              <w:right w:w="240" w:type="dxa"/>
            </w:tcMar>
            <w:vAlign w:val="center"/>
            <w:hideMark/>
          </w:tcPr>
          <w:p w14:paraId="67F2F995" w14:textId="77777777" w:rsidR="00BC5DC0" w:rsidRPr="00FE5A3C" w:rsidRDefault="00BC5DC0" w:rsidP="00BC5DC0">
            <w:pPr>
              <w:pStyle w:val="NoSpacing"/>
              <w:rPr>
                <w:sz w:val="20"/>
                <w:szCs w:val="20"/>
                <w:lang w:eastAsia="en-IN"/>
              </w:rPr>
            </w:pPr>
          </w:p>
        </w:tc>
        <w:tc>
          <w:tcPr>
            <w:tcW w:w="0" w:type="auto"/>
            <w:tcBorders>
              <w:top w:val="nil"/>
            </w:tcBorders>
            <w:tcMar>
              <w:top w:w="150" w:type="dxa"/>
              <w:left w:w="240" w:type="dxa"/>
              <w:bottom w:w="150" w:type="dxa"/>
              <w:right w:w="240" w:type="dxa"/>
            </w:tcMar>
            <w:vAlign w:val="center"/>
            <w:hideMark/>
          </w:tcPr>
          <w:p w14:paraId="6F5DA643" w14:textId="77777777" w:rsidR="00BC5DC0" w:rsidRPr="00FE5A3C" w:rsidRDefault="00BC5DC0" w:rsidP="00BC5DC0">
            <w:pPr>
              <w:pStyle w:val="NoSpacing"/>
              <w:rPr>
                <w:rFonts w:ascii="Times New Roman" w:hAnsi="Times New Roman" w:cs="Times New Roman"/>
                <w:sz w:val="16"/>
                <w:szCs w:val="16"/>
                <w:lang w:eastAsia="en-IN"/>
              </w:rPr>
            </w:pPr>
          </w:p>
        </w:tc>
      </w:tr>
      <w:tr w:rsidR="00BC5DC0" w:rsidRPr="00FE5A3C" w14:paraId="538CDB0E" w14:textId="77777777" w:rsidTr="00BC5DC0">
        <w:tc>
          <w:tcPr>
            <w:tcW w:w="0" w:type="auto"/>
            <w:tcMar>
              <w:top w:w="150" w:type="dxa"/>
              <w:left w:w="0" w:type="dxa"/>
              <w:bottom w:w="150" w:type="dxa"/>
              <w:right w:w="240" w:type="dxa"/>
            </w:tcMar>
            <w:vAlign w:val="center"/>
            <w:hideMark/>
          </w:tcPr>
          <w:p w14:paraId="4ACCCCEE" w14:textId="77777777" w:rsidR="00BC5DC0" w:rsidRPr="00FE5A3C" w:rsidRDefault="00BC5DC0" w:rsidP="00BC5DC0">
            <w:pPr>
              <w:pStyle w:val="NoSpacing"/>
              <w:rPr>
                <w:sz w:val="20"/>
                <w:szCs w:val="20"/>
                <w:lang w:eastAsia="en-IN"/>
              </w:rPr>
            </w:pPr>
            <w:r w:rsidRPr="00FE5A3C">
              <w:rPr>
                <w:sz w:val="20"/>
                <w:szCs w:val="20"/>
                <w:lang w:eastAsia="en-IN"/>
              </w:rPr>
              <w:t>RICK (1.0%)</w:t>
            </w:r>
          </w:p>
        </w:tc>
        <w:tc>
          <w:tcPr>
            <w:tcW w:w="0" w:type="auto"/>
            <w:tcMar>
              <w:top w:w="150" w:type="dxa"/>
              <w:left w:w="240" w:type="dxa"/>
              <w:bottom w:w="150" w:type="dxa"/>
              <w:right w:w="0" w:type="dxa"/>
            </w:tcMar>
            <w:vAlign w:val="center"/>
            <w:hideMark/>
          </w:tcPr>
          <w:p w14:paraId="2DDEB32F" w14:textId="77777777" w:rsidR="00BC5DC0" w:rsidRPr="00FE5A3C" w:rsidRDefault="00BC5DC0" w:rsidP="00BC5DC0">
            <w:pPr>
              <w:pStyle w:val="NoSpacing"/>
              <w:rPr>
                <w:sz w:val="20"/>
                <w:szCs w:val="20"/>
                <w:lang w:eastAsia="en-IN"/>
              </w:rPr>
            </w:pPr>
            <w:r w:rsidRPr="00FE5A3C">
              <w:rPr>
                <w:sz w:val="20"/>
                <w:szCs w:val="20"/>
                <w:lang w:eastAsia="en-IN"/>
              </w:rPr>
              <w:t>Industry Range (1.8%–5.3%)</w:t>
            </w:r>
          </w:p>
        </w:tc>
      </w:tr>
    </w:tbl>
    <w:p w14:paraId="5DBC7EC7" w14:textId="77777777" w:rsidR="00BC5DC0" w:rsidRPr="00FE5A3C" w:rsidRDefault="00BC5DC0" w:rsidP="00BC5DC0">
      <w:pPr>
        <w:pStyle w:val="NoSpacing"/>
        <w:rPr>
          <w:sz w:val="20"/>
          <w:szCs w:val="20"/>
          <w:lang w:eastAsia="en-IN"/>
        </w:rPr>
      </w:pPr>
      <w:r w:rsidRPr="00FE5A3C">
        <w:rPr>
          <w:sz w:val="20"/>
          <w:szCs w:val="20"/>
          <w:lang w:eastAsia="en-IN"/>
        </w:rPr>
        <w:t>Analysis: RICK's net margin of ~1% is below the weighted average of ~1.75% . However, competitors vary widely: Las Vegas Sands achieves 13.98% , while Penn Entertainment and Caesars have negative net margins (-13.27% and -1.57%, respectively) . This suggests RICK's performance is not an outlier in the hospitality sector.</w:t>
      </w:r>
    </w:p>
    <w:p w14:paraId="23587834" w14:textId="77777777" w:rsidR="00BC5DC0" w:rsidRPr="00FE5A3C" w:rsidRDefault="00BC5DC0" w:rsidP="00BC5DC0">
      <w:pPr>
        <w:pStyle w:val="NoSpacing"/>
        <w:rPr>
          <w:sz w:val="20"/>
          <w:szCs w:val="20"/>
          <w:lang w:eastAsia="en-IN"/>
        </w:rPr>
      </w:pPr>
      <w:r w:rsidRPr="00FE5A3C">
        <w:rPr>
          <w:sz w:val="20"/>
          <w:szCs w:val="20"/>
          <w:lang w:eastAsia="en-IN"/>
        </w:rPr>
        <w:t>Implication: The wide dispersion in net margins reflects the varying business models (gaming vs. nightclubs vs. restaurants). RICK's margins are manageable relative to peers but need improvement.</w:t>
      </w:r>
    </w:p>
    <w:p w14:paraId="1408298D" w14:textId="77777777" w:rsidR="00BC5DC0" w:rsidRPr="00FE5A3C" w:rsidRDefault="00BC5DC0" w:rsidP="00BC5DC0">
      <w:pPr>
        <w:pStyle w:val="NoSpacing"/>
        <w:rPr>
          <w:rFonts w:ascii="Times New Roman" w:hAnsi="Times New Roman" w:cs="Times New Roman"/>
          <w:sz w:val="20"/>
          <w:szCs w:val="20"/>
          <w:lang w:eastAsia="en-IN"/>
        </w:rPr>
      </w:pPr>
      <w:r w:rsidRPr="00FE5A3C">
        <w:rPr>
          <w:rFonts w:ascii="Times New Roman" w:hAnsi="Times New Roman" w:cs="Times New Roman"/>
          <w:sz w:val="20"/>
          <w:szCs w:val="20"/>
          <w:lang w:eastAsia="en-IN"/>
        </w:rPr>
        <w:pict w14:anchorId="156753B2">
          <v:rect id="_x0000_i1030" style="width:0;height:.75pt" o:hralign="center" o:hrstd="t" o:hr="t" fillcolor="#a0a0a0" stroked="f"/>
        </w:pict>
      </w:r>
    </w:p>
    <w:p w14:paraId="182EC4B7" w14:textId="77777777" w:rsidR="00BC5DC0" w:rsidRPr="00FE5A3C" w:rsidRDefault="00BC5DC0" w:rsidP="00BC5DC0">
      <w:pPr>
        <w:pStyle w:val="NoSpacing"/>
        <w:rPr>
          <w:sz w:val="20"/>
          <w:szCs w:val="20"/>
          <w:lang w:eastAsia="en-IN"/>
        </w:rPr>
      </w:pPr>
      <w:r w:rsidRPr="00FE5A3C">
        <w:rPr>
          <w:sz w:val="20"/>
          <w:szCs w:val="20"/>
          <w:lang w:eastAsia="en-IN"/>
        </w:rPr>
        <w:t>Debt/Equity Ratio — Strength</w:t>
      </w:r>
    </w:p>
    <w:tbl>
      <w:tblPr>
        <w:tblW w:w="11280" w:type="dxa"/>
        <w:tblCellMar>
          <w:top w:w="15" w:type="dxa"/>
          <w:left w:w="15" w:type="dxa"/>
          <w:bottom w:w="15" w:type="dxa"/>
          <w:right w:w="15" w:type="dxa"/>
        </w:tblCellMar>
        <w:tblLook w:val="04A0" w:firstRow="1" w:lastRow="0" w:firstColumn="1" w:lastColumn="0" w:noHBand="0" w:noVBand="1"/>
      </w:tblPr>
      <w:tblGrid>
        <w:gridCol w:w="3306"/>
        <w:gridCol w:w="7974"/>
      </w:tblGrid>
      <w:tr w:rsidR="00BC5DC0" w:rsidRPr="00FE5A3C" w14:paraId="2785C1E8" w14:textId="77777777" w:rsidTr="00BC5DC0">
        <w:trPr>
          <w:tblHeader/>
        </w:trPr>
        <w:tc>
          <w:tcPr>
            <w:tcW w:w="0" w:type="auto"/>
            <w:tcBorders>
              <w:top w:val="nil"/>
            </w:tcBorders>
            <w:tcMar>
              <w:top w:w="150" w:type="dxa"/>
              <w:left w:w="0" w:type="dxa"/>
              <w:bottom w:w="150" w:type="dxa"/>
              <w:right w:w="240" w:type="dxa"/>
            </w:tcMar>
            <w:vAlign w:val="center"/>
            <w:hideMark/>
          </w:tcPr>
          <w:p w14:paraId="553D66B0" w14:textId="77777777" w:rsidR="00BC5DC0" w:rsidRPr="00FE5A3C" w:rsidRDefault="00BC5DC0" w:rsidP="00BC5DC0">
            <w:pPr>
              <w:pStyle w:val="NoSpacing"/>
              <w:rPr>
                <w:sz w:val="20"/>
                <w:szCs w:val="20"/>
                <w:lang w:eastAsia="en-IN"/>
              </w:rPr>
            </w:pPr>
          </w:p>
        </w:tc>
        <w:tc>
          <w:tcPr>
            <w:tcW w:w="0" w:type="auto"/>
            <w:tcBorders>
              <w:top w:val="nil"/>
            </w:tcBorders>
            <w:tcMar>
              <w:top w:w="150" w:type="dxa"/>
              <w:left w:w="240" w:type="dxa"/>
              <w:bottom w:w="150" w:type="dxa"/>
              <w:right w:w="240" w:type="dxa"/>
            </w:tcMar>
            <w:vAlign w:val="center"/>
            <w:hideMark/>
          </w:tcPr>
          <w:p w14:paraId="2F994F58" w14:textId="77777777" w:rsidR="00BC5DC0" w:rsidRPr="00FE5A3C" w:rsidRDefault="00BC5DC0" w:rsidP="00BC5DC0">
            <w:pPr>
              <w:pStyle w:val="NoSpacing"/>
              <w:rPr>
                <w:rFonts w:ascii="Times New Roman" w:hAnsi="Times New Roman" w:cs="Times New Roman"/>
                <w:sz w:val="16"/>
                <w:szCs w:val="16"/>
                <w:lang w:eastAsia="en-IN"/>
              </w:rPr>
            </w:pPr>
          </w:p>
        </w:tc>
      </w:tr>
      <w:tr w:rsidR="00BC5DC0" w:rsidRPr="00FE5A3C" w14:paraId="4A2DF16E" w14:textId="77777777" w:rsidTr="00BC5DC0">
        <w:tc>
          <w:tcPr>
            <w:tcW w:w="0" w:type="auto"/>
            <w:tcMar>
              <w:top w:w="150" w:type="dxa"/>
              <w:left w:w="0" w:type="dxa"/>
              <w:bottom w:w="150" w:type="dxa"/>
              <w:right w:w="240" w:type="dxa"/>
            </w:tcMar>
            <w:vAlign w:val="center"/>
            <w:hideMark/>
          </w:tcPr>
          <w:p w14:paraId="516C9A13" w14:textId="77777777" w:rsidR="00BC5DC0" w:rsidRPr="00FE5A3C" w:rsidRDefault="00BC5DC0" w:rsidP="00BC5DC0">
            <w:pPr>
              <w:pStyle w:val="NoSpacing"/>
              <w:rPr>
                <w:sz w:val="20"/>
                <w:szCs w:val="20"/>
                <w:lang w:eastAsia="en-IN"/>
              </w:rPr>
            </w:pPr>
            <w:r w:rsidRPr="00FE5A3C">
              <w:rPr>
                <w:sz w:val="20"/>
                <w:szCs w:val="20"/>
                <w:lang w:eastAsia="en-IN"/>
              </w:rPr>
              <w:t>RICK (0.89)</w:t>
            </w:r>
          </w:p>
        </w:tc>
        <w:tc>
          <w:tcPr>
            <w:tcW w:w="0" w:type="auto"/>
            <w:tcMar>
              <w:top w:w="150" w:type="dxa"/>
              <w:left w:w="240" w:type="dxa"/>
              <w:bottom w:w="150" w:type="dxa"/>
              <w:right w:w="0" w:type="dxa"/>
            </w:tcMar>
            <w:vAlign w:val="center"/>
            <w:hideMark/>
          </w:tcPr>
          <w:p w14:paraId="4E5FBEF7" w14:textId="77777777" w:rsidR="00BC5DC0" w:rsidRPr="00FE5A3C" w:rsidRDefault="00BC5DC0" w:rsidP="00BC5DC0">
            <w:pPr>
              <w:pStyle w:val="NoSpacing"/>
              <w:rPr>
                <w:sz w:val="20"/>
                <w:szCs w:val="20"/>
                <w:lang w:eastAsia="en-IN"/>
              </w:rPr>
            </w:pPr>
            <w:r w:rsidRPr="00FE5A3C">
              <w:rPr>
                <w:sz w:val="20"/>
                <w:szCs w:val="20"/>
                <w:lang w:eastAsia="en-IN"/>
              </w:rPr>
              <w:t>Industry Median (2.84x–3.05x)</w:t>
            </w:r>
          </w:p>
        </w:tc>
      </w:tr>
    </w:tbl>
    <w:p w14:paraId="5F93F1C9" w14:textId="77777777" w:rsidR="00BC5DC0" w:rsidRPr="00FE5A3C" w:rsidRDefault="00BC5DC0" w:rsidP="00BC5DC0">
      <w:pPr>
        <w:pStyle w:val="NoSpacing"/>
        <w:rPr>
          <w:sz w:val="20"/>
          <w:szCs w:val="20"/>
          <w:lang w:eastAsia="en-IN"/>
        </w:rPr>
      </w:pPr>
      <w:r w:rsidRPr="00FE5A3C">
        <w:rPr>
          <w:sz w:val="20"/>
          <w:szCs w:val="20"/>
          <w:lang w:eastAsia="en-IN"/>
        </w:rPr>
        <w:t>Analysis: This is a key strength. RICK's debt-to-equity ratio of 0.89 is significantly lower than the industry average of approximately 2.84x–3.05x . Dave &amp; Buster's carries a very high 8.86x ratio, while Las Vegas Sands is at 5.72x . RICK's conservative leverage reduces financial risk and interest burden.</w:t>
      </w:r>
    </w:p>
    <w:p w14:paraId="49AF8A47" w14:textId="77777777" w:rsidR="00BC5DC0" w:rsidRPr="00FE5A3C" w:rsidRDefault="00BC5DC0" w:rsidP="00BC5DC0">
      <w:pPr>
        <w:pStyle w:val="NoSpacing"/>
        <w:rPr>
          <w:sz w:val="20"/>
          <w:szCs w:val="20"/>
          <w:lang w:eastAsia="en-IN"/>
        </w:rPr>
      </w:pPr>
      <w:r w:rsidRPr="00FE5A3C">
        <w:rPr>
          <w:sz w:val="20"/>
          <w:szCs w:val="20"/>
          <w:lang w:eastAsia="en-IN"/>
        </w:rPr>
        <w:t>Implication: RICK has greater financial flexibility than most peers. This lower leverage means the company can more easily weather downturns and pursue growth opportunities if needed.</w:t>
      </w:r>
    </w:p>
    <w:p w14:paraId="6E58B2F6" w14:textId="77777777" w:rsidR="00BC5DC0" w:rsidRPr="00FE5A3C" w:rsidRDefault="00BC5DC0" w:rsidP="00BC5DC0">
      <w:pPr>
        <w:pStyle w:val="NoSpacing"/>
        <w:rPr>
          <w:rFonts w:ascii="Times New Roman" w:hAnsi="Times New Roman" w:cs="Times New Roman"/>
          <w:sz w:val="20"/>
          <w:szCs w:val="20"/>
          <w:lang w:eastAsia="en-IN"/>
        </w:rPr>
      </w:pPr>
      <w:r w:rsidRPr="00FE5A3C">
        <w:rPr>
          <w:rFonts w:ascii="Times New Roman" w:hAnsi="Times New Roman" w:cs="Times New Roman"/>
          <w:sz w:val="20"/>
          <w:szCs w:val="20"/>
          <w:lang w:eastAsia="en-IN"/>
        </w:rPr>
        <w:pict w14:anchorId="380295FA">
          <v:rect id="_x0000_i1031" style="width:0;height:.75pt" o:hralign="center" o:hrstd="t" o:hr="t" fillcolor="#a0a0a0" stroked="f"/>
        </w:pict>
      </w:r>
    </w:p>
    <w:p w14:paraId="5BD67A28" w14:textId="77777777" w:rsidR="00BC5DC0" w:rsidRPr="00FE5A3C" w:rsidRDefault="00BC5DC0" w:rsidP="00BC5DC0">
      <w:pPr>
        <w:pStyle w:val="NoSpacing"/>
        <w:rPr>
          <w:sz w:val="20"/>
          <w:szCs w:val="20"/>
          <w:lang w:eastAsia="en-IN"/>
        </w:rPr>
      </w:pPr>
      <w:r w:rsidRPr="00FE5A3C">
        <w:rPr>
          <w:sz w:val="20"/>
          <w:szCs w:val="20"/>
          <w:lang w:eastAsia="en-IN"/>
        </w:rPr>
        <w:t>Asset Turnover — Weakness</w:t>
      </w:r>
    </w:p>
    <w:tbl>
      <w:tblPr>
        <w:tblW w:w="11280" w:type="dxa"/>
        <w:tblCellMar>
          <w:top w:w="15" w:type="dxa"/>
          <w:left w:w="15" w:type="dxa"/>
          <w:bottom w:w="15" w:type="dxa"/>
          <w:right w:w="15" w:type="dxa"/>
        </w:tblCellMar>
        <w:tblLook w:val="04A0" w:firstRow="1" w:lastRow="0" w:firstColumn="1" w:lastColumn="0" w:noHBand="0" w:noVBand="1"/>
      </w:tblPr>
      <w:tblGrid>
        <w:gridCol w:w="3949"/>
        <w:gridCol w:w="7331"/>
      </w:tblGrid>
      <w:tr w:rsidR="00BC5DC0" w:rsidRPr="00FE5A3C" w14:paraId="0241DD29" w14:textId="77777777" w:rsidTr="00BC5DC0">
        <w:trPr>
          <w:tblHeader/>
        </w:trPr>
        <w:tc>
          <w:tcPr>
            <w:tcW w:w="0" w:type="auto"/>
            <w:tcBorders>
              <w:top w:val="nil"/>
            </w:tcBorders>
            <w:tcMar>
              <w:top w:w="150" w:type="dxa"/>
              <w:left w:w="0" w:type="dxa"/>
              <w:bottom w:w="150" w:type="dxa"/>
              <w:right w:w="240" w:type="dxa"/>
            </w:tcMar>
            <w:vAlign w:val="center"/>
            <w:hideMark/>
          </w:tcPr>
          <w:p w14:paraId="4E1934DC" w14:textId="77777777" w:rsidR="00BC5DC0" w:rsidRPr="00FE5A3C" w:rsidRDefault="00BC5DC0" w:rsidP="00BC5DC0">
            <w:pPr>
              <w:pStyle w:val="NoSpacing"/>
              <w:rPr>
                <w:sz w:val="20"/>
                <w:szCs w:val="20"/>
                <w:lang w:eastAsia="en-IN"/>
              </w:rPr>
            </w:pPr>
          </w:p>
        </w:tc>
        <w:tc>
          <w:tcPr>
            <w:tcW w:w="0" w:type="auto"/>
            <w:tcBorders>
              <w:top w:val="nil"/>
            </w:tcBorders>
            <w:tcMar>
              <w:top w:w="150" w:type="dxa"/>
              <w:left w:w="240" w:type="dxa"/>
              <w:bottom w:w="150" w:type="dxa"/>
              <w:right w:w="240" w:type="dxa"/>
            </w:tcMar>
            <w:vAlign w:val="center"/>
            <w:hideMark/>
          </w:tcPr>
          <w:p w14:paraId="380DBE14" w14:textId="77777777" w:rsidR="00BC5DC0" w:rsidRPr="00FE5A3C" w:rsidRDefault="00BC5DC0" w:rsidP="00BC5DC0">
            <w:pPr>
              <w:pStyle w:val="NoSpacing"/>
              <w:rPr>
                <w:rFonts w:ascii="Times New Roman" w:hAnsi="Times New Roman" w:cs="Times New Roman"/>
                <w:sz w:val="16"/>
                <w:szCs w:val="16"/>
                <w:lang w:eastAsia="en-IN"/>
              </w:rPr>
            </w:pPr>
          </w:p>
        </w:tc>
      </w:tr>
      <w:tr w:rsidR="00BC5DC0" w:rsidRPr="00FE5A3C" w14:paraId="2944A0DC" w14:textId="77777777" w:rsidTr="00BC5DC0">
        <w:tc>
          <w:tcPr>
            <w:tcW w:w="0" w:type="auto"/>
            <w:tcMar>
              <w:top w:w="150" w:type="dxa"/>
              <w:left w:w="0" w:type="dxa"/>
              <w:bottom w:w="150" w:type="dxa"/>
              <w:right w:w="240" w:type="dxa"/>
            </w:tcMar>
            <w:vAlign w:val="center"/>
            <w:hideMark/>
          </w:tcPr>
          <w:p w14:paraId="33CE23D8" w14:textId="77777777" w:rsidR="00BC5DC0" w:rsidRPr="00FE5A3C" w:rsidRDefault="00BC5DC0" w:rsidP="00BC5DC0">
            <w:pPr>
              <w:pStyle w:val="NoSpacing"/>
              <w:rPr>
                <w:sz w:val="20"/>
                <w:szCs w:val="20"/>
                <w:lang w:eastAsia="en-IN"/>
              </w:rPr>
            </w:pPr>
            <w:r w:rsidRPr="00FE5A3C">
              <w:rPr>
                <w:sz w:val="20"/>
                <w:szCs w:val="20"/>
                <w:lang w:eastAsia="en-IN"/>
              </w:rPr>
              <w:t>RICK (0.48)</w:t>
            </w:r>
          </w:p>
        </w:tc>
        <w:tc>
          <w:tcPr>
            <w:tcW w:w="0" w:type="auto"/>
            <w:tcMar>
              <w:top w:w="150" w:type="dxa"/>
              <w:left w:w="240" w:type="dxa"/>
              <w:bottom w:w="150" w:type="dxa"/>
              <w:right w:w="0" w:type="dxa"/>
            </w:tcMar>
            <w:vAlign w:val="center"/>
            <w:hideMark/>
          </w:tcPr>
          <w:p w14:paraId="0641E6EC" w14:textId="77777777" w:rsidR="00BC5DC0" w:rsidRPr="00FE5A3C" w:rsidRDefault="00BC5DC0" w:rsidP="00BC5DC0">
            <w:pPr>
              <w:pStyle w:val="NoSpacing"/>
              <w:rPr>
                <w:sz w:val="20"/>
                <w:szCs w:val="20"/>
                <w:lang w:eastAsia="en-IN"/>
              </w:rPr>
            </w:pPr>
            <w:r w:rsidRPr="00FE5A3C">
              <w:rPr>
                <w:sz w:val="20"/>
                <w:szCs w:val="20"/>
                <w:lang w:eastAsia="en-IN"/>
              </w:rPr>
              <w:t>Industry Median (0.61)</w:t>
            </w:r>
          </w:p>
        </w:tc>
      </w:tr>
    </w:tbl>
    <w:p w14:paraId="48DBE972" w14:textId="77777777" w:rsidR="00BC5DC0" w:rsidRPr="00FE5A3C" w:rsidRDefault="00BC5DC0" w:rsidP="00BC5DC0">
      <w:pPr>
        <w:pStyle w:val="NoSpacing"/>
        <w:rPr>
          <w:sz w:val="20"/>
          <w:szCs w:val="20"/>
          <w:lang w:eastAsia="en-IN"/>
        </w:rPr>
      </w:pPr>
      <w:r w:rsidRPr="00FE5A3C">
        <w:rPr>
          <w:sz w:val="20"/>
          <w:szCs w:val="20"/>
          <w:lang w:eastAsia="en-IN"/>
        </w:rPr>
        <w:t>Analysis: RICK's asset turnover ratio of 0.48 is below the industry average of 0.61 . Competitors like Las Vegas Sands (0.58)  and Dave &amp; Buster's (0.54)  convert assets to revenue more efficiently. This ratio has declined as acquisitions have grown the asset base faster than revenue.</w:t>
      </w:r>
    </w:p>
    <w:p w14:paraId="379785DE" w14:textId="77777777" w:rsidR="00BC5DC0" w:rsidRPr="00FE5A3C" w:rsidRDefault="00BC5DC0" w:rsidP="00BC5DC0">
      <w:pPr>
        <w:pStyle w:val="NoSpacing"/>
        <w:rPr>
          <w:sz w:val="20"/>
          <w:szCs w:val="20"/>
          <w:lang w:eastAsia="en-IN"/>
        </w:rPr>
      </w:pPr>
      <w:r w:rsidRPr="00FE5A3C">
        <w:rPr>
          <w:sz w:val="20"/>
          <w:szCs w:val="20"/>
          <w:lang w:eastAsia="en-IN"/>
        </w:rPr>
        <w:t>Implication: The company's acquisition-heavy growth strategy has created a large asset base that generates relatively modest revenue per dollar invested, although this could improve once acquired clubs are fully integrated.</w:t>
      </w:r>
    </w:p>
    <w:p w14:paraId="4AF76C1E" w14:textId="77777777" w:rsidR="00BC5DC0" w:rsidRPr="00FE5A3C" w:rsidRDefault="00BC5DC0" w:rsidP="00BC5DC0">
      <w:pPr>
        <w:pStyle w:val="NoSpacing"/>
        <w:rPr>
          <w:rFonts w:ascii="Times New Roman" w:hAnsi="Times New Roman" w:cs="Times New Roman"/>
          <w:sz w:val="20"/>
          <w:szCs w:val="20"/>
          <w:lang w:eastAsia="en-IN"/>
        </w:rPr>
      </w:pPr>
      <w:r w:rsidRPr="00FE5A3C">
        <w:rPr>
          <w:rFonts w:ascii="Times New Roman" w:hAnsi="Times New Roman" w:cs="Times New Roman"/>
          <w:sz w:val="20"/>
          <w:szCs w:val="20"/>
          <w:lang w:eastAsia="en-IN"/>
        </w:rPr>
        <w:pict w14:anchorId="56406824">
          <v:rect id="_x0000_i1032" style="width:0;height:.75pt" o:hralign="center" o:hrstd="t" o:hr="t" fillcolor="#a0a0a0" stroked="f"/>
        </w:pict>
      </w:r>
    </w:p>
    <w:p w14:paraId="10FB85E8" w14:textId="77777777" w:rsidR="00BC5DC0" w:rsidRPr="00FE5A3C" w:rsidRDefault="00BC5DC0" w:rsidP="00BC5DC0">
      <w:pPr>
        <w:pStyle w:val="NoSpacing"/>
        <w:rPr>
          <w:sz w:val="20"/>
          <w:szCs w:val="20"/>
          <w:lang w:eastAsia="en-IN"/>
        </w:rPr>
      </w:pPr>
      <w:r w:rsidRPr="00FE5A3C">
        <w:rPr>
          <w:sz w:val="20"/>
          <w:szCs w:val="20"/>
          <w:lang w:eastAsia="en-IN"/>
        </w:rPr>
        <w:t>Current Ratio — Strength</w:t>
      </w:r>
    </w:p>
    <w:tbl>
      <w:tblPr>
        <w:tblW w:w="11280" w:type="dxa"/>
        <w:tblCellMar>
          <w:top w:w="15" w:type="dxa"/>
          <w:left w:w="15" w:type="dxa"/>
          <w:bottom w:w="15" w:type="dxa"/>
          <w:right w:w="15" w:type="dxa"/>
        </w:tblCellMar>
        <w:tblLook w:val="04A0" w:firstRow="1" w:lastRow="0" w:firstColumn="1" w:lastColumn="0" w:noHBand="0" w:noVBand="1"/>
      </w:tblPr>
      <w:tblGrid>
        <w:gridCol w:w="3897"/>
        <w:gridCol w:w="7383"/>
      </w:tblGrid>
      <w:tr w:rsidR="00BC5DC0" w:rsidRPr="00FE5A3C" w14:paraId="1E0BC325" w14:textId="77777777" w:rsidTr="00BC5DC0">
        <w:trPr>
          <w:tblHeader/>
        </w:trPr>
        <w:tc>
          <w:tcPr>
            <w:tcW w:w="0" w:type="auto"/>
            <w:tcBorders>
              <w:top w:val="nil"/>
            </w:tcBorders>
            <w:tcMar>
              <w:top w:w="150" w:type="dxa"/>
              <w:left w:w="0" w:type="dxa"/>
              <w:bottom w:w="150" w:type="dxa"/>
              <w:right w:w="240" w:type="dxa"/>
            </w:tcMar>
            <w:vAlign w:val="center"/>
            <w:hideMark/>
          </w:tcPr>
          <w:p w14:paraId="1C4CC1F1" w14:textId="77777777" w:rsidR="00BC5DC0" w:rsidRPr="00FE5A3C" w:rsidRDefault="00BC5DC0" w:rsidP="00BC5DC0">
            <w:pPr>
              <w:pStyle w:val="NoSpacing"/>
              <w:rPr>
                <w:sz w:val="20"/>
                <w:szCs w:val="20"/>
                <w:lang w:eastAsia="en-IN"/>
              </w:rPr>
            </w:pPr>
          </w:p>
        </w:tc>
        <w:tc>
          <w:tcPr>
            <w:tcW w:w="0" w:type="auto"/>
            <w:tcBorders>
              <w:top w:val="nil"/>
            </w:tcBorders>
            <w:tcMar>
              <w:top w:w="150" w:type="dxa"/>
              <w:left w:w="240" w:type="dxa"/>
              <w:bottom w:w="150" w:type="dxa"/>
              <w:right w:w="240" w:type="dxa"/>
            </w:tcMar>
            <w:vAlign w:val="center"/>
            <w:hideMark/>
          </w:tcPr>
          <w:p w14:paraId="47B8F7EB" w14:textId="77777777" w:rsidR="00BC5DC0" w:rsidRPr="00FE5A3C" w:rsidRDefault="00BC5DC0" w:rsidP="00BC5DC0">
            <w:pPr>
              <w:pStyle w:val="NoSpacing"/>
              <w:rPr>
                <w:rFonts w:ascii="Times New Roman" w:hAnsi="Times New Roman" w:cs="Times New Roman"/>
                <w:sz w:val="16"/>
                <w:szCs w:val="16"/>
                <w:lang w:eastAsia="en-IN"/>
              </w:rPr>
            </w:pPr>
          </w:p>
        </w:tc>
      </w:tr>
      <w:tr w:rsidR="00BC5DC0" w:rsidRPr="00FE5A3C" w14:paraId="6D62801E" w14:textId="77777777" w:rsidTr="00BC5DC0">
        <w:tc>
          <w:tcPr>
            <w:tcW w:w="0" w:type="auto"/>
            <w:tcMar>
              <w:top w:w="150" w:type="dxa"/>
              <w:left w:w="0" w:type="dxa"/>
              <w:bottom w:w="150" w:type="dxa"/>
              <w:right w:w="240" w:type="dxa"/>
            </w:tcMar>
            <w:vAlign w:val="center"/>
            <w:hideMark/>
          </w:tcPr>
          <w:p w14:paraId="444A34F0" w14:textId="77777777" w:rsidR="00BC5DC0" w:rsidRPr="00FE5A3C" w:rsidRDefault="00BC5DC0" w:rsidP="00BC5DC0">
            <w:pPr>
              <w:pStyle w:val="NoSpacing"/>
              <w:rPr>
                <w:sz w:val="20"/>
                <w:szCs w:val="20"/>
                <w:lang w:eastAsia="en-IN"/>
              </w:rPr>
            </w:pPr>
            <w:r w:rsidRPr="00FE5A3C">
              <w:rPr>
                <w:sz w:val="20"/>
                <w:szCs w:val="20"/>
                <w:lang w:eastAsia="en-IN"/>
              </w:rPr>
              <w:t>RICK (0.98)</w:t>
            </w:r>
          </w:p>
        </w:tc>
        <w:tc>
          <w:tcPr>
            <w:tcW w:w="0" w:type="auto"/>
            <w:tcMar>
              <w:top w:w="150" w:type="dxa"/>
              <w:left w:w="240" w:type="dxa"/>
              <w:bottom w:w="150" w:type="dxa"/>
              <w:right w:w="0" w:type="dxa"/>
            </w:tcMar>
            <w:vAlign w:val="center"/>
            <w:hideMark/>
          </w:tcPr>
          <w:p w14:paraId="6DDDB480" w14:textId="77777777" w:rsidR="00BC5DC0" w:rsidRPr="00FE5A3C" w:rsidRDefault="00BC5DC0" w:rsidP="00BC5DC0">
            <w:pPr>
              <w:pStyle w:val="NoSpacing"/>
              <w:rPr>
                <w:sz w:val="20"/>
                <w:szCs w:val="20"/>
                <w:lang w:eastAsia="en-IN"/>
              </w:rPr>
            </w:pPr>
            <w:r w:rsidRPr="00FE5A3C">
              <w:rPr>
                <w:sz w:val="20"/>
                <w:szCs w:val="20"/>
                <w:lang w:eastAsia="en-IN"/>
              </w:rPr>
              <w:t>Industry Average (0.84)</w:t>
            </w:r>
          </w:p>
        </w:tc>
      </w:tr>
    </w:tbl>
    <w:p w14:paraId="76D9F535" w14:textId="77777777" w:rsidR="00BC5DC0" w:rsidRPr="00FE5A3C" w:rsidRDefault="00BC5DC0" w:rsidP="00BC5DC0">
      <w:pPr>
        <w:pStyle w:val="NoSpacing"/>
        <w:rPr>
          <w:sz w:val="20"/>
          <w:szCs w:val="20"/>
          <w:lang w:eastAsia="en-IN"/>
        </w:rPr>
      </w:pPr>
      <w:r w:rsidRPr="00FE5A3C">
        <w:rPr>
          <w:sz w:val="20"/>
          <w:szCs w:val="20"/>
          <w:lang w:eastAsia="en-IN"/>
        </w:rPr>
        <w:t>Analysis: RICK's current ratio of 0.98 is above the industry average . Compared to Dave &amp; Buster's (0.27)  and Penn Entertainment (0.77) , RICK maintains more conservative short-term liquidity management.</w:t>
      </w:r>
    </w:p>
    <w:p w14:paraId="22A0EB44" w14:textId="77777777" w:rsidR="00BC5DC0" w:rsidRPr="00FE5A3C" w:rsidRDefault="00BC5DC0" w:rsidP="00BC5DC0">
      <w:pPr>
        <w:pStyle w:val="NoSpacing"/>
        <w:rPr>
          <w:sz w:val="20"/>
          <w:szCs w:val="20"/>
          <w:lang w:eastAsia="en-IN"/>
        </w:rPr>
      </w:pPr>
      <w:r w:rsidRPr="00FE5A3C">
        <w:rPr>
          <w:sz w:val="20"/>
          <w:szCs w:val="20"/>
          <w:lang w:eastAsia="en-IN"/>
        </w:rPr>
        <w:t>Implication: The company's liquidity position is healthier than many peers, providing better ability to meet short-term obligations.</w:t>
      </w:r>
    </w:p>
    <w:p w14:paraId="126E50AB" w14:textId="77777777" w:rsidR="00BC5DC0" w:rsidRPr="00FE5A3C" w:rsidRDefault="00BC5DC0" w:rsidP="00BC5DC0">
      <w:pPr>
        <w:pStyle w:val="NoSpacing"/>
        <w:rPr>
          <w:rFonts w:ascii="Times New Roman" w:hAnsi="Times New Roman" w:cs="Times New Roman"/>
          <w:sz w:val="20"/>
          <w:szCs w:val="20"/>
          <w:lang w:eastAsia="en-IN"/>
        </w:rPr>
      </w:pPr>
      <w:r w:rsidRPr="00FE5A3C">
        <w:rPr>
          <w:rFonts w:ascii="Times New Roman" w:hAnsi="Times New Roman" w:cs="Times New Roman"/>
          <w:sz w:val="20"/>
          <w:szCs w:val="20"/>
          <w:lang w:eastAsia="en-IN"/>
        </w:rPr>
        <w:pict w14:anchorId="7FE8227D">
          <v:rect id="_x0000_i1033" style="width:0;height:.75pt" o:hralign="center" o:hrstd="t" o:hr="t" fillcolor="#a0a0a0" stroked="f"/>
        </w:pict>
      </w:r>
    </w:p>
    <w:p w14:paraId="2D19761B" w14:textId="77777777" w:rsidR="00BC5DC0" w:rsidRPr="00FE5A3C" w:rsidRDefault="00BC5DC0" w:rsidP="00BC5DC0">
      <w:pPr>
        <w:pStyle w:val="NoSpacing"/>
        <w:rPr>
          <w:sz w:val="24"/>
          <w:szCs w:val="24"/>
          <w:lang w:eastAsia="en-IN"/>
        </w:rPr>
      </w:pPr>
      <w:r w:rsidRPr="00FE5A3C">
        <w:rPr>
          <w:sz w:val="24"/>
          <w:szCs w:val="24"/>
          <w:lang w:eastAsia="en-IN"/>
        </w:rPr>
        <w:t>Summary Scorecard</w:t>
      </w:r>
    </w:p>
    <w:tbl>
      <w:tblPr>
        <w:tblW w:w="11280" w:type="dxa"/>
        <w:tblCellMar>
          <w:top w:w="15" w:type="dxa"/>
          <w:left w:w="15" w:type="dxa"/>
          <w:bottom w:w="15" w:type="dxa"/>
          <w:right w:w="15" w:type="dxa"/>
        </w:tblCellMar>
        <w:tblLook w:val="04A0" w:firstRow="1" w:lastRow="0" w:firstColumn="1" w:lastColumn="0" w:noHBand="0" w:noVBand="1"/>
      </w:tblPr>
      <w:tblGrid>
        <w:gridCol w:w="4074"/>
        <w:gridCol w:w="3236"/>
        <w:gridCol w:w="3970"/>
      </w:tblGrid>
      <w:tr w:rsidR="00BC5DC0" w:rsidRPr="00FE5A3C" w14:paraId="25F0F9C0" w14:textId="77777777" w:rsidTr="00BC5DC0">
        <w:trPr>
          <w:tblHeader/>
        </w:trPr>
        <w:tc>
          <w:tcPr>
            <w:tcW w:w="0" w:type="auto"/>
            <w:tcBorders>
              <w:top w:val="nil"/>
            </w:tcBorders>
            <w:tcMar>
              <w:top w:w="150" w:type="dxa"/>
              <w:left w:w="0" w:type="dxa"/>
              <w:bottom w:w="150" w:type="dxa"/>
              <w:right w:w="240" w:type="dxa"/>
            </w:tcMar>
            <w:vAlign w:val="center"/>
            <w:hideMark/>
          </w:tcPr>
          <w:p w14:paraId="44D4B64F" w14:textId="77777777" w:rsidR="00BC5DC0" w:rsidRPr="00FE5A3C" w:rsidRDefault="00BC5DC0" w:rsidP="00BC5DC0">
            <w:pPr>
              <w:pStyle w:val="NoSpacing"/>
              <w:rPr>
                <w:sz w:val="20"/>
                <w:szCs w:val="20"/>
                <w:lang w:eastAsia="en-IN"/>
              </w:rPr>
            </w:pPr>
            <w:r w:rsidRPr="00FE5A3C">
              <w:rPr>
                <w:sz w:val="20"/>
                <w:szCs w:val="20"/>
                <w:lang w:eastAsia="en-IN"/>
              </w:rPr>
              <w:t>Metric</w:t>
            </w:r>
          </w:p>
        </w:tc>
        <w:tc>
          <w:tcPr>
            <w:tcW w:w="0" w:type="auto"/>
            <w:tcBorders>
              <w:top w:val="nil"/>
            </w:tcBorders>
            <w:tcMar>
              <w:top w:w="150" w:type="dxa"/>
              <w:left w:w="240" w:type="dxa"/>
              <w:bottom w:w="150" w:type="dxa"/>
              <w:right w:w="240" w:type="dxa"/>
            </w:tcMar>
            <w:vAlign w:val="center"/>
            <w:hideMark/>
          </w:tcPr>
          <w:p w14:paraId="2F62DFFF" w14:textId="77777777" w:rsidR="00BC5DC0" w:rsidRPr="00FE5A3C" w:rsidRDefault="00BC5DC0" w:rsidP="00BC5DC0">
            <w:pPr>
              <w:pStyle w:val="NoSpacing"/>
              <w:rPr>
                <w:sz w:val="20"/>
                <w:szCs w:val="20"/>
                <w:lang w:eastAsia="en-IN"/>
              </w:rPr>
            </w:pPr>
            <w:r w:rsidRPr="00FE5A3C">
              <w:rPr>
                <w:sz w:val="20"/>
                <w:szCs w:val="20"/>
                <w:lang w:eastAsia="en-IN"/>
              </w:rPr>
              <w:t>vs. Industry</w:t>
            </w:r>
          </w:p>
        </w:tc>
        <w:tc>
          <w:tcPr>
            <w:tcW w:w="0" w:type="auto"/>
            <w:tcBorders>
              <w:top w:val="nil"/>
            </w:tcBorders>
            <w:tcMar>
              <w:top w:w="150" w:type="dxa"/>
              <w:left w:w="240" w:type="dxa"/>
              <w:bottom w:w="150" w:type="dxa"/>
              <w:right w:w="240" w:type="dxa"/>
            </w:tcMar>
            <w:vAlign w:val="center"/>
            <w:hideMark/>
          </w:tcPr>
          <w:p w14:paraId="7F3817AB" w14:textId="77777777" w:rsidR="00BC5DC0" w:rsidRPr="00FE5A3C" w:rsidRDefault="00BC5DC0" w:rsidP="00BC5DC0">
            <w:pPr>
              <w:pStyle w:val="NoSpacing"/>
              <w:rPr>
                <w:sz w:val="20"/>
                <w:szCs w:val="20"/>
                <w:lang w:eastAsia="en-IN"/>
              </w:rPr>
            </w:pPr>
            <w:r w:rsidRPr="00FE5A3C">
              <w:rPr>
                <w:sz w:val="20"/>
                <w:szCs w:val="20"/>
                <w:lang w:eastAsia="en-IN"/>
              </w:rPr>
              <w:t>Strength/Weakness</w:t>
            </w:r>
          </w:p>
        </w:tc>
      </w:tr>
      <w:tr w:rsidR="00BC5DC0" w:rsidRPr="00FE5A3C" w14:paraId="6676D81D" w14:textId="77777777" w:rsidTr="00BC5DC0">
        <w:tc>
          <w:tcPr>
            <w:tcW w:w="0" w:type="auto"/>
            <w:tcMar>
              <w:top w:w="150" w:type="dxa"/>
              <w:left w:w="0" w:type="dxa"/>
              <w:bottom w:w="150" w:type="dxa"/>
              <w:right w:w="240" w:type="dxa"/>
            </w:tcMar>
            <w:vAlign w:val="center"/>
            <w:hideMark/>
          </w:tcPr>
          <w:p w14:paraId="28AA13B1" w14:textId="77777777" w:rsidR="00BC5DC0" w:rsidRPr="00FE5A3C" w:rsidRDefault="00BC5DC0" w:rsidP="00BC5DC0">
            <w:pPr>
              <w:pStyle w:val="NoSpacing"/>
              <w:rPr>
                <w:sz w:val="20"/>
                <w:szCs w:val="20"/>
                <w:lang w:eastAsia="en-IN"/>
              </w:rPr>
            </w:pPr>
            <w:r w:rsidRPr="00FE5A3C">
              <w:rPr>
                <w:sz w:val="20"/>
                <w:szCs w:val="20"/>
                <w:lang w:eastAsia="en-IN"/>
              </w:rPr>
              <w:t>Return on Equity (ROE)</w:t>
            </w:r>
          </w:p>
        </w:tc>
        <w:tc>
          <w:tcPr>
            <w:tcW w:w="0" w:type="auto"/>
            <w:tcMar>
              <w:top w:w="150" w:type="dxa"/>
              <w:left w:w="240" w:type="dxa"/>
              <w:bottom w:w="150" w:type="dxa"/>
              <w:right w:w="240" w:type="dxa"/>
            </w:tcMar>
            <w:vAlign w:val="center"/>
            <w:hideMark/>
          </w:tcPr>
          <w:p w14:paraId="1FC23815" w14:textId="77777777" w:rsidR="00BC5DC0" w:rsidRPr="00FE5A3C" w:rsidRDefault="00BC5DC0" w:rsidP="00BC5DC0">
            <w:pPr>
              <w:pStyle w:val="NoSpacing"/>
              <w:rPr>
                <w:sz w:val="20"/>
                <w:szCs w:val="20"/>
                <w:lang w:eastAsia="en-IN"/>
              </w:rPr>
            </w:pPr>
            <w:r w:rsidRPr="00FE5A3C">
              <w:rPr>
                <w:sz w:val="20"/>
                <w:szCs w:val="20"/>
                <w:lang w:eastAsia="en-IN"/>
              </w:rPr>
              <w:t>Below Average</w:t>
            </w:r>
          </w:p>
        </w:tc>
        <w:tc>
          <w:tcPr>
            <w:tcW w:w="0" w:type="auto"/>
            <w:tcMar>
              <w:top w:w="150" w:type="dxa"/>
              <w:left w:w="240" w:type="dxa"/>
              <w:bottom w:w="150" w:type="dxa"/>
              <w:right w:w="0" w:type="dxa"/>
            </w:tcMar>
            <w:vAlign w:val="center"/>
            <w:hideMark/>
          </w:tcPr>
          <w:p w14:paraId="78EE3BBE" w14:textId="77777777" w:rsidR="00BC5DC0" w:rsidRPr="00FE5A3C" w:rsidRDefault="00BC5DC0" w:rsidP="00BC5DC0">
            <w:pPr>
              <w:pStyle w:val="NoSpacing"/>
              <w:rPr>
                <w:sz w:val="20"/>
                <w:szCs w:val="20"/>
                <w:lang w:eastAsia="en-IN"/>
              </w:rPr>
            </w:pPr>
            <w:r w:rsidRPr="00FE5A3C">
              <w:rPr>
                <w:rFonts w:ascii="Segoe UI Emoji" w:hAnsi="Segoe UI Emoji" w:cs="Segoe UI Emoji"/>
                <w:sz w:val="20"/>
                <w:szCs w:val="20"/>
                <w:lang w:eastAsia="en-IN"/>
              </w:rPr>
              <w:t>⚠️</w:t>
            </w:r>
            <w:r w:rsidRPr="00FE5A3C">
              <w:rPr>
                <w:sz w:val="20"/>
                <w:szCs w:val="20"/>
                <w:lang w:eastAsia="en-IN"/>
              </w:rPr>
              <w:t xml:space="preserve"> Weakness</w:t>
            </w:r>
          </w:p>
        </w:tc>
      </w:tr>
      <w:tr w:rsidR="00BC5DC0" w:rsidRPr="00FE5A3C" w14:paraId="22081B75" w14:textId="77777777" w:rsidTr="00BC5DC0">
        <w:tc>
          <w:tcPr>
            <w:tcW w:w="0" w:type="auto"/>
            <w:tcMar>
              <w:top w:w="150" w:type="dxa"/>
              <w:left w:w="0" w:type="dxa"/>
              <w:bottom w:w="150" w:type="dxa"/>
              <w:right w:w="240" w:type="dxa"/>
            </w:tcMar>
            <w:vAlign w:val="center"/>
            <w:hideMark/>
          </w:tcPr>
          <w:p w14:paraId="784DC68B" w14:textId="77777777" w:rsidR="00BC5DC0" w:rsidRPr="00FE5A3C" w:rsidRDefault="00BC5DC0" w:rsidP="00BC5DC0">
            <w:pPr>
              <w:pStyle w:val="NoSpacing"/>
              <w:rPr>
                <w:sz w:val="20"/>
                <w:szCs w:val="20"/>
                <w:lang w:eastAsia="en-IN"/>
              </w:rPr>
            </w:pPr>
            <w:r w:rsidRPr="00FE5A3C">
              <w:rPr>
                <w:sz w:val="20"/>
                <w:szCs w:val="20"/>
                <w:lang w:eastAsia="en-IN"/>
              </w:rPr>
              <w:t>Return on Assets (ROA)</w:t>
            </w:r>
          </w:p>
        </w:tc>
        <w:tc>
          <w:tcPr>
            <w:tcW w:w="0" w:type="auto"/>
            <w:tcMar>
              <w:top w:w="150" w:type="dxa"/>
              <w:left w:w="240" w:type="dxa"/>
              <w:bottom w:w="150" w:type="dxa"/>
              <w:right w:w="240" w:type="dxa"/>
            </w:tcMar>
            <w:vAlign w:val="center"/>
            <w:hideMark/>
          </w:tcPr>
          <w:p w14:paraId="5AC6C5EB" w14:textId="77777777" w:rsidR="00BC5DC0" w:rsidRPr="00FE5A3C" w:rsidRDefault="00BC5DC0" w:rsidP="00BC5DC0">
            <w:pPr>
              <w:pStyle w:val="NoSpacing"/>
              <w:rPr>
                <w:sz w:val="20"/>
                <w:szCs w:val="20"/>
                <w:lang w:eastAsia="en-IN"/>
              </w:rPr>
            </w:pPr>
            <w:r w:rsidRPr="00FE5A3C">
              <w:rPr>
                <w:sz w:val="20"/>
                <w:szCs w:val="20"/>
                <w:lang w:eastAsia="en-IN"/>
              </w:rPr>
              <w:t>Below Average</w:t>
            </w:r>
          </w:p>
        </w:tc>
        <w:tc>
          <w:tcPr>
            <w:tcW w:w="0" w:type="auto"/>
            <w:tcMar>
              <w:top w:w="150" w:type="dxa"/>
              <w:left w:w="240" w:type="dxa"/>
              <w:bottom w:w="150" w:type="dxa"/>
              <w:right w:w="0" w:type="dxa"/>
            </w:tcMar>
            <w:vAlign w:val="center"/>
            <w:hideMark/>
          </w:tcPr>
          <w:p w14:paraId="16A3B94A" w14:textId="77777777" w:rsidR="00BC5DC0" w:rsidRPr="00FE5A3C" w:rsidRDefault="00BC5DC0" w:rsidP="00BC5DC0">
            <w:pPr>
              <w:pStyle w:val="NoSpacing"/>
              <w:rPr>
                <w:sz w:val="20"/>
                <w:szCs w:val="20"/>
                <w:lang w:eastAsia="en-IN"/>
              </w:rPr>
            </w:pPr>
            <w:r w:rsidRPr="00FE5A3C">
              <w:rPr>
                <w:rFonts w:ascii="Segoe UI Emoji" w:hAnsi="Segoe UI Emoji" w:cs="Segoe UI Emoji"/>
                <w:sz w:val="20"/>
                <w:szCs w:val="20"/>
                <w:lang w:eastAsia="en-IN"/>
              </w:rPr>
              <w:t>⚠️</w:t>
            </w:r>
            <w:r w:rsidRPr="00FE5A3C">
              <w:rPr>
                <w:sz w:val="20"/>
                <w:szCs w:val="20"/>
                <w:lang w:eastAsia="en-IN"/>
              </w:rPr>
              <w:t xml:space="preserve"> Weakness</w:t>
            </w:r>
          </w:p>
        </w:tc>
      </w:tr>
      <w:tr w:rsidR="00BC5DC0" w:rsidRPr="00FE5A3C" w14:paraId="0FB5482F" w14:textId="77777777" w:rsidTr="00BC5DC0">
        <w:tc>
          <w:tcPr>
            <w:tcW w:w="0" w:type="auto"/>
            <w:tcMar>
              <w:top w:w="150" w:type="dxa"/>
              <w:left w:w="0" w:type="dxa"/>
              <w:bottom w:w="150" w:type="dxa"/>
              <w:right w:w="240" w:type="dxa"/>
            </w:tcMar>
            <w:vAlign w:val="center"/>
            <w:hideMark/>
          </w:tcPr>
          <w:p w14:paraId="2C122D99" w14:textId="77777777" w:rsidR="00BC5DC0" w:rsidRPr="00FE5A3C" w:rsidRDefault="00BC5DC0" w:rsidP="00BC5DC0">
            <w:pPr>
              <w:pStyle w:val="NoSpacing"/>
              <w:rPr>
                <w:sz w:val="20"/>
                <w:szCs w:val="20"/>
                <w:lang w:eastAsia="en-IN"/>
              </w:rPr>
            </w:pPr>
            <w:r w:rsidRPr="00FE5A3C">
              <w:rPr>
                <w:sz w:val="20"/>
                <w:szCs w:val="20"/>
                <w:lang w:eastAsia="en-IN"/>
              </w:rPr>
              <w:t>Operating Margin</w:t>
            </w:r>
          </w:p>
        </w:tc>
        <w:tc>
          <w:tcPr>
            <w:tcW w:w="0" w:type="auto"/>
            <w:tcMar>
              <w:top w:w="150" w:type="dxa"/>
              <w:left w:w="240" w:type="dxa"/>
              <w:bottom w:w="150" w:type="dxa"/>
              <w:right w:w="240" w:type="dxa"/>
            </w:tcMar>
            <w:vAlign w:val="center"/>
            <w:hideMark/>
          </w:tcPr>
          <w:p w14:paraId="506C151B" w14:textId="77777777" w:rsidR="00BC5DC0" w:rsidRPr="00FE5A3C" w:rsidRDefault="00BC5DC0" w:rsidP="00BC5DC0">
            <w:pPr>
              <w:pStyle w:val="NoSpacing"/>
              <w:rPr>
                <w:sz w:val="20"/>
                <w:szCs w:val="20"/>
                <w:lang w:eastAsia="en-IN"/>
              </w:rPr>
            </w:pPr>
            <w:r w:rsidRPr="00FE5A3C">
              <w:rPr>
                <w:sz w:val="20"/>
                <w:szCs w:val="20"/>
                <w:lang w:eastAsia="en-IN"/>
              </w:rPr>
              <w:t>Below Average</w:t>
            </w:r>
          </w:p>
        </w:tc>
        <w:tc>
          <w:tcPr>
            <w:tcW w:w="0" w:type="auto"/>
            <w:tcMar>
              <w:top w:w="150" w:type="dxa"/>
              <w:left w:w="240" w:type="dxa"/>
              <w:bottom w:w="150" w:type="dxa"/>
              <w:right w:w="0" w:type="dxa"/>
            </w:tcMar>
            <w:vAlign w:val="center"/>
            <w:hideMark/>
          </w:tcPr>
          <w:p w14:paraId="5D72946F" w14:textId="77777777" w:rsidR="00BC5DC0" w:rsidRPr="00FE5A3C" w:rsidRDefault="00BC5DC0" w:rsidP="00BC5DC0">
            <w:pPr>
              <w:pStyle w:val="NoSpacing"/>
              <w:rPr>
                <w:sz w:val="20"/>
                <w:szCs w:val="20"/>
                <w:lang w:eastAsia="en-IN"/>
              </w:rPr>
            </w:pPr>
            <w:r w:rsidRPr="00FE5A3C">
              <w:rPr>
                <w:rFonts w:ascii="Segoe UI Emoji" w:hAnsi="Segoe UI Emoji" w:cs="Segoe UI Emoji"/>
                <w:sz w:val="20"/>
                <w:szCs w:val="20"/>
                <w:lang w:eastAsia="en-IN"/>
              </w:rPr>
              <w:t>⚠️</w:t>
            </w:r>
            <w:r w:rsidRPr="00FE5A3C">
              <w:rPr>
                <w:sz w:val="20"/>
                <w:szCs w:val="20"/>
                <w:lang w:eastAsia="en-IN"/>
              </w:rPr>
              <w:t xml:space="preserve"> Weakness</w:t>
            </w:r>
          </w:p>
        </w:tc>
      </w:tr>
      <w:tr w:rsidR="00BC5DC0" w:rsidRPr="00FE5A3C" w14:paraId="2F989B79" w14:textId="77777777" w:rsidTr="00BC5DC0">
        <w:tc>
          <w:tcPr>
            <w:tcW w:w="0" w:type="auto"/>
            <w:tcMar>
              <w:top w:w="150" w:type="dxa"/>
              <w:left w:w="0" w:type="dxa"/>
              <w:bottom w:w="150" w:type="dxa"/>
              <w:right w:w="240" w:type="dxa"/>
            </w:tcMar>
            <w:vAlign w:val="center"/>
            <w:hideMark/>
          </w:tcPr>
          <w:p w14:paraId="389EEF18" w14:textId="77777777" w:rsidR="00BC5DC0" w:rsidRPr="00FE5A3C" w:rsidRDefault="00BC5DC0" w:rsidP="00BC5DC0">
            <w:pPr>
              <w:pStyle w:val="NoSpacing"/>
              <w:rPr>
                <w:sz w:val="20"/>
                <w:szCs w:val="20"/>
                <w:lang w:eastAsia="en-IN"/>
              </w:rPr>
            </w:pPr>
            <w:r w:rsidRPr="00FE5A3C">
              <w:rPr>
                <w:sz w:val="20"/>
                <w:szCs w:val="20"/>
                <w:lang w:eastAsia="en-IN"/>
              </w:rPr>
              <w:t>Net Margin</w:t>
            </w:r>
          </w:p>
        </w:tc>
        <w:tc>
          <w:tcPr>
            <w:tcW w:w="0" w:type="auto"/>
            <w:tcMar>
              <w:top w:w="150" w:type="dxa"/>
              <w:left w:w="240" w:type="dxa"/>
              <w:bottom w:w="150" w:type="dxa"/>
              <w:right w:w="240" w:type="dxa"/>
            </w:tcMar>
            <w:vAlign w:val="center"/>
            <w:hideMark/>
          </w:tcPr>
          <w:p w14:paraId="44473227" w14:textId="77777777" w:rsidR="00BC5DC0" w:rsidRPr="00FE5A3C" w:rsidRDefault="00BC5DC0" w:rsidP="00BC5DC0">
            <w:pPr>
              <w:pStyle w:val="NoSpacing"/>
              <w:rPr>
                <w:sz w:val="20"/>
                <w:szCs w:val="20"/>
                <w:lang w:eastAsia="en-IN"/>
              </w:rPr>
            </w:pPr>
            <w:r w:rsidRPr="00FE5A3C">
              <w:rPr>
                <w:sz w:val="20"/>
                <w:szCs w:val="20"/>
                <w:lang w:eastAsia="en-IN"/>
              </w:rPr>
              <w:t>In Line</w:t>
            </w:r>
          </w:p>
        </w:tc>
        <w:tc>
          <w:tcPr>
            <w:tcW w:w="0" w:type="auto"/>
            <w:tcMar>
              <w:top w:w="150" w:type="dxa"/>
              <w:left w:w="240" w:type="dxa"/>
              <w:bottom w:w="150" w:type="dxa"/>
              <w:right w:w="0" w:type="dxa"/>
            </w:tcMar>
            <w:vAlign w:val="center"/>
            <w:hideMark/>
          </w:tcPr>
          <w:p w14:paraId="7A5BD21D" w14:textId="77777777" w:rsidR="00BC5DC0" w:rsidRPr="00FE5A3C" w:rsidRDefault="00BC5DC0" w:rsidP="00BC5DC0">
            <w:pPr>
              <w:pStyle w:val="NoSpacing"/>
              <w:rPr>
                <w:sz w:val="20"/>
                <w:szCs w:val="20"/>
                <w:lang w:eastAsia="en-IN"/>
              </w:rPr>
            </w:pPr>
            <w:r w:rsidRPr="00FE5A3C">
              <w:rPr>
                <w:rFonts w:ascii="Segoe UI Emoji" w:hAnsi="Segoe UI Emoji" w:cs="Segoe UI Emoji"/>
                <w:sz w:val="20"/>
                <w:szCs w:val="20"/>
                <w:lang w:eastAsia="en-IN"/>
              </w:rPr>
              <w:t>➖</w:t>
            </w:r>
            <w:r w:rsidRPr="00FE5A3C">
              <w:rPr>
                <w:sz w:val="20"/>
                <w:szCs w:val="20"/>
                <w:lang w:eastAsia="en-IN"/>
              </w:rPr>
              <w:t xml:space="preserve"> Neutral</w:t>
            </w:r>
          </w:p>
        </w:tc>
      </w:tr>
      <w:tr w:rsidR="00BC5DC0" w:rsidRPr="00FE5A3C" w14:paraId="57323B9C" w14:textId="77777777" w:rsidTr="00BC5DC0">
        <w:tc>
          <w:tcPr>
            <w:tcW w:w="0" w:type="auto"/>
            <w:tcMar>
              <w:top w:w="150" w:type="dxa"/>
              <w:left w:w="0" w:type="dxa"/>
              <w:bottom w:w="150" w:type="dxa"/>
              <w:right w:w="240" w:type="dxa"/>
            </w:tcMar>
            <w:vAlign w:val="center"/>
            <w:hideMark/>
          </w:tcPr>
          <w:p w14:paraId="0C912B08" w14:textId="77777777" w:rsidR="00BC5DC0" w:rsidRPr="00FE5A3C" w:rsidRDefault="00BC5DC0" w:rsidP="00BC5DC0">
            <w:pPr>
              <w:pStyle w:val="NoSpacing"/>
              <w:rPr>
                <w:sz w:val="20"/>
                <w:szCs w:val="20"/>
                <w:lang w:eastAsia="en-IN"/>
              </w:rPr>
            </w:pPr>
            <w:r w:rsidRPr="00FE5A3C">
              <w:rPr>
                <w:sz w:val="20"/>
                <w:szCs w:val="20"/>
                <w:lang w:eastAsia="en-IN"/>
              </w:rPr>
              <w:t>Debt/Equity Ratio</w:t>
            </w:r>
          </w:p>
        </w:tc>
        <w:tc>
          <w:tcPr>
            <w:tcW w:w="0" w:type="auto"/>
            <w:tcMar>
              <w:top w:w="150" w:type="dxa"/>
              <w:left w:w="240" w:type="dxa"/>
              <w:bottom w:w="150" w:type="dxa"/>
              <w:right w:w="240" w:type="dxa"/>
            </w:tcMar>
            <w:vAlign w:val="center"/>
            <w:hideMark/>
          </w:tcPr>
          <w:p w14:paraId="382C7C9E" w14:textId="77777777" w:rsidR="00BC5DC0" w:rsidRPr="00FE5A3C" w:rsidRDefault="00BC5DC0" w:rsidP="00BC5DC0">
            <w:pPr>
              <w:pStyle w:val="NoSpacing"/>
              <w:rPr>
                <w:sz w:val="20"/>
                <w:szCs w:val="20"/>
                <w:lang w:eastAsia="en-IN"/>
              </w:rPr>
            </w:pPr>
            <w:r w:rsidRPr="00FE5A3C">
              <w:rPr>
                <w:sz w:val="20"/>
                <w:szCs w:val="20"/>
                <w:lang w:eastAsia="en-IN"/>
              </w:rPr>
              <w:t>Lower (Better)</w:t>
            </w:r>
          </w:p>
        </w:tc>
        <w:tc>
          <w:tcPr>
            <w:tcW w:w="0" w:type="auto"/>
            <w:tcMar>
              <w:top w:w="150" w:type="dxa"/>
              <w:left w:w="240" w:type="dxa"/>
              <w:bottom w:w="150" w:type="dxa"/>
              <w:right w:w="0" w:type="dxa"/>
            </w:tcMar>
            <w:vAlign w:val="center"/>
            <w:hideMark/>
          </w:tcPr>
          <w:p w14:paraId="1DB58168" w14:textId="77777777" w:rsidR="00BC5DC0" w:rsidRPr="00FE5A3C" w:rsidRDefault="00BC5DC0" w:rsidP="00BC5DC0">
            <w:pPr>
              <w:pStyle w:val="NoSpacing"/>
              <w:rPr>
                <w:sz w:val="20"/>
                <w:szCs w:val="20"/>
                <w:lang w:eastAsia="en-IN"/>
              </w:rPr>
            </w:pPr>
            <w:r w:rsidRPr="00FE5A3C">
              <w:rPr>
                <w:rFonts w:ascii="Segoe UI Emoji" w:hAnsi="Segoe UI Emoji" w:cs="Segoe UI Emoji"/>
                <w:sz w:val="20"/>
                <w:szCs w:val="20"/>
                <w:lang w:eastAsia="en-IN"/>
              </w:rPr>
              <w:t>✅</w:t>
            </w:r>
            <w:r w:rsidRPr="00FE5A3C">
              <w:rPr>
                <w:sz w:val="20"/>
                <w:szCs w:val="20"/>
                <w:lang w:eastAsia="en-IN"/>
              </w:rPr>
              <w:t xml:space="preserve"> Strength</w:t>
            </w:r>
          </w:p>
        </w:tc>
      </w:tr>
      <w:tr w:rsidR="00BC5DC0" w:rsidRPr="00FE5A3C" w14:paraId="77F9DCD1" w14:textId="77777777" w:rsidTr="00BC5DC0">
        <w:tc>
          <w:tcPr>
            <w:tcW w:w="0" w:type="auto"/>
            <w:tcMar>
              <w:top w:w="150" w:type="dxa"/>
              <w:left w:w="0" w:type="dxa"/>
              <w:bottom w:w="150" w:type="dxa"/>
              <w:right w:w="240" w:type="dxa"/>
            </w:tcMar>
            <w:vAlign w:val="center"/>
            <w:hideMark/>
          </w:tcPr>
          <w:p w14:paraId="3D25BECB" w14:textId="77777777" w:rsidR="00BC5DC0" w:rsidRPr="00FE5A3C" w:rsidRDefault="00BC5DC0" w:rsidP="00BC5DC0">
            <w:pPr>
              <w:pStyle w:val="NoSpacing"/>
              <w:rPr>
                <w:sz w:val="20"/>
                <w:szCs w:val="20"/>
                <w:lang w:eastAsia="en-IN"/>
              </w:rPr>
            </w:pPr>
            <w:r w:rsidRPr="00FE5A3C">
              <w:rPr>
                <w:sz w:val="20"/>
                <w:szCs w:val="20"/>
                <w:lang w:eastAsia="en-IN"/>
              </w:rPr>
              <w:t>Asset Turnover</w:t>
            </w:r>
          </w:p>
        </w:tc>
        <w:tc>
          <w:tcPr>
            <w:tcW w:w="0" w:type="auto"/>
            <w:tcMar>
              <w:top w:w="150" w:type="dxa"/>
              <w:left w:w="240" w:type="dxa"/>
              <w:bottom w:w="150" w:type="dxa"/>
              <w:right w:w="240" w:type="dxa"/>
            </w:tcMar>
            <w:vAlign w:val="center"/>
            <w:hideMark/>
          </w:tcPr>
          <w:p w14:paraId="6C153388" w14:textId="77777777" w:rsidR="00BC5DC0" w:rsidRPr="00FE5A3C" w:rsidRDefault="00BC5DC0" w:rsidP="00BC5DC0">
            <w:pPr>
              <w:pStyle w:val="NoSpacing"/>
              <w:rPr>
                <w:sz w:val="20"/>
                <w:szCs w:val="20"/>
                <w:lang w:eastAsia="en-IN"/>
              </w:rPr>
            </w:pPr>
            <w:r w:rsidRPr="00FE5A3C">
              <w:rPr>
                <w:sz w:val="20"/>
                <w:szCs w:val="20"/>
                <w:lang w:eastAsia="en-IN"/>
              </w:rPr>
              <w:t>Below Average</w:t>
            </w:r>
          </w:p>
        </w:tc>
        <w:tc>
          <w:tcPr>
            <w:tcW w:w="0" w:type="auto"/>
            <w:tcMar>
              <w:top w:w="150" w:type="dxa"/>
              <w:left w:w="240" w:type="dxa"/>
              <w:bottom w:w="150" w:type="dxa"/>
              <w:right w:w="0" w:type="dxa"/>
            </w:tcMar>
            <w:vAlign w:val="center"/>
            <w:hideMark/>
          </w:tcPr>
          <w:p w14:paraId="0466D4AE" w14:textId="77777777" w:rsidR="00BC5DC0" w:rsidRPr="00FE5A3C" w:rsidRDefault="00BC5DC0" w:rsidP="00BC5DC0">
            <w:pPr>
              <w:pStyle w:val="NoSpacing"/>
              <w:rPr>
                <w:sz w:val="20"/>
                <w:szCs w:val="20"/>
                <w:lang w:eastAsia="en-IN"/>
              </w:rPr>
            </w:pPr>
            <w:r w:rsidRPr="00FE5A3C">
              <w:rPr>
                <w:rFonts w:ascii="Segoe UI Emoji" w:hAnsi="Segoe UI Emoji" w:cs="Segoe UI Emoji"/>
                <w:sz w:val="20"/>
                <w:szCs w:val="20"/>
                <w:lang w:eastAsia="en-IN"/>
              </w:rPr>
              <w:t>⚠️</w:t>
            </w:r>
            <w:r w:rsidRPr="00FE5A3C">
              <w:rPr>
                <w:sz w:val="20"/>
                <w:szCs w:val="20"/>
                <w:lang w:eastAsia="en-IN"/>
              </w:rPr>
              <w:t xml:space="preserve"> Weakness</w:t>
            </w:r>
          </w:p>
        </w:tc>
      </w:tr>
      <w:tr w:rsidR="00BC5DC0" w:rsidRPr="00FE5A3C" w14:paraId="05DB2FB0" w14:textId="77777777" w:rsidTr="00BC5DC0">
        <w:tc>
          <w:tcPr>
            <w:tcW w:w="0" w:type="auto"/>
            <w:tcMar>
              <w:top w:w="150" w:type="dxa"/>
              <w:left w:w="0" w:type="dxa"/>
              <w:bottom w:w="150" w:type="dxa"/>
              <w:right w:w="240" w:type="dxa"/>
            </w:tcMar>
            <w:vAlign w:val="center"/>
            <w:hideMark/>
          </w:tcPr>
          <w:p w14:paraId="47993450" w14:textId="77777777" w:rsidR="00BC5DC0" w:rsidRPr="00FE5A3C" w:rsidRDefault="00BC5DC0" w:rsidP="00BC5DC0">
            <w:pPr>
              <w:pStyle w:val="NoSpacing"/>
              <w:rPr>
                <w:sz w:val="20"/>
                <w:szCs w:val="20"/>
                <w:lang w:eastAsia="en-IN"/>
              </w:rPr>
            </w:pPr>
            <w:r w:rsidRPr="00FE5A3C">
              <w:rPr>
                <w:sz w:val="20"/>
                <w:szCs w:val="20"/>
                <w:lang w:eastAsia="en-IN"/>
              </w:rPr>
              <w:t>Current Ratio</w:t>
            </w:r>
          </w:p>
        </w:tc>
        <w:tc>
          <w:tcPr>
            <w:tcW w:w="0" w:type="auto"/>
            <w:tcMar>
              <w:top w:w="150" w:type="dxa"/>
              <w:left w:w="240" w:type="dxa"/>
              <w:bottom w:w="150" w:type="dxa"/>
              <w:right w:w="240" w:type="dxa"/>
            </w:tcMar>
            <w:vAlign w:val="center"/>
            <w:hideMark/>
          </w:tcPr>
          <w:p w14:paraId="5B78BA9A" w14:textId="77777777" w:rsidR="00BC5DC0" w:rsidRPr="00FE5A3C" w:rsidRDefault="00BC5DC0" w:rsidP="00BC5DC0">
            <w:pPr>
              <w:pStyle w:val="NoSpacing"/>
              <w:rPr>
                <w:sz w:val="20"/>
                <w:szCs w:val="20"/>
                <w:lang w:eastAsia="en-IN"/>
              </w:rPr>
            </w:pPr>
            <w:r w:rsidRPr="00FE5A3C">
              <w:rPr>
                <w:sz w:val="20"/>
                <w:szCs w:val="20"/>
                <w:lang w:eastAsia="en-IN"/>
              </w:rPr>
              <w:t>Higher (Better)</w:t>
            </w:r>
          </w:p>
        </w:tc>
        <w:tc>
          <w:tcPr>
            <w:tcW w:w="0" w:type="auto"/>
            <w:tcMar>
              <w:top w:w="150" w:type="dxa"/>
              <w:left w:w="240" w:type="dxa"/>
              <w:bottom w:w="150" w:type="dxa"/>
              <w:right w:w="0" w:type="dxa"/>
            </w:tcMar>
            <w:vAlign w:val="center"/>
            <w:hideMark/>
          </w:tcPr>
          <w:p w14:paraId="419B821B" w14:textId="77777777" w:rsidR="00BC5DC0" w:rsidRPr="00FE5A3C" w:rsidRDefault="00BC5DC0" w:rsidP="00BC5DC0">
            <w:pPr>
              <w:pStyle w:val="NoSpacing"/>
              <w:rPr>
                <w:sz w:val="20"/>
                <w:szCs w:val="20"/>
                <w:lang w:eastAsia="en-IN"/>
              </w:rPr>
            </w:pPr>
            <w:r w:rsidRPr="00FE5A3C">
              <w:rPr>
                <w:rFonts w:ascii="Segoe UI Emoji" w:hAnsi="Segoe UI Emoji" w:cs="Segoe UI Emoji"/>
                <w:sz w:val="20"/>
                <w:szCs w:val="20"/>
                <w:lang w:eastAsia="en-IN"/>
              </w:rPr>
              <w:t>✅</w:t>
            </w:r>
            <w:r w:rsidRPr="00FE5A3C">
              <w:rPr>
                <w:sz w:val="20"/>
                <w:szCs w:val="20"/>
                <w:lang w:eastAsia="en-IN"/>
              </w:rPr>
              <w:t xml:space="preserve"> Strength</w:t>
            </w:r>
          </w:p>
        </w:tc>
      </w:tr>
    </w:tbl>
    <w:p w14:paraId="44C1194D" w14:textId="77777777" w:rsidR="00BC5DC0" w:rsidRPr="00FE5A3C" w:rsidRDefault="00BC5DC0" w:rsidP="00BC5DC0">
      <w:pPr>
        <w:pStyle w:val="NoSpacing"/>
        <w:rPr>
          <w:rFonts w:ascii="Times New Roman" w:hAnsi="Times New Roman" w:cs="Times New Roman"/>
          <w:sz w:val="20"/>
          <w:szCs w:val="20"/>
          <w:lang w:eastAsia="en-IN"/>
        </w:rPr>
      </w:pPr>
      <w:r w:rsidRPr="00FE5A3C">
        <w:rPr>
          <w:rFonts w:ascii="Times New Roman" w:hAnsi="Times New Roman" w:cs="Times New Roman"/>
          <w:sz w:val="20"/>
          <w:szCs w:val="20"/>
          <w:lang w:eastAsia="en-IN"/>
        </w:rPr>
        <w:pict w14:anchorId="07800774">
          <v:rect id="_x0000_i1034" style="width:0;height:.75pt" o:hralign="center" o:hrstd="t" o:hr="t" fillcolor="#a0a0a0" stroked="f"/>
        </w:pict>
      </w:r>
    </w:p>
    <w:p w14:paraId="3EF478D0" w14:textId="77777777" w:rsidR="00BC5DC0" w:rsidRPr="00FE5A3C" w:rsidRDefault="00BC5DC0" w:rsidP="00BC5DC0">
      <w:pPr>
        <w:pStyle w:val="NoSpacing"/>
        <w:rPr>
          <w:sz w:val="24"/>
          <w:szCs w:val="24"/>
          <w:lang w:eastAsia="en-IN"/>
        </w:rPr>
      </w:pPr>
      <w:r w:rsidRPr="00FE5A3C">
        <w:rPr>
          <w:sz w:val="24"/>
          <w:szCs w:val="24"/>
          <w:lang w:eastAsia="en-IN"/>
        </w:rPr>
        <w:t>Overall Conclusion</w:t>
      </w:r>
    </w:p>
    <w:p w14:paraId="43CB953C" w14:textId="77777777" w:rsidR="00BC5DC0" w:rsidRPr="00FE5A3C" w:rsidRDefault="00BC5DC0" w:rsidP="00BC5DC0">
      <w:pPr>
        <w:pStyle w:val="NoSpacing"/>
        <w:rPr>
          <w:sz w:val="20"/>
          <w:szCs w:val="20"/>
          <w:lang w:eastAsia="en-IN"/>
        </w:rPr>
      </w:pPr>
      <w:r w:rsidRPr="00FE5A3C">
        <w:rPr>
          <w:sz w:val="20"/>
          <w:szCs w:val="20"/>
          <w:lang w:eastAsia="en-IN"/>
        </w:rPr>
        <w:t>RCI Hospitality Holdings displays a mixed competitive profile:</w:t>
      </w:r>
    </w:p>
    <w:p w14:paraId="7428F82F" w14:textId="77777777" w:rsidR="00BC5DC0" w:rsidRPr="00FE5A3C" w:rsidRDefault="00BC5DC0" w:rsidP="00BC5DC0">
      <w:pPr>
        <w:pStyle w:val="NoSpacing"/>
        <w:rPr>
          <w:sz w:val="20"/>
          <w:szCs w:val="20"/>
          <w:lang w:eastAsia="en-IN"/>
        </w:rPr>
      </w:pPr>
      <w:r w:rsidRPr="00FE5A3C">
        <w:rPr>
          <w:sz w:val="20"/>
          <w:szCs w:val="20"/>
          <w:lang w:eastAsia="en-IN"/>
        </w:rPr>
        <w:t>Key Strengths:</w:t>
      </w:r>
    </w:p>
    <w:p w14:paraId="62C617A9" w14:textId="77777777" w:rsidR="00BC5DC0" w:rsidRPr="00FE5A3C" w:rsidRDefault="00BC5DC0" w:rsidP="00BC5DC0">
      <w:pPr>
        <w:pStyle w:val="NoSpacing"/>
        <w:rPr>
          <w:sz w:val="20"/>
          <w:szCs w:val="20"/>
          <w:lang w:eastAsia="en-IN"/>
        </w:rPr>
      </w:pPr>
      <w:r w:rsidRPr="00FE5A3C">
        <w:rPr>
          <w:sz w:val="20"/>
          <w:szCs w:val="20"/>
          <w:lang w:eastAsia="en-IN"/>
        </w:rPr>
        <w:t>Conservative leverage (debt/equity) provides financial stability and flexibility </w:t>
      </w:r>
    </w:p>
    <w:p w14:paraId="6486A082" w14:textId="77777777" w:rsidR="00BC5DC0" w:rsidRPr="00FE5A3C" w:rsidRDefault="00BC5DC0" w:rsidP="00BC5DC0">
      <w:pPr>
        <w:pStyle w:val="NoSpacing"/>
        <w:rPr>
          <w:sz w:val="20"/>
          <w:szCs w:val="20"/>
          <w:lang w:eastAsia="en-IN"/>
        </w:rPr>
      </w:pPr>
      <w:r w:rsidRPr="00FE5A3C">
        <w:rPr>
          <w:sz w:val="20"/>
          <w:szCs w:val="20"/>
          <w:lang w:eastAsia="en-IN"/>
        </w:rPr>
        <w:t>Strong liquidity position relative to peers </w:t>
      </w:r>
    </w:p>
    <w:p w14:paraId="1BC88D92" w14:textId="77777777" w:rsidR="00BC5DC0" w:rsidRPr="00FE5A3C" w:rsidRDefault="00BC5DC0" w:rsidP="00BC5DC0">
      <w:pPr>
        <w:pStyle w:val="NoSpacing"/>
        <w:rPr>
          <w:sz w:val="20"/>
          <w:szCs w:val="20"/>
          <w:lang w:eastAsia="en-IN"/>
        </w:rPr>
      </w:pPr>
      <w:r w:rsidRPr="00FE5A3C">
        <w:rPr>
          <w:sz w:val="20"/>
          <w:szCs w:val="20"/>
          <w:lang w:eastAsia="en-IN"/>
        </w:rPr>
        <w:t>Key Weaknesses:</w:t>
      </w:r>
    </w:p>
    <w:p w14:paraId="77EBD48E" w14:textId="77777777" w:rsidR="00BC5DC0" w:rsidRPr="00FE5A3C" w:rsidRDefault="00BC5DC0" w:rsidP="00BC5DC0">
      <w:pPr>
        <w:pStyle w:val="NoSpacing"/>
        <w:rPr>
          <w:sz w:val="20"/>
          <w:szCs w:val="20"/>
          <w:lang w:eastAsia="en-IN"/>
        </w:rPr>
      </w:pPr>
      <w:r w:rsidRPr="00FE5A3C">
        <w:rPr>
          <w:sz w:val="20"/>
          <w:szCs w:val="20"/>
          <w:lang w:eastAsia="en-IN"/>
        </w:rPr>
        <w:t>Lagging profitability metrics (ROE, ROA, operating margin) compared to industry benchmarks </w:t>
      </w:r>
    </w:p>
    <w:p w14:paraId="2D464678" w14:textId="77777777" w:rsidR="00BC5DC0" w:rsidRPr="00FE5A3C" w:rsidRDefault="00BC5DC0" w:rsidP="00BC5DC0">
      <w:pPr>
        <w:pStyle w:val="NoSpacing"/>
        <w:rPr>
          <w:sz w:val="20"/>
          <w:szCs w:val="20"/>
          <w:lang w:eastAsia="en-IN"/>
        </w:rPr>
      </w:pPr>
      <w:r w:rsidRPr="00FE5A3C">
        <w:rPr>
          <w:sz w:val="20"/>
          <w:szCs w:val="20"/>
          <w:lang w:eastAsia="en-IN"/>
        </w:rPr>
        <w:t>Asset turnover below peers, suggesting acquisitions have not yet delivered full efficiency gains </w:t>
      </w:r>
    </w:p>
    <w:p w14:paraId="7C0A3F3C" w14:textId="77777777" w:rsidR="00BC5DC0" w:rsidRPr="00FE5A3C" w:rsidRDefault="00BC5DC0" w:rsidP="00BC5DC0">
      <w:pPr>
        <w:pStyle w:val="NoSpacing"/>
        <w:rPr>
          <w:sz w:val="20"/>
          <w:szCs w:val="20"/>
          <w:lang w:eastAsia="en-IN"/>
        </w:rPr>
      </w:pPr>
      <w:r w:rsidRPr="00FE5A3C">
        <w:rPr>
          <w:sz w:val="20"/>
          <w:szCs w:val="20"/>
          <w:lang w:eastAsia="en-IN"/>
        </w:rPr>
        <w:t>The company's cash-generating ability (Operating Cash Flow Ratio of 115.3%) is a core strength not fully reflected in the ratios above, and its lower leverage provides resilience. However, to achieve parity with industry benchmarks, RICK needs to improve profitability through better integration of acquired assets and margin expansion.</w:t>
      </w:r>
    </w:p>
    <w:p w14:paraId="2142C1EE" w14:textId="71FB59A8" w:rsidR="00E918A0" w:rsidRPr="00FE5A3C" w:rsidRDefault="00E918A0" w:rsidP="00BC5DC0">
      <w:pPr>
        <w:pStyle w:val="NoSpacing"/>
        <w:rPr>
          <w:sz w:val="18"/>
          <w:szCs w:val="18"/>
        </w:rPr>
      </w:pPr>
    </w:p>
    <w:sectPr w:rsidR="00E918A0" w:rsidRPr="00FE5A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322658"/>
    <w:multiLevelType w:val="multilevel"/>
    <w:tmpl w:val="4DD2C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315E54"/>
    <w:multiLevelType w:val="multilevel"/>
    <w:tmpl w:val="F7BA2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DC0"/>
    <w:rsid w:val="0094019B"/>
    <w:rsid w:val="00BC5DC0"/>
    <w:rsid w:val="00BD0013"/>
    <w:rsid w:val="00E918A0"/>
    <w:rsid w:val="00FE5A3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9D5AC"/>
  <w15:chartTrackingRefBased/>
  <w15:docId w15:val="{00ADF5E6-7552-4C5B-8F52-D824E4D13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5D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C5DC0"/>
    <w:pPr>
      <w:spacing w:before="100" w:beforeAutospacing="1" w:after="100" w:afterAutospacing="1" w:line="240" w:lineRule="auto"/>
      <w:outlineLvl w:val="1"/>
    </w:pPr>
    <w:rPr>
      <w:rFonts w:ascii="Times New Roman" w:eastAsia="Times New Roman" w:hAnsi="Times New Roman" w:cs="Times New Roman"/>
      <w:b/>
      <w:bCs/>
      <w:sz w:val="36"/>
      <w:szCs w:val="36"/>
      <w:lang w:eastAsia="en-IN"/>
    </w:rPr>
  </w:style>
  <w:style w:type="paragraph" w:styleId="Heading3">
    <w:name w:val="heading 3"/>
    <w:basedOn w:val="Normal"/>
    <w:link w:val="Heading3Char"/>
    <w:uiPriority w:val="9"/>
    <w:qFormat/>
    <w:rsid w:val="00BC5DC0"/>
    <w:pPr>
      <w:spacing w:before="100" w:beforeAutospacing="1" w:after="100" w:afterAutospacing="1" w:line="240" w:lineRule="auto"/>
      <w:outlineLvl w:val="2"/>
    </w:pPr>
    <w:rPr>
      <w:rFonts w:ascii="Times New Roman" w:eastAsia="Times New Roman" w:hAnsi="Times New Roman" w:cs="Times New Roman"/>
      <w:b/>
      <w:bCs/>
      <w:sz w:val="27"/>
      <w:szCs w:val="27"/>
      <w:lang w:eastAsia="en-IN"/>
    </w:rPr>
  </w:style>
  <w:style w:type="paragraph" w:styleId="Heading4">
    <w:name w:val="heading 4"/>
    <w:basedOn w:val="Normal"/>
    <w:link w:val="Heading4Char"/>
    <w:uiPriority w:val="9"/>
    <w:qFormat/>
    <w:rsid w:val="00BC5DC0"/>
    <w:pPr>
      <w:spacing w:before="100" w:beforeAutospacing="1" w:after="100" w:afterAutospacing="1" w:line="240" w:lineRule="auto"/>
      <w:outlineLvl w:val="3"/>
    </w:pPr>
    <w:rPr>
      <w:rFonts w:ascii="Times New Roman" w:eastAsia="Times New Roman" w:hAnsi="Times New Roman" w:cs="Times New Roman"/>
      <w:b/>
      <w:bCs/>
      <w:sz w:val="24"/>
      <w:szCs w:val="24"/>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C5DC0"/>
    <w:pPr>
      <w:spacing w:after="0" w:line="240" w:lineRule="auto"/>
    </w:pPr>
  </w:style>
  <w:style w:type="character" w:customStyle="1" w:styleId="Heading2Char">
    <w:name w:val="Heading 2 Char"/>
    <w:basedOn w:val="DefaultParagraphFont"/>
    <w:link w:val="Heading2"/>
    <w:uiPriority w:val="9"/>
    <w:rsid w:val="00BC5DC0"/>
    <w:rPr>
      <w:rFonts w:ascii="Times New Roman" w:eastAsia="Times New Roman" w:hAnsi="Times New Roman" w:cs="Times New Roman"/>
      <w:b/>
      <w:bCs/>
      <w:sz w:val="36"/>
      <w:szCs w:val="36"/>
      <w:lang w:eastAsia="en-IN"/>
    </w:rPr>
  </w:style>
  <w:style w:type="character" w:customStyle="1" w:styleId="Heading3Char">
    <w:name w:val="Heading 3 Char"/>
    <w:basedOn w:val="DefaultParagraphFont"/>
    <w:link w:val="Heading3"/>
    <w:uiPriority w:val="9"/>
    <w:rsid w:val="00BC5DC0"/>
    <w:rPr>
      <w:rFonts w:ascii="Times New Roman" w:eastAsia="Times New Roman" w:hAnsi="Times New Roman" w:cs="Times New Roman"/>
      <w:b/>
      <w:bCs/>
      <w:sz w:val="27"/>
      <w:szCs w:val="27"/>
      <w:lang w:eastAsia="en-IN"/>
    </w:rPr>
  </w:style>
  <w:style w:type="character" w:customStyle="1" w:styleId="Heading4Char">
    <w:name w:val="Heading 4 Char"/>
    <w:basedOn w:val="DefaultParagraphFont"/>
    <w:link w:val="Heading4"/>
    <w:uiPriority w:val="9"/>
    <w:rsid w:val="00BC5DC0"/>
    <w:rPr>
      <w:rFonts w:ascii="Times New Roman" w:eastAsia="Times New Roman" w:hAnsi="Times New Roman" w:cs="Times New Roman"/>
      <w:b/>
      <w:bCs/>
      <w:sz w:val="24"/>
      <w:szCs w:val="24"/>
      <w:lang w:eastAsia="en-IN"/>
    </w:rPr>
  </w:style>
  <w:style w:type="paragraph" w:customStyle="1" w:styleId="ds-markdown-paragraph">
    <w:name w:val="ds-markdown-paragraph"/>
    <w:basedOn w:val="Normal"/>
    <w:rsid w:val="00BC5DC0"/>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BC5DC0"/>
    <w:rPr>
      <w:b/>
      <w:bCs/>
    </w:rPr>
  </w:style>
  <w:style w:type="character" w:styleId="Emphasis">
    <w:name w:val="Emphasis"/>
    <w:basedOn w:val="DefaultParagraphFont"/>
    <w:uiPriority w:val="20"/>
    <w:qFormat/>
    <w:rsid w:val="00BC5DC0"/>
    <w:rPr>
      <w:i/>
      <w:iCs/>
    </w:rPr>
  </w:style>
  <w:style w:type="character" w:customStyle="1" w:styleId="Heading1Char">
    <w:name w:val="Heading 1 Char"/>
    <w:basedOn w:val="DefaultParagraphFont"/>
    <w:link w:val="Heading1"/>
    <w:uiPriority w:val="9"/>
    <w:rsid w:val="00BC5DC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487725">
      <w:bodyDiv w:val="1"/>
      <w:marLeft w:val="0"/>
      <w:marRight w:val="0"/>
      <w:marTop w:val="0"/>
      <w:marBottom w:val="0"/>
      <w:divBdr>
        <w:top w:val="none" w:sz="0" w:space="0" w:color="auto"/>
        <w:left w:val="none" w:sz="0" w:space="0" w:color="auto"/>
        <w:bottom w:val="none" w:sz="0" w:space="0" w:color="auto"/>
        <w:right w:val="none" w:sz="0" w:space="0" w:color="auto"/>
      </w:divBdr>
      <w:divsChild>
        <w:div w:id="1634868932">
          <w:marLeft w:val="0"/>
          <w:marRight w:val="0"/>
          <w:marTop w:val="0"/>
          <w:marBottom w:val="0"/>
          <w:divBdr>
            <w:top w:val="none" w:sz="0" w:space="0" w:color="auto"/>
            <w:left w:val="none" w:sz="0" w:space="0" w:color="auto"/>
            <w:bottom w:val="none" w:sz="0" w:space="0" w:color="auto"/>
            <w:right w:val="none" w:sz="0" w:space="0" w:color="auto"/>
          </w:divBdr>
        </w:div>
        <w:div w:id="1319305600">
          <w:marLeft w:val="0"/>
          <w:marRight w:val="0"/>
          <w:marTop w:val="0"/>
          <w:marBottom w:val="0"/>
          <w:divBdr>
            <w:top w:val="none" w:sz="0" w:space="0" w:color="auto"/>
            <w:left w:val="none" w:sz="0" w:space="0" w:color="auto"/>
            <w:bottom w:val="none" w:sz="0" w:space="0" w:color="auto"/>
            <w:right w:val="none" w:sz="0" w:space="0" w:color="auto"/>
          </w:divBdr>
        </w:div>
        <w:div w:id="146671244">
          <w:marLeft w:val="0"/>
          <w:marRight w:val="0"/>
          <w:marTop w:val="0"/>
          <w:marBottom w:val="0"/>
          <w:divBdr>
            <w:top w:val="none" w:sz="0" w:space="0" w:color="auto"/>
            <w:left w:val="none" w:sz="0" w:space="0" w:color="auto"/>
            <w:bottom w:val="none" w:sz="0" w:space="0" w:color="auto"/>
            <w:right w:val="none" w:sz="0" w:space="0" w:color="auto"/>
          </w:divBdr>
        </w:div>
        <w:div w:id="316959250">
          <w:marLeft w:val="0"/>
          <w:marRight w:val="0"/>
          <w:marTop w:val="0"/>
          <w:marBottom w:val="0"/>
          <w:divBdr>
            <w:top w:val="none" w:sz="0" w:space="0" w:color="auto"/>
            <w:left w:val="none" w:sz="0" w:space="0" w:color="auto"/>
            <w:bottom w:val="none" w:sz="0" w:space="0" w:color="auto"/>
            <w:right w:val="none" w:sz="0" w:space="0" w:color="auto"/>
          </w:divBdr>
        </w:div>
        <w:div w:id="1326207292">
          <w:marLeft w:val="0"/>
          <w:marRight w:val="0"/>
          <w:marTop w:val="0"/>
          <w:marBottom w:val="0"/>
          <w:divBdr>
            <w:top w:val="none" w:sz="0" w:space="0" w:color="auto"/>
            <w:left w:val="none" w:sz="0" w:space="0" w:color="auto"/>
            <w:bottom w:val="none" w:sz="0" w:space="0" w:color="auto"/>
            <w:right w:val="none" w:sz="0" w:space="0" w:color="auto"/>
          </w:divBdr>
        </w:div>
        <w:div w:id="1332753834">
          <w:marLeft w:val="0"/>
          <w:marRight w:val="0"/>
          <w:marTop w:val="0"/>
          <w:marBottom w:val="0"/>
          <w:divBdr>
            <w:top w:val="none" w:sz="0" w:space="0" w:color="auto"/>
            <w:left w:val="none" w:sz="0" w:space="0" w:color="auto"/>
            <w:bottom w:val="none" w:sz="0" w:space="0" w:color="auto"/>
            <w:right w:val="none" w:sz="0" w:space="0" w:color="auto"/>
          </w:divBdr>
        </w:div>
        <w:div w:id="1200122026">
          <w:marLeft w:val="0"/>
          <w:marRight w:val="0"/>
          <w:marTop w:val="0"/>
          <w:marBottom w:val="0"/>
          <w:divBdr>
            <w:top w:val="none" w:sz="0" w:space="0" w:color="auto"/>
            <w:left w:val="none" w:sz="0" w:space="0" w:color="auto"/>
            <w:bottom w:val="none" w:sz="0" w:space="0" w:color="auto"/>
            <w:right w:val="none" w:sz="0" w:space="0" w:color="auto"/>
          </w:divBdr>
        </w:div>
        <w:div w:id="1217351560">
          <w:marLeft w:val="0"/>
          <w:marRight w:val="0"/>
          <w:marTop w:val="0"/>
          <w:marBottom w:val="0"/>
          <w:divBdr>
            <w:top w:val="none" w:sz="0" w:space="0" w:color="auto"/>
            <w:left w:val="none" w:sz="0" w:space="0" w:color="auto"/>
            <w:bottom w:val="none" w:sz="0" w:space="0" w:color="auto"/>
            <w:right w:val="none" w:sz="0" w:space="0" w:color="auto"/>
          </w:divBdr>
        </w:div>
        <w:div w:id="632366961">
          <w:marLeft w:val="0"/>
          <w:marRight w:val="0"/>
          <w:marTop w:val="0"/>
          <w:marBottom w:val="0"/>
          <w:divBdr>
            <w:top w:val="none" w:sz="0" w:space="0" w:color="auto"/>
            <w:left w:val="none" w:sz="0" w:space="0" w:color="auto"/>
            <w:bottom w:val="none" w:sz="0" w:space="0" w:color="auto"/>
            <w:right w:val="none" w:sz="0" w:space="0" w:color="auto"/>
          </w:divBdr>
        </w:div>
        <w:div w:id="8565795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3</Pages>
  <Words>932</Words>
  <Characters>5315</Characters>
  <Application>Microsoft Office Word</Application>
  <DocSecurity>0</DocSecurity>
  <Lines>44</Lines>
  <Paragraphs>12</Paragraphs>
  <ScaleCrop>false</ScaleCrop>
  <Company/>
  <LinksUpToDate>false</LinksUpToDate>
  <CharactersWithSpaces>6235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Neelkanth Technologi</dc:creator>
  <cp:keywords/>
  <dc:description/>
  <cp:lastModifiedBy>Neelkanth Technologi</cp:lastModifiedBy>
  <cp:revision>2</cp:revision>
  <dcterms:created xsi:type="dcterms:W3CDTF">2026-07-24T09:48:00Z</dcterms:created>
  <dcterms:modified xsi:type="dcterms:W3CDTF">2026-07-24T09:55:00Z</dcterms:modified>
</cp:coreProperties>
</file>