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22581219"/>
        <w:docPartObj>
          <w:docPartGallery w:val="Cover Pages"/>
          <w:docPartUnique/>
        </w:docPartObj>
      </w:sdtPr>
      <w:sdtEndPr>
        <w:rPr>
          <w:rFonts w:ascii="Arial" w:hAnsi="Arial" w:cs="Arial"/>
          <w:sz w:val="22"/>
          <w:szCs w:val="22"/>
        </w:rPr>
      </w:sdtEndPr>
      <w:sdtContent>
        <w:p w14:paraId="5E1D8403" w14:textId="2AFFAB6D" w:rsidR="006367EB" w:rsidRPr="00D02D30" w:rsidRDefault="006367EB">
          <w:pPr>
            <w:rPr>
              <w:rFonts w:ascii="Arial" w:eastAsiaTheme="majorEastAsia" w:hAnsi="Arial" w:cs="Arial"/>
              <w:sz w:val="22"/>
              <w:szCs w:val="22"/>
            </w:rPr>
          </w:pPr>
          <w:r w:rsidRPr="00D02D30">
            <w:rPr>
              <w:rFonts w:ascii="Arial" w:eastAsiaTheme="majorEastAsia" w:hAnsi="Arial" w:cs="Arial"/>
              <w:noProof/>
              <w:sz w:val="22"/>
              <w:szCs w:val="22"/>
            </w:rPr>
            <mc:AlternateContent>
              <mc:Choice Requires="wps">
                <w:drawing>
                  <wp:anchor distT="0" distB="0" distL="114300" distR="114300" simplePos="0" relativeHeight="251658240" behindDoc="0" locked="0" layoutInCell="1" allowOverlap="1" wp14:anchorId="2F3E9A23" wp14:editId="0FAC03AA">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590"/>
                                  <w:gridCol w:w="2108"/>
                                </w:tblGrid>
                                <w:tr w:rsidR="006367EB" w14:paraId="36908116" w14:textId="77777777" w:rsidTr="00E411F9">
                                  <w:trPr>
                                    <w:trHeight w:val="10470"/>
                                    <w:jc w:val="center"/>
                                  </w:trPr>
                                  <w:tc>
                                    <w:tcPr>
                                      <w:tcW w:w="2568" w:type="pct"/>
                                      <w:vAlign w:val="center"/>
                                    </w:tcPr>
                                    <w:p w14:paraId="2D5E45A7" w14:textId="5A5B22B6" w:rsidR="006367EB" w:rsidRPr="00747A80" w:rsidRDefault="00380221">
                                      <w:pPr>
                                        <w:jc w:val="right"/>
                                        <w:rPr>
                                          <w:b/>
                                          <w:bCs/>
                                        </w:rPr>
                                      </w:pPr>
                                      <w:r w:rsidRPr="00747A80">
                                        <w:rPr>
                                          <w:b/>
                                          <w:bCs/>
                                          <w:noProof/>
                                        </w:rPr>
                                        <w:drawing>
                                          <wp:inline distT="0" distB="0" distL="0" distR="0" wp14:anchorId="754F8D82" wp14:editId="128308D1">
                                            <wp:extent cx="2453640" cy="3680319"/>
                                            <wp:effectExtent l="0" t="0" r="3810" b="0"/>
                                            <wp:docPr id="416805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805435" name=""/>
                                                    <pic:cNvPicPr/>
                                                  </pic:nvPicPr>
                                                  <pic:blipFill>
                                                    <a:blip r:embed="rId8"/>
                                                    <a:stretch>
                                                      <a:fillRect/>
                                                    </a:stretch>
                                                  </pic:blipFill>
                                                  <pic:spPr>
                                                    <a:xfrm>
                                                      <a:off x="0" y="0"/>
                                                      <a:ext cx="2459110" cy="3688523"/>
                                                    </a:xfrm>
                                                    <a:prstGeom prst="rect">
                                                      <a:avLst/>
                                                    </a:prstGeom>
                                                  </pic:spPr>
                                                </pic:pic>
                                              </a:graphicData>
                                            </a:graphic>
                                          </wp:inline>
                                        </w:drawing>
                                      </w:r>
                                    </w:p>
                                    <w:sdt>
                                      <w:sdtPr>
                                        <w:rPr>
                                          <w:rFonts w:ascii="Arial" w:eastAsiaTheme="minorHAnsi" w:hAnsi="Arial" w:cs="Arial"/>
                                          <w:b/>
                                          <w:bCs/>
                                          <w:caps/>
                                          <w:color w:val="E97132" w:themeColor="accent2"/>
                                          <w:kern w:val="2"/>
                                          <w:sz w:val="32"/>
                                          <w:szCs w:val="32"/>
                                          <w:lang w:val="en-GB"/>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4A2D3FD" w14:textId="72A60C18" w:rsidR="006367EB" w:rsidRPr="00747A80" w:rsidRDefault="00380221" w:rsidP="00380221">
                                          <w:pPr>
                                            <w:pStyle w:val="NoSpacing"/>
                                            <w:spacing w:line="312" w:lineRule="auto"/>
                                            <w:jc w:val="center"/>
                                            <w:rPr>
                                              <w:rFonts w:ascii="Arial" w:hAnsi="Arial" w:cs="Arial"/>
                                              <w:b/>
                                              <w:bCs/>
                                              <w:caps/>
                                              <w:color w:val="E97132" w:themeColor="accent2"/>
                                              <w:sz w:val="32"/>
                                              <w:szCs w:val="32"/>
                                            </w:rPr>
                                          </w:pPr>
                                          <w:r w:rsidRPr="00747A80">
                                            <w:rPr>
                                              <w:rFonts w:ascii="Arial" w:eastAsiaTheme="minorHAnsi" w:hAnsi="Arial" w:cs="Arial"/>
                                              <w:b/>
                                              <w:bCs/>
                                              <w:caps/>
                                              <w:color w:val="E97132" w:themeColor="accent2"/>
                                              <w:kern w:val="2"/>
                                              <w:sz w:val="32"/>
                                              <w:szCs w:val="32"/>
                                              <w:lang w:val="en-GB"/>
                                              <w14:ligatures w14:val="standardContextual"/>
                                            </w:rPr>
                                            <w:t>Component 2: Research Report</w:t>
                                          </w:r>
                                        </w:p>
                                      </w:sdtContent>
                                    </w:sdt>
                                    <w:p w14:paraId="58C187B2" w14:textId="77777777" w:rsidR="006367EB" w:rsidRPr="00747A80" w:rsidRDefault="00380221" w:rsidP="00747A80">
                                      <w:pPr>
                                        <w:jc w:val="center"/>
                                        <w:rPr>
                                          <w:rFonts w:ascii="Arial" w:hAnsi="Arial" w:cs="Arial"/>
                                          <w:b/>
                                          <w:bCs/>
                                          <w:sz w:val="32"/>
                                          <w:szCs w:val="32"/>
                                        </w:rPr>
                                      </w:pPr>
                                      <w:r w:rsidRPr="00747A80">
                                        <w:rPr>
                                          <w:rFonts w:ascii="Arial" w:hAnsi="Arial" w:cs="Arial"/>
                                          <w:b/>
                                          <w:bCs/>
                                          <w:sz w:val="32"/>
                                          <w:szCs w:val="32"/>
                                        </w:rPr>
                                        <w:t>Module Code: BMHP5019</w:t>
                                      </w:r>
                                    </w:p>
                                    <w:p w14:paraId="45AB4CDA" w14:textId="4F4EBB26" w:rsidR="00380221" w:rsidRPr="00747A80" w:rsidRDefault="00380221" w:rsidP="006830BF">
                                      <w:pPr>
                                        <w:rPr>
                                          <w:b/>
                                          <w:bCs/>
                                          <w:sz w:val="22"/>
                                          <w:szCs w:val="22"/>
                                        </w:rPr>
                                      </w:pPr>
                                      <w:r w:rsidRPr="00747A80">
                                        <w:rPr>
                                          <w:rFonts w:ascii="Arial" w:hAnsi="Arial" w:cs="Arial"/>
                                          <w:b/>
                                          <w:bCs/>
                                          <w:sz w:val="22"/>
                                          <w:szCs w:val="22"/>
                                        </w:rPr>
                                        <w:t>Introduction to Independent</w:t>
                                      </w:r>
                                      <w:r w:rsidR="00747A80" w:rsidRPr="00747A80">
                                        <w:rPr>
                                          <w:rFonts w:ascii="Arial" w:hAnsi="Arial" w:cs="Arial"/>
                                          <w:b/>
                                          <w:bCs/>
                                          <w:sz w:val="22"/>
                                          <w:szCs w:val="22"/>
                                        </w:rPr>
                                        <w:t xml:space="preserve"> </w:t>
                                      </w:r>
                                      <w:r w:rsidRPr="00747A80">
                                        <w:rPr>
                                          <w:rFonts w:ascii="Arial" w:hAnsi="Arial" w:cs="Arial"/>
                                          <w:b/>
                                          <w:bCs/>
                                          <w:sz w:val="22"/>
                                          <w:szCs w:val="22"/>
                                        </w:rPr>
                                        <w:t>Research Skills</w:t>
                                      </w:r>
                                    </w:p>
                                  </w:tc>
                                  <w:tc>
                                    <w:tcPr>
                                      <w:tcW w:w="2432" w:type="pct"/>
                                      <w:vAlign w:val="center"/>
                                    </w:tcPr>
                                    <w:p w14:paraId="57B02D06" w14:textId="06B90885" w:rsidR="006367EB" w:rsidRPr="00747A80" w:rsidRDefault="006367EB" w:rsidP="00380221">
                                      <w:pPr>
                                        <w:pStyle w:val="NoSpacing"/>
                                        <w:spacing w:line="360" w:lineRule="auto"/>
                                        <w:rPr>
                                          <w:rFonts w:ascii="Arial" w:hAnsi="Arial" w:cs="Arial"/>
                                          <w:b/>
                                          <w:bCs/>
                                          <w:caps/>
                                          <w:color w:val="E97132" w:themeColor="accent2"/>
                                          <w:sz w:val="32"/>
                                          <w:szCs w:val="32"/>
                                        </w:rPr>
                                      </w:pPr>
                                      <w:r w:rsidRPr="00747A80">
                                        <w:rPr>
                                          <w:rFonts w:ascii="Arial" w:hAnsi="Arial" w:cs="Arial"/>
                                          <w:b/>
                                          <w:bCs/>
                                          <w:caps/>
                                          <w:color w:val="E97132" w:themeColor="accent2"/>
                                          <w:sz w:val="32"/>
                                          <w:szCs w:val="32"/>
                                        </w:rPr>
                                        <w:t>Samina javed</w:t>
                                      </w:r>
                                    </w:p>
                                    <w:sdt>
                                      <w:sdtPr>
                                        <w:rPr>
                                          <w:rFonts w:ascii="Arial" w:hAnsi="Arial" w:cs="Arial"/>
                                          <w:b/>
                                          <w:bCs/>
                                          <w:color w:val="000000" w:themeColor="text1"/>
                                          <w:sz w:val="32"/>
                                          <w:szCs w:val="32"/>
                                        </w:rPr>
                                        <w:alias w:val="Abstract"/>
                                        <w:tag w:val=""/>
                                        <w:id w:val="-2036181933"/>
                                        <w:dataBinding w:prefixMappings="xmlns:ns0='http://schemas.microsoft.com/office/2006/coverPageProps' " w:xpath="/ns0:CoverPageProperties[1]/ns0:Abstract[1]" w:storeItemID="{55AF091B-3C7A-41E3-B477-F2FDAA23CFDA}"/>
                                        <w:text/>
                                      </w:sdtPr>
                                      <w:sdtContent>
                                        <w:p w14:paraId="1CBC1340" w14:textId="5F06C9F2" w:rsidR="006367EB" w:rsidRPr="00747A80" w:rsidRDefault="006367EB" w:rsidP="00380221">
                                          <w:pPr>
                                            <w:spacing w:line="360" w:lineRule="auto"/>
                                            <w:rPr>
                                              <w:rFonts w:ascii="Arial" w:hAnsi="Arial" w:cs="Arial"/>
                                              <w:b/>
                                              <w:bCs/>
                                              <w:color w:val="000000" w:themeColor="text1"/>
                                              <w:sz w:val="32"/>
                                              <w:szCs w:val="32"/>
                                            </w:rPr>
                                          </w:pPr>
                                          <w:r w:rsidRPr="00747A80">
                                            <w:rPr>
                                              <w:rFonts w:ascii="Arial" w:hAnsi="Arial" w:cs="Arial"/>
                                              <w:b/>
                                              <w:bCs/>
                                              <w:color w:val="000000" w:themeColor="text1"/>
                                              <w:sz w:val="32"/>
                                              <w:szCs w:val="32"/>
                                            </w:rPr>
                                            <w:t>Student No. 2323581</w:t>
                                          </w:r>
                                        </w:p>
                                      </w:sdtContent>
                                    </w:sdt>
                                    <w:p w14:paraId="763B5071" w14:textId="2D90972F" w:rsidR="006367EB" w:rsidRPr="00747A80" w:rsidRDefault="006367EB" w:rsidP="00380221">
                                      <w:pPr>
                                        <w:pStyle w:val="NoSpacing"/>
                                        <w:spacing w:line="360" w:lineRule="auto"/>
                                        <w:rPr>
                                          <w:rFonts w:ascii="Arial" w:hAnsi="Arial" w:cs="Arial"/>
                                          <w:b/>
                                          <w:bCs/>
                                          <w:color w:val="E97132" w:themeColor="accent2"/>
                                          <w:sz w:val="32"/>
                                          <w:szCs w:val="32"/>
                                        </w:rPr>
                                      </w:pPr>
                                      <w:r w:rsidRPr="00747A80">
                                        <w:rPr>
                                          <w:rFonts w:ascii="Arial" w:hAnsi="Arial" w:cs="Arial"/>
                                          <w:b/>
                                          <w:bCs/>
                                          <w:color w:val="E97132" w:themeColor="accent2"/>
                                          <w:sz w:val="32"/>
                                          <w:szCs w:val="32"/>
                                        </w:rPr>
                                        <w:t xml:space="preserve">Lecturer: Dr. </w:t>
                                      </w:r>
                                      <w:r w:rsidR="00380221" w:rsidRPr="00747A80">
                                        <w:rPr>
                                          <w:rFonts w:ascii="Arial" w:hAnsi="Arial" w:cs="Arial"/>
                                          <w:b/>
                                          <w:bCs/>
                                          <w:color w:val="E97132" w:themeColor="accent2"/>
                                          <w:sz w:val="32"/>
                                          <w:szCs w:val="32"/>
                                        </w:rPr>
                                        <w:t>Rizwan Nadim</w:t>
                                      </w:r>
                                    </w:p>
                                    <w:p w14:paraId="5C8A0938" w14:textId="0388928B" w:rsidR="006367EB" w:rsidRPr="00747A80" w:rsidRDefault="006367EB" w:rsidP="00380221">
                                      <w:pPr>
                                        <w:pStyle w:val="NoSpacing"/>
                                        <w:spacing w:line="360" w:lineRule="auto"/>
                                        <w:rPr>
                                          <w:b/>
                                          <w:bCs/>
                                        </w:rPr>
                                      </w:pPr>
                                    </w:p>
                                  </w:tc>
                                </w:tr>
                              </w:tbl>
                              <w:p w14:paraId="60B4F75E" w14:textId="77777777" w:rsidR="006367EB" w:rsidRDefault="006367E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F3E9A23" id="_x0000_t202" coordsize="21600,21600" o:spt="202" path="m,l,21600r21600,l21600,xe">
                    <v:stroke joinstyle="miter"/>
                    <v:path gradientshapeok="t" o:connecttype="rect"/>
                  </v:shapetype>
                  <v:shape id="Text Box 139"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590"/>
                            <w:gridCol w:w="2108"/>
                          </w:tblGrid>
                          <w:tr w:rsidR="006367EB" w14:paraId="36908116" w14:textId="77777777" w:rsidTr="00E411F9">
                            <w:trPr>
                              <w:trHeight w:val="10470"/>
                              <w:jc w:val="center"/>
                            </w:trPr>
                            <w:tc>
                              <w:tcPr>
                                <w:tcW w:w="2568" w:type="pct"/>
                                <w:vAlign w:val="center"/>
                              </w:tcPr>
                              <w:p w14:paraId="2D5E45A7" w14:textId="5A5B22B6" w:rsidR="006367EB" w:rsidRPr="00747A80" w:rsidRDefault="00380221">
                                <w:pPr>
                                  <w:jc w:val="right"/>
                                  <w:rPr>
                                    <w:b/>
                                    <w:bCs/>
                                  </w:rPr>
                                </w:pPr>
                                <w:r w:rsidRPr="00747A80">
                                  <w:rPr>
                                    <w:b/>
                                    <w:bCs/>
                                    <w:noProof/>
                                  </w:rPr>
                                  <w:drawing>
                                    <wp:inline distT="0" distB="0" distL="0" distR="0" wp14:anchorId="754F8D82" wp14:editId="128308D1">
                                      <wp:extent cx="2453640" cy="3680319"/>
                                      <wp:effectExtent l="0" t="0" r="3810" b="0"/>
                                      <wp:docPr id="416805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805435" name=""/>
                                              <pic:cNvPicPr/>
                                            </pic:nvPicPr>
                                            <pic:blipFill>
                                              <a:blip r:embed="rId8"/>
                                              <a:stretch>
                                                <a:fillRect/>
                                              </a:stretch>
                                            </pic:blipFill>
                                            <pic:spPr>
                                              <a:xfrm>
                                                <a:off x="0" y="0"/>
                                                <a:ext cx="2459110" cy="3688523"/>
                                              </a:xfrm>
                                              <a:prstGeom prst="rect">
                                                <a:avLst/>
                                              </a:prstGeom>
                                            </pic:spPr>
                                          </pic:pic>
                                        </a:graphicData>
                                      </a:graphic>
                                    </wp:inline>
                                  </w:drawing>
                                </w:r>
                              </w:p>
                              <w:sdt>
                                <w:sdtPr>
                                  <w:rPr>
                                    <w:rFonts w:ascii="Arial" w:eastAsiaTheme="minorHAnsi" w:hAnsi="Arial" w:cs="Arial"/>
                                    <w:b/>
                                    <w:bCs/>
                                    <w:caps/>
                                    <w:color w:val="E97132" w:themeColor="accent2"/>
                                    <w:kern w:val="2"/>
                                    <w:sz w:val="32"/>
                                    <w:szCs w:val="32"/>
                                    <w:lang w:val="en-GB"/>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4A2D3FD" w14:textId="72A60C18" w:rsidR="006367EB" w:rsidRPr="00747A80" w:rsidRDefault="00380221" w:rsidP="00380221">
                                    <w:pPr>
                                      <w:pStyle w:val="NoSpacing"/>
                                      <w:spacing w:line="312" w:lineRule="auto"/>
                                      <w:jc w:val="center"/>
                                      <w:rPr>
                                        <w:rFonts w:ascii="Arial" w:hAnsi="Arial" w:cs="Arial"/>
                                        <w:b/>
                                        <w:bCs/>
                                        <w:caps/>
                                        <w:color w:val="E97132" w:themeColor="accent2"/>
                                        <w:sz w:val="32"/>
                                        <w:szCs w:val="32"/>
                                      </w:rPr>
                                    </w:pPr>
                                    <w:r w:rsidRPr="00747A80">
                                      <w:rPr>
                                        <w:rFonts w:ascii="Arial" w:eastAsiaTheme="minorHAnsi" w:hAnsi="Arial" w:cs="Arial"/>
                                        <w:b/>
                                        <w:bCs/>
                                        <w:caps/>
                                        <w:color w:val="E97132" w:themeColor="accent2"/>
                                        <w:kern w:val="2"/>
                                        <w:sz w:val="32"/>
                                        <w:szCs w:val="32"/>
                                        <w:lang w:val="en-GB"/>
                                        <w14:ligatures w14:val="standardContextual"/>
                                      </w:rPr>
                                      <w:t>Component 2: Research Report</w:t>
                                    </w:r>
                                  </w:p>
                                </w:sdtContent>
                              </w:sdt>
                              <w:p w14:paraId="58C187B2" w14:textId="77777777" w:rsidR="006367EB" w:rsidRPr="00747A80" w:rsidRDefault="00380221" w:rsidP="00747A80">
                                <w:pPr>
                                  <w:jc w:val="center"/>
                                  <w:rPr>
                                    <w:rFonts w:ascii="Arial" w:hAnsi="Arial" w:cs="Arial"/>
                                    <w:b/>
                                    <w:bCs/>
                                    <w:sz w:val="32"/>
                                    <w:szCs w:val="32"/>
                                  </w:rPr>
                                </w:pPr>
                                <w:r w:rsidRPr="00747A80">
                                  <w:rPr>
                                    <w:rFonts w:ascii="Arial" w:hAnsi="Arial" w:cs="Arial"/>
                                    <w:b/>
                                    <w:bCs/>
                                    <w:sz w:val="32"/>
                                    <w:szCs w:val="32"/>
                                  </w:rPr>
                                  <w:t>Module Code: BMHP5019</w:t>
                                </w:r>
                              </w:p>
                              <w:p w14:paraId="45AB4CDA" w14:textId="4F4EBB26" w:rsidR="00380221" w:rsidRPr="00747A80" w:rsidRDefault="00380221" w:rsidP="006830BF">
                                <w:pPr>
                                  <w:rPr>
                                    <w:b/>
                                    <w:bCs/>
                                    <w:sz w:val="22"/>
                                    <w:szCs w:val="22"/>
                                  </w:rPr>
                                </w:pPr>
                                <w:r w:rsidRPr="00747A80">
                                  <w:rPr>
                                    <w:rFonts w:ascii="Arial" w:hAnsi="Arial" w:cs="Arial"/>
                                    <w:b/>
                                    <w:bCs/>
                                    <w:sz w:val="22"/>
                                    <w:szCs w:val="22"/>
                                  </w:rPr>
                                  <w:t>Introduction to Independent</w:t>
                                </w:r>
                                <w:r w:rsidR="00747A80" w:rsidRPr="00747A80">
                                  <w:rPr>
                                    <w:rFonts w:ascii="Arial" w:hAnsi="Arial" w:cs="Arial"/>
                                    <w:b/>
                                    <w:bCs/>
                                    <w:sz w:val="22"/>
                                    <w:szCs w:val="22"/>
                                  </w:rPr>
                                  <w:t xml:space="preserve"> </w:t>
                                </w:r>
                                <w:r w:rsidRPr="00747A80">
                                  <w:rPr>
                                    <w:rFonts w:ascii="Arial" w:hAnsi="Arial" w:cs="Arial"/>
                                    <w:b/>
                                    <w:bCs/>
                                    <w:sz w:val="22"/>
                                    <w:szCs w:val="22"/>
                                  </w:rPr>
                                  <w:t>Research Skills</w:t>
                                </w:r>
                              </w:p>
                            </w:tc>
                            <w:tc>
                              <w:tcPr>
                                <w:tcW w:w="2432" w:type="pct"/>
                                <w:vAlign w:val="center"/>
                              </w:tcPr>
                              <w:p w14:paraId="57B02D06" w14:textId="06B90885" w:rsidR="006367EB" w:rsidRPr="00747A80" w:rsidRDefault="006367EB" w:rsidP="00380221">
                                <w:pPr>
                                  <w:pStyle w:val="NoSpacing"/>
                                  <w:spacing w:line="360" w:lineRule="auto"/>
                                  <w:rPr>
                                    <w:rFonts w:ascii="Arial" w:hAnsi="Arial" w:cs="Arial"/>
                                    <w:b/>
                                    <w:bCs/>
                                    <w:caps/>
                                    <w:color w:val="E97132" w:themeColor="accent2"/>
                                    <w:sz w:val="32"/>
                                    <w:szCs w:val="32"/>
                                  </w:rPr>
                                </w:pPr>
                                <w:r w:rsidRPr="00747A80">
                                  <w:rPr>
                                    <w:rFonts w:ascii="Arial" w:hAnsi="Arial" w:cs="Arial"/>
                                    <w:b/>
                                    <w:bCs/>
                                    <w:caps/>
                                    <w:color w:val="E97132" w:themeColor="accent2"/>
                                    <w:sz w:val="32"/>
                                    <w:szCs w:val="32"/>
                                  </w:rPr>
                                  <w:t>Samina javed</w:t>
                                </w:r>
                              </w:p>
                              <w:sdt>
                                <w:sdtPr>
                                  <w:rPr>
                                    <w:rFonts w:ascii="Arial" w:hAnsi="Arial" w:cs="Arial"/>
                                    <w:b/>
                                    <w:bCs/>
                                    <w:color w:val="000000" w:themeColor="text1"/>
                                    <w:sz w:val="32"/>
                                    <w:szCs w:val="32"/>
                                  </w:rPr>
                                  <w:alias w:val="Abstract"/>
                                  <w:tag w:val=""/>
                                  <w:id w:val="-2036181933"/>
                                  <w:dataBinding w:prefixMappings="xmlns:ns0='http://schemas.microsoft.com/office/2006/coverPageProps' " w:xpath="/ns0:CoverPageProperties[1]/ns0:Abstract[1]" w:storeItemID="{55AF091B-3C7A-41E3-B477-F2FDAA23CFDA}"/>
                                  <w:text/>
                                </w:sdtPr>
                                <w:sdtContent>
                                  <w:p w14:paraId="1CBC1340" w14:textId="5F06C9F2" w:rsidR="006367EB" w:rsidRPr="00747A80" w:rsidRDefault="006367EB" w:rsidP="00380221">
                                    <w:pPr>
                                      <w:spacing w:line="360" w:lineRule="auto"/>
                                      <w:rPr>
                                        <w:rFonts w:ascii="Arial" w:hAnsi="Arial" w:cs="Arial"/>
                                        <w:b/>
                                        <w:bCs/>
                                        <w:color w:val="000000" w:themeColor="text1"/>
                                        <w:sz w:val="32"/>
                                        <w:szCs w:val="32"/>
                                      </w:rPr>
                                    </w:pPr>
                                    <w:r w:rsidRPr="00747A80">
                                      <w:rPr>
                                        <w:rFonts w:ascii="Arial" w:hAnsi="Arial" w:cs="Arial"/>
                                        <w:b/>
                                        <w:bCs/>
                                        <w:color w:val="000000" w:themeColor="text1"/>
                                        <w:sz w:val="32"/>
                                        <w:szCs w:val="32"/>
                                      </w:rPr>
                                      <w:t>Student No. 2323581</w:t>
                                    </w:r>
                                  </w:p>
                                </w:sdtContent>
                              </w:sdt>
                              <w:p w14:paraId="763B5071" w14:textId="2D90972F" w:rsidR="006367EB" w:rsidRPr="00747A80" w:rsidRDefault="006367EB" w:rsidP="00380221">
                                <w:pPr>
                                  <w:pStyle w:val="NoSpacing"/>
                                  <w:spacing w:line="360" w:lineRule="auto"/>
                                  <w:rPr>
                                    <w:rFonts w:ascii="Arial" w:hAnsi="Arial" w:cs="Arial"/>
                                    <w:b/>
                                    <w:bCs/>
                                    <w:color w:val="E97132" w:themeColor="accent2"/>
                                    <w:sz w:val="32"/>
                                    <w:szCs w:val="32"/>
                                  </w:rPr>
                                </w:pPr>
                                <w:r w:rsidRPr="00747A80">
                                  <w:rPr>
                                    <w:rFonts w:ascii="Arial" w:hAnsi="Arial" w:cs="Arial"/>
                                    <w:b/>
                                    <w:bCs/>
                                    <w:color w:val="E97132" w:themeColor="accent2"/>
                                    <w:sz w:val="32"/>
                                    <w:szCs w:val="32"/>
                                  </w:rPr>
                                  <w:t xml:space="preserve">Lecturer: Dr. </w:t>
                                </w:r>
                                <w:r w:rsidR="00380221" w:rsidRPr="00747A80">
                                  <w:rPr>
                                    <w:rFonts w:ascii="Arial" w:hAnsi="Arial" w:cs="Arial"/>
                                    <w:b/>
                                    <w:bCs/>
                                    <w:color w:val="E97132" w:themeColor="accent2"/>
                                    <w:sz w:val="32"/>
                                    <w:szCs w:val="32"/>
                                  </w:rPr>
                                  <w:t>Rizwan Nadim</w:t>
                                </w:r>
                              </w:p>
                              <w:p w14:paraId="5C8A0938" w14:textId="0388928B" w:rsidR="006367EB" w:rsidRPr="00747A80" w:rsidRDefault="006367EB" w:rsidP="00380221">
                                <w:pPr>
                                  <w:pStyle w:val="NoSpacing"/>
                                  <w:spacing w:line="360" w:lineRule="auto"/>
                                  <w:rPr>
                                    <w:b/>
                                    <w:bCs/>
                                  </w:rPr>
                                </w:pPr>
                              </w:p>
                            </w:tc>
                          </w:tr>
                        </w:tbl>
                        <w:p w14:paraId="60B4F75E" w14:textId="77777777" w:rsidR="006367EB" w:rsidRDefault="006367EB"/>
                      </w:txbxContent>
                    </v:textbox>
                    <w10:wrap anchorx="page" anchory="page"/>
                  </v:shape>
                </w:pict>
              </mc:Fallback>
            </mc:AlternateContent>
          </w:r>
          <w:r w:rsidRPr="00D02D30">
            <w:rPr>
              <w:rFonts w:ascii="Arial" w:hAnsi="Arial" w:cs="Arial"/>
              <w:sz w:val="22"/>
              <w:szCs w:val="22"/>
            </w:rPr>
            <w:br w:type="page"/>
          </w:r>
        </w:p>
      </w:sdtContent>
    </w:sdt>
    <w:p w14:paraId="131B3859" w14:textId="06B4B8AD" w:rsidR="00400F77" w:rsidRPr="00B939F8" w:rsidRDefault="00400F77" w:rsidP="00400F77">
      <w:pPr>
        <w:pStyle w:val="Heading1"/>
        <w:rPr>
          <w:rFonts w:ascii="Arial" w:hAnsi="Arial" w:cs="Arial"/>
          <w:b/>
          <w:bCs/>
          <w:color w:val="auto"/>
          <w:sz w:val="22"/>
          <w:szCs w:val="22"/>
        </w:rPr>
      </w:pPr>
      <w:r w:rsidRPr="00B939F8">
        <w:rPr>
          <w:rFonts w:ascii="Arial" w:hAnsi="Arial" w:cs="Arial"/>
          <w:b/>
          <w:bCs/>
          <w:color w:val="auto"/>
          <w:sz w:val="22"/>
          <w:szCs w:val="22"/>
        </w:rPr>
        <w:lastRenderedPageBreak/>
        <w:t xml:space="preserve">1. Introduction </w:t>
      </w:r>
    </w:p>
    <w:p w14:paraId="164D5B38" w14:textId="77777777" w:rsidR="00400F77" w:rsidRPr="00B939F8" w:rsidRDefault="00400F77" w:rsidP="00400F77">
      <w:pPr>
        <w:spacing w:line="360" w:lineRule="auto"/>
        <w:jc w:val="both"/>
        <w:rPr>
          <w:rFonts w:ascii="Arial" w:hAnsi="Arial" w:cs="Arial"/>
          <w:sz w:val="22"/>
          <w:szCs w:val="22"/>
        </w:rPr>
      </w:pPr>
      <w:r w:rsidRPr="00B939F8">
        <w:rPr>
          <w:rFonts w:ascii="Arial" w:hAnsi="Arial" w:cs="Arial"/>
          <w:sz w:val="22"/>
          <w:szCs w:val="22"/>
        </w:rPr>
        <w:t>Generalised Anxiety Disorder (GAD) is a common mental health condition characterised by persistent and excessive worry about everyday situations. People with GAD often experience constant feelings of nervousness, difficulty concentrating, irritability, sleep disturbances, and physical symptoms such as fatigue or muscle tension (American Psychiatric Association, 2022). Unlike normal worry, the anxiety experienced in GAD is intense, long-lasting, and can significantly affect a person’s daily functioning, including school performance, relationships, and emotional wellbeing (Bandelow and Michaelis, 2022).</w:t>
      </w:r>
    </w:p>
    <w:p w14:paraId="30B11F41" w14:textId="77777777" w:rsidR="00400F77" w:rsidRPr="00B939F8" w:rsidRDefault="00400F77" w:rsidP="00400F77">
      <w:pPr>
        <w:spacing w:line="360" w:lineRule="auto"/>
        <w:jc w:val="both"/>
        <w:rPr>
          <w:rFonts w:ascii="Arial" w:hAnsi="Arial" w:cs="Arial"/>
          <w:sz w:val="22"/>
          <w:szCs w:val="22"/>
        </w:rPr>
      </w:pPr>
      <w:r w:rsidRPr="00B939F8">
        <w:rPr>
          <w:rFonts w:ascii="Arial" w:hAnsi="Arial" w:cs="Arial"/>
          <w:sz w:val="22"/>
          <w:szCs w:val="22"/>
        </w:rPr>
        <w:t>Adolescence is an important developmental stage that typically occurs between the ages of 10 and 19 years. During this period, young people experience significant biological, psychological, and social changes as they transition from childhood to adulthood (Sawyer et al., 2020). These changes can make adolescents more vulnerable to mental health problems, particularly anxiety disorders. Adolescents often face pressures related to school performance, peer relationships, social media, and identity development, which can increase feelings of stress and worry (Loades et al., 2020). If these feelings become overwhelming and persistent, they may develop into anxiety disorders such as GAD.</w:t>
      </w:r>
    </w:p>
    <w:p w14:paraId="1608C507" w14:textId="77777777" w:rsidR="00400F77" w:rsidRPr="00B939F8" w:rsidRDefault="00400F77" w:rsidP="00400F77">
      <w:pPr>
        <w:spacing w:line="360" w:lineRule="auto"/>
        <w:jc w:val="both"/>
        <w:rPr>
          <w:rFonts w:ascii="Arial" w:hAnsi="Arial" w:cs="Arial"/>
          <w:sz w:val="22"/>
          <w:szCs w:val="22"/>
        </w:rPr>
      </w:pPr>
      <w:r w:rsidRPr="00B939F8">
        <w:rPr>
          <w:rFonts w:ascii="Arial" w:hAnsi="Arial" w:cs="Arial"/>
          <w:sz w:val="22"/>
          <w:szCs w:val="22"/>
        </w:rPr>
        <w:t>In the United Kingdom, mental health problems among children and young people have increased in recent years. National surveys indicate that approximately one in five young people in England experiences a probable mental health disorder, with anxiety disorders being among the most common conditions (NHS Digital, 2023). The rise in adolescent anxiety has become a growing concern for health professionals, educators, and policymakers because untreated anxiety can negatively affect educational achievement, social development, and long-term mental health outcomes (Creswell et al., 2021).</w:t>
      </w:r>
    </w:p>
    <w:p w14:paraId="697B4ACC" w14:textId="77777777" w:rsidR="00400F77" w:rsidRPr="00B939F8" w:rsidRDefault="00400F77" w:rsidP="00400F77">
      <w:pPr>
        <w:spacing w:line="360" w:lineRule="auto"/>
        <w:jc w:val="both"/>
        <w:rPr>
          <w:rFonts w:ascii="Arial" w:hAnsi="Arial" w:cs="Arial"/>
          <w:sz w:val="22"/>
          <w:szCs w:val="22"/>
        </w:rPr>
      </w:pPr>
      <w:r w:rsidRPr="00B939F8">
        <w:rPr>
          <w:rFonts w:ascii="Arial" w:hAnsi="Arial" w:cs="Arial"/>
          <w:sz w:val="22"/>
          <w:szCs w:val="22"/>
        </w:rPr>
        <w:t>Understanding GAD among teenagers in the UK is therefore important for improving early identification, prevention strategies, and access to appropriate mental health support services. Although there is increasing awareness of youth anxiety, research evidence regarding the prevalence, contributing factors, and service provision for adolescents with GAD remains fragmented. Conducting a scoping review can help to identify key research findings and highlight gaps in the existing literature.</w:t>
      </w:r>
    </w:p>
    <w:p w14:paraId="39F16939" w14:textId="77777777" w:rsidR="00400F77" w:rsidRPr="00B939F8" w:rsidRDefault="00400F77" w:rsidP="00400F77">
      <w:pPr>
        <w:spacing w:line="360" w:lineRule="auto"/>
        <w:jc w:val="both"/>
        <w:rPr>
          <w:rFonts w:ascii="Arial" w:hAnsi="Arial" w:cs="Arial"/>
          <w:sz w:val="22"/>
          <w:szCs w:val="22"/>
        </w:rPr>
      </w:pPr>
      <w:r w:rsidRPr="00B939F8">
        <w:rPr>
          <w:rFonts w:ascii="Arial" w:hAnsi="Arial" w:cs="Arial"/>
          <w:sz w:val="22"/>
          <w:szCs w:val="22"/>
        </w:rPr>
        <w:t>The review question guiding this research is: What does existing UK research reveal about the prevalence, associated factors, and research gaps relating to Generalised Anxiety Disorder among teenagers aged 13–18 years?</w:t>
      </w:r>
    </w:p>
    <w:p w14:paraId="7D5E85DF" w14:textId="77777777" w:rsidR="00400F77" w:rsidRPr="00B939F8" w:rsidRDefault="00400F77" w:rsidP="00400F77">
      <w:pPr>
        <w:spacing w:line="360" w:lineRule="auto"/>
        <w:jc w:val="both"/>
        <w:rPr>
          <w:rFonts w:ascii="Arial" w:hAnsi="Arial" w:cs="Arial"/>
          <w:sz w:val="22"/>
          <w:szCs w:val="22"/>
        </w:rPr>
      </w:pPr>
      <w:r w:rsidRPr="00B939F8">
        <w:rPr>
          <w:rFonts w:ascii="Arial" w:hAnsi="Arial" w:cs="Arial"/>
          <w:sz w:val="22"/>
          <w:szCs w:val="22"/>
        </w:rPr>
        <w:t xml:space="preserve">The aim of this study is to explore existing UK-based research evidence on GAD among adolescents. The objectives of the study are to summarise research reporting the prevalence of GAD among teenagers, examine social, educational, and psychological factors associated </w:t>
      </w:r>
      <w:r w:rsidRPr="00B939F8">
        <w:rPr>
          <w:rFonts w:ascii="Arial" w:hAnsi="Arial" w:cs="Arial"/>
          <w:sz w:val="22"/>
          <w:szCs w:val="22"/>
        </w:rPr>
        <w:lastRenderedPageBreak/>
        <w:t>with GAD, identify gaps within current research literature, and explore limitations within mental health services supporting adolescents experiencing anxiety.</w:t>
      </w:r>
    </w:p>
    <w:p w14:paraId="0224ADA2" w14:textId="6EF2B407" w:rsidR="00C25089" w:rsidRPr="00B939F8" w:rsidRDefault="00C25089" w:rsidP="007E6DDB">
      <w:pPr>
        <w:pStyle w:val="Heading1"/>
        <w:rPr>
          <w:rFonts w:ascii="Arial" w:hAnsi="Arial" w:cs="Arial"/>
          <w:b/>
          <w:bCs/>
          <w:color w:val="auto"/>
          <w:sz w:val="22"/>
          <w:szCs w:val="22"/>
        </w:rPr>
      </w:pPr>
      <w:r w:rsidRPr="00B939F8">
        <w:rPr>
          <w:rFonts w:ascii="Arial" w:hAnsi="Arial" w:cs="Arial"/>
          <w:b/>
          <w:bCs/>
          <w:color w:val="auto"/>
          <w:sz w:val="22"/>
          <w:szCs w:val="22"/>
        </w:rPr>
        <w:t xml:space="preserve">2. Background </w:t>
      </w:r>
    </w:p>
    <w:p w14:paraId="5425CCCF" w14:textId="77777777" w:rsidR="00C25089" w:rsidRPr="00B939F8" w:rsidRDefault="00C25089" w:rsidP="00C25089">
      <w:pPr>
        <w:spacing w:line="360" w:lineRule="auto"/>
        <w:jc w:val="both"/>
        <w:rPr>
          <w:rFonts w:ascii="Arial" w:hAnsi="Arial" w:cs="Arial"/>
          <w:sz w:val="22"/>
          <w:szCs w:val="22"/>
        </w:rPr>
      </w:pPr>
      <w:r w:rsidRPr="00B939F8">
        <w:rPr>
          <w:rFonts w:ascii="Arial" w:hAnsi="Arial" w:cs="Arial"/>
          <w:sz w:val="22"/>
          <w:szCs w:val="22"/>
        </w:rPr>
        <w:t xml:space="preserve">Generalised Anxiety Disorder (GAD) and other anxiety disorders have become increasingly common among children and young people in the United Kingdom. Recent national surveys show that mental health difficulties among adolescents have risen significantly over the past decade. According to national data published by NHS Digital, approximately one in five children and young people aged 8–25 in England had a probable mental health disorder in 2023, demonstrating the scale of mental health challenges affecting young people (NHS Digital, 2023). Anxiety disorders are among the most frequently reported conditions in this age group and often begin during adolescence, a developmental period when individuals experience major emotional, cognitive, and social changes (Creswell, Waite and Hudson, 2021). </w:t>
      </w:r>
    </w:p>
    <w:p w14:paraId="492EFA71" w14:textId="77777777" w:rsidR="00C25089" w:rsidRPr="00B939F8" w:rsidRDefault="00C25089" w:rsidP="00C25089">
      <w:pPr>
        <w:spacing w:line="360" w:lineRule="auto"/>
        <w:jc w:val="both"/>
        <w:rPr>
          <w:rFonts w:ascii="Arial" w:hAnsi="Arial" w:cs="Arial"/>
          <w:sz w:val="22"/>
          <w:szCs w:val="22"/>
        </w:rPr>
      </w:pPr>
      <w:r w:rsidRPr="00B939F8">
        <w:rPr>
          <w:rFonts w:ascii="Arial" w:hAnsi="Arial" w:cs="Arial"/>
          <w:sz w:val="22"/>
          <w:szCs w:val="22"/>
        </w:rPr>
        <w:t>Several factors contribute to the rising prevalence of anxiety among teenagers in the UK. Adolescents face multiple social and educational pressures that may increase stress and emotional distress. For example, academic expectations, examinations, and competition for higher education opportunities can create significant pressure for young people. At the same time, social relationships, peer influence, and exposure to social media may contribute to feelings of comparison, isolation, and low self-esteem (Loades et al., 2020). Research has shown that social isolation and loneliness can have a negative impact on adolescent mental health, increasing the risk of anxiety and depression (Loades et al., 2020). These pressures can be particularly challenging during adolescence, when young people are developing their identity and coping skills.</w:t>
      </w:r>
    </w:p>
    <w:p w14:paraId="2A4A9858" w14:textId="77777777" w:rsidR="00C25089" w:rsidRPr="00B939F8" w:rsidRDefault="00C25089" w:rsidP="00C25089">
      <w:pPr>
        <w:spacing w:line="360" w:lineRule="auto"/>
        <w:jc w:val="both"/>
        <w:rPr>
          <w:rFonts w:ascii="Arial" w:hAnsi="Arial" w:cs="Arial"/>
          <w:sz w:val="22"/>
          <w:szCs w:val="22"/>
        </w:rPr>
      </w:pPr>
      <w:r w:rsidRPr="00B939F8">
        <w:rPr>
          <w:rFonts w:ascii="Arial" w:hAnsi="Arial" w:cs="Arial"/>
          <w:sz w:val="22"/>
          <w:szCs w:val="22"/>
        </w:rPr>
        <w:t>Anxiety disorders can also have a serious impact on education and overall wellbeing. Teenagers experiencing GAD may struggle with concentration, attendance, and academic performance due to constant worry and emotional distress. Anxiety may cause difficulties in social interaction, reduce confidence, and limit participation in school activities (Bandelow and Michaelis, 2022). In severe cases, young people may avoid school or withdraw from social situations altogether. If anxiety is not identified and treated early, it can continue into adulthood and lead to long-term mental health problems, affecting employment, relationships, and quality of life (Creswell, Waite and Hudson, 2021).</w:t>
      </w:r>
    </w:p>
    <w:p w14:paraId="0AC332E7" w14:textId="77777777" w:rsidR="00C25089" w:rsidRPr="00B939F8" w:rsidRDefault="00C25089" w:rsidP="00C25089">
      <w:pPr>
        <w:spacing w:line="360" w:lineRule="auto"/>
        <w:jc w:val="both"/>
        <w:rPr>
          <w:rFonts w:ascii="Arial" w:hAnsi="Arial" w:cs="Arial"/>
          <w:sz w:val="22"/>
          <w:szCs w:val="22"/>
        </w:rPr>
      </w:pPr>
      <w:r w:rsidRPr="00B939F8">
        <w:rPr>
          <w:rFonts w:ascii="Arial" w:hAnsi="Arial" w:cs="Arial"/>
          <w:sz w:val="22"/>
          <w:szCs w:val="22"/>
        </w:rPr>
        <w:t xml:space="preserve">The UK government and health organisations have introduced several policies and strategies to improve mental health support for children and young people. The National Health Service (NHS) provides mental health services for adolescents through Child and Adolescent Mental </w:t>
      </w:r>
      <w:r w:rsidRPr="00B939F8">
        <w:rPr>
          <w:rFonts w:ascii="Arial" w:hAnsi="Arial" w:cs="Arial"/>
          <w:sz w:val="22"/>
          <w:szCs w:val="22"/>
        </w:rPr>
        <w:lastRenderedPageBreak/>
        <w:t>Health Services (CAMHS), which offer assessment, diagnosis, and treatment for a range of mental health conditions, including anxiety disorders. CAMHS services include psychological therapies such as cognitive behavioural therapy (CBT), family support, and specialist interventions for young people experiencing severe mental health problems. These services are designed to provide early intervention and reduce the long-term impact of mental health conditions (NICE, 2024).</w:t>
      </w:r>
    </w:p>
    <w:p w14:paraId="7D846D9A" w14:textId="77777777" w:rsidR="00C25089" w:rsidRPr="00B939F8" w:rsidRDefault="00C25089" w:rsidP="00C25089">
      <w:pPr>
        <w:spacing w:line="360" w:lineRule="auto"/>
        <w:jc w:val="both"/>
        <w:rPr>
          <w:rFonts w:ascii="Arial" w:hAnsi="Arial" w:cs="Arial"/>
          <w:sz w:val="22"/>
          <w:szCs w:val="22"/>
        </w:rPr>
      </w:pPr>
      <w:r w:rsidRPr="00B939F8">
        <w:rPr>
          <w:rFonts w:ascii="Arial" w:hAnsi="Arial" w:cs="Arial"/>
          <w:sz w:val="22"/>
          <w:szCs w:val="22"/>
        </w:rPr>
        <w:t>Guidelines developed by the National Institute for Health and Care Excellence (NICE) provide evidence-based recommendations for the identification and treatment of anxiety disorders in children and young people. NICE guidance highlights the importance of early assessment, appropriate psychological interventions, and collaboration between healthcare providers, schools, and families in supporting adolescents with anxiety (NICE, 2024). These policies aim to improve access to mental health services and ensure that young people receive appropriate care.</w:t>
      </w:r>
    </w:p>
    <w:p w14:paraId="5C6DBB28" w14:textId="77777777" w:rsidR="00C25089" w:rsidRPr="00B939F8" w:rsidRDefault="00C25089" w:rsidP="00C25089">
      <w:pPr>
        <w:spacing w:line="360" w:lineRule="auto"/>
        <w:jc w:val="both"/>
        <w:rPr>
          <w:rFonts w:ascii="Arial" w:hAnsi="Arial" w:cs="Arial"/>
          <w:sz w:val="22"/>
          <w:szCs w:val="22"/>
        </w:rPr>
      </w:pPr>
      <w:r w:rsidRPr="00B939F8">
        <w:rPr>
          <w:rFonts w:ascii="Arial" w:hAnsi="Arial" w:cs="Arial"/>
          <w:sz w:val="22"/>
          <w:szCs w:val="22"/>
        </w:rPr>
        <w:t>Despite these initiatives, many adolescents in the UK continue to face challenges in accessing mental health support. Increasing numbers of young people are being referred to NHS mental health services for anxiety, and demand for services has grown rapidly in recent years. For example, recent reports indicate that more than 200,000 children and young people were referred to NHS services for anxiety in 2023–2024, demonstrating the rising demand for mental health care among adolescents (Children’s Commissioner, 2024). Long waiting times and limited resources within CAMHS services can make it difficult for young people to receive timely support.</w:t>
      </w:r>
    </w:p>
    <w:p w14:paraId="78B1E470" w14:textId="77777777" w:rsidR="00C25089" w:rsidRPr="00B939F8" w:rsidRDefault="00C25089" w:rsidP="00C25089">
      <w:pPr>
        <w:spacing w:line="360" w:lineRule="auto"/>
        <w:jc w:val="both"/>
        <w:rPr>
          <w:rFonts w:ascii="Arial" w:hAnsi="Arial" w:cs="Arial"/>
          <w:sz w:val="22"/>
          <w:szCs w:val="22"/>
        </w:rPr>
      </w:pPr>
      <w:r w:rsidRPr="00B939F8">
        <w:rPr>
          <w:rFonts w:ascii="Arial" w:hAnsi="Arial" w:cs="Arial"/>
          <w:sz w:val="22"/>
          <w:szCs w:val="22"/>
        </w:rPr>
        <w:t>Given the growing prevalence of anxiety disorders and the challenges associated with mental health service access, further research is needed to better understand GAD among teenagers in the UK. Research can help identify patterns in prevalence, contributing social and psychological factors, and gaps in service provision. Conducting a scoping review of existing studies will therefore provide a clearer overview of current knowledge and highlight areas where further research or policy development may be required to support adolescents experiencing anxiety.</w:t>
      </w:r>
    </w:p>
    <w:p w14:paraId="68002A9B" w14:textId="5D858B06" w:rsidR="00A1751D" w:rsidRPr="00B939F8" w:rsidRDefault="00A1751D" w:rsidP="00F327A9">
      <w:pPr>
        <w:pStyle w:val="Heading1"/>
        <w:rPr>
          <w:rFonts w:ascii="Arial" w:hAnsi="Arial" w:cs="Arial"/>
          <w:b/>
          <w:bCs/>
          <w:color w:val="auto"/>
          <w:sz w:val="22"/>
          <w:szCs w:val="22"/>
        </w:rPr>
      </w:pPr>
      <w:r w:rsidRPr="00B939F8">
        <w:rPr>
          <w:rFonts w:ascii="Arial" w:hAnsi="Arial" w:cs="Arial"/>
          <w:b/>
          <w:bCs/>
          <w:color w:val="auto"/>
          <w:sz w:val="22"/>
          <w:szCs w:val="22"/>
        </w:rPr>
        <w:t xml:space="preserve">3. Methods (Scoping Review Methodology) </w:t>
      </w:r>
    </w:p>
    <w:p w14:paraId="696F61E9" w14:textId="77777777" w:rsidR="00A1751D" w:rsidRPr="00B939F8" w:rsidRDefault="00A1751D" w:rsidP="00F327A9">
      <w:pPr>
        <w:pStyle w:val="Heading2"/>
        <w:rPr>
          <w:rFonts w:ascii="Arial" w:hAnsi="Arial" w:cs="Arial"/>
          <w:b/>
          <w:bCs/>
          <w:color w:val="auto"/>
          <w:sz w:val="22"/>
          <w:szCs w:val="22"/>
        </w:rPr>
      </w:pPr>
      <w:r w:rsidRPr="00B939F8">
        <w:rPr>
          <w:rFonts w:ascii="Arial" w:hAnsi="Arial" w:cs="Arial"/>
          <w:b/>
          <w:bCs/>
          <w:color w:val="auto"/>
          <w:sz w:val="22"/>
          <w:szCs w:val="22"/>
        </w:rPr>
        <w:t>3.1 Research Design</w:t>
      </w:r>
    </w:p>
    <w:p w14:paraId="710C0D2B" w14:textId="74AA85D9" w:rsidR="00A1751D" w:rsidRPr="00B939F8" w:rsidRDefault="00A1751D" w:rsidP="00A1751D">
      <w:pPr>
        <w:spacing w:line="360" w:lineRule="auto"/>
        <w:jc w:val="both"/>
        <w:rPr>
          <w:rFonts w:ascii="Arial" w:hAnsi="Arial" w:cs="Arial"/>
          <w:sz w:val="22"/>
          <w:szCs w:val="22"/>
        </w:rPr>
      </w:pPr>
      <w:r w:rsidRPr="00B939F8">
        <w:rPr>
          <w:rFonts w:ascii="Arial" w:hAnsi="Arial" w:cs="Arial"/>
          <w:sz w:val="22"/>
          <w:szCs w:val="22"/>
        </w:rPr>
        <w:t xml:space="preserve">This study used a scoping review methodology to explore existing research on Generalised Anxiety Disorder (GAD) among teenagers in the United Kingdom. A scoping review is a research method used to identify and summarise available evidence on a specific topic and to highlight research gaps within the literature (Munn et al., 2022). </w:t>
      </w:r>
      <w:r w:rsidR="0014015F" w:rsidRPr="00B939F8">
        <w:rPr>
          <w:rFonts w:ascii="Arial" w:hAnsi="Arial" w:cs="Arial"/>
          <w:sz w:val="22"/>
          <w:szCs w:val="22"/>
        </w:rPr>
        <w:t xml:space="preserve">Unlike systematic reviews, </w:t>
      </w:r>
      <w:r w:rsidR="0014015F" w:rsidRPr="00B939F8">
        <w:rPr>
          <w:rFonts w:ascii="Arial" w:hAnsi="Arial" w:cs="Arial"/>
          <w:sz w:val="22"/>
          <w:szCs w:val="22"/>
        </w:rPr>
        <w:lastRenderedPageBreak/>
        <w:t>which usually focus on evaluating the effectiveness of interventions, scoping reviews aim to provide a broad overview of research findings and identify key themes across studies (Rodger, 2024). This approach was appropriate for this study because the aim was to explore the prevalence of GAD, identify associated factors, and examine research gaps relating to adolescents in the UK.</w:t>
      </w:r>
    </w:p>
    <w:p w14:paraId="76622F8A" w14:textId="77777777" w:rsidR="00A1751D" w:rsidRPr="00B939F8" w:rsidRDefault="00A1751D" w:rsidP="00F327A9">
      <w:pPr>
        <w:pStyle w:val="Heading2"/>
        <w:rPr>
          <w:rFonts w:ascii="Arial" w:hAnsi="Arial" w:cs="Arial"/>
          <w:b/>
          <w:bCs/>
          <w:color w:val="auto"/>
          <w:sz w:val="22"/>
          <w:szCs w:val="22"/>
        </w:rPr>
      </w:pPr>
      <w:r w:rsidRPr="00B939F8">
        <w:rPr>
          <w:rFonts w:ascii="Arial" w:hAnsi="Arial" w:cs="Arial"/>
          <w:b/>
          <w:bCs/>
          <w:color w:val="auto"/>
          <w:sz w:val="22"/>
          <w:szCs w:val="22"/>
        </w:rPr>
        <w:t>3.2 Scoping Review Framework</w:t>
      </w:r>
    </w:p>
    <w:p w14:paraId="2FC6CA54" w14:textId="77777777" w:rsidR="00A1751D" w:rsidRPr="00B939F8" w:rsidRDefault="00A1751D" w:rsidP="00A1751D">
      <w:pPr>
        <w:spacing w:line="360" w:lineRule="auto"/>
        <w:jc w:val="both"/>
        <w:rPr>
          <w:rFonts w:ascii="Arial" w:hAnsi="Arial" w:cs="Arial"/>
          <w:sz w:val="22"/>
          <w:szCs w:val="22"/>
        </w:rPr>
      </w:pPr>
      <w:r w:rsidRPr="00B939F8">
        <w:rPr>
          <w:rFonts w:ascii="Arial" w:hAnsi="Arial" w:cs="Arial"/>
          <w:sz w:val="22"/>
          <w:szCs w:val="22"/>
        </w:rPr>
        <w:t>The study followed the Arksey and O’Malley framework, which is widely used in health and social care research for conducting scoping reviews. This framework includes five main stages: identifying the research question, identifying relevant studies, selecting studies, charting the data, and summarising the findings (Arksey and O’Malley, 2005; Peters et al., 2020). Following this framework helped ensure that the research process was systematic and transparent.</w:t>
      </w:r>
    </w:p>
    <w:p w14:paraId="784CC277" w14:textId="77777777" w:rsidR="00A1751D" w:rsidRPr="00B939F8" w:rsidRDefault="00A1751D" w:rsidP="00F327A9">
      <w:pPr>
        <w:pStyle w:val="Heading2"/>
        <w:rPr>
          <w:rFonts w:ascii="Arial" w:hAnsi="Arial" w:cs="Arial"/>
          <w:b/>
          <w:bCs/>
          <w:color w:val="auto"/>
          <w:sz w:val="22"/>
          <w:szCs w:val="22"/>
        </w:rPr>
      </w:pPr>
      <w:r w:rsidRPr="00B939F8">
        <w:rPr>
          <w:rFonts w:ascii="Arial" w:hAnsi="Arial" w:cs="Arial"/>
          <w:b/>
          <w:bCs/>
          <w:color w:val="auto"/>
          <w:sz w:val="22"/>
          <w:szCs w:val="22"/>
        </w:rPr>
        <w:t>3.3 Search Strategy and Databases</w:t>
      </w:r>
    </w:p>
    <w:p w14:paraId="33CD5A26" w14:textId="77777777" w:rsidR="00A1751D" w:rsidRPr="00B939F8" w:rsidRDefault="00A1751D" w:rsidP="00A1751D">
      <w:pPr>
        <w:spacing w:line="360" w:lineRule="auto"/>
        <w:jc w:val="both"/>
        <w:rPr>
          <w:rFonts w:ascii="Arial" w:hAnsi="Arial" w:cs="Arial"/>
          <w:sz w:val="22"/>
          <w:szCs w:val="22"/>
        </w:rPr>
      </w:pPr>
      <w:r w:rsidRPr="00B939F8">
        <w:rPr>
          <w:rFonts w:ascii="Arial" w:hAnsi="Arial" w:cs="Arial"/>
          <w:sz w:val="22"/>
          <w:szCs w:val="22"/>
        </w:rPr>
        <w:t>To identify relevant studies, several electronic databases were searched. These included PubMed, PsycINFO, Google Scholar, and the UWTSD online library. These databases provide access to a wide range of academic journal articles related to mental health, psychology, and healthcare research. The search strategy used combinations of keywords such as “generalised anxiety disorder,” “adolescents,” “teenagers,” “youth mental health,” and “United Kingdom.” Using multiple databases increased the likelihood of identifying reliable and relevant research articles.</w:t>
      </w:r>
    </w:p>
    <w:p w14:paraId="680834A6" w14:textId="77777777" w:rsidR="00A1751D" w:rsidRPr="00B939F8" w:rsidRDefault="00A1751D" w:rsidP="00F327A9">
      <w:pPr>
        <w:pStyle w:val="Heading2"/>
        <w:rPr>
          <w:rFonts w:ascii="Arial" w:hAnsi="Arial" w:cs="Arial"/>
          <w:b/>
          <w:bCs/>
          <w:color w:val="auto"/>
          <w:sz w:val="22"/>
          <w:szCs w:val="22"/>
        </w:rPr>
      </w:pPr>
      <w:r w:rsidRPr="00B939F8">
        <w:rPr>
          <w:rFonts w:ascii="Arial" w:hAnsi="Arial" w:cs="Arial"/>
          <w:b/>
          <w:bCs/>
          <w:color w:val="auto"/>
          <w:sz w:val="22"/>
          <w:szCs w:val="22"/>
        </w:rPr>
        <w:t>3.4 Inclusion and Exclusion Criteria</w:t>
      </w:r>
    </w:p>
    <w:p w14:paraId="1DD8C422" w14:textId="77777777" w:rsidR="00A1751D" w:rsidRPr="00B939F8" w:rsidRDefault="00A1751D" w:rsidP="00A1751D">
      <w:pPr>
        <w:spacing w:line="360" w:lineRule="auto"/>
        <w:jc w:val="both"/>
        <w:rPr>
          <w:rFonts w:ascii="Arial" w:hAnsi="Arial" w:cs="Arial"/>
          <w:sz w:val="22"/>
          <w:szCs w:val="22"/>
        </w:rPr>
      </w:pPr>
      <w:r w:rsidRPr="00B939F8">
        <w:rPr>
          <w:rFonts w:ascii="Arial" w:hAnsi="Arial" w:cs="Arial"/>
          <w:sz w:val="22"/>
          <w:szCs w:val="22"/>
        </w:rPr>
        <w:t>Clear inclusion and exclusion criteria were applied to ensure that the selected studies were relevant to the research topic. The inclusion criteria consisted of peer-reviewed journal articles focusing on adolescents aged 13–18 years, conducted within the United Kingdom, and published between 2014 and 2025. These criteria ensured that the studies reflected current research and focused on the appropriate population.</w:t>
      </w:r>
    </w:p>
    <w:p w14:paraId="1FE9218C" w14:textId="77777777" w:rsidR="00A1751D" w:rsidRPr="00B939F8" w:rsidRDefault="00A1751D" w:rsidP="00A1751D">
      <w:pPr>
        <w:spacing w:line="360" w:lineRule="auto"/>
        <w:jc w:val="both"/>
        <w:rPr>
          <w:rFonts w:ascii="Arial" w:hAnsi="Arial" w:cs="Arial"/>
          <w:sz w:val="22"/>
          <w:szCs w:val="22"/>
        </w:rPr>
      </w:pPr>
      <w:r w:rsidRPr="00B939F8">
        <w:rPr>
          <w:rFonts w:ascii="Arial" w:hAnsi="Arial" w:cs="Arial"/>
          <w:sz w:val="22"/>
          <w:szCs w:val="22"/>
        </w:rPr>
        <w:t>Studies were excluded if they were conducted outside the UK, focused on adults rather than adolescents, or consisted of opinion articles, editorials, or commentary papers. Only empirical research studies were included in the final review.</w:t>
      </w:r>
    </w:p>
    <w:p w14:paraId="4DB8BF7E" w14:textId="77777777" w:rsidR="00A1751D" w:rsidRPr="00B939F8" w:rsidRDefault="00A1751D" w:rsidP="00F327A9">
      <w:pPr>
        <w:pStyle w:val="Heading2"/>
        <w:rPr>
          <w:rFonts w:ascii="Arial" w:hAnsi="Arial" w:cs="Arial"/>
          <w:b/>
          <w:bCs/>
          <w:color w:val="auto"/>
          <w:sz w:val="22"/>
          <w:szCs w:val="22"/>
        </w:rPr>
      </w:pPr>
      <w:r w:rsidRPr="00B939F8">
        <w:rPr>
          <w:rFonts w:ascii="Arial" w:hAnsi="Arial" w:cs="Arial"/>
          <w:b/>
          <w:bCs/>
          <w:color w:val="auto"/>
          <w:sz w:val="22"/>
          <w:szCs w:val="22"/>
        </w:rPr>
        <w:t>3.5 Data Extraction</w:t>
      </w:r>
    </w:p>
    <w:p w14:paraId="43971120" w14:textId="2963DD3C" w:rsidR="00A1751D" w:rsidRPr="00B939F8" w:rsidRDefault="009001F8" w:rsidP="00A1751D">
      <w:pPr>
        <w:spacing w:line="360" w:lineRule="auto"/>
        <w:jc w:val="both"/>
        <w:rPr>
          <w:rFonts w:ascii="Arial" w:hAnsi="Arial" w:cs="Arial"/>
          <w:sz w:val="22"/>
          <w:szCs w:val="22"/>
        </w:rPr>
      </w:pPr>
      <w:r w:rsidRPr="00B939F8">
        <w:rPr>
          <w:rFonts w:ascii="Arial" w:hAnsi="Arial" w:cs="Arial"/>
          <w:sz w:val="22"/>
          <w:szCs w:val="22"/>
        </w:rPr>
        <w:t>After selecting relevant studies, data extraction was conducted to organise the key information from each article. Important details were recorded in a summary table, including the author, year of publication, research design, study population, and main findings. This process helped to compare findings across studies and supported the identification of key themes (</w:t>
      </w:r>
      <w:proofErr w:type="spellStart"/>
      <w:r w:rsidRPr="00B939F8">
        <w:rPr>
          <w:rFonts w:ascii="Arial" w:hAnsi="Arial" w:cs="Arial"/>
          <w:sz w:val="22"/>
          <w:szCs w:val="22"/>
        </w:rPr>
        <w:t>Aromataris</w:t>
      </w:r>
      <w:proofErr w:type="spellEnd"/>
      <w:r w:rsidRPr="00B939F8">
        <w:rPr>
          <w:rFonts w:ascii="Arial" w:hAnsi="Arial" w:cs="Arial"/>
          <w:sz w:val="22"/>
          <w:szCs w:val="22"/>
        </w:rPr>
        <w:t xml:space="preserve"> and Munn, 2020; Page et al., 2021). Systematic organisation of extracted data is widely </w:t>
      </w:r>
      <w:r w:rsidRPr="00B939F8">
        <w:rPr>
          <w:rFonts w:ascii="Arial" w:hAnsi="Arial" w:cs="Arial"/>
          <w:sz w:val="22"/>
          <w:szCs w:val="22"/>
        </w:rPr>
        <w:lastRenderedPageBreak/>
        <w:t>recommended in literature reviews because it improves transparency and allows researchers to clearly identify patterns, similarities, and differences between studies (Booth, Sutton and Papaioannou, 2021; Haddaway et al., 2020).</w:t>
      </w:r>
    </w:p>
    <w:p w14:paraId="1578D5FD" w14:textId="77777777" w:rsidR="00A1751D" w:rsidRPr="00B939F8" w:rsidRDefault="00A1751D" w:rsidP="00F327A9">
      <w:pPr>
        <w:pStyle w:val="Heading2"/>
        <w:rPr>
          <w:rFonts w:ascii="Arial" w:hAnsi="Arial" w:cs="Arial"/>
          <w:b/>
          <w:bCs/>
          <w:color w:val="auto"/>
          <w:sz w:val="22"/>
          <w:szCs w:val="22"/>
        </w:rPr>
      </w:pPr>
      <w:r w:rsidRPr="00B939F8">
        <w:rPr>
          <w:rFonts w:ascii="Arial" w:hAnsi="Arial" w:cs="Arial"/>
          <w:b/>
          <w:bCs/>
          <w:color w:val="auto"/>
          <w:sz w:val="22"/>
          <w:szCs w:val="22"/>
        </w:rPr>
        <w:t>3.6 Data Analysis</w:t>
      </w:r>
    </w:p>
    <w:p w14:paraId="57B60AD3" w14:textId="77777777" w:rsidR="00A1751D" w:rsidRPr="00B939F8" w:rsidRDefault="00A1751D" w:rsidP="00A1751D">
      <w:pPr>
        <w:spacing w:line="360" w:lineRule="auto"/>
        <w:jc w:val="both"/>
        <w:rPr>
          <w:rFonts w:ascii="Arial" w:hAnsi="Arial" w:cs="Arial"/>
          <w:sz w:val="22"/>
          <w:szCs w:val="22"/>
        </w:rPr>
      </w:pPr>
      <w:r w:rsidRPr="00B939F8">
        <w:rPr>
          <w:rFonts w:ascii="Arial" w:hAnsi="Arial" w:cs="Arial"/>
          <w:sz w:val="22"/>
          <w:szCs w:val="22"/>
        </w:rPr>
        <w:t>The selected studies were analysed using thematic analysis, which involves identifying patterns and recurring ideas across research findings (Aveyard, 2021). Each study was carefully reviewed, and similar findings were grouped together to form themes. Themes identified within this review included the prevalence of anxiety among adolescents, social and educational pressures contributing to anxiety, and challenges in accessing mental health services.</w:t>
      </w:r>
    </w:p>
    <w:p w14:paraId="7DCA182A" w14:textId="77777777" w:rsidR="00A1751D" w:rsidRPr="00B939F8" w:rsidRDefault="00A1751D" w:rsidP="00F327A9">
      <w:pPr>
        <w:pStyle w:val="Heading2"/>
        <w:rPr>
          <w:rFonts w:ascii="Arial" w:hAnsi="Arial" w:cs="Arial"/>
          <w:b/>
          <w:bCs/>
          <w:color w:val="auto"/>
          <w:sz w:val="22"/>
          <w:szCs w:val="22"/>
        </w:rPr>
      </w:pPr>
      <w:r w:rsidRPr="00B939F8">
        <w:rPr>
          <w:rFonts w:ascii="Arial" w:hAnsi="Arial" w:cs="Arial"/>
          <w:b/>
          <w:bCs/>
          <w:color w:val="auto"/>
          <w:sz w:val="22"/>
          <w:szCs w:val="22"/>
        </w:rPr>
        <w:t>3.7 Ethical Considerations</w:t>
      </w:r>
    </w:p>
    <w:p w14:paraId="4D0E0974" w14:textId="77777777" w:rsidR="00A1751D" w:rsidRPr="00B939F8" w:rsidRDefault="00A1751D" w:rsidP="00A1751D">
      <w:pPr>
        <w:spacing w:line="360" w:lineRule="auto"/>
        <w:jc w:val="both"/>
        <w:rPr>
          <w:rFonts w:ascii="Arial" w:hAnsi="Arial" w:cs="Arial"/>
          <w:sz w:val="22"/>
          <w:szCs w:val="22"/>
        </w:rPr>
      </w:pPr>
      <w:r w:rsidRPr="00B939F8">
        <w:rPr>
          <w:rFonts w:ascii="Arial" w:hAnsi="Arial" w:cs="Arial"/>
          <w:sz w:val="22"/>
          <w:szCs w:val="22"/>
        </w:rPr>
        <w:t xml:space="preserve">Ethical considerations were </w:t>
      </w:r>
      <w:proofErr w:type="gramStart"/>
      <w:r w:rsidRPr="00B939F8">
        <w:rPr>
          <w:rFonts w:ascii="Arial" w:hAnsi="Arial" w:cs="Arial"/>
          <w:sz w:val="22"/>
          <w:szCs w:val="22"/>
        </w:rPr>
        <w:t>taken into account</w:t>
      </w:r>
      <w:proofErr w:type="gramEnd"/>
      <w:r w:rsidRPr="00B939F8">
        <w:rPr>
          <w:rFonts w:ascii="Arial" w:hAnsi="Arial" w:cs="Arial"/>
          <w:sz w:val="22"/>
          <w:szCs w:val="22"/>
        </w:rPr>
        <w:t xml:space="preserve"> throughout the research process. This study involved secondary analysis of existing literature and did not include direct data collection from participants. Therefore, formal ethical approval was not required. However, ethical principles such as academic integrity, transparency, and accurate referencing were maintained. All sources used in the study were properly cited to acknowledge the work of other researchers (British Psychological Society, 2021).</w:t>
      </w:r>
    </w:p>
    <w:p w14:paraId="5DF73D93" w14:textId="7177050C" w:rsidR="00EA7671" w:rsidRPr="00B939F8" w:rsidRDefault="00EA7671" w:rsidP="00F327A9">
      <w:pPr>
        <w:pStyle w:val="Heading1"/>
        <w:rPr>
          <w:rFonts w:ascii="Arial" w:hAnsi="Arial" w:cs="Arial"/>
          <w:b/>
          <w:bCs/>
          <w:color w:val="auto"/>
          <w:sz w:val="22"/>
          <w:szCs w:val="22"/>
        </w:rPr>
      </w:pPr>
      <w:r w:rsidRPr="00B939F8">
        <w:rPr>
          <w:rFonts w:ascii="Arial" w:hAnsi="Arial" w:cs="Arial"/>
          <w:b/>
          <w:bCs/>
          <w:color w:val="auto"/>
          <w:sz w:val="22"/>
          <w:szCs w:val="22"/>
        </w:rPr>
        <w:t xml:space="preserve">4. Results – Scoping Review Findings </w:t>
      </w:r>
    </w:p>
    <w:p w14:paraId="71020871" w14:textId="77777777" w:rsidR="00EA7671" w:rsidRPr="00B939F8" w:rsidRDefault="00EA7671" w:rsidP="00EA7671">
      <w:pPr>
        <w:spacing w:line="360" w:lineRule="auto"/>
        <w:jc w:val="both"/>
        <w:rPr>
          <w:rFonts w:ascii="Arial" w:hAnsi="Arial" w:cs="Arial"/>
          <w:sz w:val="22"/>
          <w:szCs w:val="22"/>
        </w:rPr>
      </w:pPr>
      <w:r w:rsidRPr="00B939F8">
        <w:rPr>
          <w:rFonts w:ascii="Arial" w:hAnsi="Arial" w:cs="Arial"/>
          <w:sz w:val="22"/>
          <w:szCs w:val="22"/>
        </w:rPr>
        <w:t>This section presents the findings from the scoping review of peer-reviewed research examining Generalised Anxiety Disorder (GAD) and anxiety among teenagers in the United Kingdom. Five relevant studies were selected based on the inclusion criteria described in the methods section. These studies explored anxiety prevalence, contributing factors, and experiences of adolescents in the UK. The results were organised using thematic analysis, which allowed patterns and recurring themes across the studies to be identified (Aveyard, 2021).</w:t>
      </w:r>
    </w:p>
    <w:p w14:paraId="760AC14C" w14:textId="77777777" w:rsidR="00EA7671" w:rsidRPr="00B939F8" w:rsidRDefault="00EA7671" w:rsidP="00F327A9">
      <w:pPr>
        <w:pStyle w:val="Heading2"/>
        <w:rPr>
          <w:rFonts w:ascii="Arial" w:hAnsi="Arial" w:cs="Arial"/>
          <w:b/>
          <w:bCs/>
          <w:color w:val="auto"/>
          <w:sz w:val="22"/>
          <w:szCs w:val="22"/>
        </w:rPr>
      </w:pPr>
      <w:r w:rsidRPr="00B939F8">
        <w:rPr>
          <w:rFonts w:ascii="Arial" w:hAnsi="Arial" w:cs="Arial"/>
          <w:b/>
          <w:bCs/>
          <w:color w:val="auto"/>
          <w:sz w:val="22"/>
          <w:szCs w:val="22"/>
        </w:rPr>
        <w:t>4.1 Summary of Selected Studies</w:t>
      </w:r>
    </w:p>
    <w:p w14:paraId="15A67055" w14:textId="77777777" w:rsidR="00EA7671" w:rsidRPr="00B939F8" w:rsidRDefault="00EA7671" w:rsidP="00EA7671">
      <w:pPr>
        <w:spacing w:line="360" w:lineRule="auto"/>
        <w:jc w:val="both"/>
        <w:rPr>
          <w:rFonts w:ascii="Arial" w:hAnsi="Arial" w:cs="Arial"/>
          <w:sz w:val="22"/>
          <w:szCs w:val="22"/>
        </w:rPr>
      </w:pPr>
      <w:r w:rsidRPr="00B939F8">
        <w:rPr>
          <w:rFonts w:ascii="Arial" w:hAnsi="Arial" w:cs="Arial"/>
          <w:sz w:val="22"/>
          <w:szCs w:val="22"/>
        </w:rPr>
        <w:t>The key characteristics of the selected studies are summarised in Table 1.</w:t>
      </w:r>
    </w:p>
    <w:tbl>
      <w:tblPr>
        <w:tblStyle w:val="GridTable5Dark-Accent3"/>
        <w:tblW w:w="0" w:type="auto"/>
        <w:tblLook w:val="04A0" w:firstRow="1" w:lastRow="0" w:firstColumn="1" w:lastColumn="0" w:noHBand="0" w:noVBand="1"/>
      </w:tblPr>
      <w:tblGrid>
        <w:gridCol w:w="1252"/>
        <w:gridCol w:w="706"/>
        <w:gridCol w:w="1592"/>
        <w:gridCol w:w="2008"/>
        <w:gridCol w:w="3458"/>
      </w:tblGrid>
      <w:tr w:rsidR="00EA7671" w:rsidRPr="00B939F8" w14:paraId="405FBD7C" w14:textId="77777777" w:rsidTr="00F327A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3019C3" w14:textId="77777777" w:rsidR="00EA7671" w:rsidRPr="00B939F8" w:rsidRDefault="00EA7671" w:rsidP="00EA7671">
            <w:pPr>
              <w:spacing w:after="160" w:line="360" w:lineRule="auto"/>
              <w:jc w:val="both"/>
              <w:rPr>
                <w:rFonts w:ascii="Arial" w:hAnsi="Arial" w:cs="Arial"/>
                <w:sz w:val="22"/>
                <w:szCs w:val="22"/>
              </w:rPr>
            </w:pPr>
            <w:r w:rsidRPr="00B939F8">
              <w:rPr>
                <w:rFonts w:ascii="Arial" w:hAnsi="Arial" w:cs="Arial"/>
                <w:sz w:val="22"/>
                <w:szCs w:val="22"/>
              </w:rPr>
              <w:t>Author</w:t>
            </w:r>
          </w:p>
        </w:tc>
        <w:tc>
          <w:tcPr>
            <w:tcW w:w="0" w:type="auto"/>
            <w:hideMark/>
          </w:tcPr>
          <w:p w14:paraId="2959201D" w14:textId="77777777" w:rsidR="00EA7671" w:rsidRPr="00B939F8" w:rsidRDefault="00EA7671" w:rsidP="00EA767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939F8">
              <w:rPr>
                <w:rFonts w:ascii="Arial" w:hAnsi="Arial" w:cs="Arial"/>
                <w:sz w:val="22"/>
                <w:szCs w:val="22"/>
              </w:rPr>
              <w:t>Year</w:t>
            </w:r>
          </w:p>
        </w:tc>
        <w:tc>
          <w:tcPr>
            <w:tcW w:w="0" w:type="auto"/>
            <w:hideMark/>
          </w:tcPr>
          <w:p w14:paraId="5B31BCF1" w14:textId="77777777" w:rsidR="00EA7671" w:rsidRPr="00B939F8" w:rsidRDefault="00EA7671" w:rsidP="00EA767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939F8">
              <w:rPr>
                <w:rFonts w:ascii="Arial" w:hAnsi="Arial" w:cs="Arial"/>
                <w:sz w:val="22"/>
                <w:szCs w:val="22"/>
              </w:rPr>
              <w:t>Study Type</w:t>
            </w:r>
          </w:p>
        </w:tc>
        <w:tc>
          <w:tcPr>
            <w:tcW w:w="0" w:type="auto"/>
            <w:hideMark/>
          </w:tcPr>
          <w:p w14:paraId="1E2A6389" w14:textId="77777777" w:rsidR="00EA7671" w:rsidRPr="00B939F8" w:rsidRDefault="00EA7671" w:rsidP="00EA767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939F8">
              <w:rPr>
                <w:rFonts w:ascii="Arial" w:hAnsi="Arial" w:cs="Arial"/>
                <w:sz w:val="22"/>
                <w:szCs w:val="22"/>
              </w:rPr>
              <w:t>Sample</w:t>
            </w:r>
          </w:p>
        </w:tc>
        <w:tc>
          <w:tcPr>
            <w:tcW w:w="0" w:type="auto"/>
            <w:hideMark/>
          </w:tcPr>
          <w:p w14:paraId="5B394D85" w14:textId="77777777" w:rsidR="00EA7671" w:rsidRPr="00B939F8" w:rsidRDefault="00EA7671" w:rsidP="00EA767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939F8">
              <w:rPr>
                <w:rFonts w:ascii="Arial" w:hAnsi="Arial" w:cs="Arial"/>
                <w:sz w:val="22"/>
                <w:szCs w:val="22"/>
              </w:rPr>
              <w:t>Key Findings</w:t>
            </w:r>
          </w:p>
        </w:tc>
      </w:tr>
      <w:tr w:rsidR="00EA7671" w:rsidRPr="00B939F8" w14:paraId="6CEC9D95" w14:textId="77777777" w:rsidTr="00F32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F5138B" w14:textId="77777777" w:rsidR="00EA7671" w:rsidRPr="00B939F8" w:rsidRDefault="00EA7671" w:rsidP="00EA7671">
            <w:pPr>
              <w:spacing w:after="160" w:line="360" w:lineRule="auto"/>
              <w:jc w:val="both"/>
              <w:rPr>
                <w:rFonts w:ascii="Arial" w:hAnsi="Arial" w:cs="Arial"/>
                <w:sz w:val="22"/>
                <w:szCs w:val="22"/>
              </w:rPr>
            </w:pPr>
            <w:r w:rsidRPr="00B939F8">
              <w:rPr>
                <w:rFonts w:ascii="Arial" w:hAnsi="Arial" w:cs="Arial"/>
                <w:sz w:val="22"/>
                <w:szCs w:val="22"/>
              </w:rPr>
              <w:t>Creswell et al.</w:t>
            </w:r>
          </w:p>
        </w:tc>
        <w:tc>
          <w:tcPr>
            <w:tcW w:w="0" w:type="auto"/>
            <w:hideMark/>
          </w:tcPr>
          <w:p w14:paraId="5BFB78A3" w14:textId="77777777" w:rsidR="00EA7671" w:rsidRPr="00B939F8" w:rsidRDefault="00EA7671" w:rsidP="00EA76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939F8">
              <w:rPr>
                <w:rFonts w:ascii="Arial" w:hAnsi="Arial" w:cs="Arial"/>
                <w:sz w:val="22"/>
                <w:szCs w:val="22"/>
              </w:rPr>
              <w:t>2021</w:t>
            </w:r>
          </w:p>
        </w:tc>
        <w:tc>
          <w:tcPr>
            <w:tcW w:w="0" w:type="auto"/>
            <w:hideMark/>
          </w:tcPr>
          <w:p w14:paraId="594FE772" w14:textId="77777777" w:rsidR="00EA7671" w:rsidRPr="00B939F8" w:rsidRDefault="00EA7671" w:rsidP="00EA76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939F8">
              <w:rPr>
                <w:rFonts w:ascii="Arial" w:hAnsi="Arial" w:cs="Arial"/>
                <w:sz w:val="22"/>
                <w:szCs w:val="22"/>
              </w:rPr>
              <w:t>Review study</w:t>
            </w:r>
          </w:p>
        </w:tc>
        <w:tc>
          <w:tcPr>
            <w:tcW w:w="0" w:type="auto"/>
            <w:hideMark/>
          </w:tcPr>
          <w:p w14:paraId="696EDF45" w14:textId="77777777" w:rsidR="00EA7671" w:rsidRPr="00B939F8" w:rsidRDefault="00EA7671" w:rsidP="00EA76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939F8">
              <w:rPr>
                <w:rFonts w:ascii="Arial" w:hAnsi="Arial" w:cs="Arial"/>
                <w:sz w:val="22"/>
                <w:szCs w:val="22"/>
              </w:rPr>
              <w:t>Children and adolescents in UK studies</w:t>
            </w:r>
          </w:p>
        </w:tc>
        <w:tc>
          <w:tcPr>
            <w:tcW w:w="0" w:type="auto"/>
            <w:hideMark/>
          </w:tcPr>
          <w:p w14:paraId="5D78589E" w14:textId="77777777" w:rsidR="00EA7671" w:rsidRPr="00B939F8" w:rsidRDefault="00EA7671" w:rsidP="00EA76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939F8">
              <w:rPr>
                <w:rFonts w:ascii="Arial" w:hAnsi="Arial" w:cs="Arial"/>
                <w:sz w:val="22"/>
                <w:szCs w:val="22"/>
              </w:rPr>
              <w:t>Anxiety disorders are common in adolescence and early identification is important for prevention.</w:t>
            </w:r>
          </w:p>
        </w:tc>
      </w:tr>
      <w:tr w:rsidR="00EA7671" w:rsidRPr="00B939F8" w14:paraId="6B72DB20" w14:textId="77777777" w:rsidTr="00F327A9">
        <w:tc>
          <w:tcPr>
            <w:cnfStyle w:val="001000000000" w:firstRow="0" w:lastRow="0" w:firstColumn="1" w:lastColumn="0" w:oddVBand="0" w:evenVBand="0" w:oddHBand="0" w:evenHBand="0" w:firstRowFirstColumn="0" w:firstRowLastColumn="0" w:lastRowFirstColumn="0" w:lastRowLastColumn="0"/>
            <w:tcW w:w="0" w:type="auto"/>
            <w:hideMark/>
          </w:tcPr>
          <w:p w14:paraId="4C664474" w14:textId="77777777" w:rsidR="00EA7671" w:rsidRPr="00B939F8" w:rsidRDefault="00EA7671" w:rsidP="00EA7671">
            <w:pPr>
              <w:spacing w:after="160" w:line="360" w:lineRule="auto"/>
              <w:jc w:val="both"/>
              <w:rPr>
                <w:rFonts w:ascii="Arial" w:hAnsi="Arial" w:cs="Arial"/>
                <w:sz w:val="22"/>
                <w:szCs w:val="22"/>
              </w:rPr>
            </w:pPr>
            <w:r w:rsidRPr="00B939F8">
              <w:rPr>
                <w:rFonts w:ascii="Arial" w:hAnsi="Arial" w:cs="Arial"/>
                <w:sz w:val="22"/>
                <w:szCs w:val="22"/>
              </w:rPr>
              <w:lastRenderedPageBreak/>
              <w:t>Loades et al.</w:t>
            </w:r>
          </w:p>
        </w:tc>
        <w:tc>
          <w:tcPr>
            <w:tcW w:w="0" w:type="auto"/>
            <w:hideMark/>
          </w:tcPr>
          <w:p w14:paraId="0A5D0291" w14:textId="77777777" w:rsidR="00EA7671" w:rsidRPr="00B939F8" w:rsidRDefault="00EA7671" w:rsidP="00EA76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939F8">
              <w:rPr>
                <w:rFonts w:ascii="Arial" w:hAnsi="Arial" w:cs="Arial"/>
                <w:sz w:val="22"/>
                <w:szCs w:val="22"/>
              </w:rPr>
              <w:t>2020</w:t>
            </w:r>
          </w:p>
        </w:tc>
        <w:tc>
          <w:tcPr>
            <w:tcW w:w="0" w:type="auto"/>
            <w:hideMark/>
          </w:tcPr>
          <w:p w14:paraId="2D3821C9" w14:textId="77777777" w:rsidR="00EA7671" w:rsidRPr="00B939F8" w:rsidRDefault="00EA7671" w:rsidP="00EA76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939F8">
              <w:rPr>
                <w:rFonts w:ascii="Arial" w:hAnsi="Arial" w:cs="Arial"/>
                <w:sz w:val="22"/>
                <w:szCs w:val="22"/>
              </w:rPr>
              <w:t>Systematic review</w:t>
            </w:r>
          </w:p>
        </w:tc>
        <w:tc>
          <w:tcPr>
            <w:tcW w:w="0" w:type="auto"/>
            <w:hideMark/>
          </w:tcPr>
          <w:p w14:paraId="5D74DCD5" w14:textId="77777777" w:rsidR="00EA7671" w:rsidRPr="00B939F8" w:rsidRDefault="00EA7671" w:rsidP="00EA76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939F8">
              <w:rPr>
                <w:rFonts w:ascii="Arial" w:hAnsi="Arial" w:cs="Arial"/>
                <w:sz w:val="22"/>
                <w:szCs w:val="22"/>
              </w:rPr>
              <w:t>63 studies including young people</w:t>
            </w:r>
          </w:p>
        </w:tc>
        <w:tc>
          <w:tcPr>
            <w:tcW w:w="0" w:type="auto"/>
            <w:hideMark/>
          </w:tcPr>
          <w:p w14:paraId="6748B5C9" w14:textId="77777777" w:rsidR="00EA7671" w:rsidRPr="00B939F8" w:rsidRDefault="00EA7671" w:rsidP="00EA76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939F8">
              <w:rPr>
                <w:rFonts w:ascii="Arial" w:hAnsi="Arial" w:cs="Arial"/>
                <w:sz w:val="22"/>
                <w:szCs w:val="22"/>
              </w:rPr>
              <w:t>Social isolation and loneliness were strongly associated with increased anxiety in adolescents.</w:t>
            </w:r>
          </w:p>
        </w:tc>
      </w:tr>
      <w:tr w:rsidR="00EA7671" w:rsidRPr="00B939F8" w14:paraId="4594E20C" w14:textId="77777777" w:rsidTr="00F32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4D452D" w14:textId="20AE460C" w:rsidR="00EA7671" w:rsidRPr="00B939F8" w:rsidRDefault="00EF3026" w:rsidP="00EA7671">
            <w:pPr>
              <w:spacing w:after="160" w:line="360" w:lineRule="auto"/>
              <w:jc w:val="both"/>
              <w:rPr>
                <w:rFonts w:ascii="Arial" w:hAnsi="Arial" w:cs="Arial"/>
                <w:sz w:val="22"/>
                <w:szCs w:val="22"/>
              </w:rPr>
            </w:pPr>
            <w:proofErr w:type="spellStart"/>
            <w:r w:rsidRPr="00B939F8">
              <w:rPr>
                <w:rFonts w:ascii="Arial" w:hAnsi="Arial" w:cs="Arial"/>
                <w:sz w:val="22"/>
                <w:szCs w:val="22"/>
              </w:rPr>
              <w:t>Steare</w:t>
            </w:r>
            <w:proofErr w:type="spellEnd"/>
            <w:r w:rsidRPr="00B939F8">
              <w:rPr>
                <w:rFonts w:ascii="Arial" w:hAnsi="Arial" w:cs="Arial"/>
                <w:sz w:val="22"/>
                <w:szCs w:val="22"/>
              </w:rPr>
              <w:t xml:space="preserve"> et al.</w:t>
            </w:r>
          </w:p>
        </w:tc>
        <w:tc>
          <w:tcPr>
            <w:tcW w:w="0" w:type="auto"/>
            <w:hideMark/>
          </w:tcPr>
          <w:p w14:paraId="1F638E37" w14:textId="19C12DAE" w:rsidR="00EA7671" w:rsidRPr="00B939F8" w:rsidRDefault="00EA7671" w:rsidP="00EA76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939F8">
              <w:rPr>
                <w:rFonts w:ascii="Arial" w:hAnsi="Arial" w:cs="Arial"/>
                <w:sz w:val="22"/>
                <w:szCs w:val="22"/>
              </w:rPr>
              <w:t>202</w:t>
            </w:r>
            <w:r w:rsidR="00EF3026" w:rsidRPr="00B939F8">
              <w:rPr>
                <w:rFonts w:ascii="Arial" w:hAnsi="Arial" w:cs="Arial"/>
                <w:sz w:val="22"/>
                <w:szCs w:val="22"/>
              </w:rPr>
              <w:t>3</w:t>
            </w:r>
          </w:p>
        </w:tc>
        <w:tc>
          <w:tcPr>
            <w:tcW w:w="0" w:type="auto"/>
            <w:hideMark/>
          </w:tcPr>
          <w:p w14:paraId="495396AB" w14:textId="77777777" w:rsidR="00EA7671" w:rsidRPr="00B939F8" w:rsidRDefault="00EA7671" w:rsidP="00EA76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939F8">
              <w:rPr>
                <w:rFonts w:ascii="Arial" w:hAnsi="Arial" w:cs="Arial"/>
                <w:sz w:val="22"/>
                <w:szCs w:val="22"/>
              </w:rPr>
              <w:t>Cross-sectional study</w:t>
            </w:r>
          </w:p>
        </w:tc>
        <w:tc>
          <w:tcPr>
            <w:tcW w:w="0" w:type="auto"/>
            <w:hideMark/>
          </w:tcPr>
          <w:p w14:paraId="26C7EAED" w14:textId="77777777" w:rsidR="00EA7671" w:rsidRPr="00B939F8" w:rsidRDefault="00EA7671" w:rsidP="00EA76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939F8">
              <w:rPr>
                <w:rFonts w:ascii="Arial" w:hAnsi="Arial" w:cs="Arial"/>
                <w:sz w:val="22"/>
                <w:szCs w:val="22"/>
              </w:rPr>
              <w:t>1,200 adolescents</w:t>
            </w:r>
          </w:p>
        </w:tc>
        <w:tc>
          <w:tcPr>
            <w:tcW w:w="0" w:type="auto"/>
            <w:hideMark/>
          </w:tcPr>
          <w:p w14:paraId="5E8C408A" w14:textId="77777777" w:rsidR="00EA7671" w:rsidRPr="00B939F8" w:rsidRDefault="00EA7671" w:rsidP="00EA76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939F8">
              <w:rPr>
                <w:rFonts w:ascii="Arial" w:hAnsi="Arial" w:cs="Arial"/>
                <w:sz w:val="22"/>
                <w:szCs w:val="22"/>
              </w:rPr>
              <w:t>Anxiety symptoms were linked with academic pressure and uncertainty about future education.</w:t>
            </w:r>
          </w:p>
        </w:tc>
      </w:tr>
      <w:tr w:rsidR="00EA7671" w:rsidRPr="00B939F8" w14:paraId="7DB36583" w14:textId="77777777" w:rsidTr="00F327A9">
        <w:tc>
          <w:tcPr>
            <w:cnfStyle w:val="001000000000" w:firstRow="0" w:lastRow="0" w:firstColumn="1" w:lastColumn="0" w:oddVBand="0" w:evenVBand="0" w:oddHBand="0" w:evenHBand="0" w:firstRowFirstColumn="0" w:firstRowLastColumn="0" w:lastRowFirstColumn="0" w:lastRowLastColumn="0"/>
            <w:tcW w:w="0" w:type="auto"/>
            <w:hideMark/>
          </w:tcPr>
          <w:p w14:paraId="7BB0C01F" w14:textId="77777777" w:rsidR="00EA7671" w:rsidRPr="00B939F8" w:rsidRDefault="00EA7671" w:rsidP="00EA7671">
            <w:pPr>
              <w:spacing w:after="160" w:line="360" w:lineRule="auto"/>
              <w:jc w:val="both"/>
              <w:rPr>
                <w:rFonts w:ascii="Arial" w:hAnsi="Arial" w:cs="Arial"/>
                <w:sz w:val="22"/>
                <w:szCs w:val="22"/>
              </w:rPr>
            </w:pPr>
            <w:r w:rsidRPr="00B939F8">
              <w:rPr>
                <w:rFonts w:ascii="Arial" w:hAnsi="Arial" w:cs="Arial"/>
                <w:sz w:val="22"/>
                <w:szCs w:val="22"/>
              </w:rPr>
              <w:t>Ford et al.</w:t>
            </w:r>
          </w:p>
        </w:tc>
        <w:tc>
          <w:tcPr>
            <w:tcW w:w="0" w:type="auto"/>
            <w:hideMark/>
          </w:tcPr>
          <w:p w14:paraId="46C75654" w14:textId="77777777" w:rsidR="00EA7671" w:rsidRPr="00B939F8" w:rsidRDefault="00EA7671" w:rsidP="00EA76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939F8">
              <w:rPr>
                <w:rFonts w:ascii="Arial" w:hAnsi="Arial" w:cs="Arial"/>
                <w:sz w:val="22"/>
                <w:szCs w:val="22"/>
              </w:rPr>
              <w:t>2023</w:t>
            </w:r>
          </w:p>
        </w:tc>
        <w:tc>
          <w:tcPr>
            <w:tcW w:w="0" w:type="auto"/>
            <w:hideMark/>
          </w:tcPr>
          <w:p w14:paraId="6847B219" w14:textId="77777777" w:rsidR="00EA7671" w:rsidRPr="00B939F8" w:rsidRDefault="00EA7671" w:rsidP="00EA76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939F8">
              <w:rPr>
                <w:rFonts w:ascii="Arial" w:hAnsi="Arial" w:cs="Arial"/>
                <w:sz w:val="22"/>
                <w:szCs w:val="22"/>
              </w:rPr>
              <w:t>National survey analysis</w:t>
            </w:r>
          </w:p>
        </w:tc>
        <w:tc>
          <w:tcPr>
            <w:tcW w:w="0" w:type="auto"/>
            <w:hideMark/>
          </w:tcPr>
          <w:p w14:paraId="21886444" w14:textId="77777777" w:rsidR="00EA7671" w:rsidRPr="00B939F8" w:rsidRDefault="00EA7671" w:rsidP="00EA76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939F8">
              <w:rPr>
                <w:rFonts w:ascii="Arial" w:hAnsi="Arial" w:cs="Arial"/>
                <w:sz w:val="22"/>
                <w:szCs w:val="22"/>
              </w:rPr>
              <w:t>2,000 UK adolescents</w:t>
            </w:r>
          </w:p>
        </w:tc>
        <w:tc>
          <w:tcPr>
            <w:tcW w:w="0" w:type="auto"/>
            <w:hideMark/>
          </w:tcPr>
          <w:p w14:paraId="087B4FDC" w14:textId="77777777" w:rsidR="00EA7671" w:rsidRPr="00B939F8" w:rsidRDefault="00EA7671" w:rsidP="00EA76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939F8">
              <w:rPr>
                <w:rFonts w:ascii="Arial" w:hAnsi="Arial" w:cs="Arial"/>
                <w:sz w:val="22"/>
                <w:szCs w:val="22"/>
              </w:rPr>
              <w:t>Around one in five young people reported symptoms of anxiety or other mental health problems.</w:t>
            </w:r>
          </w:p>
        </w:tc>
      </w:tr>
      <w:tr w:rsidR="00EA7671" w:rsidRPr="00B939F8" w14:paraId="355C4640" w14:textId="77777777" w:rsidTr="00F32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4A5470" w14:textId="77777777" w:rsidR="00EA7671" w:rsidRPr="00B939F8" w:rsidRDefault="00EA7671" w:rsidP="00EA7671">
            <w:pPr>
              <w:spacing w:after="160" w:line="360" w:lineRule="auto"/>
              <w:jc w:val="both"/>
              <w:rPr>
                <w:rFonts w:ascii="Arial" w:hAnsi="Arial" w:cs="Arial"/>
                <w:sz w:val="22"/>
                <w:szCs w:val="22"/>
              </w:rPr>
            </w:pPr>
            <w:r w:rsidRPr="00B939F8">
              <w:rPr>
                <w:rFonts w:ascii="Arial" w:hAnsi="Arial" w:cs="Arial"/>
                <w:sz w:val="22"/>
                <w:szCs w:val="22"/>
              </w:rPr>
              <w:t>Vizard et al.</w:t>
            </w:r>
          </w:p>
        </w:tc>
        <w:tc>
          <w:tcPr>
            <w:tcW w:w="0" w:type="auto"/>
            <w:hideMark/>
          </w:tcPr>
          <w:p w14:paraId="4C9644A6" w14:textId="77777777" w:rsidR="00EA7671" w:rsidRPr="00B939F8" w:rsidRDefault="00EA7671" w:rsidP="00EA76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939F8">
              <w:rPr>
                <w:rFonts w:ascii="Arial" w:hAnsi="Arial" w:cs="Arial"/>
                <w:sz w:val="22"/>
                <w:szCs w:val="22"/>
              </w:rPr>
              <w:t>2023</w:t>
            </w:r>
          </w:p>
        </w:tc>
        <w:tc>
          <w:tcPr>
            <w:tcW w:w="0" w:type="auto"/>
            <w:hideMark/>
          </w:tcPr>
          <w:p w14:paraId="3BD466BA" w14:textId="77777777" w:rsidR="00EA7671" w:rsidRPr="00B939F8" w:rsidRDefault="00EA7671" w:rsidP="00EA76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939F8">
              <w:rPr>
                <w:rFonts w:ascii="Arial" w:hAnsi="Arial" w:cs="Arial"/>
                <w:sz w:val="22"/>
                <w:szCs w:val="22"/>
              </w:rPr>
              <w:t>Population survey</w:t>
            </w:r>
          </w:p>
        </w:tc>
        <w:tc>
          <w:tcPr>
            <w:tcW w:w="0" w:type="auto"/>
            <w:hideMark/>
          </w:tcPr>
          <w:p w14:paraId="5E75BFEA" w14:textId="77777777" w:rsidR="00EA7671" w:rsidRPr="00B939F8" w:rsidRDefault="00EA7671" w:rsidP="00EA76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939F8">
              <w:rPr>
                <w:rFonts w:ascii="Arial" w:hAnsi="Arial" w:cs="Arial"/>
                <w:sz w:val="22"/>
                <w:szCs w:val="22"/>
              </w:rPr>
              <w:t>UK children and adolescents</w:t>
            </w:r>
          </w:p>
        </w:tc>
        <w:tc>
          <w:tcPr>
            <w:tcW w:w="0" w:type="auto"/>
            <w:hideMark/>
          </w:tcPr>
          <w:p w14:paraId="665065BF" w14:textId="77777777" w:rsidR="00EA7671" w:rsidRPr="00B939F8" w:rsidRDefault="00EA7671" w:rsidP="00EA76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939F8">
              <w:rPr>
                <w:rFonts w:ascii="Arial" w:hAnsi="Arial" w:cs="Arial"/>
                <w:sz w:val="22"/>
                <w:szCs w:val="22"/>
              </w:rPr>
              <w:t>Anxiety disorders increased following social and environmental stressors affecting young people.</w:t>
            </w:r>
          </w:p>
        </w:tc>
      </w:tr>
    </w:tbl>
    <w:p w14:paraId="2FFFD460" w14:textId="77777777" w:rsidR="00EA7671" w:rsidRPr="00B939F8" w:rsidRDefault="00EA7671" w:rsidP="00EA7671">
      <w:pPr>
        <w:spacing w:line="360" w:lineRule="auto"/>
        <w:jc w:val="both"/>
        <w:rPr>
          <w:rFonts w:ascii="Arial" w:hAnsi="Arial" w:cs="Arial"/>
          <w:sz w:val="22"/>
          <w:szCs w:val="22"/>
        </w:rPr>
      </w:pPr>
      <w:r w:rsidRPr="00B939F8">
        <w:rPr>
          <w:rFonts w:ascii="Arial" w:hAnsi="Arial" w:cs="Arial"/>
          <w:sz w:val="22"/>
          <w:szCs w:val="22"/>
        </w:rPr>
        <w:t>The studies included different research designs such as surveys, reviews, and population studies. Despite methodological differences, the studies reported similar findings regarding the prevalence of anxiety and the factors influencing adolescent mental health.</w:t>
      </w:r>
    </w:p>
    <w:p w14:paraId="04833986" w14:textId="77777777" w:rsidR="00EA7671" w:rsidRPr="00B939F8" w:rsidRDefault="00EA7671" w:rsidP="00F327A9">
      <w:pPr>
        <w:pStyle w:val="Heading2"/>
        <w:rPr>
          <w:rFonts w:ascii="Arial" w:hAnsi="Arial" w:cs="Arial"/>
          <w:color w:val="auto"/>
          <w:sz w:val="22"/>
          <w:szCs w:val="22"/>
        </w:rPr>
      </w:pPr>
      <w:r w:rsidRPr="00B939F8">
        <w:rPr>
          <w:rFonts w:ascii="Arial" w:hAnsi="Arial" w:cs="Arial"/>
          <w:color w:val="auto"/>
          <w:sz w:val="22"/>
          <w:szCs w:val="22"/>
        </w:rPr>
        <w:t>4.2 Thematic Analysis of Findings</w:t>
      </w:r>
    </w:p>
    <w:p w14:paraId="39428A91" w14:textId="77777777" w:rsidR="00EA7671" w:rsidRPr="00B939F8" w:rsidRDefault="00EA7671" w:rsidP="00EA7671">
      <w:pPr>
        <w:spacing w:line="360" w:lineRule="auto"/>
        <w:jc w:val="both"/>
        <w:rPr>
          <w:rFonts w:ascii="Arial" w:hAnsi="Arial" w:cs="Arial"/>
          <w:sz w:val="22"/>
          <w:szCs w:val="22"/>
        </w:rPr>
      </w:pPr>
      <w:r w:rsidRPr="00B939F8">
        <w:rPr>
          <w:rFonts w:ascii="Arial" w:hAnsi="Arial" w:cs="Arial"/>
          <w:sz w:val="22"/>
          <w:szCs w:val="22"/>
        </w:rPr>
        <w:t>Thematic analysis of the selected studies identified four key themes: prevalence of GAD among teenagers, social factors influencing anxiety, educational stress, and psychological and family factors.</w:t>
      </w:r>
    </w:p>
    <w:p w14:paraId="48CAC20E" w14:textId="2058979A" w:rsidR="00EA7671" w:rsidRPr="00B939F8" w:rsidRDefault="00EA7671" w:rsidP="00EA7671">
      <w:pPr>
        <w:spacing w:line="360" w:lineRule="auto"/>
        <w:jc w:val="both"/>
        <w:rPr>
          <w:rFonts w:ascii="Arial" w:hAnsi="Arial" w:cs="Arial"/>
          <w:b/>
          <w:bCs/>
          <w:sz w:val="22"/>
          <w:szCs w:val="22"/>
        </w:rPr>
      </w:pPr>
    </w:p>
    <w:p w14:paraId="258363B6" w14:textId="77777777" w:rsidR="00EA7671" w:rsidRPr="00B939F8" w:rsidRDefault="00EA7671" w:rsidP="00F327A9">
      <w:pPr>
        <w:pStyle w:val="Heading2"/>
        <w:rPr>
          <w:rFonts w:ascii="Arial" w:hAnsi="Arial" w:cs="Arial"/>
          <w:b/>
          <w:bCs/>
          <w:color w:val="auto"/>
          <w:sz w:val="22"/>
          <w:szCs w:val="22"/>
        </w:rPr>
      </w:pPr>
      <w:r w:rsidRPr="00B939F8">
        <w:rPr>
          <w:rFonts w:ascii="Arial" w:hAnsi="Arial" w:cs="Arial"/>
          <w:b/>
          <w:bCs/>
          <w:color w:val="auto"/>
          <w:sz w:val="22"/>
          <w:szCs w:val="22"/>
        </w:rPr>
        <w:t>4.2.1 Prevalence of GAD Among UK Teenagers</w:t>
      </w:r>
    </w:p>
    <w:p w14:paraId="3C9501AD" w14:textId="36ED285B" w:rsidR="00EA7671" w:rsidRPr="00B939F8" w:rsidRDefault="00EA7671" w:rsidP="00EA7671">
      <w:pPr>
        <w:spacing w:line="360" w:lineRule="auto"/>
        <w:jc w:val="both"/>
        <w:rPr>
          <w:rFonts w:ascii="Arial" w:hAnsi="Arial" w:cs="Arial"/>
          <w:sz w:val="22"/>
          <w:szCs w:val="22"/>
        </w:rPr>
      </w:pPr>
      <w:r w:rsidRPr="00B939F8">
        <w:rPr>
          <w:rFonts w:ascii="Arial" w:hAnsi="Arial" w:cs="Arial"/>
          <w:sz w:val="22"/>
          <w:szCs w:val="22"/>
        </w:rPr>
        <w:t xml:space="preserve">The reviewed studies consistently highlighted the growing prevalence of anxiety disorders among adolescents in the UK. National surveys indicate that anxiety disorders are among the most common mental health conditions affecting young people. </w:t>
      </w:r>
      <w:r w:rsidR="00A77BED" w:rsidRPr="00B939F8">
        <w:rPr>
          <w:rFonts w:ascii="Arial" w:hAnsi="Arial" w:cs="Arial"/>
          <w:sz w:val="22"/>
          <w:szCs w:val="22"/>
        </w:rPr>
        <w:t>NHS England (2023) reported that approximately one in five children and young people in England experience a probable mental health disorder, with anxiety disorders among the most common conditions affecting this group.</w:t>
      </w:r>
    </w:p>
    <w:p w14:paraId="3B6E2B68" w14:textId="0BA6ADC2" w:rsidR="00EA7671" w:rsidRPr="00B939F8" w:rsidRDefault="00CA0699" w:rsidP="00EA7671">
      <w:pPr>
        <w:spacing w:line="360" w:lineRule="auto"/>
        <w:jc w:val="both"/>
        <w:rPr>
          <w:rFonts w:ascii="Arial" w:hAnsi="Arial" w:cs="Arial"/>
          <w:sz w:val="22"/>
          <w:szCs w:val="22"/>
        </w:rPr>
      </w:pPr>
      <w:r w:rsidRPr="00B939F8">
        <w:rPr>
          <w:rFonts w:ascii="Arial" w:hAnsi="Arial" w:cs="Arial"/>
          <w:sz w:val="22"/>
          <w:szCs w:val="22"/>
        </w:rPr>
        <w:t>Similarly, anxiety symptoms have increased in recent years, particularly following social disruptions and environmental stressors that have affected adolescents (Loades et al., 2020).</w:t>
      </w:r>
      <w:r w:rsidR="00EA7671" w:rsidRPr="00B939F8">
        <w:rPr>
          <w:rFonts w:ascii="Arial" w:hAnsi="Arial" w:cs="Arial"/>
          <w:sz w:val="22"/>
          <w:szCs w:val="22"/>
        </w:rPr>
        <w:t xml:space="preserve"> Creswell et al. (2021) also emphasised that anxiety disorders often begin during adolescence and may continue into adulthood if they are not recognised and treated early.</w:t>
      </w:r>
    </w:p>
    <w:p w14:paraId="0C83FB4B" w14:textId="77777777" w:rsidR="00EA7671" w:rsidRPr="00B939F8" w:rsidRDefault="00EA7671" w:rsidP="00EA7671">
      <w:pPr>
        <w:spacing w:line="360" w:lineRule="auto"/>
        <w:jc w:val="both"/>
        <w:rPr>
          <w:rFonts w:ascii="Arial" w:hAnsi="Arial" w:cs="Arial"/>
          <w:sz w:val="22"/>
          <w:szCs w:val="22"/>
        </w:rPr>
      </w:pPr>
      <w:r w:rsidRPr="00B939F8">
        <w:rPr>
          <w:rFonts w:ascii="Arial" w:hAnsi="Arial" w:cs="Arial"/>
          <w:sz w:val="22"/>
          <w:szCs w:val="22"/>
        </w:rPr>
        <w:lastRenderedPageBreak/>
        <w:t>These findings suggest that GAD and related anxiety disorders represent a significant public health concern for young people in the UK. The high prevalence highlights the need for early identification and effective intervention strategies within schools and healthcare services.</w:t>
      </w:r>
    </w:p>
    <w:p w14:paraId="3E4C1CCD" w14:textId="24E2062D" w:rsidR="00EA7671" w:rsidRPr="00B939F8" w:rsidRDefault="00EA7671" w:rsidP="00EA7671">
      <w:pPr>
        <w:spacing w:line="360" w:lineRule="auto"/>
        <w:jc w:val="both"/>
        <w:rPr>
          <w:rFonts w:ascii="Arial" w:hAnsi="Arial" w:cs="Arial"/>
          <w:sz w:val="22"/>
          <w:szCs w:val="22"/>
        </w:rPr>
      </w:pPr>
    </w:p>
    <w:p w14:paraId="08F9B2ED" w14:textId="77777777" w:rsidR="00EA7671" w:rsidRPr="00B939F8" w:rsidRDefault="00EA7671" w:rsidP="00F327A9">
      <w:pPr>
        <w:pStyle w:val="Heading2"/>
        <w:rPr>
          <w:rFonts w:ascii="Arial" w:hAnsi="Arial" w:cs="Arial"/>
          <w:b/>
          <w:bCs/>
          <w:color w:val="auto"/>
          <w:sz w:val="22"/>
          <w:szCs w:val="22"/>
        </w:rPr>
      </w:pPr>
      <w:r w:rsidRPr="00B939F8">
        <w:rPr>
          <w:rFonts w:ascii="Arial" w:hAnsi="Arial" w:cs="Arial"/>
          <w:b/>
          <w:bCs/>
          <w:color w:val="auto"/>
          <w:sz w:val="22"/>
          <w:szCs w:val="22"/>
        </w:rPr>
        <w:t>4.2.2 Social Factors Influencing Anxiety</w:t>
      </w:r>
    </w:p>
    <w:p w14:paraId="6E51E864" w14:textId="77777777" w:rsidR="00EA7671" w:rsidRPr="00B939F8" w:rsidRDefault="00EA7671" w:rsidP="00EA7671">
      <w:pPr>
        <w:spacing w:line="360" w:lineRule="auto"/>
        <w:jc w:val="both"/>
        <w:rPr>
          <w:rFonts w:ascii="Arial" w:hAnsi="Arial" w:cs="Arial"/>
          <w:sz w:val="22"/>
          <w:szCs w:val="22"/>
        </w:rPr>
      </w:pPr>
      <w:r w:rsidRPr="00B939F8">
        <w:rPr>
          <w:rFonts w:ascii="Arial" w:hAnsi="Arial" w:cs="Arial"/>
          <w:sz w:val="22"/>
          <w:szCs w:val="22"/>
        </w:rPr>
        <w:t>Another major theme identified across the studies was the influence of social factors on adolescent anxiety. Social relationships and environmental experiences play a significant role in shaping young people’s emotional wellbeing. Loades et al. (2020) found that social isolation and loneliness were strongly associated with increased anxiety and depression among adolescents.</w:t>
      </w:r>
    </w:p>
    <w:p w14:paraId="574D2A4E" w14:textId="77777777" w:rsidR="00EA7671" w:rsidRPr="00B939F8" w:rsidRDefault="00EA7671" w:rsidP="00EA7671">
      <w:pPr>
        <w:spacing w:line="360" w:lineRule="auto"/>
        <w:jc w:val="both"/>
        <w:rPr>
          <w:rFonts w:ascii="Arial" w:hAnsi="Arial" w:cs="Arial"/>
          <w:sz w:val="22"/>
          <w:szCs w:val="22"/>
        </w:rPr>
      </w:pPr>
      <w:r w:rsidRPr="00B939F8">
        <w:rPr>
          <w:rFonts w:ascii="Arial" w:hAnsi="Arial" w:cs="Arial"/>
          <w:sz w:val="22"/>
          <w:szCs w:val="22"/>
        </w:rPr>
        <w:t>Peer relationships can also contribute to anxiety during adolescence. Teenagers often experience pressure to fit in with social groups, which may increase feelings of insecurity and worry. In addition, the increasing use of social media platforms has been linked with negative emotional outcomes among young people. Adolescents may compare themselves with others online, leading to lower self-esteem and increased anxiety.</w:t>
      </w:r>
    </w:p>
    <w:p w14:paraId="465CD46B" w14:textId="77777777" w:rsidR="00EA7671" w:rsidRPr="00B939F8" w:rsidRDefault="00EA7671" w:rsidP="00EA7671">
      <w:pPr>
        <w:spacing w:line="360" w:lineRule="auto"/>
        <w:jc w:val="both"/>
        <w:rPr>
          <w:rFonts w:ascii="Arial" w:hAnsi="Arial" w:cs="Arial"/>
          <w:sz w:val="22"/>
          <w:szCs w:val="22"/>
        </w:rPr>
      </w:pPr>
      <w:r w:rsidRPr="00B939F8">
        <w:rPr>
          <w:rFonts w:ascii="Arial" w:hAnsi="Arial" w:cs="Arial"/>
          <w:sz w:val="22"/>
          <w:szCs w:val="22"/>
        </w:rPr>
        <w:t>Research suggests that social influences can have both positive and negative effects on mental health. While supportive friendships can improve wellbeing, negative social experiences such as bullying or exclusion may increase the risk of anxiety disorders (Creswell et al., 2021). These findings highlight the importance of social support systems for protecting adolescent mental health.</w:t>
      </w:r>
    </w:p>
    <w:p w14:paraId="724DDDCA" w14:textId="2944F110" w:rsidR="00EA7671" w:rsidRPr="00B939F8" w:rsidRDefault="00EA7671" w:rsidP="00EA7671">
      <w:pPr>
        <w:spacing w:line="360" w:lineRule="auto"/>
        <w:jc w:val="both"/>
        <w:rPr>
          <w:rFonts w:ascii="Arial" w:hAnsi="Arial" w:cs="Arial"/>
          <w:b/>
          <w:bCs/>
          <w:sz w:val="22"/>
          <w:szCs w:val="22"/>
        </w:rPr>
      </w:pPr>
    </w:p>
    <w:p w14:paraId="3042952E" w14:textId="77777777" w:rsidR="00EA7671" w:rsidRPr="00B939F8" w:rsidRDefault="00EA7671" w:rsidP="00F327A9">
      <w:pPr>
        <w:pStyle w:val="Heading2"/>
        <w:rPr>
          <w:rFonts w:ascii="Arial" w:hAnsi="Arial" w:cs="Arial"/>
          <w:b/>
          <w:bCs/>
          <w:color w:val="auto"/>
          <w:sz w:val="22"/>
          <w:szCs w:val="22"/>
        </w:rPr>
      </w:pPr>
      <w:r w:rsidRPr="00B939F8">
        <w:rPr>
          <w:rFonts w:ascii="Arial" w:hAnsi="Arial" w:cs="Arial"/>
          <w:b/>
          <w:bCs/>
          <w:color w:val="auto"/>
          <w:sz w:val="22"/>
          <w:szCs w:val="22"/>
        </w:rPr>
        <w:t>4.2.3 Educational Stress</w:t>
      </w:r>
    </w:p>
    <w:p w14:paraId="0561D6DD" w14:textId="77777777" w:rsidR="00EA7671" w:rsidRPr="00B939F8" w:rsidRDefault="00EA7671" w:rsidP="00EA7671">
      <w:pPr>
        <w:spacing w:line="360" w:lineRule="auto"/>
        <w:jc w:val="both"/>
        <w:rPr>
          <w:rFonts w:ascii="Arial" w:hAnsi="Arial" w:cs="Arial"/>
          <w:sz w:val="22"/>
          <w:szCs w:val="22"/>
        </w:rPr>
      </w:pPr>
      <w:r w:rsidRPr="00B939F8">
        <w:rPr>
          <w:rFonts w:ascii="Arial" w:hAnsi="Arial" w:cs="Arial"/>
          <w:sz w:val="22"/>
          <w:szCs w:val="22"/>
        </w:rPr>
        <w:t>Educational stress was another important theme identified in the reviewed studies. Adolescents often face significant academic expectations, particularly during examination periods. Waite and Creswell (2020) found that many young people reported increased anxiety due to pressure related to academic performance and concerns about their future education or career opportunities.</w:t>
      </w:r>
    </w:p>
    <w:p w14:paraId="157C84E6" w14:textId="77777777" w:rsidR="00EA7671" w:rsidRPr="00B939F8" w:rsidRDefault="00EA7671" w:rsidP="00EA7671">
      <w:pPr>
        <w:spacing w:line="360" w:lineRule="auto"/>
        <w:jc w:val="both"/>
        <w:rPr>
          <w:rFonts w:ascii="Arial" w:hAnsi="Arial" w:cs="Arial"/>
          <w:sz w:val="22"/>
          <w:szCs w:val="22"/>
        </w:rPr>
      </w:pPr>
      <w:r w:rsidRPr="00B939F8">
        <w:rPr>
          <w:rFonts w:ascii="Arial" w:hAnsi="Arial" w:cs="Arial"/>
          <w:sz w:val="22"/>
          <w:szCs w:val="22"/>
        </w:rPr>
        <w:t>Examinations, coursework deadlines, and competition for university places can contribute to emotional stress for teenagers. When combined with other life pressures, these academic demands may increase the likelihood of anxiety disorders developing. Adolescents with GAD may experience persistent worry about their academic performance, which can affect concentration, motivation, and school attendance.</w:t>
      </w:r>
    </w:p>
    <w:p w14:paraId="65033043" w14:textId="77777777" w:rsidR="00EA7671" w:rsidRPr="00B939F8" w:rsidRDefault="00EA7671" w:rsidP="00EA7671">
      <w:pPr>
        <w:spacing w:line="360" w:lineRule="auto"/>
        <w:jc w:val="both"/>
        <w:rPr>
          <w:rFonts w:ascii="Arial" w:hAnsi="Arial" w:cs="Arial"/>
          <w:sz w:val="22"/>
          <w:szCs w:val="22"/>
        </w:rPr>
      </w:pPr>
      <w:r w:rsidRPr="00B939F8">
        <w:rPr>
          <w:rFonts w:ascii="Arial" w:hAnsi="Arial" w:cs="Arial"/>
          <w:sz w:val="22"/>
          <w:szCs w:val="22"/>
        </w:rPr>
        <w:lastRenderedPageBreak/>
        <w:t>Educational stress can also affect students’ overall wellbeing. Research indicates that prolonged anxiety related to school can reduce self-confidence and lead to avoidance behaviours, such as skipping classes or withdrawing from school activities (Creswell et al., 2021). These findings demonstrate the need for supportive school environments that promote mental wellbeing alongside academic achievement.</w:t>
      </w:r>
    </w:p>
    <w:p w14:paraId="556BF502" w14:textId="77777777" w:rsidR="00EA7671" w:rsidRPr="00B939F8" w:rsidRDefault="00EA7671" w:rsidP="00F327A9">
      <w:pPr>
        <w:pStyle w:val="Heading2"/>
        <w:rPr>
          <w:rFonts w:ascii="Arial" w:hAnsi="Arial" w:cs="Arial"/>
          <w:b/>
          <w:bCs/>
          <w:color w:val="auto"/>
          <w:sz w:val="22"/>
          <w:szCs w:val="22"/>
        </w:rPr>
      </w:pPr>
      <w:r w:rsidRPr="00B939F8">
        <w:rPr>
          <w:rFonts w:ascii="Arial" w:hAnsi="Arial" w:cs="Arial"/>
          <w:b/>
          <w:bCs/>
          <w:color w:val="auto"/>
          <w:sz w:val="22"/>
          <w:szCs w:val="22"/>
        </w:rPr>
        <w:t>4.2.4 Psychological and Family Factors</w:t>
      </w:r>
    </w:p>
    <w:p w14:paraId="29A32565" w14:textId="77777777" w:rsidR="00EA7671" w:rsidRPr="00B939F8" w:rsidRDefault="00EA7671" w:rsidP="00EA7671">
      <w:pPr>
        <w:spacing w:line="360" w:lineRule="auto"/>
        <w:jc w:val="both"/>
        <w:rPr>
          <w:rFonts w:ascii="Arial" w:hAnsi="Arial" w:cs="Arial"/>
          <w:sz w:val="22"/>
          <w:szCs w:val="22"/>
        </w:rPr>
      </w:pPr>
      <w:r w:rsidRPr="00B939F8">
        <w:rPr>
          <w:rFonts w:ascii="Arial" w:hAnsi="Arial" w:cs="Arial"/>
          <w:sz w:val="22"/>
          <w:szCs w:val="22"/>
        </w:rPr>
        <w:t>The final theme identified across the studies was the role of psychological and family factors in adolescent anxiety. Individual psychological characteristics, such as low self-esteem, negative thinking patterns, and poor coping skills, can increase vulnerability to anxiety disorders.</w:t>
      </w:r>
    </w:p>
    <w:p w14:paraId="72DE5B18" w14:textId="77777777" w:rsidR="00EA7671" w:rsidRPr="00B939F8" w:rsidRDefault="00EA7671" w:rsidP="00EA7671">
      <w:pPr>
        <w:spacing w:line="360" w:lineRule="auto"/>
        <w:jc w:val="both"/>
        <w:rPr>
          <w:rFonts w:ascii="Arial" w:hAnsi="Arial" w:cs="Arial"/>
          <w:sz w:val="22"/>
          <w:szCs w:val="22"/>
        </w:rPr>
      </w:pPr>
      <w:r w:rsidRPr="00B939F8">
        <w:rPr>
          <w:rFonts w:ascii="Arial" w:hAnsi="Arial" w:cs="Arial"/>
          <w:sz w:val="22"/>
          <w:szCs w:val="22"/>
        </w:rPr>
        <w:t>Family environment also plays an important role in adolescent mental health. Supportive family relationships can help young people manage stress and build resilience, whereas family conflict or instability may increase emotional difficulties. Creswell et al. (2021) emphasised that parenting style, family communication, and home environment can influence how adolescents respond to stressful situations.</w:t>
      </w:r>
    </w:p>
    <w:p w14:paraId="5759ABE4" w14:textId="77777777" w:rsidR="00EA7671" w:rsidRPr="00B939F8" w:rsidRDefault="00EA7671" w:rsidP="00EA7671">
      <w:pPr>
        <w:spacing w:line="360" w:lineRule="auto"/>
        <w:jc w:val="both"/>
        <w:rPr>
          <w:rFonts w:ascii="Arial" w:hAnsi="Arial" w:cs="Arial"/>
          <w:sz w:val="22"/>
          <w:szCs w:val="22"/>
        </w:rPr>
      </w:pPr>
      <w:r w:rsidRPr="00B939F8">
        <w:rPr>
          <w:rFonts w:ascii="Arial" w:hAnsi="Arial" w:cs="Arial"/>
          <w:sz w:val="22"/>
          <w:szCs w:val="22"/>
        </w:rPr>
        <w:t>Additionally, genetic and environmental influences may interact to increase the risk of anxiety disorders. Adolescents who have family members with mental health conditions may be more likely to experience anxiety themselves. However, early support from families and mental health services can reduce these risks and improve outcomes for young people.</w:t>
      </w:r>
    </w:p>
    <w:p w14:paraId="55DA8D60" w14:textId="77777777" w:rsidR="00EA7671" w:rsidRPr="00B939F8" w:rsidRDefault="00EA7671" w:rsidP="00EA7671">
      <w:pPr>
        <w:spacing w:line="360" w:lineRule="auto"/>
        <w:jc w:val="both"/>
        <w:rPr>
          <w:rFonts w:ascii="Arial" w:hAnsi="Arial" w:cs="Arial"/>
          <w:sz w:val="22"/>
          <w:szCs w:val="22"/>
        </w:rPr>
      </w:pPr>
      <w:r w:rsidRPr="00B939F8">
        <w:rPr>
          <w:rFonts w:ascii="Arial" w:hAnsi="Arial" w:cs="Arial"/>
          <w:sz w:val="22"/>
          <w:szCs w:val="22"/>
        </w:rPr>
        <w:t>Overall, the findings from the scoping review demonstrate that anxiety among UK teenagers is influenced by a combination of social, educational, psychological, and environmental factors. These results provide important insights into the complexity of adolescent mental health and highlight the need for comprehensive strategies to support young people experiencing anxiety.</w:t>
      </w:r>
    </w:p>
    <w:p w14:paraId="514588BF" w14:textId="3D541736" w:rsidR="00735502" w:rsidRPr="00B939F8" w:rsidRDefault="00735502" w:rsidP="00735502">
      <w:pPr>
        <w:pStyle w:val="Heading1"/>
        <w:rPr>
          <w:rFonts w:ascii="Arial" w:hAnsi="Arial" w:cs="Arial"/>
          <w:b/>
          <w:bCs/>
          <w:color w:val="auto"/>
          <w:sz w:val="22"/>
          <w:szCs w:val="22"/>
        </w:rPr>
      </w:pPr>
      <w:r w:rsidRPr="00B939F8">
        <w:rPr>
          <w:rFonts w:ascii="Arial" w:hAnsi="Arial" w:cs="Arial"/>
          <w:b/>
          <w:bCs/>
          <w:color w:val="auto"/>
          <w:sz w:val="22"/>
          <w:szCs w:val="22"/>
        </w:rPr>
        <w:t xml:space="preserve">5. Discussion </w:t>
      </w:r>
    </w:p>
    <w:p w14:paraId="739BDC47" w14:textId="77777777" w:rsidR="00735502" w:rsidRPr="00B939F8" w:rsidRDefault="00735502" w:rsidP="00735502">
      <w:pPr>
        <w:spacing w:line="360" w:lineRule="auto"/>
        <w:jc w:val="both"/>
        <w:rPr>
          <w:rFonts w:ascii="Arial" w:hAnsi="Arial" w:cs="Arial"/>
          <w:sz w:val="22"/>
          <w:szCs w:val="22"/>
        </w:rPr>
      </w:pPr>
      <w:r w:rsidRPr="00B939F8">
        <w:rPr>
          <w:rFonts w:ascii="Arial" w:hAnsi="Arial" w:cs="Arial"/>
          <w:sz w:val="22"/>
          <w:szCs w:val="22"/>
        </w:rPr>
        <w:t>The aim of this scoping review was to explore existing research on Generalised Anxiety Disorder (GAD) among teenagers in the United Kingdom, focusing on prevalence, contributing factors, and gaps in research and service provision. The findings from the reviewed studies identified several important themes, including the prevalence of anxiety disorders, social influences, educational pressures, and psychological and family factors. These themes highlight the complexity of adolescent mental health and demonstrate how multiple factors interact to influence anxiety among young people.</w:t>
      </w:r>
    </w:p>
    <w:p w14:paraId="3D5E8847" w14:textId="77777777" w:rsidR="00735502" w:rsidRPr="00B939F8" w:rsidRDefault="00735502" w:rsidP="00735502">
      <w:pPr>
        <w:spacing w:line="360" w:lineRule="auto"/>
        <w:jc w:val="both"/>
        <w:rPr>
          <w:rFonts w:ascii="Arial" w:hAnsi="Arial" w:cs="Arial"/>
          <w:sz w:val="22"/>
          <w:szCs w:val="22"/>
        </w:rPr>
      </w:pPr>
      <w:r w:rsidRPr="00B939F8">
        <w:rPr>
          <w:rFonts w:ascii="Arial" w:hAnsi="Arial" w:cs="Arial"/>
          <w:sz w:val="22"/>
          <w:szCs w:val="22"/>
        </w:rPr>
        <w:t xml:space="preserve">One of the most important findings from this review is the high prevalence of anxiety disorders among teenagers in the UK. The studies analysed indicate that anxiety is one of the most </w:t>
      </w:r>
      <w:r w:rsidRPr="00B939F8">
        <w:rPr>
          <w:rFonts w:ascii="Arial" w:hAnsi="Arial" w:cs="Arial"/>
          <w:sz w:val="22"/>
          <w:szCs w:val="22"/>
        </w:rPr>
        <w:lastRenderedPageBreak/>
        <w:t>common mental health conditions affecting adolescents. National data show that around one in five children and young people experience a probable mental health disorder, with anxiety disorders being among the most frequently reported conditions (NHS Digital, 2023; Creswell, Waite and Hudson, 2021). This finding is consistent with previous research, which has shown that anxiety disorders often develop during adolescence and may continue into adulthood if they are not identified early (Bandelow and Michaelis, 2022). The increasing prevalence highlights the need for improved mental health support systems and early identification strategies.</w:t>
      </w:r>
    </w:p>
    <w:p w14:paraId="6E9EE8A0" w14:textId="77777777" w:rsidR="00735502" w:rsidRPr="00B939F8" w:rsidRDefault="00735502" w:rsidP="00735502">
      <w:pPr>
        <w:spacing w:line="360" w:lineRule="auto"/>
        <w:jc w:val="both"/>
        <w:rPr>
          <w:rFonts w:ascii="Arial" w:hAnsi="Arial" w:cs="Arial"/>
          <w:sz w:val="22"/>
          <w:szCs w:val="22"/>
        </w:rPr>
      </w:pPr>
      <w:r w:rsidRPr="00B939F8">
        <w:rPr>
          <w:rFonts w:ascii="Arial" w:hAnsi="Arial" w:cs="Arial"/>
          <w:sz w:val="22"/>
          <w:szCs w:val="22"/>
        </w:rPr>
        <w:t>The review also highlighted the influence of social factors, such as loneliness, social media use, and peer relationships, on adolescent anxiety. Previous research has suggested that social isolation and negative online experiences can significantly affect young people’s emotional wellbeing (Loades et al., 2020). Adolescents are particularly sensitive to social comparison and peer acceptance, which can increase feelings of insecurity and worry. These findings support earlier studies suggesting that modern social environments, including digital communication and online interaction, may contribute to increasing levels of anxiety among young people.</w:t>
      </w:r>
    </w:p>
    <w:p w14:paraId="614F4459" w14:textId="77777777" w:rsidR="00735502" w:rsidRPr="00B939F8" w:rsidRDefault="00735502" w:rsidP="00735502">
      <w:pPr>
        <w:spacing w:line="360" w:lineRule="auto"/>
        <w:jc w:val="both"/>
        <w:rPr>
          <w:rFonts w:ascii="Arial" w:hAnsi="Arial" w:cs="Arial"/>
          <w:sz w:val="22"/>
          <w:szCs w:val="22"/>
        </w:rPr>
      </w:pPr>
      <w:r w:rsidRPr="00B939F8">
        <w:rPr>
          <w:rFonts w:ascii="Arial" w:hAnsi="Arial" w:cs="Arial"/>
          <w:sz w:val="22"/>
          <w:szCs w:val="22"/>
        </w:rPr>
        <w:t>Another key theme identified in the results was educational stress. Several studies reported that teenagers often experience anxiety due to academic expectations, examinations, and concerns about their future careers. Educational pressure is a common source of stress for adolescents, particularly in highly competitive academic environments. Previous research has shown that academic stress can negatively affect concentration, motivation, and overall mental wellbeing (Creswell, Waite and Hudson, 2021). When academic stress is combined with other social or emotional challenges, it may increase the risk of developing anxiety disorders such as GAD.</w:t>
      </w:r>
    </w:p>
    <w:p w14:paraId="38FDFED9" w14:textId="77777777" w:rsidR="00735502" w:rsidRPr="00B939F8" w:rsidRDefault="00735502" w:rsidP="00735502">
      <w:pPr>
        <w:spacing w:line="360" w:lineRule="auto"/>
        <w:jc w:val="both"/>
        <w:rPr>
          <w:rFonts w:ascii="Arial" w:hAnsi="Arial" w:cs="Arial"/>
          <w:sz w:val="22"/>
          <w:szCs w:val="22"/>
        </w:rPr>
      </w:pPr>
      <w:r w:rsidRPr="00B939F8">
        <w:rPr>
          <w:rFonts w:ascii="Arial" w:hAnsi="Arial" w:cs="Arial"/>
          <w:sz w:val="22"/>
          <w:szCs w:val="22"/>
        </w:rPr>
        <w:t>The findings also emphasised the importance of psychological and family factors. Adolescents who experience low self-esteem, negative thinking patterns, or limited coping skills may be more vulnerable to anxiety. Family environment also plays a significant role in adolescent mental health. Supportive family relationships can help young people manage stress and build emotional resilience, while family conflict or instability may increase emotional difficulties. These findings are consistent with previous research suggesting that adolescent mental health is influenced by both individual psychological characteristics and environmental factors.</w:t>
      </w:r>
    </w:p>
    <w:p w14:paraId="03268F9F" w14:textId="77777777" w:rsidR="00735502" w:rsidRPr="00B939F8" w:rsidRDefault="00735502" w:rsidP="00735502">
      <w:pPr>
        <w:spacing w:line="360" w:lineRule="auto"/>
        <w:jc w:val="both"/>
        <w:rPr>
          <w:rFonts w:ascii="Arial" w:hAnsi="Arial" w:cs="Arial"/>
          <w:sz w:val="22"/>
          <w:szCs w:val="22"/>
        </w:rPr>
      </w:pPr>
      <w:r w:rsidRPr="00B939F8">
        <w:rPr>
          <w:rFonts w:ascii="Arial" w:hAnsi="Arial" w:cs="Arial"/>
          <w:sz w:val="22"/>
          <w:szCs w:val="22"/>
        </w:rPr>
        <w:t xml:space="preserve">The findings of this review have several important implications for UK health services. In the United Kingdom, mental health support for young people is mainly provided through Child and Adolescent Mental Health Services (CAMHS). These services offer assessment, diagnosis, and treatment for a range of mental health conditions, including anxiety disorders. However, </w:t>
      </w:r>
      <w:r w:rsidRPr="00B939F8">
        <w:rPr>
          <w:rFonts w:ascii="Arial" w:hAnsi="Arial" w:cs="Arial"/>
          <w:sz w:val="22"/>
          <w:szCs w:val="22"/>
        </w:rPr>
        <w:lastRenderedPageBreak/>
        <w:t xml:space="preserve">research suggests that demand for CAMHS has increased significantly in recent years, placing considerable pressure on available services. For example, recent data indicate that over 200,000 children were referred to NHS mental health services for anxiety in 2023–2024, demonstrating the growing need for support (Children’s Commissioner, 2024). </w:t>
      </w:r>
    </w:p>
    <w:p w14:paraId="7960707E" w14:textId="77777777" w:rsidR="00735502" w:rsidRPr="00B939F8" w:rsidRDefault="00735502" w:rsidP="00735502">
      <w:pPr>
        <w:spacing w:line="360" w:lineRule="auto"/>
        <w:jc w:val="both"/>
        <w:rPr>
          <w:rFonts w:ascii="Arial" w:hAnsi="Arial" w:cs="Arial"/>
          <w:sz w:val="22"/>
          <w:szCs w:val="22"/>
        </w:rPr>
      </w:pPr>
      <w:r w:rsidRPr="00B939F8">
        <w:rPr>
          <w:rFonts w:ascii="Arial" w:hAnsi="Arial" w:cs="Arial"/>
          <w:sz w:val="22"/>
          <w:szCs w:val="22"/>
        </w:rPr>
        <w:t>One of the most significant challenges facing CAMHS is long waiting times and limited access to services. Evidence suggests that many young people wait several months, and in some cases years, before receiving treatment. For example, research indicates that the average waiting time for CAMHS treatment can exceed 100 days, while some young people wait much longer before accessing support (Rethink Mental Illness, 2024). In addition, recent reports show that hundreds of thousands of children are waiting for their first contact with NHS mental health services, highlighting the growing pressure on the system (Royal College of Psychiatrists, 2024). Long waiting times can worsen mental health problems and reduce the effectiveness of treatment.</w:t>
      </w:r>
    </w:p>
    <w:p w14:paraId="03C898A7" w14:textId="06EF97AC" w:rsidR="00735502" w:rsidRPr="00B939F8" w:rsidRDefault="00735502" w:rsidP="00735502">
      <w:pPr>
        <w:spacing w:line="360" w:lineRule="auto"/>
        <w:jc w:val="both"/>
        <w:rPr>
          <w:rFonts w:ascii="Arial" w:hAnsi="Arial" w:cs="Arial"/>
          <w:sz w:val="22"/>
          <w:szCs w:val="22"/>
        </w:rPr>
      </w:pPr>
      <w:r w:rsidRPr="00B939F8">
        <w:rPr>
          <w:rFonts w:ascii="Arial" w:hAnsi="Arial" w:cs="Arial"/>
          <w:sz w:val="22"/>
          <w:szCs w:val="22"/>
        </w:rPr>
        <w:t xml:space="preserve">The increasing demand for services highlights the importance of early intervention and prevention strategies. Early identification of anxiety symptoms can help prevent more serious mental health problems later in life. Schools, families, and healthcare professionals play a key role in recognising early signs of anxiety and providing appropriate support. Recent research suggests that school-based mental health programmes and early psychological interventions can improve outcomes for young people experiencing anxiety </w:t>
      </w:r>
      <w:r w:rsidR="000E0FB7" w:rsidRPr="00B939F8">
        <w:rPr>
          <w:rFonts w:ascii="Arial" w:hAnsi="Arial" w:cs="Arial"/>
          <w:sz w:val="22"/>
          <w:szCs w:val="22"/>
        </w:rPr>
        <w:t>(Green et al., 2023)</w:t>
      </w:r>
      <w:r w:rsidRPr="00B939F8">
        <w:rPr>
          <w:rFonts w:ascii="Arial" w:hAnsi="Arial" w:cs="Arial"/>
          <w:sz w:val="22"/>
          <w:szCs w:val="22"/>
        </w:rPr>
        <w:t xml:space="preserve">. </w:t>
      </w:r>
    </w:p>
    <w:p w14:paraId="4194E10F" w14:textId="77777777" w:rsidR="00735502" w:rsidRPr="00B939F8" w:rsidRDefault="00735502" w:rsidP="00735502">
      <w:pPr>
        <w:spacing w:line="360" w:lineRule="auto"/>
        <w:jc w:val="both"/>
        <w:rPr>
          <w:rFonts w:ascii="Arial" w:hAnsi="Arial" w:cs="Arial"/>
          <w:sz w:val="22"/>
          <w:szCs w:val="22"/>
        </w:rPr>
      </w:pPr>
      <w:r w:rsidRPr="00B939F8">
        <w:rPr>
          <w:rFonts w:ascii="Arial" w:hAnsi="Arial" w:cs="Arial"/>
          <w:sz w:val="22"/>
          <w:szCs w:val="22"/>
        </w:rPr>
        <w:t>This review also identified several strengths within the selected studies. The studies included large samples of adolescents and used reliable research methods, such as national surveys and systematic reviews. These approaches provide valuable insights into the experiences of young people across the UK. However, there were also limitations. Some studies relied on self-reported data, which may lead to reporting bias. Additionally, differences in research methods across studies may make comparisons more difficult. Another limitation is that some studies examined general anxiety symptoms rather than specifically focusing on GAD.</w:t>
      </w:r>
    </w:p>
    <w:p w14:paraId="078AE49A" w14:textId="77777777" w:rsidR="00735502" w:rsidRPr="00B939F8" w:rsidRDefault="00735502" w:rsidP="00735502">
      <w:pPr>
        <w:spacing w:line="360" w:lineRule="auto"/>
        <w:jc w:val="both"/>
        <w:rPr>
          <w:rFonts w:ascii="Arial" w:hAnsi="Arial" w:cs="Arial"/>
          <w:sz w:val="22"/>
          <w:szCs w:val="22"/>
        </w:rPr>
      </w:pPr>
      <w:r w:rsidRPr="00B939F8">
        <w:rPr>
          <w:rFonts w:ascii="Arial" w:hAnsi="Arial" w:cs="Arial"/>
          <w:sz w:val="22"/>
          <w:szCs w:val="22"/>
        </w:rPr>
        <w:t>Overall, the findings of this review highlight the growing importance of addressing adolescent anxiety within UK mental health policy. Policies developed by organisations such as NICE and the NHS emphasise the importance of early intervention, evidence-based treatments, and improved access to mental health services for young people. However, the increasing demand for services suggests that further investment and research are needed to ensure that adolescents experiencing anxiety receive timely and effective support.</w:t>
      </w:r>
    </w:p>
    <w:p w14:paraId="13C861D5" w14:textId="54F984AE" w:rsidR="00F327A9" w:rsidRPr="00B939F8" w:rsidRDefault="00F327A9" w:rsidP="00F327A9">
      <w:pPr>
        <w:pStyle w:val="Heading1"/>
        <w:rPr>
          <w:rFonts w:ascii="Arial" w:hAnsi="Arial" w:cs="Arial"/>
          <w:b/>
          <w:bCs/>
          <w:color w:val="auto"/>
          <w:sz w:val="22"/>
          <w:szCs w:val="22"/>
        </w:rPr>
      </w:pPr>
      <w:r w:rsidRPr="00B939F8">
        <w:rPr>
          <w:rFonts w:ascii="Arial" w:hAnsi="Arial" w:cs="Arial"/>
          <w:b/>
          <w:bCs/>
          <w:color w:val="auto"/>
          <w:sz w:val="22"/>
          <w:szCs w:val="22"/>
        </w:rPr>
        <w:lastRenderedPageBreak/>
        <w:t xml:space="preserve">6. Conclusion </w:t>
      </w:r>
    </w:p>
    <w:p w14:paraId="095DF363" w14:textId="77777777" w:rsidR="00F327A9" w:rsidRPr="00B939F8" w:rsidRDefault="00F327A9" w:rsidP="00F327A9">
      <w:pPr>
        <w:spacing w:line="360" w:lineRule="auto"/>
        <w:jc w:val="both"/>
        <w:rPr>
          <w:rFonts w:ascii="Arial" w:hAnsi="Arial" w:cs="Arial"/>
          <w:sz w:val="22"/>
          <w:szCs w:val="22"/>
        </w:rPr>
      </w:pPr>
      <w:r w:rsidRPr="00B939F8">
        <w:rPr>
          <w:rFonts w:ascii="Arial" w:hAnsi="Arial" w:cs="Arial"/>
          <w:sz w:val="22"/>
          <w:szCs w:val="22"/>
        </w:rPr>
        <w:t>This scoping review examined existing research on Generalised Anxiety Disorder (GAD) among teenagers in the United Kingdom. The findings showed that anxiety disorders are becoming increasingly common among adolescents and represent a significant mental health concern. The reviewed studies highlighted several important factors linked to anxiety, including social influences such as peer relationships and social media, educational pressures related to exams and academic expectations, and psychological or family factors such as low self-esteem and family environment. These factors can interact and increase the risk of anxiety during adolescence.</w:t>
      </w:r>
    </w:p>
    <w:p w14:paraId="744EC99F" w14:textId="77777777" w:rsidR="00F327A9" w:rsidRPr="00B939F8" w:rsidRDefault="00F327A9" w:rsidP="00F327A9">
      <w:pPr>
        <w:spacing w:line="360" w:lineRule="auto"/>
        <w:jc w:val="both"/>
        <w:rPr>
          <w:rFonts w:ascii="Arial" w:hAnsi="Arial" w:cs="Arial"/>
          <w:sz w:val="22"/>
          <w:szCs w:val="22"/>
        </w:rPr>
      </w:pPr>
      <w:r w:rsidRPr="00B939F8">
        <w:rPr>
          <w:rFonts w:ascii="Arial" w:hAnsi="Arial" w:cs="Arial"/>
          <w:sz w:val="22"/>
          <w:szCs w:val="22"/>
        </w:rPr>
        <w:t>The review also showed that many young people face difficulties accessing mental health support due to increasing demand for services such as Child and Adolescent Mental Health Services (CAMHS). Overall, this research improves understanding of how different social, educational, and personal factors affect adolescent mental health. The findings emphasise the importance of early identification, supportive environments, and accessible mental health services to help reduce anxiety and improve wellbeing among teenagers in the UK.</w:t>
      </w:r>
    </w:p>
    <w:p w14:paraId="0D99BC7F" w14:textId="77777777" w:rsidR="00F327A9" w:rsidRPr="00B939F8" w:rsidRDefault="00F327A9" w:rsidP="00F327A9">
      <w:pPr>
        <w:spacing w:line="360" w:lineRule="auto"/>
        <w:jc w:val="both"/>
        <w:rPr>
          <w:rFonts w:ascii="Arial" w:hAnsi="Arial" w:cs="Arial"/>
          <w:sz w:val="22"/>
          <w:szCs w:val="22"/>
        </w:rPr>
      </w:pPr>
      <w:r w:rsidRPr="00B939F8">
        <w:rPr>
          <w:rFonts w:ascii="Arial" w:hAnsi="Arial" w:cs="Arial"/>
          <w:sz w:val="22"/>
          <w:szCs w:val="22"/>
        </w:rPr>
        <w:t>In addition, the review highlights the need for strong collaboration between schools, families, and healthcare professionals to support young people’s mental wellbeing. Improving awareness and access to services can help reduce the long-term impact of anxiety disorders in adolescence.</w:t>
      </w:r>
    </w:p>
    <w:p w14:paraId="3FE55FD6" w14:textId="0E6CCF25" w:rsidR="00735502" w:rsidRPr="00B939F8" w:rsidRDefault="00735502" w:rsidP="00F327A9">
      <w:pPr>
        <w:pStyle w:val="Heading1"/>
        <w:rPr>
          <w:rFonts w:ascii="Arial" w:hAnsi="Arial" w:cs="Arial"/>
          <w:b/>
          <w:bCs/>
          <w:color w:val="auto"/>
          <w:sz w:val="22"/>
          <w:szCs w:val="22"/>
        </w:rPr>
      </w:pPr>
      <w:r w:rsidRPr="00B939F8">
        <w:rPr>
          <w:rFonts w:ascii="Arial" w:hAnsi="Arial" w:cs="Arial"/>
          <w:b/>
          <w:bCs/>
          <w:color w:val="auto"/>
          <w:sz w:val="22"/>
          <w:szCs w:val="22"/>
        </w:rPr>
        <w:t xml:space="preserve">7. Recommendations </w:t>
      </w:r>
    </w:p>
    <w:p w14:paraId="5D9A6F1B" w14:textId="77777777" w:rsidR="00735502" w:rsidRPr="00B939F8" w:rsidRDefault="00735502" w:rsidP="00735502">
      <w:pPr>
        <w:spacing w:line="360" w:lineRule="auto"/>
        <w:jc w:val="both"/>
        <w:rPr>
          <w:rFonts w:ascii="Arial" w:hAnsi="Arial" w:cs="Arial"/>
          <w:sz w:val="22"/>
          <w:szCs w:val="22"/>
        </w:rPr>
      </w:pPr>
      <w:r w:rsidRPr="00B939F8">
        <w:rPr>
          <w:rFonts w:ascii="Arial" w:hAnsi="Arial" w:cs="Arial"/>
          <w:sz w:val="22"/>
          <w:szCs w:val="22"/>
        </w:rPr>
        <w:t>Based on the findings of this scoping review, several recommendations can be made to improve the prevention and management of Generalised Anxiety Disorder (GAD) among teenagers in the United Kingdom.</w:t>
      </w:r>
    </w:p>
    <w:p w14:paraId="08A53AE6" w14:textId="77777777" w:rsidR="00735502" w:rsidRPr="00B939F8" w:rsidRDefault="00735502" w:rsidP="00735502">
      <w:pPr>
        <w:spacing w:line="360" w:lineRule="auto"/>
        <w:jc w:val="both"/>
        <w:rPr>
          <w:rFonts w:ascii="Arial" w:hAnsi="Arial" w:cs="Arial"/>
          <w:sz w:val="22"/>
          <w:szCs w:val="22"/>
        </w:rPr>
      </w:pPr>
      <w:r w:rsidRPr="00B939F8">
        <w:rPr>
          <w:rFonts w:ascii="Arial" w:hAnsi="Arial" w:cs="Arial"/>
          <w:sz w:val="22"/>
          <w:szCs w:val="22"/>
        </w:rPr>
        <w:t>First, improvements are needed in healthcare practice. Early identification of anxiety symptoms is essential for preventing more serious mental health problems. Schools and healthcare professionals should introduce early mental health screening programmes to identify teenagers who may be experiencing anxiety or emotional difficulties. Early screening can help ensure that young people receive support before their symptoms become severe. In addition, school-based mental health support should be strengthened. Schools can provide counselling services, wellbeing programmes, and safe spaces where students can discuss emotional concerns. Teachers and school staff should also receive training to recognise early signs of anxiety and provide appropriate support.</w:t>
      </w:r>
    </w:p>
    <w:p w14:paraId="45D14619" w14:textId="77777777" w:rsidR="00735502" w:rsidRPr="00B939F8" w:rsidRDefault="00735502" w:rsidP="00735502">
      <w:pPr>
        <w:spacing w:line="360" w:lineRule="auto"/>
        <w:jc w:val="both"/>
        <w:rPr>
          <w:rFonts w:ascii="Arial" w:hAnsi="Arial" w:cs="Arial"/>
          <w:sz w:val="22"/>
          <w:szCs w:val="22"/>
        </w:rPr>
      </w:pPr>
      <w:r w:rsidRPr="00B939F8">
        <w:rPr>
          <w:rFonts w:ascii="Arial" w:hAnsi="Arial" w:cs="Arial"/>
          <w:sz w:val="22"/>
          <w:szCs w:val="22"/>
        </w:rPr>
        <w:t xml:space="preserve">Second, policy improvements are needed to address the growing demand for mental health services. Increased funding for Child and Adolescent Mental Health Services (CAMHS) is </w:t>
      </w:r>
      <w:r w:rsidRPr="00B939F8">
        <w:rPr>
          <w:rFonts w:ascii="Arial" w:hAnsi="Arial" w:cs="Arial"/>
          <w:sz w:val="22"/>
          <w:szCs w:val="22"/>
        </w:rPr>
        <w:lastRenderedPageBreak/>
        <w:t>necessary to reduce long waiting times and improve access to care for young people. Schools should also include mental health education within the curriculum to help students understand emotional wellbeing and develop coping skills.</w:t>
      </w:r>
    </w:p>
    <w:p w14:paraId="087AFDEF" w14:textId="77777777" w:rsidR="00735502" w:rsidRPr="00B939F8" w:rsidRDefault="00735502" w:rsidP="00735502">
      <w:pPr>
        <w:spacing w:line="360" w:lineRule="auto"/>
        <w:jc w:val="both"/>
        <w:rPr>
          <w:rFonts w:ascii="Arial" w:hAnsi="Arial" w:cs="Arial"/>
          <w:sz w:val="22"/>
          <w:szCs w:val="22"/>
        </w:rPr>
      </w:pPr>
      <w:r w:rsidRPr="00B939F8">
        <w:rPr>
          <w:rFonts w:ascii="Arial" w:hAnsi="Arial" w:cs="Arial"/>
          <w:sz w:val="22"/>
          <w:szCs w:val="22"/>
        </w:rPr>
        <w:t>Finally, future research should focus on conducting longitudinal studies to better understand how anxiety develops over time in adolescents. More intervention research is also needed to evaluate effective prevention programmes and treatment approaches for young people experiencing anxiety.</w:t>
      </w:r>
    </w:p>
    <w:p w14:paraId="24AC2A6A" w14:textId="630F075E" w:rsidR="00735502" w:rsidRPr="00B939F8" w:rsidRDefault="00735502" w:rsidP="00735502">
      <w:pPr>
        <w:spacing w:line="360" w:lineRule="auto"/>
        <w:jc w:val="both"/>
        <w:rPr>
          <w:rFonts w:ascii="Arial" w:hAnsi="Arial" w:cs="Arial"/>
          <w:sz w:val="22"/>
          <w:szCs w:val="22"/>
        </w:rPr>
      </w:pPr>
    </w:p>
    <w:p w14:paraId="612A903A" w14:textId="77777777" w:rsidR="00735502" w:rsidRPr="00B939F8" w:rsidRDefault="00735502" w:rsidP="00EA7671">
      <w:pPr>
        <w:spacing w:line="360" w:lineRule="auto"/>
        <w:jc w:val="both"/>
        <w:rPr>
          <w:rFonts w:ascii="Arial" w:hAnsi="Arial" w:cs="Arial"/>
          <w:sz w:val="22"/>
          <w:szCs w:val="22"/>
        </w:rPr>
      </w:pPr>
    </w:p>
    <w:p w14:paraId="6CB44406" w14:textId="77777777" w:rsidR="0007721D" w:rsidRPr="00B939F8" w:rsidRDefault="0007721D" w:rsidP="00A1751D">
      <w:pPr>
        <w:spacing w:line="360" w:lineRule="auto"/>
        <w:jc w:val="both"/>
        <w:rPr>
          <w:rFonts w:ascii="Arial" w:hAnsi="Arial" w:cs="Arial"/>
          <w:sz w:val="22"/>
          <w:szCs w:val="22"/>
        </w:rPr>
      </w:pPr>
    </w:p>
    <w:p w14:paraId="6A5BA2E9" w14:textId="6BED5E83" w:rsidR="0037720E" w:rsidRPr="00B939F8" w:rsidRDefault="0037720E" w:rsidP="0037720E">
      <w:pPr>
        <w:spacing w:line="360" w:lineRule="auto"/>
        <w:jc w:val="both"/>
        <w:rPr>
          <w:rFonts w:ascii="Arial" w:hAnsi="Arial" w:cs="Arial"/>
          <w:sz w:val="22"/>
          <w:szCs w:val="22"/>
        </w:rPr>
      </w:pPr>
    </w:p>
    <w:p w14:paraId="19FD5DEF" w14:textId="77777777" w:rsidR="0037720E" w:rsidRPr="00B939F8" w:rsidRDefault="0037720E" w:rsidP="00C25089">
      <w:pPr>
        <w:spacing w:line="360" w:lineRule="auto"/>
        <w:jc w:val="both"/>
        <w:rPr>
          <w:rFonts w:ascii="Arial" w:hAnsi="Arial" w:cs="Arial"/>
          <w:sz w:val="22"/>
          <w:szCs w:val="22"/>
        </w:rPr>
      </w:pPr>
    </w:p>
    <w:p w14:paraId="1064CEED" w14:textId="77777777" w:rsidR="00C25089" w:rsidRPr="00B939F8" w:rsidRDefault="00C25089" w:rsidP="00400F77">
      <w:pPr>
        <w:spacing w:line="360" w:lineRule="auto"/>
        <w:jc w:val="both"/>
        <w:rPr>
          <w:rFonts w:ascii="Arial" w:hAnsi="Arial" w:cs="Arial"/>
          <w:sz w:val="22"/>
          <w:szCs w:val="22"/>
        </w:rPr>
      </w:pPr>
    </w:p>
    <w:p w14:paraId="4471F252" w14:textId="626A1A5D" w:rsidR="00400F77" w:rsidRPr="00B939F8" w:rsidRDefault="00400F77">
      <w:pPr>
        <w:rPr>
          <w:rFonts w:ascii="Arial" w:hAnsi="Arial" w:cs="Arial"/>
          <w:sz w:val="22"/>
          <w:szCs w:val="22"/>
        </w:rPr>
      </w:pPr>
      <w:r w:rsidRPr="00B939F8">
        <w:rPr>
          <w:rFonts w:ascii="Arial" w:hAnsi="Arial" w:cs="Arial"/>
          <w:sz w:val="22"/>
          <w:szCs w:val="22"/>
        </w:rPr>
        <w:br w:type="page"/>
      </w:r>
    </w:p>
    <w:p w14:paraId="755F71C6" w14:textId="28030547" w:rsidR="00400F77" w:rsidRPr="00B939F8" w:rsidRDefault="00400F77" w:rsidP="007E6DDB">
      <w:pPr>
        <w:pStyle w:val="Heading1"/>
        <w:rPr>
          <w:rFonts w:ascii="Arial" w:hAnsi="Arial" w:cs="Arial"/>
          <w:b/>
          <w:bCs/>
          <w:color w:val="auto"/>
          <w:sz w:val="22"/>
          <w:szCs w:val="22"/>
        </w:rPr>
      </w:pPr>
      <w:r w:rsidRPr="00B939F8">
        <w:rPr>
          <w:rFonts w:ascii="Arial" w:hAnsi="Arial" w:cs="Arial"/>
          <w:b/>
          <w:bCs/>
          <w:color w:val="auto"/>
          <w:sz w:val="22"/>
          <w:szCs w:val="22"/>
        </w:rPr>
        <w:lastRenderedPageBreak/>
        <w:t>References</w:t>
      </w:r>
      <w:r w:rsidR="007114E1" w:rsidRPr="00B939F8">
        <w:rPr>
          <w:rFonts w:ascii="Arial" w:hAnsi="Arial" w:cs="Arial"/>
          <w:b/>
          <w:bCs/>
          <w:color w:val="auto"/>
          <w:sz w:val="22"/>
          <w:szCs w:val="22"/>
        </w:rPr>
        <w:t>:</w:t>
      </w:r>
    </w:p>
    <w:p w14:paraId="34843E3B"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American Psychiatric Association (2022) </w:t>
      </w:r>
      <w:r w:rsidRPr="00B939F8">
        <w:rPr>
          <w:rFonts w:ascii="Arial" w:hAnsi="Arial" w:cs="Arial"/>
          <w:i/>
          <w:iCs/>
          <w:sz w:val="22"/>
          <w:szCs w:val="22"/>
        </w:rPr>
        <w:t>Diagnostic and statistical manual of mental disorders</w:t>
      </w:r>
      <w:r w:rsidRPr="00B939F8">
        <w:rPr>
          <w:rFonts w:ascii="Arial" w:hAnsi="Arial" w:cs="Arial"/>
          <w:sz w:val="22"/>
          <w:szCs w:val="22"/>
        </w:rPr>
        <w:t xml:space="preserve">. 5th </w:t>
      </w:r>
      <w:proofErr w:type="spellStart"/>
      <w:r w:rsidRPr="00B939F8">
        <w:rPr>
          <w:rFonts w:ascii="Arial" w:hAnsi="Arial" w:cs="Arial"/>
          <w:sz w:val="22"/>
          <w:szCs w:val="22"/>
        </w:rPr>
        <w:t>edn</w:t>
      </w:r>
      <w:proofErr w:type="spellEnd"/>
      <w:r w:rsidRPr="00B939F8">
        <w:rPr>
          <w:rFonts w:ascii="Arial" w:hAnsi="Arial" w:cs="Arial"/>
          <w:sz w:val="22"/>
          <w:szCs w:val="22"/>
        </w:rPr>
        <w:t xml:space="preserve">, text revision. Washington, DC: American Psychiatric Association. Available at: </w:t>
      </w:r>
      <w:hyperlink r:id="rId9" w:tgtFrame="_new" w:history="1">
        <w:r w:rsidRPr="00B939F8">
          <w:rPr>
            <w:rStyle w:val="Hyperlink"/>
            <w:rFonts w:ascii="Arial" w:hAnsi="Arial" w:cs="Arial"/>
            <w:sz w:val="22"/>
            <w:szCs w:val="22"/>
          </w:rPr>
          <w:t>https://www.psychiatry.org/psychiatrists/practice/dsm</w:t>
        </w:r>
      </w:hyperlink>
      <w:r w:rsidRPr="00B939F8">
        <w:rPr>
          <w:rFonts w:ascii="Arial" w:hAnsi="Arial" w:cs="Arial"/>
          <w:sz w:val="22"/>
          <w:szCs w:val="22"/>
        </w:rPr>
        <w:t xml:space="preserve"> (Accessed: 8 March 2026).</w:t>
      </w:r>
    </w:p>
    <w:p w14:paraId="50543B65" w14:textId="77777777" w:rsidR="007114E1" w:rsidRPr="00B939F8" w:rsidRDefault="007114E1" w:rsidP="007114E1">
      <w:pPr>
        <w:spacing w:line="360" w:lineRule="auto"/>
        <w:rPr>
          <w:rFonts w:ascii="Arial" w:hAnsi="Arial" w:cs="Arial"/>
          <w:sz w:val="22"/>
          <w:szCs w:val="22"/>
        </w:rPr>
      </w:pPr>
      <w:proofErr w:type="spellStart"/>
      <w:r w:rsidRPr="00B939F8">
        <w:rPr>
          <w:rFonts w:ascii="Arial" w:hAnsi="Arial" w:cs="Arial"/>
          <w:sz w:val="22"/>
          <w:szCs w:val="22"/>
        </w:rPr>
        <w:t>Aromataris</w:t>
      </w:r>
      <w:proofErr w:type="spellEnd"/>
      <w:r w:rsidRPr="00B939F8">
        <w:rPr>
          <w:rFonts w:ascii="Arial" w:hAnsi="Arial" w:cs="Arial"/>
          <w:sz w:val="22"/>
          <w:szCs w:val="22"/>
        </w:rPr>
        <w:t xml:space="preserve">, E. and Munn, Z. (2020) </w:t>
      </w:r>
      <w:r w:rsidRPr="00B939F8">
        <w:rPr>
          <w:rFonts w:ascii="Arial" w:hAnsi="Arial" w:cs="Arial"/>
          <w:i/>
          <w:iCs/>
          <w:sz w:val="22"/>
          <w:szCs w:val="22"/>
        </w:rPr>
        <w:t>JBI manual for evidence synthesis</w:t>
      </w:r>
      <w:r w:rsidRPr="00B939F8">
        <w:rPr>
          <w:rFonts w:ascii="Arial" w:hAnsi="Arial" w:cs="Arial"/>
          <w:sz w:val="22"/>
          <w:szCs w:val="22"/>
        </w:rPr>
        <w:t xml:space="preserve">. Joanna Briggs Institute. Available at: </w:t>
      </w:r>
      <w:hyperlink r:id="rId10" w:tgtFrame="_new" w:history="1">
        <w:r w:rsidRPr="00B939F8">
          <w:rPr>
            <w:rStyle w:val="Hyperlink"/>
            <w:rFonts w:ascii="Arial" w:hAnsi="Arial" w:cs="Arial"/>
            <w:sz w:val="22"/>
            <w:szCs w:val="22"/>
          </w:rPr>
          <w:t>https://jbi-global-wiki.refined.site/space/MANUAL</w:t>
        </w:r>
      </w:hyperlink>
      <w:r w:rsidRPr="00B939F8">
        <w:rPr>
          <w:rFonts w:ascii="Arial" w:hAnsi="Arial" w:cs="Arial"/>
          <w:sz w:val="22"/>
          <w:szCs w:val="22"/>
        </w:rPr>
        <w:t xml:space="preserve"> (Accessed: 3 March 2026).</w:t>
      </w:r>
    </w:p>
    <w:p w14:paraId="4A7762FD"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Arksey, H. and O’Malley, L. (2005) ‘Scoping studies: Towards a methodological framework’, </w:t>
      </w:r>
      <w:r w:rsidRPr="00B939F8">
        <w:rPr>
          <w:rFonts w:ascii="Arial" w:hAnsi="Arial" w:cs="Arial"/>
          <w:i/>
          <w:iCs/>
          <w:sz w:val="22"/>
          <w:szCs w:val="22"/>
        </w:rPr>
        <w:t>International Journal of Social Research Methodology</w:t>
      </w:r>
      <w:r w:rsidRPr="00B939F8">
        <w:rPr>
          <w:rFonts w:ascii="Arial" w:hAnsi="Arial" w:cs="Arial"/>
          <w:sz w:val="22"/>
          <w:szCs w:val="22"/>
        </w:rPr>
        <w:t xml:space="preserve">, 8(1), pp. 19–32. Available at: </w:t>
      </w:r>
      <w:hyperlink r:id="rId11" w:tgtFrame="_new" w:history="1">
        <w:r w:rsidRPr="00B939F8">
          <w:rPr>
            <w:rStyle w:val="Hyperlink"/>
            <w:rFonts w:ascii="Arial" w:hAnsi="Arial" w:cs="Arial"/>
            <w:sz w:val="22"/>
            <w:szCs w:val="22"/>
          </w:rPr>
          <w:t>https://www.tandfonline.com/doi/abs/10.1080/1364557032000119616</w:t>
        </w:r>
      </w:hyperlink>
      <w:r w:rsidRPr="00B939F8">
        <w:rPr>
          <w:rFonts w:ascii="Arial" w:hAnsi="Arial" w:cs="Arial"/>
          <w:sz w:val="22"/>
          <w:szCs w:val="22"/>
        </w:rPr>
        <w:t xml:space="preserve"> (Accessed: 7 March 2026).</w:t>
      </w:r>
    </w:p>
    <w:p w14:paraId="611D60D2"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Aveyard, H. (2021) </w:t>
      </w:r>
      <w:r w:rsidRPr="00B939F8">
        <w:rPr>
          <w:rFonts w:ascii="Arial" w:hAnsi="Arial" w:cs="Arial"/>
          <w:i/>
          <w:iCs/>
          <w:sz w:val="22"/>
          <w:szCs w:val="22"/>
        </w:rPr>
        <w:t>Doing a literature review in health and social care: A practical guide</w:t>
      </w:r>
      <w:r w:rsidRPr="00B939F8">
        <w:rPr>
          <w:rFonts w:ascii="Arial" w:hAnsi="Arial" w:cs="Arial"/>
          <w:sz w:val="22"/>
          <w:szCs w:val="22"/>
        </w:rPr>
        <w:t xml:space="preserve">. 4th </w:t>
      </w:r>
      <w:proofErr w:type="spellStart"/>
      <w:r w:rsidRPr="00B939F8">
        <w:rPr>
          <w:rFonts w:ascii="Arial" w:hAnsi="Arial" w:cs="Arial"/>
          <w:sz w:val="22"/>
          <w:szCs w:val="22"/>
        </w:rPr>
        <w:t>edn</w:t>
      </w:r>
      <w:proofErr w:type="spellEnd"/>
      <w:r w:rsidRPr="00B939F8">
        <w:rPr>
          <w:rFonts w:ascii="Arial" w:hAnsi="Arial" w:cs="Arial"/>
          <w:sz w:val="22"/>
          <w:szCs w:val="22"/>
        </w:rPr>
        <w:t>. Maidenhead: Open University Press.</w:t>
      </w:r>
    </w:p>
    <w:p w14:paraId="3F183B1F"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Booth, A., Sutton, A., Clowes, M. and Martyn-St James, M. (2021) </w:t>
      </w:r>
      <w:r w:rsidRPr="00B939F8">
        <w:rPr>
          <w:rFonts w:ascii="Arial" w:hAnsi="Arial" w:cs="Arial"/>
          <w:i/>
          <w:iCs/>
          <w:sz w:val="22"/>
          <w:szCs w:val="22"/>
        </w:rPr>
        <w:t>Systematic approaches to a successful literature review</w:t>
      </w:r>
      <w:r w:rsidRPr="00B939F8">
        <w:rPr>
          <w:rFonts w:ascii="Arial" w:hAnsi="Arial" w:cs="Arial"/>
          <w:sz w:val="22"/>
          <w:szCs w:val="22"/>
        </w:rPr>
        <w:t xml:space="preserve">. 3rd </w:t>
      </w:r>
      <w:proofErr w:type="spellStart"/>
      <w:r w:rsidRPr="00B939F8">
        <w:rPr>
          <w:rFonts w:ascii="Arial" w:hAnsi="Arial" w:cs="Arial"/>
          <w:sz w:val="22"/>
          <w:szCs w:val="22"/>
        </w:rPr>
        <w:t>edn</w:t>
      </w:r>
      <w:proofErr w:type="spellEnd"/>
      <w:r w:rsidRPr="00B939F8">
        <w:rPr>
          <w:rFonts w:ascii="Arial" w:hAnsi="Arial" w:cs="Arial"/>
          <w:sz w:val="22"/>
          <w:szCs w:val="22"/>
        </w:rPr>
        <w:t xml:space="preserve">. London: SAGE Publications. Available at: </w:t>
      </w:r>
      <w:hyperlink r:id="rId12" w:tgtFrame="_new" w:history="1">
        <w:r w:rsidRPr="00B939F8">
          <w:rPr>
            <w:rStyle w:val="Hyperlink"/>
            <w:rFonts w:ascii="Arial" w:hAnsi="Arial" w:cs="Arial"/>
            <w:sz w:val="22"/>
            <w:szCs w:val="22"/>
          </w:rPr>
          <w:t>https://study.sagepub.com/booth3e</w:t>
        </w:r>
      </w:hyperlink>
      <w:r w:rsidRPr="00B939F8">
        <w:rPr>
          <w:rFonts w:ascii="Arial" w:hAnsi="Arial" w:cs="Arial"/>
          <w:sz w:val="22"/>
          <w:szCs w:val="22"/>
        </w:rPr>
        <w:t xml:space="preserve"> (Accessed: 4 March 2026).</w:t>
      </w:r>
    </w:p>
    <w:p w14:paraId="1FA0DE25"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Bandelow, B. and Michaelis, S. (2022) ‘Epidemiology of anxiety disorders in the 21st century’, </w:t>
      </w:r>
      <w:r w:rsidRPr="00B939F8">
        <w:rPr>
          <w:rFonts w:ascii="Arial" w:hAnsi="Arial" w:cs="Arial"/>
          <w:i/>
          <w:iCs/>
          <w:sz w:val="22"/>
          <w:szCs w:val="22"/>
        </w:rPr>
        <w:t>Dialogues in Clinical Neuroscience</w:t>
      </w:r>
      <w:r w:rsidRPr="00B939F8">
        <w:rPr>
          <w:rFonts w:ascii="Arial" w:hAnsi="Arial" w:cs="Arial"/>
          <w:sz w:val="22"/>
          <w:szCs w:val="22"/>
        </w:rPr>
        <w:t xml:space="preserve">, 24(1), pp. 7–17. Available at: </w:t>
      </w:r>
      <w:hyperlink r:id="rId13" w:tgtFrame="_new" w:history="1">
        <w:r w:rsidRPr="00B939F8">
          <w:rPr>
            <w:rStyle w:val="Hyperlink"/>
            <w:rFonts w:ascii="Arial" w:hAnsi="Arial" w:cs="Arial"/>
            <w:sz w:val="22"/>
            <w:szCs w:val="22"/>
          </w:rPr>
          <w:t>https://www.tandfonline.com/doi/full/10.31887/DCNS.2022.24.1/bandelow</w:t>
        </w:r>
      </w:hyperlink>
      <w:r w:rsidRPr="00B939F8">
        <w:rPr>
          <w:rFonts w:ascii="Arial" w:hAnsi="Arial" w:cs="Arial"/>
          <w:sz w:val="22"/>
          <w:szCs w:val="22"/>
        </w:rPr>
        <w:t xml:space="preserve"> (Accessed: 5 March 2026).</w:t>
      </w:r>
    </w:p>
    <w:p w14:paraId="7976E8A9"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British Psychological Society (2021) </w:t>
      </w:r>
      <w:r w:rsidRPr="00B939F8">
        <w:rPr>
          <w:rFonts w:ascii="Arial" w:hAnsi="Arial" w:cs="Arial"/>
          <w:i/>
          <w:iCs/>
          <w:sz w:val="22"/>
          <w:szCs w:val="22"/>
        </w:rPr>
        <w:t>Code of ethics and conduct</w:t>
      </w:r>
      <w:r w:rsidRPr="00B939F8">
        <w:rPr>
          <w:rFonts w:ascii="Arial" w:hAnsi="Arial" w:cs="Arial"/>
          <w:sz w:val="22"/>
          <w:szCs w:val="22"/>
        </w:rPr>
        <w:t xml:space="preserve">. Leicester: British Psychological Society. Available at: </w:t>
      </w:r>
      <w:hyperlink r:id="rId14" w:tgtFrame="_new" w:history="1">
        <w:r w:rsidRPr="00B939F8">
          <w:rPr>
            <w:rStyle w:val="Hyperlink"/>
            <w:rFonts w:ascii="Arial" w:hAnsi="Arial" w:cs="Arial"/>
            <w:sz w:val="22"/>
            <w:szCs w:val="22"/>
          </w:rPr>
          <w:t>https://www.bps.org.uk/guideline/code-ethics-and-conduct</w:t>
        </w:r>
      </w:hyperlink>
      <w:r w:rsidRPr="00B939F8">
        <w:rPr>
          <w:rFonts w:ascii="Arial" w:hAnsi="Arial" w:cs="Arial"/>
          <w:sz w:val="22"/>
          <w:szCs w:val="22"/>
        </w:rPr>
        <w:t xml:space="preserve"> (Accessed: 2 March 2026).</w:t>
      </w:r>
    </w:p>
    <w:p w14:paraId="61C89693"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Children's Commissioner for England (2024) </w:t>
      </w:r>
      <w:r w:rsidRPr="00B939F8">
        <w:rPr>
          <w:rFonts w:ascii="Arial" w:hAnsi="Arial" w:cs="Arial"/>
          <w:i/>
          <w:iCs/>
          <w:sz w:val="22"/>
          <w:szCs w:val="22"/>
        </w:rPr>
        <w:t>Children’s Commissioner responds to new figures on children referred to mental health support for anxiety</w:t>
      </w:r>
      <w:r w:rsidRPr="00B939F8">
        <w:rPr>
          <w:rFonts w:ascii="Arial" w:hAnsi="Arial" w:cs="Arial"/>
          <w:sz w:val="22"/>
          <w:szCs w:val="22"/>
        </w:rPr>
        <w:t xml:space="preserve">. Available at: </w:t>
      </w:r>
      <w:hyperlink r:id="rId15" w:tgtFrame="_new" w:history="1">
        <w:r w:rsidRPr="00B939F8">
          <w:rPr>
            <w:rStyle w:val="Hyperlink"/>
            <w:rFonts w:ascii="Arial" w:hAnsi="Arial" w:cs="Arial"/>
            <w:sz w:val="22"/>
            <w:szCs w:val="22"/>
          </w:rPr>
          <w:t>https://www.childrenscommissioner.gov.uk/blog/childrens-commissioner-responds-to-new-figures-on-children-referred-to-mental-health-support-for-anxiety/</w:t>
        </w:r>
      </w:hyperlink>
      <w:r w:rsidRPr="00B939F8">
        <w:rPr>
          <w:rFonts w:ascii="Arial" w:hAnsi="Arial" w:cs="Arial"/>
          <w:sz w:val="22"/>
          <w:szCs w:val="22"/>
        </w:rPr>
        <w:t xml:space="preserve"> (Accessed: 9 March 2026).</w:t>
      </w:r>
    </w:p>
    <w:p w14:paraId="674576EB"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Creswell, C., Waite, P. and Hudson, J. (2020) ‘Practitioner review: Anxiety disorders in children and young people – assessment and treatment’, </w:t>
      </w:r>
      <w:r w:rsidRPr="00B939F8">
        <w:rPr>
          <w:rFonts w:ascii="Arial" w:hAnsi="Arial" w:cs="Arial"/>
          <w:i/>
          <w:iCs/>
          <w:sz w:val="22"/>
          <w:szCs w:val="22"/>
        </w:rPr>
        <w:t>Journal of Child Psychology and Psychiatry</w:t>
      </w:r>
      <w:r w:rsidRPr="00B939F8">
        <w:rPr>
          <w:rFonts w:ascii="Arial" w:hAnsi="Arial" w:cs="Arial"/>
          <w:sz w:val="22"/>
          <w:szCs w:val="22"/>
        </w:rPr>
        <w:t xml:space="preserve">, 61(6), pp. 628–643. Available at: </w:t>
      </w:r>
      <w:hyperlink r:id="rId16" w:tgtFrame="_new" w:history="1">
        <w:r w:rsidRPr="00B939F8">
          <w:rPr>
            <w:rStyle w:val="Hyperlink"/>
            <w:rFonts w:ascii="Arial" w:hAnsi="Arial" w:cs="Arial"/>
            <w:sz w:val="22"/>
            <w:szCs w:val="22"/>
          </w:rPr>
          <w:t>https://pubmed.ncbi.nlm.nih.gov/31960440/</w:t>
        </w:r>
      </w:hyperlink>
      <w:r w:rsidRPr="00B939F8">
        <w:rPr>
          <w:rFonts w:ascii="Arial" w:hAnsi="Arial" w:cs="Arial"/>
          <w:sz w:val="22"/>
          <w:szCs w:val="22"/>
        </w:rPr>
        <w:t xml:space="preserve"> (Accessed: 6 March 2026).</w:t>
      </w:r>
    </w:p>
    <w:p w14:paraId="6EEFF653"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lastRenderedPageBreak/>
        <w:t xml:space="preserve">Green, I., Reardon, T., Button, R., Williamson, V., Halliday, G., Hill, C., Larkin, M., Sniehotta, F.F., </w:t>
      </w:r>
      <w:proofErr w:type="spellStart"/>
      <w:r w:rsidRPr="00B939F8">
        <w:rPr>
          <w:rFonts w:ascii="Arial" w:hAnsi="Arial" w:cs="Arial"/>
          <w:sz w:val="22"/>
          <w:szCs w:val="22"/>
        </w:rPr>
        <w:t>Ukoumunne</w:t>
      </w:r>
      <w:proofErr w:type="spellEnd"/>
      <w:r w:rsidRPr="00B939F8">
        <w:rPr>
          <w:rFonts w:ascii="Arial" w:hAnsi="Arial" w:cs="Arial"/>
          <w:sz w:val="22"/>
          <w:szCs w:val="22"/>
        </w:rPr>
        <w:t xml:space="preserve">, O.C., Ford, T., Spence, S.H., Stallard, P. and Creswell, C. (2023) ‘Increasing access to evidence-based treatment for child anxiety problems: Online parent-led CBT for children identified via schools’, </w:t>
      </w:r>
      <w:r w:rsidRPr="00B939F8">
        <w:rPr>
          <w:rFonts w:ascii="Arial" w:hAnsi="Arial" w:cs="Arial"/>
          <w:i/>
          <w:iCs/>
          <w:sz w:val="22"/>
          <w:szCs w:val="22"/>
        </w:rPr>
        <w:t>Child and Adolescent Mental Health</w:t>
      </w:r>
      <w:r w:rsidRPr="00B939F8">
        <w:rPr>
          <w:rFonts w:ascii="Arial" w:hAnsi="Arial" w:cs="Arial"/>
          <w:sz w:val="22"/>
          <w:szCs w:val="22"/>
        </w:rPr>
        <w:t xml:space="preserve">, 28(1), pp. 42–51. Available at: </w:t>
      </w:r>
      <w:hyperlink r:id="rId17" w:tgtFrame="_new" w:history="1">
        <w:r w:rsidRPr="00B939F8">
          <w:rPr>
            <w:rStyle w:val="Hyperlink"/>
            <w:rFonts w:ascii="Arial" w:hAnsi="Arial" w:cs="Arial"/>
            <w:sz w:val="22"/>
            <w:szCs w:val="22"/>
          </w:rPr>
          <w:t>https://doi.org/10.1111/camh.12612</w:t>
        </w:r>
      </w:hyperlink>
      <w:r w:rsidRPr="00B939F8">
        <w:rPr>
          <w:rFonts w:ascii="Arial" w:hAnsi="Arial" w:cs="Arial"/>
          <w:sz w:val="22"/>
          <w:szCs w:val="22"/>
        </w:rPr>
        <w:t xml:space="preserve"> (Accessed: 4 March 2026).</w:t>
      </w:r>
    </w:p>
    <w:p w14:paraId="06C9D002"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Haddaway, N.R., Page, M.J., Pritchard, C.C. and McGuinness, L.A. (2020) ‘PRISMA2020: An R package and Shiny app for producing PRISMA 2020 compliant flow diagrams’, </w:t>
      </w:r>
      <w:r w:rsidRPr="00B939F8">
        <w:rPr>
          <w:rFonts w:ascii="Arial" w:hAnsi="Arial" w:cs="Arial"/>
          <w:i/>
          <w:iCs/>
          <w:sz w:val="22"/>
          <w:szCs w:val="22"/>
        </w:rPr>
        <w:t>Campbell Systematic Reviews</w:t>
      </w:r>
      <w:r w:rsidRPr="00B939F8">
        <w:rPr>
          <w:rFonts w:ascii="Arial" w:hAnsi="Arial" w:cs="Arial"/>
          <w:sz w:val="22"/>
          <w:szCs w:val="22"/>
        </w:rPr>
        <w:t xml:space="preserve">, 16(3), e1230. Available at: </w:t>
      </w:r>
      <w:hyperlink r:id="rId18" w:tgtFrame="_new" w:history="1">
        <w:r w:rsidRPr="00B939F8">
          <w:rPr>
            <w:rStyle w:val="Hyperlink"/>
            <w:rFonts w:ascii="Arial" w:hAnsi="Arial" w:cs="Arial"/>
            <w:sz w:val="22"/>
            <w:szCs w:val="22"/>
          </w:rPr>
          <w:t>https://onlinelibrary.wiley.com/doi/10.1002/cl2.1230</w:t>
        </w:r>
      </w:hyperlink>
      <w:r w:rsidRPr="00B939F8">
        <w:rPr>
          <w:rFonts w:ascii="Arial" w:hAnsi="Arial" w:cs="Arial"/>
          <w:sz w:val="22"/>
          <w:szCs w:val="22"/>
        </w:rPr>
        <w:t xml:space="preserve"> (Accessed: 8 March 2026).</w:t>
      </w:r>
    </w:p>
    <w:p w14:paraId="073D87F7"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Loades, M.E., Chatburn, E., Higson-Sweeney, N., Reynolds, S., Shafran, R., Brigden, A., Linney, C., McManus, M.N., Borwick, C. and Crawley, E. (2020) ‘Rapid systematic review: The impact of social isolation and loneliness on the mental health of children and adolescents in the context of COVID-19’, </w:t>
      </w:r>
      <w:r w:rsidRPr="00B939F8">
        <w:rPr>
          <w:rFonts w:ascii="Arial" w:hAnsi="Arial" w:cs="Arial"/>
          <w:i/>
          <w:iCs/>
          <w:sz w:val="22"/>
          <w:szCs w:val="22"/>
        </w:rPr>
        <w:t>Journal of the American Academy of Child and Adolescent Psychiatry</w:t>
      </w:r>
      <w:r w:rsidRPr="00B939F8">
        <w:rPr>
          <w:rFonts w:ascii="Arial" w:hAnsi="Arial" w:cs="Arial"/>
          <w:sz w:val="22"/>
          <w:szCs w:val="22"/>
        </w:rPr>
        <w:t xml:space="preserve">, 59(11), pp. 1218–1239. Available at: </w:t>
      </w:r>
      <w:hyperlink r:id="rId19" w:tgtFrame="_new" w:history="1">
        <w:r w:rsidRPr="00B939F8">
          <w:rPr>
            <w:rStyle w:val="Hyperlink"/>
            <w:rFonts w:ascii="Arial" w:hAnsi="Arial" w:cs="Arial"/>
            <w:sz w:val="22"/>
            <w:szCs w:val="22"/>
          </w:rPr>
          <w:t>https://pmc.ncbi.nlm.nih.gov/articles/PMC7267797/</w:t>
        </w:r>
      </w:hyperlink>
      <w:r w:rsidRPr="00B939F8">
        <w:rPr>
          <w:rFonts w:ascii="Arial" w:hAnsi="Arial" w:cs="Arial"/>
          <w:sz w:val="22"/>
          <w:szCs w:val="22"/>
        </w:rPr>
        <w:t xml:space="preserve"> (Accessed: 3 March 2026).</w:t>
      </w:r>
    </w:p>
    <w:p w14:paraId="5E95BAC9"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Munn, Z., Pollock, D., Khalil, H., Alexander, L., McInerney, P., Godfrey, C., Peters, M. and </w:t>
      </w:r>
      <w:proofErr w:type="spellStart"/>
      <w:r w:rsidRPr="00B939F8">
        <w:rPr>
          <w:rFonts w:ascii="Arial" w:hAnsi="Arial" w:cs="Arial"/>
          <w:sz w:val="22"/>
          <w:szCs w:val="22"/>
        </w:rPr>
        <w:t>Tricco</w:t>
      </w:r>
      <w:proofErr w:type="spellEnd"/>
      <w:r w:rsidRPr="00B939F8">
        <w:rPr>
          <w:rFonts w:ascii="Arial" w:hAnsi="Arial" w:cs="Arial"/>
          <w:sz w:val="22"/>
          <w:szCs w:val="22"/>
        </w:rPr>
        <w:t xml:space="preserve">, A. (2022) ‘What are scoping reviews? Providing a formal definition of scoping reviews as a type of evidence synthesis’, </w:t>
      </w:r>
      <w:r w:rsidRPr="00B939F8">
        <w:rPr>
          <w:rFonts w:ascii="Arial" w:hAnsi="Arial" w:cs="Arial"/>
          <w:i/>
          <w:iCs/>
          <w:sz w:val="22"/>
          <w:szCs w:val="22"/>
        </w:rPr>
        <w:t>JBI Evidence Synthesis</w:t>
      </w:r>
      <w:r w:rsidRPr="00B939F8">
        <w:rPr>
          <w:rFonts w:ascii="Arial" w:hAnsi="Arial" w:cs="Arial"/>
          <w:sz w:val="22"/>
          <w:szCs w:val="22"/>
        </w:rPr>
        <w:t xml:space="preserve">, 20(4), pp. 950–952. Available at: </w:t>
      </w:r>
      <w:hyperlink r:id="rId20" w:tgtFrame="_new" w:history="1">
        <w:r w:rsidRPr="00B939F8">
          <w:rPr>
            <w:rStyle w:val="Hyperlink"/>
            <w:rFonts w:ascii="Arial" w:hAnsi="Arial" w:cs="Arial"/>
            <w:sz w:val="22"/>
            <w:szCs w:val="22"/>
          </w:rPr>
          <w:t>https://journals.lww.com/jbisrir/fulltext/2022/04000/what_are_scoping_reviews__providing_a_formal.2.aspx</w:t>
        </w:r>
      </w:hyperlink>
      <w:r w:rsidRPr="00B939F8">
        <w:rPr>
          <w:rFonts w:ascii="Arial" w:hAnsi="Arial" w:cs="Arial"/>
          <w:sz w:val="22"/>
          <w:szCs w:val="22"/>
        </w:rPr>
        <w:t xml:space="preserve"> (Accessed: 7 March 2026).</w:t>
      </w:r>
    </w:p>
    <w:p w14:paraId="312BA9BB"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NHS Digital (2023) </w:t>
      </w:r>
      <w:r w:rsidRPr="00B939F8">
        <w:rPr>
          <w:rFonts w:ascii="Arial" w:hAnsi="Arial" w:cs="Arial"/>
          <w:i/>
          <w:iCs/>
          <w:sz w:val="22"/>
          <w:szCs w:val="22"/>
        </w:rPr>
        <w:t>Mental health of children and young people in England</w:t>
      </w:r>
      <w:r w:rsidRPr="00B939F8">
        <w:rPr>
          <w:rFonts w:ascii="Arial" w:hAnsi="Arial" w:cs="Arial"/>
          <w:sz w:val="22"/>
          <w:szCs w:val="22"/>
        </w:rPr>
        <w:t xml:space="preserve">. Available at: </w:t>
      </w:r>
      <w:hyperlink r:id="rId21" w:tgtFrame="_new" w:history="1">
        <w:r w:rsidRPr="00B939F8">
          <w:rPr>
            <w:rStyle w:val="Hyperlink"/>
            <w:rFonts w:ascii="Arial" w:hAnsi="Arial" w:cs="Arial"/>
            <w:sz w:val="22"/>
            <w:szCs w:val="22"/>
          </w:rPr>
          <w:t>https://digital.nhs.uk/data-and-information/publications/statistical/mental-health-of-children-and-young-people-in-england</w:t>
        </w:r>
      </w:hyperlink>
      <w:r w:rsidRPr="00B939F8">
        <w:rPr>
          <w:rFonts w:ascii="Arial" w:hAnsi="Arial" w:cs="Arial"/>
          <w:sz w:val="22"/>
          <w:szCs w:val="22"/>
        </w:rPr>
        <w:t xml:space="preserve"> (Accessed: 6 March 2026).</w:t>
      </w:r>
    </w:p>
    <w:p w14:paraId="731B364F"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NHS England (2023) </w:t>
      </w:r>
      <w:r w:rsidRPr="00B939F8">
        <w:rPr>
          <w:rFonts w:ascii="Arial" w:hAnsi="Arial" w:cs="Arial"/>
          <w:i/>
          <w:iCs/>
          <w:sz w:val="22"/>
          <w:szCs w:val="22"/>
        </w:rPr>
        <w:t>Mental health of children and young people in England, 2023: Wave 4 follow up to the 2017 survey</w:t>
      </w:r>
      <w:r w:rsidRPr="00B939F8">
        <w:rPr>
          <w:rFonts w:ascii="Arial" w:hAnsi="Arial" w:cs="Arial"/>
          <w:sz w:val="22"/>
          <w:szCs w:val="22"/>
        </w:rPr>
        <w:t xml:space="preserve">. Available at: </w:t>
      </w:r>
      <w:hyperlink r:id="rId22" w:tgtFrame="_new" w:history="1">
        <w:r w:rsidRPr="00B939F8">
          <w:rPr>
            <w:rStyle w:val="Hyperlink"/>
            <w:rFonts w:ascii="Arial" w:hAnsi="Arial" w:cs="Arial"/>
            <w:sz w:val="22"/>
            <w:szCs w:val="22"/>
          </w:rPr>
          <w:t>https://digital.nhs.uk/data-and-information/publications/statistical/mental-health-of-children-and-young-people-in-england/2023-wave-4-follow-up</w:t>
        </w:r>
      </w:hyperlink>
      <w:r w:rsidRPr="00B939F8">
        <w:rPr>
          <w:rFonts w:ascii="Arial" w:hAnsi="Arial" w:cs="Arial"/>
          <w:sz w:val="22"/>
          <w:szCs w:val="22"/>
        </w:rPr>
        <w:t xml:space="preserve"> (Accessed: 5 March 2026).</w:t>
      </w:r>
    </w:p>
    <w:p w14:paraId="75FF6A8F"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NICE (2024) </w:t>
      </w:r>
      <w:r w:rsidRPr="00B939F8">
        <w:rPr>
          <w:rFonts w:ascii="Arial" w:hAnsi="Arial" w:cs="Arial"/>
          <w:i/>
          <w:iCs/>
          <w:sz w:val="22"/>
          <w:szCs w:val="22"/>
        </w:rPr>
        <w:t>Generalised anxiety disorder and panic disorder in adults: Management</w:t>
      </w:r>
      <w:r w:rsidRPr="00B939F8">
        <w:rPr>
          <w:rFonts w:ascii="Arial" w:hAnsi="Arial" w:cs="Arial"/>
          <w:sz w:val="22"/>
          <w:szCs w:val="22"/>
        </w:rPr>
        <w:t xml:space="preserve">. Available at: </w:t>
      </w:r>
      <w:hyperlink r:id="rId23" w:tgtFrame="_new" w:history="1">
        <w:r w:rsidRPr="00B939F8">
          <w:rPr>
            <w:rStyle w:val="Hyperlink"/>
            <w:rFonts w:ascii="Arial" w:hAnsi="Arial" w:cs="Arial"/>
            <w:sz w:val="22"/>
            <w:szCs w:val="22"/>
          </w:rPr>
          <w:t>https://www.nice.org.uk/guidance/cg113</w:t>
        </w:r>
      </w:hyperlink>
      <w:r w:rsidRPr="00B939F8">
        <w:rPr>
          <w:rFonts w:ascii="Arial" w:hAnsi="Arial" w:cs="Arial"/>
          <w:sz w:val="22"/>
          <w:szCs w:val="22"/>
        </w:rPr>
        <w:t xml:space="preserve"> (Accessed: 9 March 2026).</w:t>
      </w:r>
    </w:p>
    <w:p w14:paraId="62A7E583"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Page, M.J., McKenzie, J.E., Bossuyt, P.M., </w:t>
      </w:r>
      <w:proofErr w:type="spellStart"/>
      <w:r w:rsidRPr="00B939F8">
        <w:rPr>
          <w:rFonts w:ascii="Arial" w:hAnsi="Arial" w:cs="Arial"/>
          <w:sz w:val="22"/>
          <w:szCs w:val="22"/>
        </w:rPr>
        <w:t>Boutron</w:t>
      </w:r>
      <w:proofErr w:type="spellEnd"/>
      <w:r w:rsidRPr="00B939F8">
        <w:rPr>
          <w:rFonts w:ascii="Arial" w:hAnsi="Arial" w:cs="Arial"/>
          <w:sz w:val="22"/>
          <w:szCs w:val="22"/>
        </w:rPr>
        <w:t xml:space="preserve">, I., Hoffmann, T.C., Mulrow, C.D., </w:t>
      </w:r>
      <w:proofErr w:type="spellStart"/>
      <w:r w:rsidRPr="00B939F8">
        <w:rPr>
          <w:rFonts w:ascii="Arial" w:hAnsi="Arial" w:cs="Arial"/>
          <w:sz w:val="22"/>
          <w:szCs w:val="22"/>
        </w:rPr>
        <w:t>Shamseer</w:t>
      </w:r>
      <w:proofErr w:type="spellEnd"/>
      <w:r w:rsidRPr="00B939F8">
        <w:rPr>
          <w:rFonts w:ascii="Arial" w:hAnsi="Arial" w:cs="Arial"/>
          <w:sz w:val="22"/>
          <w:szCs w:val="22"/>
        </w:rPr>
        <w:t xml:space="preserve">, L., Tetzlaff, J.M., Akl, E.A., Brennan, S.E., Chou, R., Glanville, J., Grimshaw, J.M., Hróbjartsson, A., Lalu, M.M., Li, T., Loder, E.W., Mayo-Wilson, E., McDonald, S., McGuinness, L.A., Stewart, L.A., Thomas, J., </w:t>
      </w:r>
      <w:proofErr w:type="spellStart"/>
      <w:r w:rsidRPr="00B939F8">
        <w:rPr>
          <w:rFonts w:ascii="Arial" w:hAnsi="Arial" w:cs="Arial"/>
          <w:sz w:val="22"/>
          <w:szCs w:val="22"/>
        </w:rPr>
        <w:t>Tricco</w:t>
      </w:r>
      <w:proofErr w:type="spellEnd"/>
      <w:r w:rsidRPr="00B939F8">
        <w:rPr>
          <w:rFonts w:ascii="Arial" w:hAnsi="Arial" w:cs="Arial"/>
          <w:sz w:val="22"/>
          <w:szCs w:val="22"/>
        </w:rPr>
        <w:t xml:space="preserve">, A.C., Welch, V.A., Whiting, P. and Moher, D. (2021) ‘The PRISMA 2020 statement: An updated guideline for reporting </w:t>
      </w:r>
      <w:r w:rsidRPr="00B939F8">
        <w:rPr>
          <w:rFonts w:ascii="Arial" w:hAnsi="Arial" w:cs="Arial"/>
          <w:sz w:val="22"/>
          <w:szCs w:val="22"/>
        </w:rPr>
        <w:lastRenderedPageBreak/>
        <w:t xml:space="preserve">systematic reviews’, </w:t>
      </w:r>
      <w:r w:rsidRPr="00B939F8">
        <w:rPr>
          <w:rFonts w:ascii="Arial" w:hAnsi="Arial" w:cs="Arial"/>
          <w:i/>
          <w:iCs/>
          <w:sz w:val="22"/>
          <w:szCs w:val="22"/>
        </w:rPr>
        <w:t>BMJ</w:t>
      </w:r>
      <w:r w:rsidRPr="00B939F8">
        <w:rPr>
          <w:rFonts w:ascii="Arial" w:hAnsi="Arial" w:cs="Arial"/>
          <w:sz w:val="22"/>
          <w:szCs w:val="22"/>
        </w:rPr>
        <w:t xml:space="preserve">, 372, n71. Available at: </w:t>
      </w:r>
      <w:hyperlink r:id="rId24" w:tgtFrame="_new" w:history="1">
        <w:r w:rsidRPr="00B939F8">
          <w:rPr>
            <w:rStyle w:val="Hyperlink"/>
            <w:rFonts w:ascii="Arial" w:hAnsi="Arial" w:cs="Arial"/>
            <w:sz w:val="22"/>
            <w:szCs w:val="22"/>
          </w:rPr>
          <w:t>https://www.bmj.com/content/372/bmj.n71</w:t>
        </w:r>
      </w:hyperlink>
      <w:r w:rsidRPr="00B939F8">
        <w:rPr>
          <w:rFonts w:ascii="Arial" w:hAnsi="Arial" w:cs="Arial"/>
          <w:sz w:val="22"/>
          <w:szCs w:val="22"/>
        </w:rPr>
        <w:t xml:space="preserve"> (Accessed: 10 March 2026).</w:t>
      </w:r>
    </w:p>
    <w:p w14:paraId="5E1CAC47"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Peters, M.D.J., Marnie, C., </w:t>
      </w:r>
      <w:proofErr w:type="spellStart"/>
      <w:r w:rsidRPr="00B939F8">
        <w:rPr>
          <w:rFonts w:ascii="Arial" w:hAnsi="Arial" w:cs="Arial"/>
          <w:sz w:val="22"/>
          <w:szCs w:val="22"/>
        </w:rPr>
        <w:t>Tricco</w:t>
      </w:r>
      <w:proofErr w:type="spellEnd"/>
      <w:r w:rsidRPr="00B939F8">
        <w:rPr>
          <w:rFonts w:ascii="Arial" w:hAnsi="Arial" w:cs="Arial"/>
          <w:sz w:val="22"/>
          <w:szCs w:val="22"/>
        </w:rPr>
        <w:t xml:space="preserve">, A.C., Pollock, D., Munn, Z., Alexander, L., McInerney, P., Godfrey, C.M. and Khalil, H. (2020) ‘Updated methodological guidance for the conduct of scoping reviews’, </w:t>
      </w:r>
      <w:r w:rsidRPr="00B939F8">
        <w:rPr>
          <w:rFonts w:ascii="Arial" w:hAnsi="Arial" w:cs="Arial"/>
          <w:i/>
          <w:iCs/>
          <w:sz w:val="22"/>
          <w:szCs w:val="22"/>
        </w:rPr>
        <w:t>JBI Evidence Synthesis</w:t>
      </w:r>
      <w:r w:rsidRPr="00B939F8">
        <w:rPr>
          <w:rFonts w:ascii="Arial" w:hAnsi="Arial" w:cs="Arial"/>
          <w:sz w:val="22"/>
          <w:szCs w:val="22"/>
        </w:rPr>
        <w:t xml:space="preserve">, 18(10), pp. 2119–2126. Available at: </w:t>
      </w:r>
      <w:hyperlink r:id="rId25" w:tgtFrame="_new" w:history="1">
        <w:r w:rsidRPr="00B939F8">
          <w:rPr>
            <w:rStyle w:val="Hyperlink"/>
            <w:rFonts w:ascii="Arial" w:hAnsi="Arial" w:cs="Arial"/>
            <w:sz w:val="22"/>
            <w:szCs w:val="22"/>
          </w:rPr>
          <w:t>https://journals.lww.com/jbisrir/fulltext/2020/10000/updated_methodological_guidance_for_the_conduct_of.4.aspx</w:t>
        </w:r>
      </w:hyperlink>
      <w:r w:rsidRPr="00B939F8">
        <w:rPr>
          <w:rFonts w:ascii="Arial" w:hAnsi="Arial" w:cs="Arial"/>
          <w:sz w:val="22"/>
          <w:szCs w:val="22"/>
        </w:rPr>
        <w:t xml:space="preserve"> (Accessed: 2 March 2026).</w:t>
      </w:r>
    </w:p>
    <w:p w14:paraId="0D0A09E5"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Rethink Mental Illness (2024) </w:t>
      </w:r>
      <w:r w:rsidRPr="00B939F8">
        <w:rPr>
          <w:rFonts w:ascii="Arial" w:hAnsi="Arial" w:cs="Arial"/>
          <w:i/>
          <w:iCs/>
          <w:sz w:val="22"/>
          <w:szCs w:val="22"/>
        </w:rPr>
        <w:t>The hidden toll of CAMHS waiting lists on young people’s mental health</w:t>
      </w:r>
      <w:r w:rsidRPr="00B939F8">
        <w:rPr>
          <w:rFonts w:ascii="Arial" w:hAnsi="Arial" w:cs="Arial"/>
          <w:sz w:val="22"/>
          <w:szCs w:val="22"/>
        </w:rPr>
        <w:t xml:space="preserve">. Available at: </w:t>
      </w:r>
      <w:hyperlink r:id="rId26" w:tgtFrame="_new" w:history="1">
        <w:r w:rsidRPr="00B939F8">
          <w:rPr>
            <w:rStyle w:val="Hyperlink"/>
            <w:rFonts w:ascii="Arial" w:hAnsi="Arial" w:cs="Arial"/>
            <w:sz w:val="22"/>
            <w:szCs w:val="22"/>
          </w:rPr>
          <w:t>https://www.rethink.org/news-and-stories/news-and-views/2024/the-hidden-toll-of-camhs-waiting-lists-on-young-people-s-mental-health/</w:t>
        </w:r>
      </w:hyperlink>
      <w:r w:rsidRPr="00B939F8">
        <w:rPr>
          <w:rFonts w:ascii="Arial" w:hAnsi="Arial" w:cs="Arial"/>
          <w:sz w:val="22"/>
          <w:szCs w:val="22"/>
        </w:rPr>
        <w:t xml:space="preserve"> (Accessed: 4 March 2026).</w:t>
      </w:r>
    </w:p>
    <w:p w14:paraId="552A5175"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Rodger, D. (2024) ‘What is a scoping review?’, </w:t>
      </w:r>
      <w:r w:rsidRPr="00B939F8">
        <w:rPr>
          <w:rFonts w:ascii="Arial" w:hAnsi="Arial" w:cs="Arial"/>
          <w:i/>
          <w:iCs/>
          <w:sz w:val="22"/>
          <w:szCs w:val="22"/>
        </w:rPr>
        <w:t>Evidence-Based Nursing</w:t>
      </w:r>
      <w:r w:rsidRPr="00B939F8">
        <w:rPr>
          <w:rFonts w:ascii="Arial" w:hAnsi="Arial" w:cs="Arial"/>
          <w:sz w:val="22"/>
          <w:szCs w:val="22"/>
        </w:rPr>
        <w:t xml:space="preserve">, 27(3), pp. 84–86. Available at: </w:t>
      </w:r>
      <w:hyperlink r:id="rId27" w:tgtFrame="_new" w:history="1">
        <w:r w:rsidRPr="00B939F8">
          <w:rPr>
            <w:rStyle w:val="Hyperlink"/>
            <w:rFonts w:ascii="Arial" w:hAnsi="Arial" w:cs="Arial"/>
            <w:sz w:val="22"/>
            <w:szCs w:val="22"/>
          </w:rPr>
          <w:t>https://ebn.bmj.com/content/27/3/84</w:t>
        </w:r>
      </w:hyperlink>
      <w:r w:rsidRPr="00B939F8">
        <w:rPr>
          <w:rFonts w:ascii="Arial" w:hAnsi="Arial" w:cs="Arial"/>
          <w:sz w:val="22"/>
          <w:szCs w:val="22"/>
        </w:rPr>
        <w:t xml:space="preserve"> (Accessed: 7 March 2026).</w:t>
      </w:r>
    </w:p>
    <w:p w14:paraId="5383E958"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Royal College of Psychiatrists (2024) </w:t>
      </w:r>
      <w:r w:rsidRPr="00B939F8">
        <w:rPr>
          <w:rFonts w:ascii="Arial" w:hAnsi="Arial" w:cs="Arial"/>
          <w:i/>
          <w:iCs/>
          <w:sz w:val="22"/>
          <w:szCs w:val="22"/>
        </w:rPr>
        <w:t>Children’s mental health crisis deepens: Severe shortage of psychiatrists to meet growing demand</w:t>
      </w:r>
      <w:r w:rsidRPr="00B939F8">
        <w:rPr>
          <w:rFonts w:ascii="Arial" w:hAnsi="Arial" w:cs="Arial"/>
          <w:sz w:val="22"/>
          <w:szCs w:val="22"/>
        </w:rPr>
        <w:t xml:space="preserve">. Available at: </w:t>
      </w:r>
      <w:hyperlink r:id="rId28" w:tgtFrame="_new" w:history="1">
        <w:r w:rsidRPr="00B939F8">
          <w:rPr>
            <w:rStyle w:val="Hyperlink"/>
            <w:rFonts w:ascii="Arial" w:hAnsi="Arial" w:cs="Arial"/>
            <w:sz w:val="22"/>
            <w:szCs w:val="22"/>
          </w:rPr>
          <w:t>https://www.rcpsych.ac.uk/news-and-features/latest-news/detail/2024/11/28/children-s-mental-health-crisis-deepens--severe-shortage-of-psychiatrists-to-meet-growing-demand</w:t>
        </w:r>
      </w:hyperlink>
      <w:r w:rsidRPr="00B939F8">
        <w:rPr>
          <w:rFonts w:ascii="Arial" w:hAnsi="Arial" w:cs="Arial"/>
          <w:sz w:val="22"/>
          <w:szCs w:val="22"/>
        </w:rPr>
        <w:t xml:space="preserve"> (Accessed: 3 March 2026).</w:t>
      </w:r>
    </w:p>
    <w:p w14:paraId="069BA7C5" w14:textId="77777777" w:rsidR="007114E1" w:rsidRPr="00B939F8" w:rsidRDefault="007114E1" w:rsidP="007114E1">
      <w:pPr>
        <w:spacing w:line="360" w:lineRule="auto"/>
        <w:rPr>
          <w:rFonts w:ascii="Arial" w:hAnsi="Arial" w:cs="Arial"/>
          <w:sz w:val="22"/>
          <w:szCs w:val="22"/>
        </w:rPr>
      </w:pPr>
      <w:r w:rsidRPr="00B939F8">
        <w:rPr>
          <w:rFonts w:ascii="Arial" w:hAnsi="Arial" w:cs="Arial"/>
          <w:sz w:val="22"/>
          <w:szCs w:val="22"/>
        </w:rPr>
        <w:t xml:space="preserve">Sawyer, S.M., Afifi, R.A., Bearinger, L.H., Blakemore, S.J., Dick, B., Ezeh, A.C. and Patton, G.C. (2012) ‘Adolescence: A foundation for future health’, </w:t>
      </w:r>
      <w:r w:rsidRPr="00B939F8">
        <w:rPr>
          <w:rFonts w:ascii="Arial" w:hAnsi="Arial" w:cs="Arial"/>
          <w:i/>
          <w:iCs/>
          <w:sz w:val="22"/>
          <w:szCs w:val="22"/>
        </w:rPr>
        <w:t>The Lancet</w:t>
      </w:r>
      <w:r w:rsidRPr="00B939F8">
        <w:rPr>
          <w:rFonts w:ascii="Arial" w:hAnsi="Arial" w:cs="Arial"/>
          <w:sz w:val="22"/>
          <w:szCs w:val="22"/>
        </w:rPr>
        <w:t xml:space="preserve">, 379(9826), pp. 1630–1640. Available at: </w:t>
      </w:r>
      <w:hyperlink r:id="rId29" w:tgtFrame="_new" w:history="1">
        <w:r w:rsidRPr="00B939F8">
          <w:rPr>
            <w:rStyle w:val="Hyperlink"/>
            <w:rFonts w:ascii="Arial" w:hAnsi="Arial" w:cs="Arial"/>
            <w:sz w:val="22"/>
            <w:szCs w:val="22"/>
          </w:rPr>
          <w:t>https://www.sciencedirect.com/science/article/abs/pii/S0140673612600725</w:t>
        </w:r>
      </w:hyperlink>
      <w:r w:rsidRPr="00B939F8">
        <w:rPr>
          <w:rFonts w:ascii="Arial" w:hAnsi="Arial" w:cs="Arial"/>
          <w:sz w:val="22"/>
          <w:szCs w:val="22"/>
        </w:rPr>
        <w:t xml:space="preserve"> (Accessed: 6 March 2026).</w:t>
      </w:r>
    </w:p>
    <w:p w14:paraId="1C7FD908" w14:textId="77777777" w:rsidR="007114E1" w:rsidRPr="00B939F8" w:rsidRDefault="007114E1" w:rsidP="007114E1">
      <w:pPr>
        <w:spacing w:line="360" w:lineRule="auto"/>
        <w:rPr>
          <w:rFonts w:ascii="Arial" w:hAnsi="Arial" w:cs="Arial"/>
          <w:sz w:val="22"/>
          <w:szCs w:val="22"/>
        </w:rPr>
      </w:pPr>
      <w:proofErr w:type="spellStart"/>
      <w:r w:rsidRPr="00B939F8">
        <w:rPr>
          <w:rFonts w:ascii="Arial" w:hAnsi="Arial" w:cs="Arial"/>
          <w:sz w:val="22"/>
          <w:szCs w:val="22"/>
        </w:rPr>
        <w:t>Steare</w:t>
      </w:r>
      <w:proofErr w:type="spellEnd"/>
      <w:r w:rsidRPr="00B939F8">
        <w:rPr>
          <w:rFonts w:ascii="Arial" w:hAnsi="Arial" w:cs="Arial"/>
          <w:sz w:val="22"/>
          <w:szCs w:val="22"/>
        </w:rPr>
        <w:t xml:space="preserve">, T., Deighton, J., Jones, R. and </w:t>
      </w:r>
      <w:proofErr w:type="spellStart"/>
      <w:r w:rsidRPr="00B939F8">
        <w:rPr>
          <w:rFonts w:ascii="Arial" w:hAnsi="Arial" w:cs="Arial"/>
          <w:sz w:val="22"/>
          <w:szCs w:val="22"/>
        </w:rPr>
        <w:t>Patalay</w:t>
      </w:r>
      <w:proofErr w:type="spellEnd"/>
      <w:r w:rsidRPr="00B939F8">
        <w:rPr>
          <w:rFonts w:ascii="Arial" w:hAnsi="Arial" w:cs="Arial"/>
          <w:sz w:val="22"/>
          <w:szCs w:val="22"/>
        </w:rPr>
        <w:t xml:space="preserve">, P. (2023) </w:t>
      </w:r>
      <w:r w:rsidRPr="00B939F8">
        <w:rPr>
          <w:rFonts w:ascii="Arial" w:hAnsi="Arial" w:cs="Arial"/>
          <w:i/>
          <w:iCs/>
          <w:sz w:val="22"/>
          <w:szCs w:val="22"/>
        </w:rPr>
        <w:t>Link found between academic pressure and mental health problems in adolescence</w:t>
      </w:r>
      <w:r w:rsidRPr="00B939F8">
        <w:rPr>
          <w:rFonts w:ascii="Arial" w:hAnsi="Arial" w:cs="Arial"/>
          <w:sz w:val="22"/>
          <w:szCs w:val="22"/>
        </w:rPr>
        <w:t xml:space="preserve">. London: University College London. Available at: </w:t>
      </w:r>
      <w:hyperlink r:id="rId30" w:tgtFrame="_new" w:history="1">
        <w:r w:rsidRPr="00B939F8">
          <w:rPr>
            <w:rStyle w:val="Hyperlink"/>
            <w:rFonts w:ascii="Arial" w:hAnsi="Arial" w:cs="Arial"/>
            <w:sz w:val="22"/>
            <w:szCs w:val="22"/>
          </w:rPr>
          <w:t>https://www.ucl.ac.uk/news/2023/aug/link-found-between-academic-pressure-and-mental-health-problems-adolescence</w:t>
        </w:r>
      </w:hyperlink>
      <w:r w:rsidRPr="00B939F8">
        <w:rPr>
          <w:rFonts w:ascii="Arial" w:hAnsi="Arial" w:cs="Arial"/>
          <w:sz w:val="22"/>
          <w:szCs w:val="22"/>
        </w:rPr>
        <w:t xml:space="preserve"> (Accessed: 8 March 2026).</w:t>
      </w:r>
    </w:p>
    <w:p w14:paraId="4C435171" w14:textId="77777777" w:rsidR="007114E1" w:rsidRPr="007114E1" w:rsidRDefault="007114E1" w:rsidP="007114E1">
      <w:pPr>
        <w:spacing w:line="360" w:lineRule="auto"/>
        <w:rPr>
          <w:rFonts w:ascii="Arial" w:hAnsi="Arial"/>
        </w:rPr>
      </w:pPr>
    </w:p>
    <w:sectPr w:rsidR="007114E1" w:rsidRPr="007114E1" w:rsidSect="006367EB">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D55CB5" w14:textId="77777777" w:rsidR="003A3374" w:rsidRDefault="003A3374" w:rsidP="006964ED">
      <w:pPr>
        <w:spacing w:after="0" w:line="240" w:lineRule="auto"/>
      </w:pPr>
      <w:r>
        <w:separator/>
      </w:r>
    </w:p>
  </w:endnote>
  <w:endnote w:type="continuationSeparator" w:id="0">
    <w:p w14:paraId="6A2A543C" w14:textId="77777777" w:rsidR="003A3374" w:rsidRDefault="003A3374" w:rsidP="00696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8182059"/>
      <w:docPartObj>
        <w:docPartGallery w:val="Page Numbers (Bottom of Page)"/>
        <w:docPartUnique/>
      </w:docPartObj>
    </w:sdtPr>
    <w:sdtEndPr>
      <w:rPr>
        <w:noProof/>
      </w:rPr>
    </w:sdtEndPr>
    <w:sdtContent>
      <w:p w14:paraId="59C4DCBB" w14:textId="6A8B220B" w:rsidR="006964ED" w:rsidRDefault="006964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2BC4EE" w14:textId="77777777" w:rsidR="006964ED" w:rsidRDefault="00696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DD7E89" w14:textId="77777777" w:rsidR="003A3374" w:rsidRDefault="003A3374" w:rsidP="006964ED">
      <w:pPr>
        <w:spacing w:after="0" w:line="240" w:lineRule="auto"/>
      </w:pPr>
      <w:r>
        <w:separator/>
      </w:r>
    </w:p>
  </w:footnote>
  <w:footnote w:type="continuationSeparator" w:id="0">
    <w:p w14:paraId="29C70951" w14:textId="77777777" w:rsidR="003A3374" w:rsidRDefault="003A3374" w:rsidP="00696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F5735"/>
    <w:multiLevelType w:val="multilevel"/>
    <w:tmpl w:val="8AA45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476F43"/>
    <w:multiLevelType w:val="multilevel"/>
    <w:tmpl w:val="3E0008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1423462">
    <w:abstractNumId w:val="0"/>
  </w:num>
  <w:num w:numId="2" w16cid:durableId="2417174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93D"/>
    <w:rsid w:val="00041E3D"/>
    <w:rsid w:val="0007721D"/>
    <w:rsid w:val="000E0FB7"/>
    <w:rsid w:val="00100950"/>
    <w:rsid w:val="0014015F"/>
    <w:rsid w:val="00143999"/>
    <w:rsid w:val="0022639D"/>
    <w:rsid w:val="003076FD"/>
    <w:rsid w:val="00321EE7"/>
    <w:rsid w:val="00344938"/>
    <w:rsid w:val="0037720E"/>
    <w:rsid w:val="00380221"/>
    <w:rsid w:val="003A3374"/>
    <w:rsid w:val="003B5902"/>
    <w:rsid w:val="003C1B29"/>
    <w:rsid w:val="003E2E4A"/>
    <w:rsid w:val="00400F77"/>
    <w:rsid w:val="00404839"/>
    <w:rsid w:val="0052074B"/>
    <w:rsid w:val="00531BB7"/>
    <w:rsid w:val="005406DF"/>
    <w:rsid w:val="0054336C"/>
    <w:rsid w:val="005E55ED"/>
    <w:rsid w:val="005F2295"/>
    <w:rsid w:val="006367EB"/>
    <w:rsid w:val="00680A84"/>
    <w:rsid w:val="006830BF"/>
    <w:rsid w:val="006964ED"/>
    <w:rsid w:val="006C007F"/>
    <w:rsid w:val="007114E1"/>
    <w:rsid w:val="00735502"/>
    <w:rsid w:val="00747A80"/>
    <w:rsid w:val="00747E27"/>
    <w:rsid w:val="007677A2"/>
    <w:rsid w:val="00796B3D"/>
    <w:rsid w:val="007E6DDB"/>
    <w:rsid w:val="008F17E4"/>
    <w:rsid w:val="009001F8"/>
    <w:rsid w:val="009704B3"/>
    <w:rsid w:val="00997985"/>
    <w:rsid w:val="009D5135"/>
    <w:rsid w:val="009F493D"/>
    <w:rsid w:val="00A1751D"/>
    <w:rsid w:val="00A3435D"/>
    <w:rsid w:val="00A75937"/>
    <w:rsid w:val="00A77BED"/>
    <w:rsid w:val="00AB0214"/>
    <w:rsid w:val="00B060AC"/>
    <w:rsid w:val="00B113BD"/>
    <w:rsid w:val="00B939F8"/>
    <w:rsid w:val="00BA1F67"/>
    <w:rsid w:val="00BC263B"/>
    <w:rsid w:val="00BC5236"/>
    <w:rsid w:val="00BF2AE6"/>
    <w:rsid w:val="00C25089"/>
    <w:rsid w:val="00CA0699"/>
    <w:rsid w:val="00CA2FE6"/>
    <w:rsid w:val="00CF55C0"/>
    <w:rsid w:val="00D02D30"/>
    <w:rsid w:val="00E411F9"/>
    <w:rsid w:val="00E431E8"/>
    <w:rsid w:val="00E50FA1"/>
    <w:rsid w:val="00E706E1"/>
    <w:rsid w:val="00E714D2"/>
    <w:rsid w:val="00EA7671"/>
    <w:rsid w:val="00EB4154"/>
    <w:rsid w:val="00EF3026"/>
    <w:rsid w:val="00F327A9"/>
    <w:rsid w:val="00F97EA5"/>
    <w:rsid w:val="00FB0BA7"/>
    <w:rsid w:val="0E1CF620"/>
    <w:rsid w:val="1ACA9FBA"/>
    <w:rsid w:val="2B66F32A"/>
    <w:rsid w:val="335EC85C"/>
    <w:rsid w:val="456087C7"/>
    <w:rsid w:val="5AAC8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E2B1F"/>
  <w15:chartTrackingRefBased/>
  <w15:docId w15:val="{E5CE2DAC-FF47-4585-BF38-B9426504C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9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49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49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49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49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49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49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49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49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9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49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49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49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49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49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49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49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493D"/>
    <w:rPr>
      <w:rFonts w:eastAsiaTheme="majorEastAsia" w:cstheme="majorBidi"/>
      <w:color w:val="272727" w:themeColor="text1" w:themeTint="D8"/>
    </w:rPr>
  </w:style>
  <w:style w:type="paragraph" w:styleId="Title">
    <w:name w:val="Title"/>
    <w:basedOn w:val="Normal"/>
    <w:next w:val="Normal"/>
    <w:link w:val="TitleChar"/>
    <w:uiPriority w:val="10"/>
    <w:qFormat/>
    <w:rsid w:val="009F49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49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49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49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493D"/>
    <w:pPr>
      <w:spacing w:before="160"/>
      <w:jc w:val="center"/>
    </w:pPr>
    <w:rPr>
      <w:i/>
      <w:iCs/>
      <w:color w:val="404040" w:themeColor="text1" w:themeTint="BF"/>
    </w:rPr>
  </w:style>
  <w:style w:type="character" w:customStyle="1" w:styleId="QuoteChar">
    <w:name w:val="Quote Char"/>
    <w:basedOn w:val="DefaultParagraphFont"/>
    <w:link w:val="Quote"/>
    <w:uiPriority w:val="29"/>
    <w:rsid w:val="009F493D"/>
    <w:rPr>
      <w:i/>
      <w:iCs/>
      <w:color w:val="404040" w:themeColor="text1" w:themeTint="BF"/>
    </w:rPr>
  </w:style>
  <w:style w:type="paragraph" w:styleId="ListParagraph">
    <w:name w:val="List Paragraph"/>
    <w:basedOn w:val="Normal"/>
    <w:uiPriority w:val="34"/>
    <w:qFormat/>
    <w:rsid w:val="009F493D"/>
    <w:pPr>
      <w:ind w:left="720"/>
      <w:contextualSpacing/>
    </w:pPr>
  </w:style>
  <w:style w:type="character" w:styleId="IntenseEmphasis">
    <w:name w:val="Intense Emphasis"/>
    <w:basedOn w:val="DefaultParagraphFont"/>
    <w:uiPriority w:val="21"/>
    <w:qFormat/>
    <w:rsid w:val="009F493D"/>
    <w:rPr>
      <w:i/>
      <w:iCs/>
      <w:color w:val="0F4761" w:themeColor="accent1" w:themeShade="BF"/>
    </w:rPr>
  </w:style>
  <w:style w:type="paragraph" w:styleId="IntenseQuote">
    <w:name w:val="Intense Quote"/>
    <w:basedOn w:val="Normal"/>
    <w:next w:val="Normal"/>
    <w:link w:val="IntenseQuoteChar"/>
    <w:uiPriority w:val="30"/>
    <w:qFormat/>
    <w:rsid w:val="009F49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493D"/>
    <w:rPr>
      <w:i/>
      <w:iCs/>
      <w:color w:val="0F4761" w:themeColor="accent1" w:themeShade="BF"/>
    </w:rPr>
  </w:style>
  <w:style w:type="character" w:styleId="IntenseReference">
    <w:name w:val="Intense Reference"/>
    <w:basedOn w:val="DefaultParagraphFont"/>
    <w:uiPriority w:val="32"/>
    <w:qFormat/>
    <w:rsid w:val="009F493D"/>
    <w:rPr>
      <w:b/>
      <w:bCs/>
      <w:smallCaps/>
      <w:color w:val="0F4761" w:themeColor="accent1" w:themeShade="BF"/>
      <w:spacing w:val="5"/>
    </w:rPr>
  </w:style>
  <w:style w:type="character" w:styleId="Hyperlink">
    <w:name w:val="Hyperlink"/>
    <w:basedOn w:val="DefaultParagraphFont"/>
    <w:uiPriority w:val="99"/>
    <w:unhideWhenUsed/>
    <w:rsid w:val="00400F77"/>
    <w:rPr>
      <w:color w:val="467886" w:themeColor="hyperlink"/>
      <w:u w:val="single"/>
    </w:rPr>
  </w:style>
  <w:style w:type="character" w:styleId="UnresolvedMention">
    <w:name w:val="Unresolved Mention"/>
    <w:basedOn w:val="DefaultParagraphFont"/>
    <w:uiPriority w:val="99"/>
    <w:semiHidden/>
    <w:unhideWhenUsed/>
    <w:rsid w:val="00400F77"/>
    <w:rPr>
      <w:color w:val="605E5C"/>
      <w:shd w:val="clear" w:color="auto" w:fill="E1DFDD"/>
    </w:rPr>
  </w:style>
  <w:style w:type="table" w:styleId="GridTable4-Accent5">
    <w:name w:val="Grid Table 4 Accent 5"/>
    <w:basedOn w:val="TableNormal"/>
    <w:uiPriority w:val="49"/>
    <w:rsid w:val="00F327A9"/>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5Dark-Accent3">
    <w:name w:val="Grid Table 5 Dark Accent 3"/>
    <w:basedOn w:val="TableNormal"/>
    <w:uiPriority w:val="50"/>
    <w:rsid w:val="00F327A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paragraph" w:styleId="Header">
    <w:name w:val="header"/>
    <w:basedOn w:val="Normal"/>
    <w:link w:val="HeaderChar"/>
    <w:uiPriority w:val="99"/>
    <w:unhideWhenUsed/>
    <w:rsid w:val="00696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4ED"/>
  </w:style>
  <w:style w:type="paragraph" w:styleId="Footer">
    <w:name w:val="footer"/>
    <w:basedOn w:val="Normal"/>
    <w:link w:val="FooterChar"/>
    <w:uiPriority w:val="99"/>
    <w:unhideWhenUsed/>
    <w:rsid w:val="00696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4ED"/>
  </w:style>
  <w:style w:type="character" w:styleId="FollowedHyperlink">
    <w:name w:val="FollowedHyperlink"/>
    <w:basedOn w:val="DefaultParagraphFont"/>
    <w:uiPriority w:val="99"/>
    <w:semiHidden/>
    <w:unhideWhenUsed/>
    <w:rsid w:val="000E0FB7"/>
    <w:rPr>
      <w:color w:val="96607D" w:themeColor="followedHyperlink"/>
      <w:u w:val="single"/>
    </w:rPr>
  </w:style>
  <w:style w:type="paragraph" w:styleId="NoSpacing">
    <w:name w:val="No Spacing"/>
    <w:link w:val="NoSpacingChar"/>
    <w:uiPriority w:val="1"/>
    <w:qFormat/>
    <w:rsid w:val="006367E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367EB"/>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31887/DCNS.2022.24.1/bandelow" TargetMode="External"/><Relationship Id="rId18" Type="http://schemas.openxmlformats.org/officeDocument/2006/relationships/hyperlink" Target="https://onlinelibrary.wiley.com/doi/10.1002/cl2.1230" TargetMode="External"/><Relationship Id="rId26" Type="http://schemas.openxmlformats.org/officeDocument/2006/relationships/hyperlink" Target="https://www.rethink.org/news-and-stories/news-and-views/2024/the-hidden-toll-of-camhs-waiting-lists-on-young-people-s-mental-health/" TargetMode="External"/><Relationship Id="rId3" Type="http://schemas.openxmlformats.org/officeDocument/2006/relationships/styles" Target="styles.xml"/><Relationship Id="rId21" Type="http://schemas.openxmlformats.org/officeDocument/2006/relationships/hyperlink" Target="https://digital.nhs.uk/data-and-information/publications/statistical/mental-health-of-children-and-young-people-in-england" TargetMode="External"/><Relationship Id="rId7" Type="http://schemas.openxmlformats.org/officeDocument/2006/relationships/endnotes" Target="endnotes.xml"/><Relationship Id="rId12" Type="http://schemas.openxmlformats.org/officeDocument/2006/relationships/hyperlink" Target="https://study.sagepub.com/booth3e" TargetMode="External"/><Relationship Id="rId17" Type="http://schemas.openxmlformats.org/officeDocument/2006/relationships/hyperlink" Target="https://doi.org/10.1111/camh.12612" TargetMode="External"/><Relationship Id="rId25" Type="http://schemas.openxmlformats.org/officeDocument/2006/relationships/hyperlink" Target="https://journals.lww.com/jbisrir/fulltext/2020/10000/updated_methodological_guidance_for_the_conduct_of.4.aspx"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ubmed.ncbi.nlm.nih.gov/31960440/" TargetMode="External"/><Relationship Id="rId20" Type="http://schemas.openxmlformats.org/officeDocument/2006/relationships/hyperlink" Target="https://journals.lww.com/jbisrir/fulltext/2022/04000/what_are_scoping_reviews__providing_a_formal.2.aspx" TargetMode="External"/><Relationship Id="rId29" Type="http://schemas.openxmlformats.org/officeDocument/2006/relationships/hyperlink" Target="https://www.sciencedirect.com/science/article/abs/pii/S01406736126007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abs/10.1080/1364557032000119616" TargetMode="External"/><Relationship Id="rId24" Type="http://schemas.openxmlformats.org/officeDocument/2006/relationships/hyperlink" Target="https://www.bmj.com/content/372/bmj.n71"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hildrenscommissioner.gov.uk/blog/childrens-commissioner-responds-to-new-figures-on-children-referred-to-mental-health-support-for-anxiety/" TargetMode="External"/><Relationship Id="rId23" Type="http://schemas.openxmlformats.org/officeDocument/2006/relationships/hyperlink" Target="https://www.nice.org.uk/guidance/cg113" TargetMode="External"/><Relationship Id="rId28" Type="http://schemas.openxmlformats.org/officeDocument/2006/relationships/hyperlink" Target="https://www.rcpsych.ac.uk/news-and-features/latest-news/detail/2024/11/28/children-s-mental-health-crisis-deepens--severe-shortage-of-psychiatrists-to-meet-growing-demand" TargetMode="External"/><Relationship Id="rId10" Type="http://schemas.openxmlformats.org/officeDocument/2006/relationships/hyperlink" Target="https://jbi-global-wiki.refined.site/space/MANUAL" TargetMode="External"/><Relationship Id="rId19" Type="http://schemas.openxmlformats.org/officeDocument/2006/relationships/hyperlink" Target="https://pmc.ncbi.nlm.nih.gov/articles/PMC7267797/"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psychiatry.org/psychiatrists/practice/dsm" TargetMode="External"/><Relationship Id="rId14" Type="http://schemas.openxmlformats.org/officeDocument/2006/relationships/hyperlink" Target="https://www.bps.org.uk/guideline/code-ethics-and-conduct" TargetMode="External"/><Relationship Id="rId22" Type="http://schemas.openxmlformats.org/officeDocument/2006/relationships/hyperlink" Target="https://digital.nhs.uk/data-and-information/publications/statistical/mental-health-of-children-and-young-people-in-england/2023-wave-4-follow-up" TargetMode="External"/><Relationship Id="rId27" Type="http://schemas.openxmlformats.org/officeDocument/2006/relationships/hyperlink" Target="https://ebn.bmj.com/content/27/3/84" TargetMode="External"/><Relationship Id="rId30" Type="http://schemas.openxmlformats.org/officeDocument/2006/relationships/hyperlink" Target="https://www.ucl.ac.uk/news/2023/aug/link-found-between-academic-pressure-and-mental-health-problems-adolescence"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Student No. 2323581</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5701</Words>
  <Characters>32500</Characters>
  <Application>Microsoft Office Word</Application>
  <DocSecurity>0</DocSecurity>
  <Lines>270</Lines>
  <Paragraphs>76</Paragraphs>
  <ScaleCrop>false</ScaleCrop>
  <Company/>
  <LinksUpToDate>false</LinksUpToDate>
  <CharactersWithSpaces>38125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Research Report</dc:title>
  <dc:subject/>
  <dc:creator>Lecturer: Dr. Rizwan Nadim</dc:creator>
  <cp:keywords/>
  <dc:description/>
  <cp:lastModifiedBy>Samina Javed (2323581)</cp:lastModifiedBy>
  <cp:revision>36</cp:revision>
  <dcterms:created xsi:type="dcterms:W3CDTF">2026-03-05T23:40:00Z</dcterms:created>
  <dcterms:modified xsi:type="dcterms:W3CDTF">2026-03-30T20:38:00Z</dcterms:modified>
</cp:coreProperties>
</file>