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B66302" w14:textId="7A660D0D" w:rsidR="00E74494" w:rsidRDefault="002D41EF">
      <w:r>
        <w:t xml:space="preserve">This chapter analyses </w:t>
      </w:r>
      <w:r w:rsidR="008D13ED">
        <w:t>finding</w:t>
      </w:r>
      <w:r>
        <w:t>, which was collected from an online survey, aiming to explore the impact of response policing and multi-agency working on safeguarding and protecting children at risk of child sexual exploitation</w:t>
      </w:r>
      <w:r w:rsidR="008D13ED">
        <w:t xml:space="preserve"> (CSE)</w:t>
      </w:r>
      <w:r>
        <w:t xml:space="preserve">. The data was collected using a survey approach including </w:t>
      </w:r>
      <w:r w:rsidR="005453BF">
        <w:t>both qualitative</w:t>
      </w:r>
      <w:r>
        <w:t xml:space="preserve"> and quantitative information </w:t>
      </w:r>
      <w:r w:rsidR="008D13ED">
        <w:t>and provides insight into police officers experiences, perceptions of safeguarding effectiveness, challenges associated with identifying and responding to exploitation and the role of collaborative working between agencies.</w:t>
      </w:r>
    </w:p>
    <w:p w14:paraId="120F6026" w14:textId="3ECFEF93" w:rsidR="00A10072" w:rsidRDefault="00563B3A">
      <w:pPr>
        <w:rPr>
          <w:b/>
          <w:bCs/>
          <w:u w:val="single"/>
        </w:rPr>
      </w:pPr>
      <w:r w:rsidRPr="00563B3A">
        <w:rPr>
          <w:b/>
          <w:bCs/>
          <w:u w:val="single"/>
        </w:rPr>
        <w:t xml:space="preserve">Demographic overview. </w:t>
      </w:r>
    </w:p>
    <w:p w14:paraId="5135CC83" w14:textId="294A71FA" w:rsidR="00EF540F" w:rsidRDefault="00563B3A">
      <w:r w:rsidRPr="00563B3A">
        <w:t xml:space="preserve">My sample </w:t>
      </w:r>
      <w:r>
        <w:t xml:space="preserve">consisted of 25 participants, all with varying length of service, representing a range of roles including </w:t>
      </w:r>
      <w:r w:rsidR="00BD22E3">
        <w:t>response officers</w:t>
      </w:r>
      <w:r>
        <w:t>, CID officers, neighbourhood officers, and safeguarding officers</w:t>
      </w:r>
      <w:r w:rsidR="00EF540F">
        <w:t xml:space="preserve">. Of these, 32% had 0-2 years of service, 32% had 3-5 years, 24% had 6-10 years, and 12% had over 10 years’ experience. </w:t>
      </w:r>
      <w:r w:rsidR="00BD22E3">
        <w:t>Additionally, 76</w:t>
      </w:r>
      <w:r w:rsidR="00BD22E3">
        <w:t>% of participants reported encounter</w:t>
      </w:r>
      <w:r w:rsidR="00BD22E3">
        <w:t xml:space="preserve"> vulnerable children “very often” or “often” during their duties. </w:t>
      </w:r>
    </w:p>
    <w:p w14:paraId="799E9ABA" w14:textId="6E91E805" w:rsidR="00EF540F" w:rsidRDefault="00EF540F">
      <w:r>
        <w:rPr>
          <w:noProof/>
        </w:rPr>
        <w:drawing>
          <wp:inline distT="0" distB="0" distL="0" distR="0" wp14:anchorId="44EDBB35" wp14:editId="1471F60F">
            <wp:extent cx="5731510" cy="2408555"/>
            <wp:effectExtent l="0" t="0" r="2540" b="0"/>
            <wp:docPr id="681214617" name="Picture 1" descr="Forms response chart. Question title: Length of servic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Length of service:. Number of responses: 25 responses."/>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44824346" w14:textId="5BE33183" w:rsidR="00563B3A" w:rsidRDefault="00BD22E3">
      <w:r>
        <w:t>These fin</w:t>
      </w:r>
      <w:r w:rsidR="00A219D8">
        <w:t xml:space="preserve">dings corroborate prior literature which identified response officers as primary responders to safeguarding concerns (College of Policing, 2024). Officers are often the initial professionals to interact with children experiencing vulnerability through a </w:t>
      </w:r>
      <w:r w:rsidR="003F448A">
        <w:t>variety</w:t>
      </w:r>
      <w:r w:rsidR="00A219D8">
        <w:t xml:space="preserve"> of incidents. This places response policing in a critical position for the early identification of child sexual exploitation. The frequency in which officers encounter vulnerable children </w:t>
      </w:r>
      <w:r w:rsidR="003F448A">
        <w:t xml:space="preserve">also highlights the growth of safeguarding responsibilities imposed upon frontline policing. </w:t>
      </w:r>
      <w:r w:rsidR="008A01E9">
        <w:t>Previous research argues that policing has increasingly shifted towards vulnerability focused approach, with officers now undertaking responsibilities conventionally linked to social care (</w:t>
      </w:r>
      <w:proofErr w:type="spellStart"/>
      <w:r w:rsidR="008A01E9">
        <w:t>Mcveigh</w:t>
      </w:r>
      <w:proofErr w:type="spellEnd"/>
      <w:r w:rsidR="008A01E9">
        <w:t xml:space="preserve"> and Heward-Belle, 2024). These findings support this argument suggesting that safeguarding vulnerable children has become embedded withing routing frontline policing. </w:t>
      </w:r>
    </w:p>
    <w:p w14:paraId="2129B05E" w14:textId="297E6E9A" w:rsidR="00EB3D33" w:rsidRDefault="00EB3D33">
      <w:r>
        <w:t xml:space="preserve">Nevertheless, while officers frequently encounter vulnerable children, the findings suggest that effectiveness of safeguarding is impacted by operational demands and </w:t>
      </w:r>
      <w:r>
        <w:lastRenderedPageBreak/>
        <w:t>organisational pressures. While 4</w:t>
      </w:r>
      <w:r w:rsidR="005E22A8">
        <w:t>4</w:t>
      </w:r>
      <w:r>
        <w:t xml:space="preserve">% of responses noted that they believed that response policing “very effective” or “effective” in safeguarding children at risk of </w:t>
      </w:r>
      <w:proofErr w:type="gramStart"/>
      <w:r>
        <w:t xml:space="preserve">CSE,  </w:t>
      </w:r>
      <w:r w:rsidR="005E22A8">
        <w:t>28</w:t>
      </w:r>
      <w:proofErr w:type="gramEnd"/>
      <w:r w:rsidR="005E22A8">
        <w:t xml:space="preserve">% viewed it as “ineffective”, while a further 28% remained neutral. This demonstrates a varied perception regarding the effectiveness of frontline safeguarding responses. </w:t>
      </w:r>
    </w:p>
    <w:p w14:paraId="58E1817E" w14:textId="4DE395D7" w:rsidR="005E22A8" w:rsidRDefault="005E22A8">
      <w:r>
        <w:rPr>
          <w:noProof/>
        </w:rPr>
        <w:drawing>
          <wp:inline distT="0" distB="0" distL="0" distR="0" wp14:anchorId="47335E01" wp14:editId="0F2EAF2E">
            <wp:extent cx="5731510" cy="2411730"/>
            <wp:effectExtent l="0" t="0" r="2540" b="7620"/>
            <wp:docPr id="463318309" name="Picture 1" descr="Forms response chart. Question title: How effective do you believe response policing is in safeguarding children at risk of CS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ow effective do you believe response policing is in safeguarding children at risk of CSE?. Number of responses: 25 respons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4F2244E" w14:textId="099A91AB" w:rsidR="005E22A8" w:rsidRDefault="005E22A8">
      <w:r>
        <w:t>Qualitative responses further highlight these concerns. One officer stated that:</w:t>
      </w:r>
    </w:p>
    <w:p w14:paraId="01E9DB4E" w14:textId="70C95905" w:rsidR="005E22A8" w:rsidRDefault="005E22A8">
      <w:r>
        <w:t xml:space="preserve">“Pressure from bosses to move on to the next call and not be able to deal with one call at a time and deal with it effectively”. </w:t>
      </w:r>
    </w:p>
    <w:p w14:paraId="129AD21F" w14:textId="4E12F87F" w:rsidR="005E22A8" w:rsidRDefault="005E22A8">
      <w:r>
        <w:t xml:space="preserve">Another officer </w:t>
      </w:r>
      <w:r w:rsidR="00207095">
        <w:t>explained:</w:t>
      </w:r>
      <w:r>
        <w:t xml:space="preserve"> </w:t>
      </w:r>
    </w:p>
    <w:p w14:paraId="13A3D72D" w14:textId="444466F5" w:rsidR="005E22A8" w:rsidRDefault="005E22A8">
      <w:r>
        <w:t xml:space="preserve">“Lack of time to spend addressing issues and implementing safeguarding due to volume of calls”. </w:t>
      </w:r>
    </w:p>
    <w:p w14:paraId="0411D0B8" w14:textId="77777777" w:rsidR="00207095" w:rsidRDefault="00207095">
      <w:pPr>
        <w:rPr>
          <w:rFonts w:ascii="Times New Roman" w:hAnsi="Times New Roman" w:cs="Times New Roman"/>
        </w:rPr>
      </w:pPr>
      <w:r>
        <w:t xml:space="preserve">These finding support existing literature which argues that response policing remains largely reactive and incident driven, often limiting opportunity for proactive safeguarding interventions </w:t>
      </w:r>
      <w:r w:rsidRPr="00BA1064">
        <w:rPr>
          <w:rFonts w:ascii="Times New Roman" w:hAnsi="Times New Roman" w:cs="Times New Roman"/>
        </w:rPr>
        <w:t>(Home Office, 2020).</w:t>
      </w:r>
      <w:r>
        <w:rPr>
          <w:rFonts w:ascii="Times New Roman" w:hAnsi="Times New Roman" w:cs="Times New Roman"/>
        </w:rPr>
        <w:t xml:space="preserve"> Officers may identify vulnerabilities but lack sufficient time to conduct comprehensive safeguarding assessments or establish meaningful engagement with children at risk. </w:t>
      </w:r>
    </w:p>
    <w:p w14:paraId="799151A4" w14:textId="290853F6" w:rsidR="00207095" w:rsidRDefault="00A86FD6">
      <w:pPr>
        <w:rPr>
          <w:rFonts w:ascii="Times New Roman" w:hAnsi="Times New Roman" w:cs="Times New Roman"/>
          <w:b/>
          <w:bCs/>
          <w:u w:val="single"/>
        </w:rPr>
      </w:pPr>
      <w:r w:rsidRPr="00A86FD6">
        <w:rPr>
          <w:rFonts w:ascii="Times New Roman" w:hAnsi="Times New Roman" w:cs="Times New Roman"/>
          <w:b/>
          <w:bCs/>
          <w:u w:val="single"/>
        </w:rPr>
        <w:t xml:space="preserve">Experience and awareness of CSE. </w:t>
      </w:r>
    </w:p>
    <w:p w14:paraId="24752794" w14:textId="4C2B2D16" w:rsidR="00A86FD6" w:rsidRDefault="00A86FD6">
      <w:pPr>
        <w:rPr>
          <w:rFonts w:ascii="Times New Roman" w:hAnsi="Times New Roman" w:cs="Times New Roman"/>
        </w:rPr>
      </w:pPr>
      <w:r>
        <w:rPr>
          <w:rFonts w:ascii="Times New Roman" w:hAnsi="Times New Roman" w:cs="Times New Roman"/>
        </w:rPr>
        <w:t xml:space="preserve">A significant theme emerging from the finding concerns the hidden signs of CSE and the difficulties associated with victims recognising and reporting. While 72% of officers report feeling “confident” or “very confident in their ability to spot signs of CSE, 72% also state that they “often” or “very often” encounter cases where victims do not recognise themselves as being exploited. </w:t>
      </w:r>
    </w:p>
    <w:p w14:paraId="147CBC03" w14:textId="75C39D7B" w:rsidR="00A86FD6" w:rsidRDefault="00A86FD6">
      <w:pPr>
        <w:rPr>
          <w:rFonts w:ascii="Times New Roman" w:hAnsi="Times New Roman" w:cs="Times New Roman"/>
        </w:rPr>
      </w:pPr>
      <w:r>
        <w:rPr>
          <w:rFonts w:ascii="Times New Roman" w:hAnsi="Times New Roman" w:cs="Times New Roman"/>
        </w:rPr>
        <w:t xml:space="preserve">This finding strongly aligns with current literature Beckett et al. </w:t>
      </w:r>
      <w:r w:rsidR="00C26809">
        <w:rPr>
          <w:rFonts w:ascii="Times New Roman" w:hAnsi="Times New Roman" w:cs="Times New Roman"/>
        </w:rPr>
        <w:t>(</w:t>
      </w:r>
      <w:r>
        <w:rPr>
          <w:rFonts w:ascii="Times New Roman" w:hAnsi="Times New Roman" w:cs="Times New Roman"/>
        </w:rPr>
        <w:t>2017</w:t>
      </w:r>
      <w:r w:rsidR="00C26809">
        <w:rPr>
          <w:rFonts w:ascii="Times New Roman" w:hAnsi="Times New Roman" w:cs="Times New Roman"/>
        </w:rPr>
        <w:t xml:space="preserve">) identifies that many victims fail to recognise exploitation due to emotional manipulation, trauma bonding, or mis constructed beliefs of romantic relationships with their perpetrators. </w:t>
      </w:r>
    </w:p>
    <w:p w14:paraId="259DC381" w14:textId="04189B4C" w:rsidR="00C26809" w:rsidRDefault="00C26809">
      <w:pPr>
        <w:rPr>
          <w:rFonts w:ascii="Times New Roman" w:hAnsi="Times New Roman" w:cs="Times New Roman"/>
        </w:rPr>
      </w:pPr>
      <w:r>
        <w:rPr>
          <w:rFonts w:ascii="Times New Roman" w:hAnsi="Times New Roman" w:cs="Times New Roman"/>
        </w:rPr>
        <w:lastRenderedPageBreak/>
        <w:t xml:space="preserve">Several officers highlighted grooming and emotional dependency as major barrier preventing young people from recognising exploitation. </w:t>
      </w:r>
    </w:p>
    <w:p w14:paraId="0D4BA80C" w14:textId="32E01FB6" w:rsidR="00C26809" w:rsidRDefault="00C26809">
      <w:pPr>
        <w:rPr>
          <w:rFonts w:ascii="Times New Roman" w:hAnsi="Times New Roman" w:cs="Times New Roman"/>
        </w:rPr>
      </w:pPr>
      <w:r>
        <w:rPr>
          <w:rFonts w:ascii="Times New Roman" w:hAnsi="Times New Roman" w:cs="Times New Roman"/>
        </w:rPr>
        <w:t xml:space="preserve">Officers also identified social media, poor family relationships, low self-esteem, trauma and lack of education as contributing factors increasing vulnerability of exploitation. These finding align with the literature which identifies adverse childhood experiences (ACE’S), neglect and social isolation as key vulnerabilities associated with CSE (Welsh Government, 2014). </w:t>
      </w:r>
    </w:p>
    <w:p w14:paraId="48DBC347" w14:textId="04F87AC6" w:rsidR="003E61CA" w:rsidRPr="00A86FD6" w:rsidRDefault="003E61CA">
      <w:pPr>
        <w:rPr>
          <w:rFonts w:ascii="Times New Roman" w:hAnsi="Times New Roman" w:cs="Times New Roman"/>
        </w:rPr>
      </w:pPr>
      <w:r>
        <w:rPr>
          <w:rFonts w:ascii="Times New Roman" w:hAnsi="Times New Roman" w:cs="Times New Roman"/>
        </w:rPr>
        <w:t xml:space="preserve">Overall, research demonstrates that CSE often remains hidden due to the psychological and emotional dynamic, creating significant challenges for frontline officers attempting to identify and safeguarding vulnerable children. </w:t>
      </w:r>
    </w:p>
    <w:p w14:paraId="47E8C076" w14:textId="7215203F" w:rsidR="005E22A8" w:rsidRDefault="00207095">
      <w:r w:rsidRPr="00BA1064">
        <w:rPr>
          <w:rFonts w:ascii="Times New Roman" w:hAnsi="Times New Roman" w:cs="Times New Roman"/>
        </w:rPr>
        <w:br/>
      </w:r>
      <w:r w:rsidR="003E61CA">
        <w:t xml:space="preserve">(ADD SOME RESPONSES HERE). </w:t>
      </w:r>
    </w:p>
    <w:p w14:paraId="516D1A1A" w14:textId="77777777" w:rsidR="003E61CA" w:rsidRDefault="003E61CA"/>
    <w:p w14:paraId="2BABC7E4" w14:textId="67729662" w:rsidR="00207095" w:rsidRDefault="00F865FB">
      <w:r w:rsidRPr="00F865FB">
        <w:rPr>
          <w:b/>
          <w:bCs/>
          <w:u w:val="single"/>
        </w:rPr>
        <w:t>Response policing and Safeguarding</w:t>
      </w:r>
      <w:r>
        <w:t>.</w:t>
      </w:r>
    </w:p>
    <w:p w14:paraId="476F1D1C" w14:textId="7CD60547" w:rsidR="00F865FB" w:rsidRDefault="00F865FB">
      <w:r>
        <w:t xml:space="preserve">Participants </w:t>
      </w:r>
      <w:r w:rsidR="008A345D">
        <w:t xml:space="preserve">were asked if they felt they had received sufficient training in identifying CSE, 40% said they had received enough training to recognise and address CSE, with 36% actively disagreeing, even though 80% of participants felt comfortable making safeguarding referrals. This suggests that officers may rely heavily on operational experience rather than specialised training. Existing research </w:t>
      </w:r>
      <w:r w:rsidR="00E366DE">
        <w:t>similarly</w:t>
      </w:r>
      <w:r w:rsidR="008A345D">
        <w:t xml:space="preserve"> identifies inconsistent safeguarding training at present (Davidson et al., 2021). </w:t>
      </w:r>
    </w:p>
    <w:p w14:paraId="32F02C41" w14:textId="19AB8669" w:rsidR="00E366DE" w:rsidRDefault="00E366DE">
      <w:r>
        <w:t>Responders repeatedly highlighted the need for improved specialised and trauma-informed training. One officer stating:</w:t>
      </w:r>
    </w:p>
    <w:p w14:paraId="7062105F" w14:textId="474409BB" w:rsidR="00E366DE" w:rsidRDefault="00E366DE">
      <w:r>
        <w:t xml:space="preserve">“More training for officers and supervisors”. </w:t>
      </w:r>
    </w:p>
    <w:p w14:paraId="6F0E1E88" w14:textId="767A46C6" w:rsidR="00E366DE" w:rsidRDefault="00E366DE">
      <w:r>
        <w:t>Another:</w:t>
      </w:r>
    </w:p>
    <w:p w14:paraId="540E8494" w14:textId="3ED10FBC" w:rsidR="00E366DE" w:rsidRDefault="00E366DE">
      <w:r>
        <w:t xml:space="preserve">“Train police to be trauma-informed and avoid victim blaming language”. </w:t>
      </w:r>
    </w:p>
    <w:p w14:paraId="68FB7D92" w14:textId="640D159A" w:rsidR="00E366DE" w:rsidRDefault="00E366DE">
      <w:r>
        <w:t xml:space="preserve">Operational demands were also highlighted as a major factor effecting safeguarding, officers frequently </w:t>
      </w:r>
      <w:r w:rsidR="00C739A8">
        <w:t>describing</w:t>
      </w:r>
      <w:r>
        <w:t xml:space="preserve"> pressure to attend multiple incidents and limited opportunities </w:t>
      </w:r>
      <w:r w:rsidR="00C739A8">
        <w:t>to spend time engaging with vulnerable children. R</w:t>
      </w:r>
      <w:r>
        <w:t xml:space="preserve">esearch consistently identifies workload pressures, staffing shortages, and organisational fatigue as barriers to effective safeguarding (Shane, 2019). </w:t>
      </w:r>
    </w:p>
    <w:p w14:paraId="30239010" w14:textId="75CAB80E" w:rsidR="00C739A8" w:rsidRDefault="00C739A8">
      <w:pPr>
        <w:rPr>
          <w:b/>
          <w:bCs/>
          <w:u w:val="single"/>
        </w:rPr>
      </w:pPr>
      <w:r w:rsidRPr="00C739A8">
        <w:rPr>
          <w:b/>
          <w:bCs/>
          <w:u w:val="single"/>
        </w:rPr>
        <w:t xml:space="preserve">Multi-agency working. </w:t>
      </w:r>
    </w:p>
    <w:p w14:paraId="155C6FED" w14:textId="70780E53" w:rsidR="00C739A8" w:rsidRDefault="00C739A8">
      <w:r>
        <w:t xml:space="preserve">96% of participants </w:t>
      </w:r>
      <w:r w:rsidR="000A22FB">
        <w:t xml:space="preserve">report engaging with partner agencies “very often” or “often” with 72% of participants </w:t>
      </w:r>
      <w:r w:rsidR="007F3FBD">
        <w:t xml:space="preserve">believe that multi-agency collaboration strengthens safeguarding outcomes; however, only 52% describe the quality of information sharing as “fair” and 24% rate it as poor. This suggests that although collaboration working is widely valued, </w:t>
      </w:r>
      <w:r w:rsidR="007F3FBD">
        <w:lastRenderedPageBreak/>
        <w:t xml:space="preserve">significant challenges remain in achieving effective communication and consistent information sharing between agencies, which is highlighted </w:t>
      </w:r>
      <w:r w:rsidR="0055246B">
        <w:t xml:space="preserve">in the findings which emphasises the importance of integrating safeguarding frameworks such as multi-agency safeguarding hubs (MASH) (Shorrock, </w:t>
      </w:r>
      <w:proofErr w:type="spellStart"/>
      <w:r w:rsidR="0055246B">
        <w:t>Mcmanus</w:t>
      </w:r>
      <w:proofErr w:type="spellEnd"/>
      <w:r w:rsidR="0055246B">
        <w:t xml:space="preserve"> and Kirby, 2020). </w:t>
      </w:r>
    </w:p>
    <w:p w14:paraId="7A200682" w14:textId="5847772D" w:rsidR="00C739A8" w:rsidRDefault="007F3FBD">
      <w:r>
        <w:rPr>
          <w:noProof/>
        </w:rPr>
        <w:drawing>
          <wp:inline distT="0" distB="0" distL="0" distR="0" wp14:anchorId="419EB451" wp14:editId="7456F39D">
            <wp:extent cx="5731510" cy="2408555"/>
            <wp:effectExtent l="0" t="0" r="2540" b="0"/>
            <wp:docPr id="1921877049" name="Picture 3" descr="Forms response chart. Question title: Do you believe multi-agency collaboration improves safeguarding outcomes?.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Do you believe multi-agency collaboration improves safeguarding outcomes?. Number of responses: 25 response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493798B6" w14:textId="77777777" w:rsidR="00C739A8" w:rsidRDefault="00C739A8"/>
    <w:p w14:paraId="2A675BAA" w14:textId="353E9951" w:rsidR="00C739A8" w:rsidRDefault="00252A14">
      <w:pPr>
        <w:rPr>
          <w:b/>
          <w:bCs/>
          <w:u w:val="single"/>
        </w:rPr>
      </w:pPr>
      <w:r w:rsidRPr="00252A14">
        <w:rPr>
          <w:b/>
          <w:bCs/>
          <w:u w:val="single"/>
        </w:rPr>
        <w:t xml:space="preserve">Barriers to multi-agency working. </w:t>
      </w:r>
    </w:p>
    <w:p w14:paraId="48BA9E64" w14:textId="0B14FE83" w:rsidR="00252A14" w:rsidRDefault="00252A14">
      <w:r w:rsidRPr="00252A14">
        <w:t xml:space="preserve">Participants were asked what they believed were the main barrier to effective multi agency working, the most consistent theme emerging from the finding were </w:t>
      </w:r>
      <w:r>
        <w:t xml:space="preserve">relating to ineffective communication caused by conflicting shift patterns between professionals, inconsistent information sharing procedure, and a lack of clear ownership and accountability. </w:t>
      </w:r>
    </w:p>
    <w:p w14:paraId="7A506B9C" w14:textId="6FCF60D0" w:rsidR="00A412A7" w:rsidRDefault="00A412A7">
      <w:r>
        <w:t xml:space="preserve">Participants believe that increased specialist support, improved training and stronger communication among multi agencies would enhance safeguarding children at risk of CSE. Many officers felt that they were effective in managing the initial safeguarding responses, however long-term safeguarding required dedicated specialist teams with greater time and expertise, and the capacity to work closely with children, families and partner agencies. </w:t>
      </w:r>
    </w:p>
    <w:p w14:paraId="253C40E6" w14:textId="24879EF6" w:rsidR="00E4324A" w:rsidRDefault="00E4324A">
      <w:pPr>
        <w:rPr>
          <w:b/>
          <w:bCs/>
          <w:u w:val="single"/>
        </w:rPr>
      </w:pPr>
      <w:r w:rsidRPr="00E4324A">
        <w:rPr>
          <w:b/>
          <w:bCs/>
          <w:u w:val="single"/>
        </w:rPr>
        <w:t xml:space="preserve">Conclusion. </w:t>
      </w:r>
    </w:p>
    <w:p w14:paraId="3F439DB7" w14:textId="7C8AF857" w:rsidR="00E4324A" w:rsidRDefault="00E4324A" w:rsidP="00E4324A">
      <w:r>
        <w:t xml:space="preserve">The findings illustrate that while officers acknowledge safeguarding is a fundamental aspect of policing, it identifies key themes: victims’ failure to recognise sexual exploitation, operational pressures affecting the effectiveness of safeguarding practises, and poor inconsistent interagency communication persistently undermines the efficacy of responses to child sexual exploitation. </w:t>
      </w:r>
    </w:p>
    <w:p w14:paraId="0AA38C22" w14:textId="77777777" w:rsidR="00E4324A" w:rsidRPr="00E4324A" w:rsidRDefault="00E4324A">
      <w:pPr>
        <w:rPr>
          <w:b/>
          <w:bCs/>
          <w:u w:val="single"/>
        </w:rPr>
      </w:pPr>
    </w:p>
    <w:p w14:paraId="16529D6A" w14:textId="77777777" w:rsidR="00E4324A" w:rsidRDefault="00E4324A"/>
    <w:p w14:paraId="5D6CF934" w14:textId="77777777" w:rsidR="00E4324A" w:rsidRPr="00A412A7" w:rsidRDefault="00E4324A"/>
    <w:p w14:paraId="235EBFCC" w14:textId="0278CC92" w:rsidR="00C739A8" w:rsidRPr="00C739A8" w:rsidRDefault="00C739A8"/>
    <w:p w14:paraId="34D25E31" w14:textId="77777777" w:rsidR="00E366DE" w:rsidRDefault="00E366DE"/>
    <w:p w14:paraId="13B4B4E7" w14:textId="448EF1BD" w:rsidR="008A345D" w:rsidRPr="00563B3A" w:rsidRDefault="008A345D"/>
    <w:sectPr w:rsidR="008A345D" w:rsidRPr="00563B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1EF"/>
    <w:rsid w:val="000A22FB"/>
    <w:rsid w:val="00207095"/>
    <w:rsid w:val="00252A14"/>
    <w:rsid w:val="002D41EF"/>
    <w:rsid w:val="003E61CA"/>
    <w:rsid w:val="003F448A"/>
    <w:rsid w:val="005453BF"/>
    <w:rsid w:val="0055246B"/>
    <w:rsid w:val="00563B3A"/>
    <w:rsid w:val="005E22A8"/>
    <w:rsid w:val="006A333D"/>
    <w:rsid w:val="006E3459"/>
    <w:rsid w:val="007405C2"/>
    <w:rsid w:val="007F3FBD"/>
    <w:rsid w:val="008A01E9"/>
    <w:rsid w:val="008A345D"/>
    <w:rsid w:val="008D13ED"/>
    <w:rsid w:val="00A10072"/>
    <w:rsid w:val="00A219D8"/>
    <w:rsid w:val="00A412A7"/>
    <w:rsid w:val="00A86FD6"/>
    <w:rsid w:val="00BD22E3"/>
    <w:rsid w:val="00C26809"/>
    <w:rsid w:val="00C739A8"/>
    <w:rsid w:val="00D248E2"/>
    <w:rsid w:val="00E366DE"/>
    <w:rsid w:val="00E4324A"/>
    <w:rsid w:val="00E74494"/>
    <w:rsid w:val="00E85B64"/>
    <w:rsid w:val="00EB3D33"/>
    <w:rsid w:val="00EF540F"/>
    <w:rsid w:val="00F86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CA365"/>
  <w15:chartTrackingRefBased/>
  <w15:docId w15:val="{60A1308F-746C-4157-AC4F-23988A72B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41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41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41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41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41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41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41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41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41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1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41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41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41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41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41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41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41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41EF"/>
    <w:rPr>
      <w:rFonts w:eastAsiaTheme="majorEastAsia" w:cstheme="majorBidi"/>
      <w:color w:val="272727" w:themeColor="text1" w:themeTint="D8"/>
    </w:rPr>
  </w:style>
  <w:style w:type="paragraph" w:styleId="Title">
    <w:name w:val="Title"/>
    <w:basedOn w:val="Normal"/>
    <w:next w:val="Normal"/>
    <w:link w:val="TitleChar"/>
    <w:uiPriority w:val="10"/>
    <w:qFormat/>
    <w:rsid w:val="002D41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41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41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41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41EF"/>
    <w:pPr>
      <w:spacing w:before="160"/>
      <w:jc w:val="center"/>
    </w:pPr>
    <w:rPr>
      <w:i/>
      <w:iCs/>
      <w:color w:val="404040" w:themeColor="text1" w:themeTint="BF"/>
    </w:rPr>
  </w:style>
  <w:style w:type="character" w:customStyle="1" w:styleId="QuoteChar">
    <w:name w:val="Quote Char"/>
    <w:basedOn w:val="DefaultParagraphFont"/>
    <w:link w:val="Quote"/>
    <w:uiPriority w:val="29"/>
    <w:rsid w:val="002D41EF"/>
    <w:rPr>
      <w:i/>
      <w:iCs/>
      <w:color w:val="404040" w:themeColor="text1" w:themeTint="BF"/>
    </w:rPr>
  </w:style>
  <w:style w:type="paragraph" w:styleId="ListParagraph">
    <w:name w:val="List Paragraph"/>
    <w:basedOn w:val="Normal"/>
    <w:uiPriority w:val="34"/>
    <w:qFormat/>
    <w:rsid w:val="002D41EF"/>
    <w:pPr>
      <w:ind w:left="720"/>
      <w:contextualSpacing/>
    </w:pPr>
  </w:style>
  <w:style w:type="character" w:styleId="IntenseEmphasis">
    <w:name w:val="Intense Emphasis"/>
    <w:basedOn w:val="DefaultParagraphFont"/>
    <w:uiPriority w:val="21"/>
    <w:qFormat/>
    <w:rsid w:val="002D41EF"/>
    <w:rPr>
      <w:i/>
      <w:iCs/>
      <w:color w:val="0F4761" w:themeColor="accent1" w:themeShade="BF"/>
    </w:rPr>
  </w:style>
  <w:style w:type="paragraph" w:styleId="IntenseQuote">
    <w:name w:val="Intense Quote"/>
    <w:basedOn w:val="Normal"/>
    <w:next w:val="Normal"/>
    <w:link w:val="IntenseQuoteChar"/>
    <w:uiPriority w:val="30"/>
    <w:qFormat/>
    <w:rsid w:val="002D41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41EF"/>
    <w:rPr>
      <w:i/>
      <w:iCs/>
      <w:color w:val="0F4761" w:themeColor="accent1" w:themeShade="BF"/>
    </w:rPr>
  </w:style>
  <w:style w:type="character" w:styleId="IntenseReference">
    <w:name w:val="Intense Reference"/>
    <w:basedOn w:val="DefaultParagraphFont"/>
    <w:uiPriority w:val="32"/>
    <w:qFormat/>
    <w:rsid w:val="002D41E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501</TotalTime>
  <Pages>5</Pages>
  <Words>1149</Words>
  <Characters>6555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Davies,Leah swp8751</dc:creator>
  <cp:keywords/>
  <dc:description/>
  <cp:lastModifiedBy>Davies,Leah swp8751</cp:lastModifiedBy>
  <cp:revision>5</cp:revision>
  <dcterms:created xsi:type="dcterms:W3CDTF">2026-05-06T12:27:00Z</dcterms:created>
  <dcterms:modified xsi:type="dcterms:W3CDTF">2026-05-07T16:41:00Z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2026-05-06T13:23:41Z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ea629788-102c-44b8-9fe6-ec9a801f5199</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