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D2BF2D" w14:textId="77777777" w:rsidR="00DB2B38" w:rsidRDefault="00DB2B38" w:rsidP="00DB2B38">
      <w:pPr>
        <w:spacing w:line="360" w:lineRule="auto"/>
        <w:jc w:val="center"/>
        <w:rPr>
          <w:rFonts w:ascii="Times New Roman" w:eastAsia="Times New Roman" w:hAnsi="Times New Roman" w:cs="Times New Roman"/>
          <w:b/>
          <w:bCs/>
          <w:sz w:val="32"/>
          <w:szCs w:val="32"/>
        </w:rPr>
      </w:pPr>
    </w:p>
    <w:p w14:paraId="683E0BA8" w14:textId="77777777" w:rsidR="00DB2B38" w:rsidRDefault="00DB2B38" w:rsidP="00DB2B38">
      <w:pPr>
        <w:spacing w:line="360" w:lineRule="auto"/>
        <w:jc w:val="center"/>
        <w:rPr>
          <w:rFonts w:ascii="Times New Roman" w:eastAsia="Times New Roman" w:hAnsi="Times New Roman" w:cs="Times New Roman"/>
          <w:b/>
          <w:bCs/>
          <w:sz w:val="32"/>
          <w:szCs w:val="32"/>
        </w:rPr>
      </w:pPr>
    </w:p>
    <w:p w14:paraId="7D47192D" w14:textId="77777777" w:rsidR="00DB2B38" w:rsidRDefault="00DB2B38" w:rsidP="00DB2B38">
      <w:pPr>
        <w:spacing w:line="360" w:lineRule="auto"/>
        <w:jc w:val="center"/>
        <w:rPr>
          <w:rFonts w:ascii="Times New Roman" w:eastAsia="Times New Roman" w:hAnsi="Times New Roman" w:cs="Times New Roman"/>
          <w:b/>
          <w:bCs/>
          <w:sz w:val="32"/>
          <w:szCs w:val="32"/>
        </w:rPr>
      </w:pPr>
    </w:p>
    <w:p w14:paraId="7F0FA114" w14:textId="77777777" w:rsidR="00DB2B38" w:rsidRDefault="00DB2B38" w:rsidP="00DB2B38">
      <w:pPr>
        <w:spacing w:line="360" w:lineRule="auto"/>
        <w:jc w:val="center"/>
        <w:rPr>
          <w:rFonts w:ascii="Times New Roman" w:eastAsia="Times New Roman" w:hAnsi="Times New Roman" w:cs="Times New Roman"/>
          <w:b/>
          <w:bCs/>
          <w:sz w:val="32"/>
          <w:szCs w:val="32"/>
        </w:rPr>
      </w:pPr>
    </w:p>
    <w:p w14:paraId="39B1B2F3" w14:textId="77777777" w:rsidR="00DB2B38" w:rsidRDefault="00DB2B38" w:rsidP="00DB2B38">
      <w:pPr>
        <w:spacing w:line="360" w:lineRule="auto"/>
        <w:jc w:val="center"/>
        <w:rPr>
          <w:rFonts w:ascii="Times New Roman" w:eastAsia="Times New Roman" w:hAnsi="Times New Roman" w:cs="Times New Roman"/>
          <w:b/>
          <w:bCs/>
          <w:sz w:val="32"/>
          <w:szCs w:val="32"/>
        </w:rPr>
      </w:pPr>
    </w:p>
    <w:p w14:paraId="13C4CBB1" w14:textId="77777777" w:rsidR="00DB2B38" w:rsidRDefault="00DB2B38" w:rsidP="00DB2B38">
      <w:pPr>
        <w:spacing w:line="360" w:lineRule="auto"/>
        <w:jc w:val="center"/>
        <w:rPr>
          <w:rFonts w:ascii="Times New Roman" w:eastAsia="Times New Roman" w:hAnsi="Times New Roman" w:cs="Times New Roman"/>
          <w:b/>
          <w:bCs/>
          <w:sz w:val="32"/>
          <w:szCs w:val="32"/>
        </w:rPr>
      </w:pPr>
    </w:p>
    <w:p w14:paraId="0E3A47DE" w14:textId="77777777" w:rsidR="00DB2B38" w:rsidRDefault="00DB2B38" w:rsidP="00DB2B38">
      <w:pPr>
        <w:spacing w:line="360" w:lineRule="auto"/>
        <w:jc w:val="center"/>
        <w:rPr>
          <w:rFonts w:ascii="Times New Roman" w:eastAsia="Times New Roman" w:hAnsi="Times New Roman" w:cs="Times New Roman"/>
          <w:b/>
          <w:bCs/>
          <w:sz w:val="32"/>
          <w:szCs w:val="32"/>
        </w:rPr>
      </w:pPr>
    </w:p>
    <w:p w14:paraId="78097C92" w14:textId="77777777" w:rsidR="00DB2B38" w:rsidRDefault="00DB2B38" w:rsidP="00DB2B38">
      <w:pPr>
        <w:spacing w:line="360" w:lineRule="auto"/>
        <w:jc w:val="center"/>
        <w:rPr>
          <w:rFonts w:ascii="Times New Roman" w:eastAsia="Times New Roman" w:hAnsi="Times New Roman" w:cs="Times New Roman"/>
          <w:b/>
          <w:bCs/>
          <w:sz w:val="32"/>
          <w:szCs w:val="32"/>
        </w:rPr>
      </w:pPr>
    </w:p>
    <w:p w14:paraId="6762BE10" w14:textId="77777777" w:rsidR="00DB2B38" w:rsidRDefault="00DB2B38" w:rsidP="00DB2B38">
      <w:pPr>
        <w:spacing w:line="360" w:lineRule="auto"/>
        <w:jc w:val="center"/>
        <w:rPr>
          <w:rFonts w:ascii="Times New Roman" w:eastAsia="Times New Roman" w:hAnsi="Times New Roman" w:cs="Times New Roman"/>
          <w:b/>
          <w:bCs/>
          <w:sz w:val="32"/>
          <w:szCs w:val="32"/>
        </w:rPr>
      </w:pPr>
    </w:p>
    <w:p w14:paraId="0A9169EB" w14:textId="77777777" w:rsidR="00DB2B38" w:rsidRDefault="00DB2B38" w:rsidP="00DB2B38">
      <w:pPr>
        <w:spacing w:line="360" w:lineRule="auto"/>
        <w:jc w:val="center"/>
        <w:rPr>
          <w:rFonts w:ascii="Times New Roman" w:eastAsia="Times New Roman" w:hAnsi="Times New Roman" w:cs="Times New Roman"/>
          <w:b/>
          <w:bCs/>
          <w:sz w:val="32"/>
          <w:szCs w:val="32"/>
        </w:rPr>
      </w:pPr>
    </w:p>
    <w:p w14:paraId="15583123" w14:textId="77777777" w:rsidR="00DB2B38" w:rsidRDefault="00DB2B38" w:rsidP="00DB2B38">
      <w:pPr>
        <w:spacing w:line="360" w:lineRule="auto"/>
        <w:jc w:val="center"/>
        <w:rPr>
          <w:rFonts w:ascii="Times New Roman" w:eastAsia="Times New Roman" w:hAnsi="Times New Roman" w:cs="Times New Roman"/>
          <w:b/>
          <w:bCs/>
          <w:sz w:val="32"/>
          <w:szCs w:val="32"/>
        </w:rPr>
      </w:pPr>
    </w:p>
    <w:p w14:paraId="137670D2" w14:textId="07990B6E" w:rsidR="005F263C" w:rsidRDefault="00DB2B38" w:rsidP="00DB2B38">
      <w:pPr>
        <w:spacing w:line="360" w:lineRule="auto"/>
        <w:jc w:val="center"/>
        <w:rPr>
          <w:rFonts w:ascii="Times New Roman" w:eastAsia="Times New Roman" w:hAnsi="Times New Roman" w:cs="Times New Roman"/>
          <w:b/>
          <w:bCs/>
          <w:sz w:val="24"/>
          <w:szCs w:val="24"/>
        </w:rPr>
      </w:pPr>
      <w:r w:rsidRPr="00DB2B38">
        <w:rPr>
          <w:rFonts w:ascii="Times New Roman" w:eastAsia="Times New Roman" w:hAnsi="Times New Roman" w:cs="Times New Roman"/>
          <w:b/>
          <w:bCs/>
          <w:sz w:val="32"/>
          <w:szCs w:val="32"/>
        </w:rPr>
        <w:t>NETWORKS AND CYBER SECURITY ESSENTIALS</w:t>
      </w:r>
      <w:r w:rsidR="005F263C">
        <w:rPr>
          <w:rFonts w:ascii="Times New Roman" w:eastAsia="Times New Roman" w:hAnsi="Times New Roman" w:cs="Times New Roman"/>
          <w:b/>
          <w:bCs/>
          <w:sz w:val="24"/>
          <w:szCs w:val="24"/>
        </w:rPr>
        <w:br w:type="page"/>
      </w:r>
    </w:p>
    <w:sdt>
      <w:sdtPr>
        <w:id w:val="330494595"/>
        <w:docPartObj>
          <w:docPartGallery w:val="Table of Contents"/>
          <w:docPartUnique/>
        </w:docPartObj>
      </w:sdtPr>
      <w:sdtEndPr>
        <w:rPr>
          <w:rFonts w:ascii="Times New Roman" w:eastAsia="Arial" w:hAnsi="Times New Roman" w:cs="Times New Roman"/>
          <w:b/>
          <w:bCs/>
          <w:noProof/>
          <w:color w:val="auto"/>
          <w:sz w:val="24"/>
          <w:szCs w:val="24"/>
          <w:lang w:val="en-GB" w:eastAsia="en-IN"/>
        </w:rPr>
      </w:sdtEndPr>
      <w:sdtContent>
        <w:p w14:paraId="43D024FC" w14:textId="509F49A8" w:rsidR="00AB0EB2" w:rsidRDefault="00AB0EB2" w:rsidP="00AB0EB2">
          <w:pPr>
            <w:pStyle w:val="TOCHeading"/>
            <w:spacing w:line="360" w:lineRule="auto"/>
            <w:jc w:val="center"/>
          </w:pPr>
          <w:r w:rsidRPr="00AB0EB2">
            <w:rPr>
              <w:rFonts w:ascii="Times New Roman" w:hAnsi="Times New Roman" w:cs="Times New Roman"/>
              <w:b/>
              <w:bCs/>
              <w:color w:val="auto"/>
              <w:sz w:val="28"/>
              <w:szCs w:val="28"/>
            </w:rPr>
            <w:t>Table of Contents</w:t>
          </w:r>
        </w:p>
        <w:p w14:paraId="491CF1BA" w14:textId="22191769" w:rsidR="00103AD3" w:rsidRPr="00103AD3" w:rsidRDefault="00AB0EB2" w:rsidP="00103AD3">
          <w:pPr>
            <w:pStyle w:val="TOC1"/>
            <w:tabs>
              <w:tab w:val="right" w:leader="dot" w:pos="9019"/>
            </w:tabs>
            <w:spacing w:line="480" w:lineRule="auto"/>
            <w:jc w:val="both"/>
            <w:rPr>
              <w:rFonts w:ascii="Times New Roman" w:eastAsiaTheme="minorEastAsia" w:hAnsi="Times New Roman" w:cs="Times New Roman"/>
              <w:noProof/>
              <w:kern w:val="2"/>
              <w:sz w:val="28"/>
              <w:szCs w:val="28"/>
              <w:lang w:val="en-IN"/>
              <w14:ligatures w14:val="standardContextual"/>
            </w:rPr>
          </w:pPr>
          <w:r w:rsidRPr="00103AD3">
            <w:rPr>
              <w:rFonts w:ascii="Times New Roman" w:hAnsi="Times New Roman" w:cs="Times New Roman"/>
              <w:sz w:val="24"/>
              <w:szCs w:val="24"/>
            </w:rPr>
            <w:fldChar w:fldCharType="begin"/>
          </w:r>
          <w:r w:rsidRPr="00103AD3">
            <w:rPr>
              <w:rFonts w:ascii="Times New Roman" w:hAnsi="Times New Roman" w:cs="Times New Roman"/>
              <w:sz w:val="24"/>
              <w:szCs w:val="24"/>
            </w:rPr>
            <w:instrText xml:space="preserve"> TOC \o "1-3" \h \z \u </w:instrText>
          </w:r>
          <w:r w:rsidRPr="00103AD3">
            <w:rPr>
              <w:rFonts w:ascii="Times New Roman" w:hAnsi="Times New Roman" w:cs="Times New Roman"/>
              <w:sz w:val="24"/>
              <w:szCs w:val="24"/>
            </w:rPr>
            <w:fldChar w:fldCharType="separate"/>
          </w:r>
          <w:hyperlink w:anchor="_Toc237029081" w:history="1">
            <w:r w:rsidR="00103AD3" w:rsidRPr="00103AD3">
              <w:rPr>
                <w:rStyle w:val="Hyperlink"/>
                <w:rFonts w:ascii="Times New Roman" w:hAnsi="Times New Roman" w:cs="Times New Roman"/>
                <w:noProof/>
                <w:sz w:val="24"/>
                <w:szCs w:val="24"/>
              </w:rPr>
              <w:t>1. Introduction</w:t>
            </w:r>
            <w:r w:rsidR="00103AD3" w:rsidRPr="00103AD3">
              <w:rPr>
                <w:rFonts w:ascii="Times New Roman" w:hAnsi="Times New Roman" w:cs="Times New Roman"/>
                <w:noProof/>
                <w:webHidden/>
                <w:sz w:val="24"/>
                <w:szCs w:val="24"/>
              </w:rPr>
              <w:tab/>
            </w:r>
            <w:r w:rsidR="00103AD3" w:rsidRPr="00103AD3">
              <w:rPr>
                <w:rFonts w:ascii="Times New Roman" w:hAnsi="Times New Roman" w:cs="Times New Roman"/>
                <w:noProof/>
                <w:webHidden/>
                <w:sz w:val="24"/>
                <w:szCs w:val="24"/>
              </w:rPr>
              <w:fldChar w:fldCharType="begin"/>
            </w:r>
            <w:r w:rsidR="00103AD3" w:rsidRPr="00103AD3">
              <w:rPr>
                <w:rFonts w:ascii="Times New Roman" w:hAnsi="Times New Roman" w:cs="Times New Roman"/>
                <w:noProof/>
                <w:webHidden/>
                <w:sz w:val="24"/>
                <w:szCs w:val="24"/>
              </w:rPr>
              <w:instrText xml:space="preserve"> PAGEREF _Toc237029081 \h </w:instrText>
            </w:r>
            <w:r w:rsidR="00103AD3" w:rsidRPr="00103AD3">
              <w:rPr>
                <w:rFonts w:ascii="Times New Roman" w:hAnsi="Times New Roman" w:cs="Times New Roman"/>
                <w:noProof/>
                <w:webHidden/>
                <w:sz w:val="24"/>
                <w:szCs w:val="24"/>
              </w:rPr>
            </w:r>
            <w:r w:rsidR="00103AD3" w:rsidRPr="00103AD3">
              <w:rPr>
                <w:rFonts w:ascii="Times New Roman" w:hAnsi="Times New Roman" w:cs="Times New Roman"/>
                <w:noProof/>
                <w:webHidden/>
                <w:sz w:val="24"/>
                <w:szCs w:val="24"/>
              </w:rPr>
              <w:fldChar w:fldCharType="separate"/>
            </w:r>
            <w:r w:rsidR="00103AD3" w:rsidRPr="00103AD3">
              <w:rPr>
                <w:rFonts w:ascii="Times New Roman" w:hAnsi="Times New Roman" w:cs="Times New Roman"/>
                <w:noProof/>
                <w:webHidden/>
                <w:sz w:val="24"/>
                <w:szCs w:val="24"/>
              </w:rPr>
              <w:t>3</w:t>
            </w:r>
            <w:r w:rsidR="00103AD3" w:rsidRPr="00103AD3">
              <w:rPr>
                <w:rFonts w:ascii="Times New Roman" w:hAnsi="Times New Roman" w:cs="Times New Roman"/>
                <w:noProof/>
                <w:webHidden/>
                <w:sz w:val="24"/>
                <w:szCs w:val="24"/>
              </w:rPr>
              <w:fldChar w:fldCharType="end"/>
            </w:r>
          </w:hyperlink>
        </w:p>
        <w:p w14:paraId="7672517F" w14:textId="238C9152" w:rsidR="00103AD3" w:rsidRPr="00103AD3" w:rsidRDefault="00103AD3" w:rsidP="00103AD3">
          <w:pPr>
            <w:pStyle w:val="TOC1"/>
            <w:tabs>
              <w:tab w:val="right" w:leader="dot" w:pos="9019"/>
            </w:tabs>
            <w:spacing w:line="480" w:lineRule="auto"/>
            <w:jc w:val="both"/>
            <w:rPr>
              <w:rFonts w:ascii="Times New Roman" w:eastAsiaTheme="minorEastAsia" w:hAnsi="Times New Roman" w:cs="Times New Roman"/>
              <w:noProof/>
              <w:kern w:val="2"/>
              <w:sz w:val="28"/>
              <w:szCs w:val="28"/>
              <w:lang w:val="en-IN"/>
              <w14:ligatures w14:val="standardContextual"/>
            </w:rPr>
          </w:pPr>
          <w:hyperlink w:anchor="_Toc237029082" w:history="1">
            <w:r w:rsidRPr="00103AD3">
              <w:rPr>
                <w:rStyle w:val="Hyperlink"/>
                <w:rFonts w:ascii="Times New Roman" w:hAnsi="Times New Roman" w:cs="Times New Roman"/>
                <w:noProof/>
                <w:sz w:val="24"/>
                <w:szCs w:val="24"/>
              </w:rPr>
              <w:t>2. Cybersecurity Threat Assessment</w:t>
            </w:r>
            <w:r w:rsidRPr="00103AD3">
              <w:rPr>
                <w:rFonts w:ascii="Times New Roman" w:hAnsi="Times New Roman" w:cs="Times New Roman"/>
                <w:noProof/>
                <w:webHidden/>
                <w:sz w:val="24"/>
                <w:szCs w:val="24"/>
              </w:rPr>
              <w:tab/>
            </w:r>
            <w:r w:rsidRPr="00103AD3">
              <w:rPr>
                <w:rFonts w:ascii="Times New Roman" w:hAnsi="Times New Roman" w:cs="Times New Roman"/>
                <w:noProof/>
                <w:webHidden/>
                <w:sz w:val="24"/>
                <w:szCs w:val="24"/>
              </w:rPr>
              <w:fldChar w:fldCharType="begin"/>
            </w:r>
            <w:r w:rsidRPr="00103AD3">
              <w:rPr>
                <w:rFonts w:ascii="Times New Roman" w:hAnsi="Times New Roman" w:cs="Times New Roman"/>
                <w:noProof/>
                <w:webHidden/>
                <w:sz w:val="24"/>
                <w:szCs w:val="24"/>
              </w:rPr>
              <w:instrText xml:space="preserve"> PAGEREF _Toc237029082 \h </w:instrText>
            </w:r>
            <w:r w:rsidRPr="00103AD3">
              <w:rPr>
                <w:rFonts w:ascii="Times New Roman" w:hAnsi="Times New Roman" w:cs="Times New Roman"/>
                <w:noProof/>
                <w:webHidden/>
                <w:sz w:val="24"/>
                <w:szCs w:val="24"/>
              </w:rPr>
            </w:r>
            <w:r w:rsidRPr="00103AD3">
              <w:rPr>
                <w:rFonts w:ascii="Times New Roman" w:hAnsi="Times New Roman" w:cs="Times New Roman"/>
                <w:noProof/>
                <w:webHidden/>
                <w:sz w:val="24"/>
                <w:szCs w:val="24"/>
              </w:rPr>
              <w:fldChar w:fldCharType="separate"/>
            </w:r>
            <w:r w:rsidRPr="00103AD3">
              <w:rPr>
                <w:rFonts w:ascii="Times New Roman" w:hAnsi="Times New Roman" w:cs="Times New Roman"/>
                <w:noProof/>
                <w:webHidden/>
                <w:sz w:val="24"/>
                <w:szCs w:val="24"/>
              </w:rPr>
              <w:t>3</w:t>
            </w:r>
            <w:r w:rsidRPr="00103AD3">
              <w:rPr>
                <w:rFonts w:ascii="Times New Roman" w:hAnsi="Times New Roman" w:cs="Times New Roman"/>
                <w:noProof/>
                <w:webHidden/>
                <w:sz w:val="24"/>
                <w:szCs w:val="24"/>
              </w:rPr>
              <w:fldChar w:fldCharType="end"/>
            </w:r>
          </w:hyperlink>
        </w:p>
        <w:p w14:paraId="1AAD68AE" w14:textId="0BB2FB62" w:rsidR="00103AD3" w:rsidRPr="00103AD3" w:rsidRDefault="00103AD3" w:rsidP="00103AD3">
          <w:pPr>
            <w:pStyle w:val="TOC1"/>
            <w:tabs>
              <w:tab w:val="right" w:leader="dot" w:pos="9019"/>
            </w:tabs>
            <w:spacing w:line="480" w:lineRule="auto"/>
            <w:jc w:val="both"/>
            <w:rPr>
              <w:rFonts w:ascii="Times New Roman" w:eastAsiaTheme="minorEastAsia" w:hAnsi="Times New Roman" w:cs="Times New Roman"/>
              <w:noProof/>
              <w:kern w:val="2"/>
              <w:sz w:val="28"/>
              <w:szCs w:val="28"/>
              <w:lang w:val="en-IN"/>
              <w14:ligatures w14:val="standardContextual"/>
            </w:rPr>
          </w:pPr>
          <w:hyperlink w:anchor="_Toc237029083" w:history="1">
            <w:r w:rsidRPr="00103AD3">
              <w:rPr>
                <w:rStyle w:val="Hyperlink"/>
                <w:rFonts w:ascii="Times New Roman" w:hAnsi="Times New Roman" w:cs="Times New Roman"/>
                <w:noProof/>
                <w:sz w:val="24"/>
                <w:szCs w:val="24"/>
              </w:rPr>
              <w:t>3. Cybersecurity and Data Governance Policies</w:t>
            </w:r>
            <w:r w:rsidRPr="00103AD3">
              <w:rPr>
                <w:rFonts w:ascii="Times New Roman" w:hAnsi="Times New Roman" w:cs="Times New Roman"/>
                <w:noProof/>
                <w:webHidden/>
                <w:sz w:val="24"/>
                <w:szCs w:val="24"/>
              </w:rPr>
              <w:tab/>
            </w:r>
            <w:r w:rsidRPr="00103AD3">
              <w:rPr>
                <w:rFonts w:ascii="Times New Roman" w:hAnsi="Times New Roman" w:cs="Times New Roman"/>
                <w:noProof/>
                <w:webHidden/>
                <w:sz w:val="24"/>
                <w:szCs w:val="24"/>
              </w:rPr>
              <w:fldChar w:fldCharType="begin"/>
            </w:r>
            <w:r w:rsidRPr="00103AD3">
              <w:rPr>
                <w:rFonts w:ascii="Times New Roman" w:hAnsi="Times New Roman" w:cs="Times New Roman"/>
                <w:noProof/>
                <w:webHidden/>
                <w:sz w:val="24"/>
                <w:szCs w:val="24"/>
              </w:rPr>
              <w:instrText xml:space="preserve"> PAGEREF _Toc237029083 \h </w:instrText>
            </w:r>
            <w:r w:rsidRPr="00103AD3">
              <w:rPr>
                <w:rFonts w:ascii="Times New Roman" w:hAnsi="Times New Roman" w:cs="Times New Roman"/>
                <w:noProof/>
                <w:webHidden/>
                <w:sz w:val="24"/>
                <w:szCs w:val="24"/>
              </w:rPr>
            </w:r>
            <w:r w:rsidRPr="00103AD3">
              <w:rPr>
                <w:rFonts w:ascii="Times New Roman" w:hAnsi="Times New Roman" w:cs="Times New Roman"/>
                <w:noProof/>
                <w:webHidden/>
                <w:sz w:val="24"/>
                <w:szCs w:val="24"/>
              </w:rPr>
              <w:fldChar w:fldCharType="separate"/>
            </w:r>
            <w:r w:rsidRPr="00103AD3">
              <w:rPr>
                <w:rFonts w:ascii="Times New Roman" w:hAnsi="Times New Roman" w:cs="Times New Roman"/>
                <w:noProof/>
                <w:webHidden/>
                <w:sz w:val="24"/>
                <w:szCs w:val="24"/>
              </w:rPr>
              <w:t>5</w:t>
            </w:r>
            <w:r w:rsidRPr="00103AD3">
              <w:rPr>
                <w:rFonts w:ascii="Times New Roman" w:hAnsi="Times New Roman" w:cs="Times New Roman"/>
                <w:noProof/>
                <w:webHidden/>
                <w:sz w:val="24"/>
                <w:szCs w:val="24"/>
              </w:rPr>
              <w:fldChar w:fldCharType="end"/>
            </w:r>
          </w:hyperlink>
        </w:p>
        <w:p w14:paraId="09959249" w14:textId="1C2BFF35" w:rsidR="00103AD3" w:rsidRPr="00103AD3" w:rsidRDefault="00103AD3" w:rsidP="00103AD3">
          <w:pPr>
            <w:pStyle w:val="TOC1"/>
            <w:tabs>
              <w:tab w:val="right" w:leader="dot" w:pos="9019"/>
            </w:tabs>
            <w:spacing w:line="480" w:lineRule="auto"/>
            <w:jc w:val="both"/>
            <w:rPr>
              <w:rFonts w:ascii="Times New Roman" w:eastAsiaTheme="minorEastAsia" w:hAnsi="Times New Roman" w:cs="Times New Roman"/>
              <w:noProof/>
              <w:kern w:val="2"/>
              <w:sz w:val="28"/>
              <w:szCs w:val="28"/>
              <w:lang w:val="en-IN"/>
              <w14:ligatures w14:val="standardContextual"/>
            </w:rPr>
          </w:pPr>
          <w:hyperlink w:anchor="_Toc237029084" w:history="1">
            <w:r w:rsidRPr="00103AD3">
              <w:rPr>
                <w:rStyle w:val="Hyperlink"/>
                <w:rFonts w:ascii="Times New Roman" w:hAnsi="Times New Roman" w:cs="Times New Roman"/>
                <w:noProof/>
                <w:sz w:val="24"/>
                <w:szCs w:val="24"/>
              </w:rPr>
              <w:t>4. Threat Mitigation Strategy</w:t>
            </w:r>
            <w:r w:rsidRPr="00103AD3">
              <w:rPr>
                <w:rFonts w:ascii="Times New Roman" w:hAnsi="Times New Roman" w:cs="Times New Roman"/>
                <w:noProof/>
                <w:webHidden/>
                <w:sz w:val="24"/>
                <w:szCs w:val="24"/>
              </w:rPr>
              <w:tab/>
            </w:r>
            <w:r w:rsidRPr="00103AD3">
              <w:rPr>
                <w:rFonts w:ascii="Times New Roman" w:hAnsi="Times New Roman" w:cs="Times New Roman"/>
                <w:noProof/>
                <w:webHidden/>
                <w:sz w:val="24"/>
                <w:szCs w:val="24"/>
              </w:rPr>
              <w:fldChar w:fldCharType="begin"/>
            </w:r>
            <w:r w:rsidRPr="00103AD3">
              <w:rPr>
                <w:rFonts w:ascii="Times New Roman" w:hAnsi="Times New Roman" w:cs="Times New Roman"/>
                <w:noProof/>
                <w:webHidden/>
                <w:sz w:val="24"/>
                <w:szCs w:val="24"/>
              </w:rPr>
              <w:instrText xml:space="preserve"> PAGEREF _Toc237029084 \h </w:instrText>
            </w:r>
            <w:r w:rsidRPr="00103AD3">
              <w:rPr>
                <w:rFonts w:ascii="Times New Roman" w:hAnsi="Times New Roman" w:cs="Times New Roman"/>
                <w:noProof/>
                <w:webHidden/>
                <w:sz w:val="24"/>
                <w:szCs w:val="24"/>
              </w:rPr>
            </w:r>
            <w:r w:rsidRPr="00103AD3">
              <w:rPr>
                <w:rFonts w:ascii="Times New Roman" w:hAnsi="Times New Roman" w:cs="Times New Roman"/>
                <w:noProof/>
                <w:webHidden/>
                <w:sz w:val="24"/>
                <w:szCs w:val="24"/>
              </w:rPr>
              <w:fldChar w:fldCharType="separate"/>
            </w:r>
            <w:r w:rsidRPr="00103AD3">
              <w:rPr>
                <w:rFonts w:ascii="Times New Roman" w:hAnsi="Times New Roman" w:cs="Times New Roman"/>
                <w:noProof/>
                <w:webHidden/>
                <w:sz w:val="24"/>
                <w:szCs w:val="24"/>
              </w:rPr>
              <w:t>7</w:t>
            </w:r>
            <w:r w:rsidRPr="00103AD3">
              <w:rPr>
                <w:rFonts w:ascii="Times New Roman" w:hAnsi="Times New Roman" w:cs="Times New Roman"/>
                <w:noProof/>
                <w:webHidden/>
                <w:sz w:val="24"/>
                <w:szCs w:val="24"/>
              </w:rPr>
              <w:fldChar w:fldCharType="end"/>
            </w:r>
          </w:hyperlink>
        </w:p>
        <w:p w14:paraId="4A19C167" w14:textId="5FE23F2B" w:rsidR="00103AD3" w:rsidRPr="00103AD3" w:rsidRDefault="00103AD3" w:rsidP="00103AD3">
          <w:pPr>
            <w:pStyle w:val="TOC1"/>
            <w:tabs>
              <w:tab w:val="right" w:leader="dot" w:pos="9019"/>
            </w:tabs>
            <w:spacing w:line="480" w:lineRule="auto"/>
            <w:jc w:val="both"/>
            <w:rPr>
              <w:rFonts w:ascii="Times New Roman" w:eastAsiaTheme="minorEastAsia" w:hAnsi="Times New Roman" w:cs="Times New Roman"/>
              <w:noProof/>
              <w:kern w:val="2"/>
              <w:sz w:val="28"/>
              <w:szCs w:val="28"/>
              <w:lang w:val="en-IN"/>
              <w14:ligatures w14:val="standardContextual"/>
            </w:rPr>
          </w:pPr>
          <w:hyperlink w:anchor="_Toc237029085" w:history="1">
            <w:r w:rsidRPr="00103AD3">
              <w:rPr>
                <w:rStyle w:val="Hyperlink"/>
                <w:rFonts w:ascii="Times New Roman" w:hAnsi="Times New Roman" w:cs="Times New Roman"/>
                <w:noProof/>
                <w:sz w:val="24"/>
                <w:szCs w:val="24"/>
              </w:rPr>
              <w:t>5. Network Monitoring and Incident Response Plan</w:t>
            </w:r>
            <w:r w:rsidRPr="00103AD3">
              <w:rPr>
                <w:rFonts w:ascii="Times New Roman" w:hAnsi="Times New Roman" w:cs="Times New Roman"/>
                <w:noProof/>
                <w:webHidden/>
                <w:sz w:val="24"/>
                <w:szCs w:val="24"/>
              </w:rPr>
              <w:tab/>
            </w:r>
            <w:r w:rsidRPr="00103AD3">
              <w:rPr>
                <w:rFonts w:ascii="Times New Roman" w:hAnsi="Times New Roman" w:cs="Times New Roman"/>
                <w:noProof/>
                <w:webHidden/>
                <w:sz w:val="24"/>
                <w:szCs w:val="24"/>
              </w:rPr>
              <w:fldChar w:fldCharType="begin"/>
            </w:r>
            <w:r w:rsidRPr="00103AD3">
              <w:rPr>
                <w:rFonts w:ascii="Times New Roman" w:hAnsi="Times New Roman" w:cs="Times New Roman"/>
                <w:noProof/>
                <w:webHidden/>
                <w:sz w:val="24"/>
                <w:szCs w:val="24"/>
              </w:rPr>
              <w:instrText xml:space="preserve"> PAGEREF _Toc237029085 \h </w:instrText>
            </w:r>
            <w:r w:rsidRPr="00103AD3">
              <w:rPr>
                <w:rFonts w:ascii="Times New Roman" w:hAnsi="Times New Roman" w:cs="Times New Roman"/>
                <w:noProof/>
                <w:webHidden/>
                <w:sz w:val="24"/>
                <w:szCs w:val="24"/>
              </w:rPr>
            </w:r>
            <w:r w:rsidRPr="00103AD3">
              <w:rPr>
                <w:rFonts w:ascii="Times New Roman" w:hAnsi="Times New Roman" w:cs="Times New Roman"/>
                <w:noProof/>
                <w:webHidden/>
                <w:sz w:val="24"/>
                <w:szCs w:val="24"/>
              </w:rPr>
              <w:fldChar w:fldCharType="separate"/>
            </w:r>
            <w:r w:rsidRPr="00103AD3">
              <w:rPr>
                <w:rFonts w:ascii="Times New Roman" w:hAnsi="Times New Roman" w:cs="Times New Roman"/>
                <w:noProof/>
                <w:webHidden/>
                <w:sz w:val="24"/>
                <w:szCs w:val="24"/>
              </w:rPr>
              <w:t>9</w:t>
            </w:r>
            <w:r w:rsidRPr="00103AD3">
              <w:rPr>
                <w:rFonts w:ascii="Times New Roman" w:hAnsi="Times New Roman" w:cs="Times New Roman"/>
                <w:noProof/>
                <w:webHidden/>
                <w:sz w:val="24"/>
                <w:szCs w:val="24"/>
              </w:rPr>
              <w:fldChar w:fldCharType="end"/>
            </w:r>
          </w:hyperlink>
        </w:p>
        <w:p w14:paraId="591D5FD0" w14:textId="239991D0" w:rsidR="00103AD3" w:rsidRPr="00103AD3" w:rsidRDefault="00103AD3" w:rsidP="00103AD3">
          <w:pPr>
            <w:pStyle w:val="TOC1"/>
            <w:tabs>
              <w:tab w:val="right" w:leader="dot" w:pos="9019"/>
            </w:tabs>
            <w:spacing w:line="480" w:lineRule="auto"/>
            <w:jc w:val="both"/>
            <w:rPr>
              <w:rFonts w:ascii="Times New Roman" w:eastAsiaTheme="minorEastAsia" w:hAnsi="Times New Roman" w:cs="Times New Roman"/>
              <w:noProof/>
              <w:kern w:val="2"/>
              <w:sz w:val="28"/>
              <w:szCs w:val="28"/>
              <w:lang w:val="en-IN"/>
              <w14:ligatures w14:val="standardContextual"/>
            </w:rPr>
          </w:pPr>
          <w:hyperlink w:anchor="_Toc237029086" w:history="1">
            <w:r w:rsidRPr="00103AD3">
              <w:rPr>
                <w:rStyle w:val="Hyperlink"/>
                <w:rFonts w:ascii="Times New Roman" w:hAnsi="Times New Roman" w:cs="Times New Roman"/>
                <w:noProof/>
                <w:sz w:val="24"/>
                <w:szCs w:val="24"/>
              </w:rPr>
              <w:t>6. Cybersecurity Awareness and Training Programme</w:t>
            </w:r>
            <w:r w:rsidRPr="00103AD3">
              <w:rPr>
                <w:rFonts w:ascii="Times New Roman" w:hAnsi="Times New Roman" w:cs="Times New Roman"/>
                <w:noProof/>
                <w:webHidden/>
                <w:sz w:val="24"/>
                <w:szCs w:val="24"/>
              </w:rPr>
              <w:tab/>
            </w:r>
            <w:r w:rsidRPr="00103AD3">
              <w:rPr>
                <w:rFonts w:ascii="Times New Roman" w:hAnsi="Times New Roman" w:cs="Times New Roman"/>
                <w:noProof/>
                <w:webHidden/>
                <w:sz w:val="24"/>
                <w:szCs w:val="24"/>
              </w:rPr>
              <w:fldChar w:fldCharType="begin"/>
            </w:r>
            <w:r w:rsidRPr="00103AD3">
              <w:rPr>
                <w:rFonts w:ascii="Times New Roman" w:hAnsi="Times New Roman" w:cs="Times New Roman"/>
                <w:noProof/>
                <w:webHidden/>
                <w:sz w:val="24"/>
                <w:szCs w:val="24"/>
              </w:rPr>
              <w:instrText xml:space="preserve"> PAGEREF _Toc237029086 \h </w:instrText>
            </w:r>
            <w:r w:rsidRPr="00103AD3">
              <w:rPr>
                <w:rFonts w:ascii="Times New Roman" w:hAnsi="Times New Roman" w:cs="Times New Roman"/>
                <w:noProof/>
                <w:webHidden/>
                <w:sz w:val="24"/>
                <w:szCs w:val="24"/>
              </w:rPr>
            </w:r>
            <w:r w:rsidRPr="00103AD3">
              <w:rPr>
                <w:rFonts w:ascii="Times New Roman" w:hAnsi="Times New Roman" w:cs="Times New Roman"/>
                <w:noProof/>
                <w:webHidden/>
                <w:sz w:val="24"/>
                <w:szCs w:val="24"/>
              </w:rPr>
              <w:fldChar w:fldCharType="separate"/>
            </w:r>
            <w:r w:rsidRPr="00103AD3">
              <w:rPr>
                <w:rFonts w:ascii="Times New Roman" w:hAnsi="Times New Roman" w:cs="Times New Roman"/>
                <w:noProof/>
                <w:webHidden/>
                <w:sz w:val="24"/>
                <w:szCs w:val="24"/>
              </w:rPr>
              <w:t>11</w:t>
            </w:r>
            <w:r w:rsidRPr="00103AD3">
              <w:rPr>
                <w:rFonts w:ascii="Times New Roman" w:hAnsi="Times New Roman" w:cs="Times New Roman"/>
                <w:noProof/>
                <w:webHidden/>
                <w:sz w:val="24"/>
                <w:szCs w:val="24"/>
              </w:rPr>
              <w:fldChar w:fldCharType="end"/>
            </w:r>
          </w:hyperlink>
        </w:p>
        <w:p w14:paraId="56F18EC5" w14:textId="027B4D7F" w:rsidR="00103AD3" w:rsidRPr="00103AD3" w:rsidRDefault="00103AD3" w:rsidP="00103AD3">
          <w:pPr>
            <w:pStyle w:val="TOC1"/>
            <w:tabs>
              <w:tab w:val="right" w:leader="dot" w:pos="9019"/>
            </w:tabs>
            <w:spacing w:line="480" w:lineRule="auto"/>
            <w:jc w:val="both"/>
            <w:rPr>
              <w:rFonts w:ascii="Times New Roman" w:eastAsiaTheme="minorEastAsia" w:hAnsi="Times New Roman" w:cs="Times New Roman"/>
              <w:noProof/>
              <w:kern w:val="2"/>
              <w:sz w:val="28"/>
              <w:szCs w:val="28"/>
              <w:lang w:val="en-IN"/>
              <w14:ligatures w14:val="standardContextual"/>
            </w:rPr>
          </w:pPr>
          <w:hyperlink w:anchor="_Toc237029087" w:history="1">
            <w:r w:rsidRPr="00103AD3">
              <w:rPr>
                <w:rStyle w:val="Hyperlink"/>
                <w:rFonts w:ascii="Times New Roman" w:hAnsi="Times New Roman" w:cs="Times New Roman"/>
                <w:noProof/>
                <w:sz w:val="24"/>
                <w:szCs w:val="24"/>
              </w:rPr>
              <w:t>7. Conclusion</w:t>
            </w:r>
            <w:r w:rsidRPr="00103AD3">
              <w:rPr>
                <w:rFonts w:ascii="Times New Roman" w:hAnsi="Times New Roman" w:cs="Times New Roman"/>
                <w:noProof/>
                <w:webHidden/>
                <w:sz w:val="24"/>
                <w:szCs w:val="24"/>
              </w:rPr>
              <w:tab/>
            </w:r>
            <w:r w:rsidRPr="00103AD3">
              <w:rPr>
                <w:rFonts w:ascii="Times New Roman" w:hAnsi="Times New Roman" w:cs="Times New Roman"/>
                <w:noProof/>
                <w:webHidden/>
                <w:sz w:val="24"/>
                <w:szCs w:val="24"/>
              </w:rPr>
              <w:fldChar w:fldCharType="begin"/>
            </w:r>
            <w:r w:rsidRPr="00103AD3">
              <w:rPr>
                <w:rFonts w:ascii="Times New Roman" w:hAnsi="Times New Roman" w:cs="Times New Roman"/>
                <w:noProof/>
                <w:webHidden/>
                <w:sz w:val="24"/>
                <w:szCs w:val="24"/>
              </w:rPr>
              <w:instrText xml:space="preserve"> PAGEREF _Toc237029087 \h </w:instrText>
            </w:r>
            <w:r w:rsidRPr="00103AD3">
              <w:rPr>
                <w:rFonts w:ascii="Times New Roman" w:hAnsi="Times New Roman" w:cs="Times New Roman"/>
                <w:noProof/>
                <w:webHidden/>
                <w:sz w:val="24"/>
                <w:szCs w:val="24"/>
              </w:rPr>
            </w:r>
            <w:r w:rsidRPr="00103AD3">
              <w:rPr>
                <w:rFonts w:ascii="Times New Roman" w:hAnsi="Times New Roman" w:cs="Times New Roman"/>
                <w:noProof/>
                <w:webHidden/>
                <w:sz w:val="24"/>
                <w:szCs w:val="24"/>
              </w:rPr>
              <w:fldChar w:fldCharType="separate"/>
            </w:r>
            <w:r w:rsidRPr="00103AD3">
              <w:rPr>
                <w:rFonts w:ascii="Times New Roman" w:hAnsi="Times New Roman" w:cs="Times New Roman"/>
                <w:noProof/>
                <w:webHidden/>
                <w:sz w:val="24"/>
                <w:szCs w:val="24"/>
              </w:rPr>
              <w:t>12</w:t>
            </w:r>
            <w:r w:rsidRPr="00103AD3">
              <w:rPr>
                <w:rFonts w:ascii="Times New Roman" w:hAnsi="Times New Roman" w:cs="Times New Roman"/>
                <w:noProof/>
                <w:webHidden/>
                <w:sz w:val="24"/>
                <w:szCs w:val="24"/>
              </w:rPr>
              <w:fldChar w:fldCharType="end"/>
            </w:r>
          </w:hyperlink>
        </w:p>
        <w:p w14:paraId="0BFEFE1A" w14:textId="1691D9AE" w:rsidR="00103AD3" w:rsidRPr="00103AD3" w:rsidRDefault="00103AD3" w:rsidP="00103AD3">
          <w:pPr>
            <w:pStyle w:val="TOC1"/>
            <w:tabs>
              <w:tab w:val="right" w:leader="dot" w:pos="9019"/>
            </w:tabs>
            <w:spacing w:line="480" w:lineRule="auto"/>
            <w:jc w:val="both"/>
            <w:rPr>
              <w:rFonts w:ascii="Times New Roman" w:eastAsiaTheme="minorEastAsia" w:hAnsi="Times New Roman" w:cs="Times New Roman"/>
              <w:noProof/>
              <w:kern w:val="2"/>
              <w:sz w:val="28"/>
              <w:szCs w:val="28"/>
              <w:lang w:val="en-IN"/>
              <w14:ligatures w14:val="standardContextual"/>
            </w:rPr>
          </w:pPr>
          <w:hyperlink w:anchor="_Toc237029088" w:history="1">
            <w:r w:rsidRPr="00103AD3">
              <w:rPr>
                <w:rStyle w:val="Hyperlink"/>
                <w:rFonts w:ascii="Times New Roman" w:hAnsi="Times New Roman" w:cs="Times New Roman"/>
                <w:noProof/>
                <w:sz w:val="24"/>
                <w:szCs w:val="24"/>
              </w:rPr>
              <w:t>Reference List</w:t>
            </w:r>
            <w:r w:rsidRPr="00103AD3">
              <w:rPr>
                <w:rFonts w:ascii="Times New Roman" w:hAnsi="Times New Roman" w:cs="Times New Roman"/>
                <w:noProof/>
                <w:webHidden/>
                <w:sz w:val="24"/>
                <w:szCs w:val="24"/>
              </w:rPr>
              <w:tab/>
            </w:r>
            <w:r w:rsidRPr="00103AD3">
              <w:rPr>
                <w:rFonts w:ascii="Times New Roman" w:hAnsi="Times New Roman" w:cs="Times New Roman"/>
                <w:noProof/>
                <w:webHidden/>
                <w:sz w:val="24"/>
                <w:szCs w:val="24"/>
              </w:rPr>
              <w:fldChar w:fldCharType="begin"/>
            </w:r>
            <w:r w:rsidRPr="00103AD3">
              <w:rPr>
                <w:rFonts w:ascii="Times New Roman" w:hAnsi="Times New Roman" w:cs="Times New Roman"/>
                <w:noProof/>
                <w:webHidden/>
                <w:sz w:val="24"/>
                <w:szCs w:val="24"/>
              </w:rPr>
              <w:instrText xml:space="preserve"> PAGEREF _Toc237029088 \h </w:instrText>
            </w:r>
            <w:r w:rsidRPr="00103AD3">
              <w:rPr>
                <w:rFonts w:ascii="Times New Roman" w:hAnsi="Times New Roman" w:cs="Times New Roman"/>
                <w:noProof/>
                <w:webHidden/>
                <w:sz w:val="24"/>
                <w:szCs w:val="24"/>
              </w:rPr>
            </w:r>
            <w:r w:rsidRPr="00103AD3">
              <w:rPr>
                <w:rFonts w:ascii="Times New Roman" w:hAnsi="Times New Roman" w:cs="Times New Roman"/>
                <w:noProof/>
                <w:webHidden/>
                <w:sz w:val="24"/>
                <w:szCs w:val="24"/>
              </w:rPr>
              <w:fldChar w:fldCharType="separate"/>
            </w:r>
            <w:r w:rsidRPr="00103AD3">
              <w:rPr>
                <w:rFonts w:ascii="Times New Roman" w:hAnsi="Times New Roman" w:cs="Times New Roman"/>
                <w:noProof/>
                <w:webHidden/>
                <w:sz w:val="24"/>
                <w:szCs w:val="24"/>
              </w:rPr>
              <w:t>13</w:t>
            </w:r>
            <w:r w:rsidRPr="00103AD3">
              <w:rPr>
                <w:rFonts w:ascii="Times New Roman" w:hAnsi="Times New Roman" w:cs="Times New Roman"/>
                <w:noProof/>
                <w:webHidden/>
                <w:sz w:val="24"/>
                <w:szCs w:val="24"/>
              </w:rPr>
              <w:fldChar w:fldCharType="end"/>
            </w:r>
          </w:hyperlink>
        </w:p>
        <w:p w14:paraId="5066D973" w14:textId="0A16B58C" w:rsidR="00103AD3" w:rsidRPr="00103AD3" w:rsidRDefault="00103AD3" w:rsidP="00103AD3">
          <w:pPr>
            <w:pStyle w:val="TOC1"/>
            <w:tabs>
              <w:tab w:val="right" w:leader="dot" w:pos="9019"/>
            </w:tabs>
            <w:spacing w:line="480" w:lineRule="auto"/>
            <w:jc w:val="both"/>
            <w:rPr>
              <w:rFonts w:ascii="Times New Roman" w:eastAsiaTheme="minorEastAsia" w:hAnsi="Times New Roman" w:cs="Times New Roman"/>
              <w:noProof/>
              <w:kern w:val="2"/>
              <w:sz w:val="28"/>
              <w:szCs w:val="28"/>
              <w:lang w:val="en-IN"/>
              <w14:ligatures w14:val="standardContextual"/>
            </w:rPr>
          </w:pPr>
          <w:hyperlink w:anchor="_Toc237029089" w:history="1">
            <w:r w:rsidRPr="00103AD3">
              <w:rPr>
                <w:rStyle w:val="Hyperlink"/>
                <w:rFonts w:ascii="Times New Roman" w:hAnsi="Times New Roman" w:cs="Times New Roman"/>
                <w:noProof/>
                <w:sz w:val="24"/>
                <w:szCs w:val="24"/>
              </w:rPr>
              <w:t>Appendix</w:t>
            </w:r>
            <w:r w:rsidRPr="00103AD3">
              <w:rPr>
                <w:rFonts w:ascii="Times New Roman" w:hAnsi="Times New Roman" w:cs="Times New Roman"/>
                <w:noProof/>
                <w:webHidden/>
                <w:sz w:val="24"/>
                <w:szCs w:val="24"/>
              </w:rPr>
              <w:tab/>
            </w:r>
            <w:r w:rsidRPr="00103AD3">
              <w:rPr>
                <w:rFonts w:ascii="Times New Roman" w:hAnsi="Times New Roman" w:cs="Times New Roman"/>
                <w:noProof/>
                <w:webHidden/>
                <w:sz w:val="24"/>
                <w:szCs w:val="24"/>
              </w:rPr>
              <w:fldChar w:fldCharType="begin"/>
            </w:r>
            <w:r w:rsidRPr="00103AD3">
              <w:rPr>
                <w:rFonts w:ascii="Times New Roman" w:hAnsi="Times New Roman" w:cs="Times New Roman"/>
                <w:noProof/>
                <w:webHidden/>
                <w:sz w:val="24"/>
                <w:szCs w:val="24"/>
              </w:rPr>
              <w:instrText xml:space="preserve"> PAGEREF _Toc237029089 \h </w:instrText>
            </w:r>
            <w:r w:rsidRPr="00103AD3">
              <w:rPr>
                <w:rFonts w:ascii="Times New Roman" w:hAnsi="Times New Roman" w:cs="Times New Roman"/>
                <w:noProof/>
                <w:webHidden/>
                <w:sz w:val="24"/>
                <w:szCs w:val="24"/>
              </w:rPr>
            </w:r>
            <w:r w:rsidRPr="00103AD3">
              <w:rPr>
                <w:rFonts w:ascii="Times New Roman" w:hAnsi="Times New Roman" w:cs="Times New Roman"/>
                <w:noProof/>
                <w:webHidden/>
                <w:sz w:val="24"/>
                <w:szCs w:val="24"/>
              </w:rPr>
              <w:fldChar w:fldCharType="separate"/>
            </w:r>
            <w:r w:rsidRPr="00103AD3">
              <w:rPr>
                <w:rFonts w:ascii="Times New Roman" w:hAnsi="Times New Roman" w:cs="Times New Roman"/>
                <w:noProof/>
                <w:webHidden/>
                <w:sz w:val="24"/>
                <w:szCs w:val="24"/>
              </w:rPr>
              <w:t>16</w:t>
            </w:r>
            <w:r w:rsidRPr="00103AD3">
              <w:rPr>
                <w:rFonts w:ascii="Times New Roman" w:hAnsi="Times New Roman" w:cs="Times New Roman"/>
                <w:noProof/>
                <w:webHidden/>
                <w:sz w:val="24"/>
                <w:szCs w:val="24"/>
              </w:rPr>
              <w:fldChar w:fldCharType="end"/>
            </w:r>
          </w:hyperlink>
        </w:p>
        <w:p w14:paraId="2327B4E9" w14:textId="14B0FEDA" w:rsidR="00AB0EB2" w:rsidRPr="00103AD3" w:rsidRDefault="00AB0EB2" w:rsidP="00103AD3">
          <w:pPr>
            <w:spacing w:line="480" w:lineRule="auto"/>
            <w:jc w:val="both"/>
            <w:rPr>
              <w:rFonts w:ascii="Times New Roman" w:hAnsi="Times New Roman" w:cs="Times New Roman"/>
              <w:sz w:val="24"/>
              <w:szCs w:val="24"/>
            </w:rPr>
          </w:pPr>
          <w:r w:rsidRPr="00103AD3">
            <w:rPr>
              <w:rFonts w:ascii="Times New Roman" w:hAnsi="Times New Roman" w:cs="Times New Roman"/>
              <w:b/>
              <w:bCs/>
              <w:noProof/>
              <w:sz w:val="24"/>
              <w:szCs w:val="24"/>
            </w:rPr>
            <w:fldChar w:fldCharType="end"/>
          </w:r>
        </w:p>
      </w:sdtContent>
    </w:sdt>
    <w:p w14:paraId="41D2F17F" w14:textId="77777777" w:rsidR="005F263C" w:rsidRDefault="005F263C">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54875A5F" w14:textId="77777777" w:rsidR="0095498E" w:rsidRPr="005F263C" w:rsidRDefault="00000000" w:rsidP="005F263C">
      <w:pPr>
        <w:pStyle w:val="Heading1"/>
      </w:pPr>
      <w:bookmarkStart w:id="0" w:name="_Toc237029081"/>
      <w:r w:rsidRPr="005F263C">
        <w:lastRenderedPageBreak/>
        <w:t>1. Introduction</w:t>
      </w:r>
      <w:bookmarkEnd w:id="0"/>
    </w:p>
    <w:p w14:paraId="67A2C20E" w14:textId="4441548D"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use of Industry 4.0 technologies has changed the landscape of manufacturing, introducing smart manufacturing systems, Industrial Internet of Things (</w:t>
      </w:r>
      <w:proofErr w:type="spellStart"/>
      <w:r>
        <w:rPr>
          <w:rFonts w:ascii="Times New Roman" w:eastAsia="Times New Roman" w:hAnsi="Times New Roman" w:cs="Times New Roman"/>
          <w:sz w:val="24"/>
          <w:szCs w:val="24"/>
        </w:rPr>
        <w:t>IIoT</w:t>
      </w:r>
      <w:proofErr w:type="spellEnd"/>
      <w:r>
        <w:rPr>
          <w:rFonts w:ascii="Times New Roman" w:eastAsia="Times New Roman" w:hAnsi="Times New Roman" w:cs="Times New Roman"/>
          <w:sz w:val="24"/>
          <w:szCs w:val="24"/>
        </w:rPr>
        <w:t xml:space="preserve">) devices, cloud-based manufacturing platforms, and connecting the manufacturing process with digital supply chains, which have improved the efficiency of manufacturing processes, real-time decision-making, and manufacturing flexibility (Atieh et al. 2023). But the growing convergence of operational technology (OT), information technology (IT) and external networks has greatly increased the cyberattack surface, putting manufacturing organisations at risk of operational disruption, IP theft and data breaches. </w:t>
      </w:r>
      <w:proofErr w:type="spellStart"/>
      <w:r>
        <w:rPr>
          <w:rFonts w:ascii="Times New Roman" w:eastAsia="Times New Roman" w:hAnsi="Times New Roman" w:cs="Times New Roman"/>
          <w:sz w:val="24"/>
          <w:szCs w:val="24"/>
        </w:rPr>
        <w:t>SteelForm</w:t>
      </w:r>
      <w:proofErr w:type="spellEnd"/>
      <w:r>
        <w:rPr>
          <w:rFonts w:ascii="Times New Roman" w:eastAsia="Times New Roman" w:hAnsi="Times New Roman" w:cs="Times New Roman"/>
          <w:sz w:val="24"/>
          <w:szCs w:val="24"/>
        </w:rPr>
        <w:t xml:space="preserve"> Manufacturing Ltd. (SFM) is a small to medium sized manufacturer in the automotive and aerospace industries and recently has implemented a number of IoT enabled sensors, automated machines and a </w:t>
      </w:r>
      <w:r w:rsidR="005F263C">
        <w:rPr>
          <w:rFonts w:ascii="Times New Roman" w:eastAsia="Times New Roman" w:hAnsi="Times New Roman" w:cs="Times New Roman"/>
          <w:sz w:val="24"/>
          <w:szCs w:val="24"/>
        </w:rPr>
        <w:t>cloud-based</w:t>
      </w:r>
      <w:r>
        <w:rPr>
          <w:rFonts w:ascii="Times New Roman" w:eastAsia="Times New Roman" w:hAnsi="Times New Roman" w:cs="Times New Roman"/>
          <w:sz w:val="24"/>
          <w:szCs w:val="24"/>
        </w:rPr>
        <w:t xml:space="preserve"> production management system but has experienced Malware infections, phishing attacks and attempts to hack the system. </w:t>
      </w:r>
    </w:p>
    <w:p w14:paraId="69FB813A" w14:textId="77777777" w:rsidR="0095498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will give a complete cyber security and data governance policy that includes security controls, threat mitigation, continuous monitoring, incident response plans, staff awareness plans and more, based on industry recognised cyber security frameworks. Specifically, the report is to identify cyber risks, provide cyber security policies and mitigation options, establish a cyber monitoring framework and enhance the organisation's cyber resilience in SFM's Industry 4.0 environment.</w:t>
      </w:r>
    </w:p>
    <w:p w14:paraId="70998EB8" w14:textId="77777777" w:rsidR="0095498E" w:rsidRDefault="00000000" w:rsidP="005F263C">
      <w:pPr>
        <w:pStyle w:val="Heading1"/>
      </w:pPr>
      <w:bookmarkStart w:id="1" w:name="_Toc237029082"/>
      <w:r>
        <w:t>2. Cybersecurity Threat Assessment</w:t>
      </w:r>
      <w:bookmarkEnd w:id="1"/>
      <w:r>
        <w:t xml:space="preserve"> </w:t>
      </w:r>
    </w:p>
    <w:p w14:paraId="4E052453"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environment at </w:t>
      </w:r>
      <w:proofErr w:type="spellStart"/>
      <w:r>
        <w:rPr>
          <w:rFonts w:ascii="Times New Roman" w:eastAsia="Times New Roman" w:hAnsi="Times New Roman" w:cs="Times New Roman"/>
          <w:sz w:val="24"/>
          <w:szCs w:val="24"/>
        </w:rPr>
        <w:t>SteelForm</w:t>
      </w:r>
      <w:proofErr w:type="spellEnd"/>
      <w:r>
        <w:rPr>
          <w:rFonts w:ascii="Times New Roman" w:eastAsia="Times New Roman" w:hAnsi="Times New Roman" w:cs="Times New Roman"/>
          <w:sz w:val="24"/>
          <w:szCs w:val="24"/>
        </w:rPr>
        <w:t xml:space="preserve"> Manufacturing Ltd. (SFM) is very much connected (also known as Industry 4.0) with operational technology (OT) seamlessly passing data to information technology (IT), Industrial Internet of Things (</w:t>
      </w:r>
      <w:proofErr w:type="spellStart"/>
      <w:r>
        <w:rPr>
          <w:rFonts w:ascii="Times New Roman" w:eastAsia="Times New Roman" w:hAnsi="Times New Roman" w:cs="Times New Roman"/>
          <w:sz w:val="24"/>
          <w:szCs w:val="24"/>
        </w:rPr>
        <w:t>IIoT</w:t>
      </w:r>
      <w:proofErr w:type="spellEnd"/>
      <w:r>
        <w:rPr>
          <w:rFonts w:ascii="Times New Roman" w:eastAsia="Times New Roman" w:hAnsi="Times New Roman" w:cs="Times New Roman"/>
          <w:sz w:val="24"/>
          <w:szCs w:val="24"/>
        </w:rPr>
        <w:t xml:space="preserve">) devices and cloud platforms. This convergence further exposes the organization to a host of internal and external cyber threats while making the impact of these threats on the operations of the organization greater. </w:t>
      </w:r>
      <w:r>
        <w:rPr>
          <w:rFonts w:ascii="Times New Roman" w:eastAsia="Times New Roman" w:hAnsi="Times New Roman" w:cs="Times New Roman"/>
          <w:sz w:val="24"/>
          <w:szCs w:val="24"/>
        </w:rPr>
        <w:lastRenderedPageBreak/>
        <w:t xml:space="preserve">Insider threats, employee negligence, weak authentication, privilege abuse, misconfigured systems, lack of patching, and human error/Shadow IT can all be factors that affect production integrity and can leak sensitive engineering data within the company. For instance, there are other vulnerabilities that can be exploited by an attacker by either installing unapproved software on programmable logic controllers (PLCs) or by not updating the software in a timely manner that might lead to PLC malfunction or even jeopardizing the production (Rahman et al. 2023; </w:t>
      </w:r>
      <w:proofErr w:type="spellStart"/>
      <w:r>
        <w:rPr>
          <w:rFonts w:ascii="Times New Roman" w:eastAsia="Times New Roman" w:hAnsi="Times New Roman" w:cs="Times New Roman"/>
          <w:sz w:val="24"/>
          <w:szCs w:val="24"/>
        </w:rPr>
        <w:t>Alqudhaibi</w:t>
      </w:r>
      <w:proofErr w:type="spellEnd"/>
      <w:r>
        <w:rPr>
          <w:rFonts w:ascii="Times New Roman" w:eastAsia="Times New Roman" w:hAnsi="Times New Roman" w:cs="Times New Roman"/>
          <w:sz w:val="24"/>
          <w:szCs w:val="24"/>
        </w:rPr>
        <w:t xml:space="preserve"> et al. 2025). Likewise, too many user privileges make it easier to accidentally or deliberately change manufacturing settings, which can impact product quality and continuity (Tang et al. 2024).</w:t>
      </w:r>
    </w:p>
    <w:p w14:paraId="364F6B2E" w14:textId="6635D332" w:rsidR="0095498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Attacks from outside the organization, such as phishing, ransomware, supply chain attacks, industrial espionage, advanced persistent threats (APTs), attacks against the </w:t>
      </w:r>
      <w:proofErr w:type="spellStart"/>
      <w:r>
        <w:rPr>
          <w:rFonts w:ascii="Times New Roman" w:eastAsia="Times New Roman" w:hAnsi="Times New Roman" w:cs="Times New Roman"/>
          <w:sz w:val="24"/>
          <w:szCs w:val="24"/>
        </w:rPr>
        <w:t>IIoT</w:t>
      </w:r>
      <w:proofErr w:type="spellEnd"/>
      <w:r>
        <w:rPr>
          <w:rFonts w:ascii="Times New Roman" w:eastAsia="Times New Roman" w:hAnsi="Times New Roman" w:cs="Times New Roman"/>
          <w:sz w:val="24"/>
          <w:szCs w:val="24"/>
        </w:rPr>
        <w:t xml:space="preserve">, cloud attacks, </w:t>
      </w:r>
      <w:r w:rsidR="005F263C">
        <w:rPr>
          <w:rFonts w:ascii="Times New Roman" w:eastAsia="Times New Roman" w:hAnsi="Times New Roman" w:cs="Times New Roman"/>
          <w:sz w:val="24"/>
          <w:szCs w:val="24"/>
        </w:rPr>
        <w:t>zero-day</w:t>
      </w:r>
      <w:r>
        <w:rPr>
          <w:rFonts w:ascii="Times New Roman" w:eastAsia="Times New Roman" w:hAnsi="Times New Roman" w:cs="Times New Roman"/>
          <w:sz w:val="24"/>
          <w:szCs w:val="24"/>
        </w:rPr>
        <w:t xml:space="preserve"> exploits, credential theft, and distributed denial of service (DDoS) attacks, are all serious threats. Ransomware may be used to encrypt information on manufacturing systems, while phishing might be used to access supply chain accounts to commit fraud. In addition, actors behind cybercrime are exploiting loosely coupled devices and platforms to establish a long-term presence within manufacturing environments to exfiltrate or sabotage (Al-</w:t>
      </w:r>
      <w:proofErr w:type="spellStart"/>
      <w:r>
        <w:rPr>
          <w:rFonts w:ascii="Times New Roman" w:eastAsia="Times New Roman" w:hAnsi="Times New Roman" w:cs="Times New Roman"/>
          <w:sz w:val="24"/>
          <w:szCs w:val="24"/>
        </w:rPr>
        <w:t>Hawawreh</w:t>
      </w:r>
      <w:proofErr w:type="spellEnd"/>
      <w:r>
        <w:rPr>
          <w:rFonts w:ascii="Times New Roman" w:eastAsia="Times New Roman" w:hAnsi="Times New Roman" w:cs="Times New Roman"/>
          <w:sz w:val="24"/>
          <w:szCs w:val="24"/>
        </w:rPr>
        <w:t xml:space="preserve"> et al. 2024; Umer et al. 2024). The CIA Triad can be used to assess the effect of these threats, as illustrated in Table 2.1.</w:t>
      </w:r>
    </w:p>
    <w:p w14:paraId="1FCF9430" w14:textId="77777777" w:rsidR="0095498E" w:rsidRDefault="00000000">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2.1: CIA Triad </w:t>
      </w:r>
    </w:p>
    <w:tbl>
      <w:tblPr>
        <w:tblStyle w:val="a"/>
        <w:tblW w:w="90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00"/>
        <w:gridCol w:w="1785"/>
        <w:gridCol w:w="1095"/>
        <w:gridCol w:w="1530"/>
        <w:gridCol w:w="2805"/>
      </w:tblGrid>
      <w:tr w:rsidR="0095498E" w14:paraId="143B3EB7" w14:textId="77777777">
        <w:trPr>
          <w:trHeight w:val="285"/>
        </w:trPr>
        <w:tc>
          <w:tcPr>
            <w:tcW w:w="180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7974AC0F" w14:textId="77777777" w:rsidR="0095498E" w:rsidRDefault="00000000">
            <w:pPr>
              <w:spacing w:line="48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Threat</w:t>
            </w:r>
          </w:p>
        </w:tc>
        <w:tc>
          <w:tcPr>
            <w:tcW w:w="178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BF9A540" w14:textId="77777777" w:rsidR="0095498E" w:rsidRDefault="00000000">
            <w:pPr>
              <w:spacing w:line="48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Confidentiality</w:t>
            </w:r>
          </w:p>
        </w:tc>
        <w:tc>
          <w:tcPr>
            <w:tcW w:w="109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3454E03" w14:textId="77777777" w:rsidR="0095498E" w:rsidRDefault="00000000">
            <w:pPr>
              <w:spacing w:line="48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Integrity</w:t>
            </w:r>
          </w:p>
        </w:tc>
        <w:tc>
          <w:tcPr>
            <w:tcW w:w="15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4CE80B1" w14:textId="77777777" w:rsidR="0095498E" w:rsidRDefault="00000000">
            <w:pPr>
              <w:spacing w:line="48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Availability</w:t>
            </w:r>
          </w:p>
        </w:tc>
        <w:tc>
          <w:tcPr>
            <w:tcW w:w="280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12BB13C" w14:textId="77777777" w:rsidR="0095498E" w:rsidRDefault="00000000">
            <w:pPr>
              <w:spacing w:line="48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Business Impact</w:t>
            </w:r>
          </w:p>
        </w:tc>
      </w:tr>
      <w:tr w:rsidR="0095498E" w14:paraId="704241E9" w14:textId="77777777">
        <w:trPr>
          <w:trHeight w:val="285"/>
        </w:trPr>
        <w:tc>
          <w:tcPr>
            <w:tcW w:w="18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FE1A5E2"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Insider threats</w:t>
            </w:r>
          </w:p>
        </w:tc>
        <w:tc>
          <w:tcPr>
            <w:tcW w:w="1785" w:type="dxa"/>
            <w:tcBorders>
              <w:top w:val="nil"/>
              <w:left w:val="nil"/>
              <w:bottom w:val="single" w:sz="5" w:space="0" w:color="000000"/>
              <w:right w:val="single" w:sz="5" w:space="0" w:color="000000"/>
            </w:tcBorders>
            <w:tcMar>
              <w:top w:w="0" w:type="dxa"/>
              <w:left w:w="100" w:type="dxa"/>
              <w:bottom w:w="0" w:type="dxa"/>
              <w:right w:w="100" w:type="dxa"/>
            </w:tcMar>
          </w:tcPr>
          <w:p w14:paraId="4EA599CE"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095" w:type="dxa"/>
            <w:tcBorders>
              <w:top w:val="nil"/>
              <w:left w:val="nil"/>
              <w:bottom w:val="single" w:sz="5" w:space="0" w:color="000000"/>
              <w:right w:val="single" w:sz="5" w:space="0" w:color="000000"/>
            </w:tcBorders>
            <w:tcMar>
              <w:top w:w="0" w:type="dxa"/>
              <w:left w:w="100" w:type="dxa"/>
              <w:bottom w:w="0" w:type="dxa"/>
              <w:right w:w="100" w:type="dxa"/>
            </w:tcMar>
          </w:tcPr>
          <w:p w14:paraId="420A5159"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20DF912F"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2805" w:type="dxa"/>
            <w:tcBorders>
              <w:top w:val="nil"/>
              <w:left w:val="nil"/>
              <w:bottom w:val="single" w:sz="5" w:space="0" w:color="000000"/>
              <w:right w:val="single" w:sz="5" w:space="0" w:color="000000"/>
            </w:tcBorders>
            <w:tcMar>
              <w:top w:w="0" w:type="dxa"/>
              <w:left w:w="100" w:type="dxa"/>
              <w:bottom w:w="0" w:type="dxa"/>
              <w:right w:w="100" w:type="dxa"/>
            </w:tcMar>
          </w:tcPr>
          <w:p w14:paraId="3BD18759"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Intellectual property theft and data leakage</w:t>
            </w:r>
          </w:p>
        </w:tc>
      </w:tr>
      <w:tr w:rsidR="0095498E" w14:paraId="05861D73" w14:textId="77777777">
        <w:trPr>
          <w:trHeight w:val="285"/>
        </w:trPr>
        <w:tc>
          <w:tcPr>
            <w:tcW w:w="18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8E78D05"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Ransomware</w:t>
            </w:r>
          </w:p>
        </w:tc>
        <w:tc>
          <w:tcPr>
            <w:tcW w:w="1785" w:type="dxa"/>
            <w:tcBorders>
              <w:top w:val="nil"/>
              <w:left w:val="nil"/>
              <w:bottom w:val="single" w:sz="5" w:space="0" w:color="000000"/>
              <w:right w:val="single" w:sz="5" w:space="0" w:color="000000"/>
            </w:tcBorders>
            <w:tcMar>
              <w:top w:w="0" w:type="dxa"/>
              <w:left w:w="100" w:type="dxa"/>
              <w:bottom w:w="0" w:type="dxa"/>
              <w:right w:w="100" w:type="dxa"/>
            </w:tcMar>
          </w:tcPr>
          <w:p w14:paraId="2619B895"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095" w:type="dxa"/>
            <w:tcBorders>
              <w:top w:val="nil"/>
              <w:left w:val="nil"/>
              <w:bottom w:val="single" w:sz="5" w:space="0" w:color="000000"/>
              <w:right w:val="single" w:sz="5" w:space="0" w:color="000000"/>
            </w:tcBorders>
            <w:tcMar>
              <w:top w:w="0" w:type="dxa"/>
              <w:left w:w="100" w:type="dxa"/>
              <w:bottom w:w="0" w:type="dxa"/>
              <w:right w:w="100" w:type="dxa"/>
            </w:tcMar>
          </w:tcPr>
          <w:p w14:paraId="43CAF5B5"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5C4108D4"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805" w:type="dxa"/>
            <w:tcBorders>
              <w:top w:val="nil"/>
              <w:left w:val="nil"/>
              <w:bottom w:val="single" w:sz="5" w:space="0" w:color="000000"/>
              <w:right w:val="single" w:sz="5" w:space="0" w:color="000000"/>
            </w:tcBorders>
            <w:tcMar>
              <w:top w:w="0" w:type="dxa"/>
              <w:left w:w="100" w:type="dxa"/>
              <w:bottom w:w="0" w:type="dxa"/>
              <w:right w:w="100" w:type="dxa"/>
            </w:tcMar>
          </w:tcPr>
          <w:p w14:paraId="45FC9252"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Production downtime and financial losses</w:t>
            </w:r>
          </w:p>
        </w:tc>
      </w:tr>
      <w:tr w:rsidR="0095498E" w14:paraId="62232B9B" w14:textId="77777777">
        <w:trPr>
          <w:trHeight w:val="285"/>
        </w:trPr>
        <w:tc>
          <w:tcPr>
            <w:tcW w:w="18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5246719"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Phishing</w:t>
            </w:r>
          </w:p>
        </w:tc>
        <w:tc>
          <w:tcPr>
            <w:tcW w:w="1785" w:type="dxa"/>
            <w:tcBorders>
              <w:top w:val="nil"/>
              <w:left w:val="nil"/>
              <w:bottom w:val="single" w:sz="5" w:space="0" w:color="000000"/>
              <w:right w:val="single" w:sz="5" w:space="0" w:color="000000"/>
            </w:tcBorders>
            <w:tcMar>
              <w:top w:w="0" w:type="dxa"/>
              <w:left w:w="100" w:type="dxa"/>
              <w:bottom w:w="0" w:type="dxa"/>
              <w:right w:w="100" w:type="dxa"/>
            </w:tcMar>
          </w:tcPr>
          <w:p w14:paraId="6093E4E6"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095" w:type="dxa"/>
            <w:tcBorders>
              <w:top w:val="nil"/>
              <w:left w:val="nil"/>
              <w:bottom w:val="single" w:sz="5" w:space="0" w:color="000000"/>
              <w:right w:val="single" w:sz="5" w:space="0" w:color="000000"/>
            </w:tcBorders>
            <w:tcMar>
              <w:top w:w="0" w:type="dxa"/>
              <w:left w:w="100" w:type="dxa"/>
              <w:bottom w:w="0" w:type="dxa"/>
              <w:right w:w="100" w:type="dxa"/>
            </w:tcMar>
          </w:tcPr>
          <w:p w14:paraId="24C13BF3"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24259E70"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2805" w:type="dxa"/>
            <w:tcBorders>
              <w:top w:val="nil"/>
              <w:left w:val="nil"/>
              <w:bottom w:val="single" w:sz="5" w:space="0" w:color="000000"/>
              <w:right w:val="single" w:sz="5" w:space="0" w:color="000000"/>
            </w:tcBorders>
            <w:tcMar>
              <w:top w:w="0" w:type="dxa"/>
              <w:left w:w="100" w:type="dxa"/>
              <w:bottom w:w="0" w:type="dxa"/>
              <w:right w:w="100" w:type="dxa"/>
            </w:tcMar>
          </w:tcPr>
          <w:p w14:paraId="523BFB43"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Credential compromise and fraud</w:t>
            </w:r>
          </w:p>
        </w:tc>
      </w:tr>
      <w:tr w:rsidR="0095498E" w14:paraId="0DBAB430" w14:textId="77777777">
        <w:trPr>
          <w:trHeight w:val="285"/>
        </w:trPr>
        <w:tc>
          <w:tcPr>
            <w:tcW w:w="18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A4CB338" w14:textId="77777777" w:rsidR="0095498E" w:rsidRDefault="00000000">
            <w:pPr>
              <w:spacing w:line="48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IIoT</w:t>
            </w:r>
            <w:proofErr w:type="spellEnd"/>
            <w:r>
              <w:rPr>
                <w:rFonts w:ascii="Times New Roman" w:eastAsia="Times New Roman" w:hAnsi="Times New Roman" w:cs="Times New Roman"/>
                <w:sz w:val="24"/>
                <w:szCs w:val="24"/>
              </w:rPr>
              <w:t xml:space="preserve"> attacks</w:t>
            </w:r>
          </w:p>
        </w:tc>
        <w:tc>
          <w:tcPr>
            <w:tcW w:w="1785" w:type="dxa"/>
            <w:tcBorders>
              <w:top w:val="nil"/>
              <w:left w:val="nil"/>
              <w:bottom w:val="single" w:sz="5" w:space="0" w:color="000000"/>
              <w:right w:val="single" w:sz="5" w:space="0" w:color="000000"/>
            </w:tcBorders>
            <w:tcMar>
              <w:top w:w="0" w:type="dxa"/>
              <w:left w:w="100" w:type="dxa"/>
              <w:bottom w:w="0" w:type="dxa"/>
              <w:right w:w="100" w:type="dxa"/>
            </w:tcMar>
          </w:tcPr>
          <w:p w14:paraId="6B846A58"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095" w:type="dxa"/>
            <w:tcBorders>
              <w:top w:val="nil"/>
              <w:left w:val="nil"/>
              <w:bottom w:val="single" w:sz="5" w:space="0" w:color="000000"/>
              <w:right w:val="single" w:sz="5" w:space="0" w:color="000000"/>
            </w:tcBorders>
            <w:tcMar>
              <w:top w:w="0" w:type="dxa"/>
              <w:left w:w="100" w:type="dxa"/>
              <w:bottom w:w="0" w:type="dxa"/>
              <w:right w:w="100" w:type="dxa"/>
            </w:tcMar>
          </w:tcPr>
          <w:p w14:paraId="51F0ADAD"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19439B7E"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805" w:type="dxa"/>
            <w:tcBorders>
              <w:top w:val="nil"/>
              <w:left w:val="nil"/>
              <w:bottom w:val="single" w:sz="5" w:space="0" w:color="000000"/>
              <w:right w:val="single" w:sz="5" w:space="0" w:color="000000"/>
            </w:tcBorders>
            <w:tcMar>
              <w:top w:w="0" w:type="dxa"/>
              <w:left w:w="100" w:type="dxa"/>
              <w:bottom w:w="0" w:type="dxa"/>
              <w:right w:w="100" w:type="dxa"/>
            </w:tcMar>
          </w:tcPr>
          <w:p w14:paraId="51B0FBDA"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Equipment disruption and safety risks</w:t>
            </w:r>
          </w:p>
        </w:tc>
      </w:tr>
      <w:tr w:rsidR="0095498E" w14:paraId="602C6D6F" w14:textId="77777777">
        <w:trPr>
          <w:trHeight w:val="285"/>
        </w:trPr>
        <w:tc>
          <w:tcPr>
            <w:tcW w:w="18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E9F4EAF"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Supply chain attacks</w:t>
            </w:r>
          </w:p>
        </w:tc>
        <w:tc>
          <w:tcPr>
            <w:tcW w:w="1785" w:type="dxa"/>
            <w:tcBorders>
              <w:top w:val="nil"/>
              <w:left w:val="nil"/>
              <w:bottom w:val="single" w:sz="5" w:space="0" w:color="000000"/>
              <w:right w:val="single" w:sz="5" w:space="0" w:color="000000"/>
            </w:tcBorders>
            <w:tcMar>
              <w:top w:w="0" w:type="dxa"/>
              <w:left w:w="100" w:type="dxa"/>
              <w:bottom w:w="0" w:type="dxa"/>
              <w:right w:w="100" w:type="dxa"/>
            </w:tcMar>
          </w:tcPr>
          <w:p w14:paraId="509A60B9"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095" w:type="dxa"/>
            <w:tcBorders>
              <w:top w:val="nil"/>
              <w:left w:val="nil"/>
              <w:bottom w:val="single" w:sz="5" w:space="0" w:color="000000"/>
              <w:right w:val="single" w:sz="5" w:space="0" w:color="000000"/>
            </w:tcBorders>
            <w:tcMar>
              <w:top w:w="0" w:type="dxa"/>
              <w:left w:w="100" w:type="dxa"/>
              <w:bottom w:w="0" w:type="dxa"/>
              <w:right w:w="100" w:type="dxa"/>
            </w:tcMar>
          </w:tcPr>
          <w:p w14:paraId="4D7D682E"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5F1297C8"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805" w:type="dxa"/>
            <w:tcBorders>
              <w:top w:val="nil"/>
              <w:left w:val="nil"/>
              <w:bottom w:val="single" w:sz="5" w:space="0" w:color="000000"/>
              <w:right w:val="single" w:sz="5" w:space="0" w:color="000000"/>
            </w:tcBorders>
            <w:tcMar>
              <w:top w:w="0" w:type="dxa"/>
              <w:left w:w="100" w:type="dxa"/>
              <w:bottom w:w="0" w:type="dxa"/>
              <w:right w:w="100" w:type="dxa"/>
            </w:tcMar>
          </w:tcPr>
          <w:p w14:paraId="6755C326"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Operational disruption and compromised suppliers</w:t>
            </w:r>
          </w:p>
        </w:tc>
      </w:tr>
    </w:tbl>
    <w:p w14:paraId="236F12FE" w14:textId="77777777" w:rsidR="0095498E" w:rsidRDefault="0095498E">
      <w:pPr>
        <w:spacing w:line="480" w:lineRule="auto"/>
        <w:rPr>
          <w:rFonts w:ascii="Times New Roman" w:eastAsia="Times New Roman" w:hAnsi="Times New Roman" w:cs="Times New Roman"/>
          <w:sz w:val="24"/>
          <w:szCs w:val="24"/>
        </w:rPr>
      </w:pPr>
    </w:p>
    <w:p w14:paraId="773861AD"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impact of cyber incidents is more significant in manufacturing environments, as the potential repercussions of breaches may result in the direct disruption of physical manufacturing systems, unlike banking or retail environments where the impact is more likely to be on digital information assets (</w:t>
      </w:r>
      <w:proofErr w:type="spellStart"/>
      <w:r>
        <w:rPr>
          <w:rFonts w:ascii="Times New Roman" w:eastAsia="Times New Roman" w:hAnsi="Times New Roman" w:cs="Times New Roman"/>
          <w:sz w:val="24"/>
          <w:szCs w:val="24"/>
        </w:rPr>
        <w:t>Alqudhaibi</w:t>
      </w:r>
      <w:proofErr w:type="spellEnd"/>
      <w:r>
        <w:rPr>
          <w:rFonts w:ascii="Times New Roman" w:eastAsia="Times New Roman" w:hAnsi="Times New Roman" w:cs="Times New Roman"/>
          <w:sz w:val="24"/>
          <w:szCs w:val="24"/>
        </w:rPr>
        <w:t xml:space="preserve"> et al. 2025). If an attack occurs it can impact automated machinery, damage industrial equipment, pose safety risks at the work location and delay customer deliveries. So, Cyber risks may be financial or loss of engineering know-how, regulatory consequences, and downtime of manufacturing activities as well, which needs comprehensive Cyber security governance to ensure Resilient manufacturing operations (Rahman et al. 2023).</w:t>
      </w:r>
    </w:p>
    <w:p w14:paraId="49082E05" w14:textId="77777777" w:rsidR="0095498E" w:rsidRDefault="00000000" w:rsidP="00DD4E08">
      <w:pPr>
        <w:pStyle w:val="Heading1"/>
      </w:pPr>
      <w:bookmarkStart w:id="2" w:name="_Toc237029083"/>
      <w:r>
        <w:t>3. Cybersecurity and Data Governance Policies</w:t>
      </w:r>
      <w:bookmarkEnd w:id="2"/>
      <w:r>
        <w:t xml:space="preserve"> </w:t>
      </w:r>
    </w:p>
    <w:p w14:paraId="59DA5F8A"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Cybersecurity policies are the governance that outlines the principle of the risk management, responsibilities and accountability in the organisation but doesn't specify individual technical control. The policies should be aligned with the ISO/IEC 27001:2022, NIST Cybersecurity Framework (CSF) 2.0, and should follow the principles of GDPR for a structured approach of protecting operational technology (OT), information technology (IT), and manufacturing data (Toussaint et al., 2024). An Information Security Policy should include structures, roles/duties, sign-off that support the security objectives and processes for the security protection of critical manufacturing assets. This governance reduces the </w:t>
      </w:r>
      <w:r>
        <w:rPr>
          <w:rFonts w:ascii="Times New Roman" w:eastAsia="Times New Roman" w:hAnsi="Times New Roman" w:cs="Times New Roman"/>
          <w:sz w:val="24"/>
          <w:szCs w:val="24"/>
        </w:rPr>
        <w:lastRenderedPageBreak/>
        <w:t>possibility of insider threats and aids in ensuring consistency of security measures across the production environments.</w:t>
      </w:r>
    </w:p>
    <w:p w14:paraId="2990164A" w14:textId="77777777" w:rsidR="0095498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Access Control Policy should include role-based access control (RBAC), least privilege and multi-factor authentication (MFA), privileged account management. For instance, manufacturing engineers could only be granted access to manufacturing systems and programmable logic controllers, and procurement people could only be granted access to procurement and supplier systems, limiting access and lateral moves if a credential is compromised (Vangala et al. 2024). IT-OT network segmentation, remote access via virtual private networks and proper management of firewalls to block ransomware spread and unauthorized access to industrial control systems should be provided by a Network Security Policy.</w:t>
      </w:r>
    </w:p>
    <w:p w14:paraId="17B3D09A" w14:textId="77777777" w:rsidR="0095498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To ensure security and protection of proprietary engineering designs and operational records, and to keep regulatory compliance, a Data Governance Policy should include data classification, data owner, data retention, data encryption, data backup, and data disposal. Likewise, to alleviate risks of interdependent sensors and smart manufacturing equipment, an IoT Security Policy should mandate regular firmware updates, robust device authentication, secure baseline configurations and complete inventories of devices. Finally, a Third-Party Security Policy should involve vendor risk assessments and supplier cyber security evaluations and contractual requirements for security measures to mitigate supply chain attacks.</w:t>
      </w:r>
    </w:p>
    <w:p w14:paraId="685674DE" w14:textId="77777777" w:rsidR="0095498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viewed in combination, these policies establish a direct connection between the threats identified in section 2 and access governance, between ransomware and network segmentation and back-up controls, between IoT attacks and IoT device security and between threats from the supply chain and governance of the supply chain. This comprehensive approach to policy fortifies confidentiality, integrity, and availability and also ensures </w:t>
      </w:r>
      <w:r>
        <w:rPr>
          <w:rFonts w:ascii="Times New Roman" w:eastAsia="Times New Roman" w:hAnsi="Times New Roman" w:cs="Times New Roman"/>
          <w:sz w:val="24"/>
          <w:szCs w:val="24"/>
        </w:rPr>
        <w:lastRenderedPageBreak/>
        <w:t>resilient manufacturing operations and sustainable cybersecurity governance in SFM (</w:t>
      </w:r>
      <w:proofErr w:type="spellStart"/>
      <w:r>
        <w:rPr>
          <w:rFonts w:ascii="Times New Roman" w:eastAsia="Times New Roman" w:hAnsi="Times New Roman" w:cs="Times New Roman"/>
          <w:sz w:val="24"/>
          <w:szCs w:val="24"/>
        </w:rPr>
        <w:t>Alqudhaibi</w:t>
      </w:r>
      <w:proofErr w:type="spellEnd"/>
      <w:r>
        <w:rPr>
          <w:rFonts w:ascii="Times New Roman" w:eastAsia="Times New Roman" w:hAnsi="Times New Roman" w:cs="Times New Roman"/>
          <w:sz w:val="24"/>
          <w:szCs w:val="24"/>
        </w:rPr>
        <w:t xml:space="preserve"> et al. 2025).</w:t>
      </w:r>
    </w:p>
    <w:p w14:paraId="57CE4914" w14:textId="77777777" w:rsidR="0095498E" w:rsidRDefault="00000000" w:rsidP="00DD4E08">
      <w:pPr>
        <w:pStyle w:val="Heading1"/>
      </w:pPr>
      <w:bookmarkStart w:id="3" w:name="_Toc237029084"/>
      <w:r>
        <w:t>4. Threat Mitigation Strategy</w:t>
      </w:r>
      <w:bookmarkEnd w:id="3"/>
      <w:r>
        <w:t xml:space="preserve"> </w:t>
      </w:r>
    </w:p>
    <w:p w14:paraId="1FD67BB4" w14:textId="4413FCAD"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cyber-security strategy in the </w:t>
      </w:r>
      <w:r w:rsidR="00DD4E08">
        <w:rPr>
          <w:rFonts w:ascii="Times New Roman" w:eastAsia="Times New Roman" w:hAnsi="Times New Roman" w:cs="Times New Roman"/>
          <w:sz w:val="24"/>
          <w:szCs w:val="24"/>
        </w:rPr>
        <w:t>industry</w:t>
      </w:r>
      <w:r>
        <w:rPr>
          <w:rFonts w:ascii="Times New Roman" w:eastAsia="Times New Roman" w:hAnsi="Times New Roman" w:cs="Times New Roman"/>
          <w:sz w:val="24"/>
          <w:szCs w:val="24"/>
        </w:rPr>
        <w:t xml:space="preserve"> 4.0 environment of </w:t>
      </w:r>
      <w:proofErr w:type="spellStart"/>
      <w:r>
        <w:rPr>
          <w:rFonts w:ascii="Times New Roman" w:eastAsia="Times New Roman" w:hAnsi="Times New Roman" w:cs="Times New Roman"/>
          <w:sz w:val="24"/>
          <w:szCs w:val="24"/>
        </w:rPr>
        <w:t>SteelForm</w:t>
      </w:r>
      <w:proofErr w:type="spellEnd"/>
      <w:r>
        <w:rPr>
          <w:rFonts w:ascii="Times New Roman" w:eastAsia="Times New Roman" w:hAnsi="Times New Roman" w:cs="Times New Roman"/>
          <w:sz w:val="24"/>
          <w:szCs w:val="24"/>
        </w:rPr>
        <w:t xml:space="preserve"> Manufacturing Ltd. (SFM) should involve a combination of preventive, detective and corrective controls. The recommended mitigation measures are given in Table 4.1.</w:t>
      </w:r>
    </w:p>
    <w:p w14:paraId="02547067" w14:textId="77777777" w:rsidR="0095498E" w:rsidRDefault="00000000">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4.1: Recommended Mitigation Measures</w:t>
      </w:r>
    </w:p>
    <w:tbl>
      <w:tblPr>
        <w:tblStyle w:val="a0"/>
        <w:tblW w:w="90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15"/>
        <w:gridCol w:w="1800"/>
        <w:gridCol w:w="2235"/>
        <w:gridCol w:w="1980"/>
        <w:gridCol w:w="1515"/>
      </w:tblGrid>
      <w:tr w:rsidR="0095498E" w14:paraId="43C4397F" w14:textId="77777777">
        <w:trPr>
          <w:trHeight w:val="285"/>
        </w:trPr>
        <w:tc>
          <w:tcPr>
            <w:tcW w:w="151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7C68C1E2" w14:textId="77777777" w:rsidR="0095498E" w:rsidRDefault="00000000">
            <w:pPr>
              <w:spacing w:line="48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Threat</w:t>
            </w:r>
          </w:p>
        </w:tc>
        <w:tc>
          <w:tcPr>
            <w:tcW w:w="180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9E2EA39" w14:textId="77777777" w:rsidR="0095498E" w:rsidRDefault="00000000">
            <w:pPr>
              <w:spacing w:line="48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Mitigation</w:t>
            </w:r>
          </w:p>
        </w:tc>
        <w:tc>
          <w:tcPr>
            <w:tcW w:w="223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140657F" w14:textId="77777777" w:rsidR="0095498E" w:rsidRDefault="00000000">
            <w:pPr>
              <w:spacing w:line="48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Implementation</w:t>
            </w:r>
          </w:p>
        </w:tc>
        <w:tc>
          <w:tcPr>
            <w:tcW w:w="198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E829C57" w14:textId="77777777" w:rsidR="0095498E" w:rsidRDefault="00000000">
            <w:pPr>
              <w:spacing w:line="48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Expected Benefit</w:t>
            </w:r>
          </w:p>
        </w:tc>
        <w:tc>
          <w:tcPr>
            <w:tcW w:w="151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3B4A255" w14:textId="77777777" w:rsidR="0095498E" w:rsidRDefault="00000000">
            <w:pPr>
              <w:spacing w:line="48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Framework Supported</w:t>
            </w:r>
          </w:p>
        </w:tc>
      </w:tr>
      <w:tr w:rsidR="0095498E" w14:paraId="3E725861" w14:textId="77777777">
        <w:trPr>
          <w:trHeight w:val="285"/>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9DE93D4"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Ransomware</w:t>
            </w:r>
          </w:p>
        </w:tc>
        <w:tc>
          <w:tcPr>
            <w:tcW w:w="1800" w:type="dxa"/>
            <w:tcBorders>
              <w:top w:val="nil"/>
              <w:left w:val="nil"/>
              <w:bottom w:val="single" w:sz="5" w:space="0" w:color="000000"/>
              <w:right w:val="single" w:sz="5" w:space="0" w:color="000000"/>
            </w:tcBorders>
            <w:tcMar>
              <w:top w:w="0" w:type="dxa"/>
              <w:left w:w="100" w:type="dxa"/>
              <w:bottom w:w="0" w:type="dxa"/>
              <w:right w:w="100" w:type="dxa"/>
            </w:tcMar>
          </w:tcPr>
          <w:p w14:paraId="4ADA0BEC"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Network segmentation</w:t>
            </w:r>
          </w:p>
        </w:tc>
        <w:tc>
          <w:tcPr>
            <w:tcW w:w="2235" w:type="dxa"/>
            <w:tcBorders>
              <w:top w:val="nil"/>
              <w:left w:val="nil"/>
              <w:bottom w:val="single" w:sz="5" w:space="0" w:color="000000"/>
              <w:right w:val="single" w:sz="5" w:space="0" w:color="000000"/>
            </w:tcBorders>
            <w:tcMar>
              <w:top w:w="0" w:type="dxa"/>
              <w:left w:w="100" w:type="dxa"/>
              <w:bottom w:w="0" w:type="dxa"/>
              <w:right w:w="100" w:type="dxa"/>
            </w:tcMar>
          </w:tcPr>
          <w:p w14:paraId="2A0849C2"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Separate IT, OT, and IoT networks using VLANs and firewalls</w:t>
            </w:r>
          </w:p>
        </w:tc>
        <w:tc>
          <w:tcPr>
            <w:tcW w:w="1980" w:type="dxa"/>
            <w:tcBorders>
              <w:top w:val="nil"/>
              <w:left w:val="nil"/>
              <w:bottom w:val="single" w:sz="5" w:space="0" w:color="000000"/>
              <w:right w:val="single" w:sz="5" w:space="0" w:color="000000"/>
            </w:tcBorders>
            <w:tcMar>
              <w:top w:w="0" w:type="dxa"/>
              <w:left w:w="100" w:type="dxa"/>
              <w:bottom w:w="0" w:type="dxa"/>
              <w:right w:w="100" w:type="dxa"/>
            </w:tcMar>
          </w:tcPr>
          <w:p w14:paraId="1B0255F8"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Limits lateral movement and production disruption</w:t>
            </w:r>
          </w:p>
        </w:tc>
        <w:tc>
          <w:tcPr>
            <w:tcW w:w="1515" w:type="dxa"/>
            <w:tcBorders>
              <w:top w:val="nil"/>
              <w:left w:val="nil"/>
              <w:bottom w:val="single" w:sz="5" w:space="0" w:color="000000"/>
              <w:right w:val="single" w:sz="5" w:space="0" w:color="000000"/>
            </w:tcBorders>
            <w:tcMar>
              <w:top w:w="0" w:type="dxa"/>
              <w:left w:w="100" w:type="dxa"/>
              <w:bottom w:w="0" w:type="dxa"/>
              <w:right w:w="100" w:type="dxa"/>
            </w:tcMar>
          </w:tcPr>
          <w:p w14:paraId="43A8D14D"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NIST CSF, ISO 27001</w:t>
            </w:r>
          </w:p>
        </w:tc>
      </w:tr>
      <w:tr w:rsidR="0095498E" w14:paraId="71E5BC28" w14:textId="77777777">
        <w:trPr>
          <w:trHeight w:val="285"/>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3B5602C"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Credential theft</w:t>
            </w:r>
          </w:p>
        </w:tc>
        <w:tc>
          <w:tcPr>
            <w:tcW w:w="1800" w:type="dxa"/>
            <w:tcBorders>
              <w:top w:val="nil"/>
              <w:left w:val="nil"/>
              <w:bottom w:val="single" w:sz="5" w:space="0" w:color="000000"/>
              <w:right w:val="single" w:sz="5" w:space="0" w:color="000000"/>
            </w:tcBorders>
            <w:tcMar>
              <w:top w:w="0" w:type="dxa"/>
              <w:left w:w="100" w:type="dxa"/>
              <w:bottom w:w="0" w:type="dxa"/>
              <w:right w:w="100" w:type="dxa"/>
            </w:tcMar>
          </w:tcPr>
          <w:p w14:paraId="20375725"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Multi-factor authentication</w:t>
            </w:r>
          </w:p>
        </w:tc>
        <w:tc>
          <w:tcPr>
            <w:tcW w:w="2235" w:type="dxa"/>
            <w:tcBorders>
              <w:top w:val="nil"/>
              <w:left w:val="nil"/>
              <w:bottom w:val="single" w:sz="5" w:space="0" w:color="000000"/>
              <w:right w:val="single" w:sz="5" w:space="0" w:color="000000"/>
            </w:tcBorders>
            <w:tcMar>
              <w:top w:w="0" w:type="dxa"/>
              <w:left w:w="100" w:type="dxa"/>
              <w:bottom w:w="0" w:type="dxa"/>
              <w:right w:w="100" w:type="dxa"/>
            </w:tcMar>
          </w:tcPr>
          <w:p w14:paraId="0616F425"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Enforce MFA for privileged and remote accounts</w:t>
            </w:r>
          </w:p>
        </w:tc>
        <w:tc>
          <w:tcPr>
            <w:tcW w:w="1980" w:type="dxa"/>
            <w:tcBorders>
              <w:top w:val="nil"/>
              <w:left w:val="nil"/>
              <w:bottom w:val="single" w:sz="5" w:space="0" w:color="000000"/>
              <w:right w:val="single" w:sz="5" w:space="0" w:color="000000"/>
            </w:tcBorders>
            <w:tcMar>
              <w:top w:w="0" w:type="dxa"/>
              <w:left w:w="100" w:type="dxa"/>
              <w:bottom w:w="0" w:type="dxa"/>
              <w:right w:w="100" w:type="dxa"/>
            </w:tcMar>
          </w:tcPr>
          <w:p w14:paraId="39A0F0C8"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Prevents unauthorised access</w:t>
            </w:r>
          </w:p>
        </w:tc>
        <w:tc>
          <w:tcPr>
            <w:tcW w:w="1515" w:type="dxa"/>
            <w:tcBorders>
              <w:top w:val="nil"/>
              <w:left w:val="nil"/>
              <w:bottom w:val="single" w:sz="5" w:space="0" w:color="000000"/>
              <w:right w:val="single" w:sz="5" w:space="0" w:color="000000"/>
            </w:tcBorders>
            <w:tcMar>
              <w:top w:w="0" w:type="dxa"/>
              <w:left w:w="100" w:type="dxa"/>
              <w:bottom w:w="0" w:type="dxa"/>
              <w:right w:w="100" w:type="dxa"/>
            </w:tcMar>
          </w:tcPr>
          <w:p w14:paraId="6E41EB1D"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NIST CSF</w:t>
            </w:r>
          </w:p>
        </w:tc>
      </w:tr>
      <w:tr w:rsidR="0095498E" w14:paraId="76F50FDD" w14:textId="77777777">
        <w:trPr>
          <w:trHeight w:val="285"/>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57037DB"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Malware</w:t>
            </w:r>
          </w:p>
        </w:tc>
        <w:tc>
          <w:tcPr>
            <w:tcW w:w="1800" w:type="dxa"/>
            <w:tcBorders>
              <w:top w:val="nil"/>
              <w:left w:val="nil"/>
              <w:bottom w:val="single" w:sz="5" w:space="0" w:color="000000"/>
              <w:right w:val="single" w:sz="5" w:space="0" w:color="000000"/>
            </w:tcBorders>
            <w:tcMar>
              <w:top w:w="0" w:type="dxa"/>
              <w:left w:w="100" w:type="dxa"/>
              <w:bottom w:w="0" w:type="dxa"/>
              <w:right w:w="100" w:type="dxa"/>
            </w:tcMar>
          </w:tcPr>
          <w:p w14:paraId="0D1B80A3"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Endpoint Detection and Response (EDR)</w:t>
            </w:r>
          </w:p>
        </w:tc>
        <w:tc>
          <w:tcPr>
            <w:tcW w:w="2235" w:type="dxa"/>
            <w:tcBorders>
              <w:top w:val="nil"/>
              <w:left w:val="nil"/>
              <w:bottom w:val="single" w:sz="5" w:space="0" w:color="000000"/>
              <w:right w:val="single" w:sz="5" w:space="0" w:color="000000"/>
            </w:tcBorders>
            <w:tcMar>
              <w:top w:w="0" w:type="dxa"/>
              <w:left w:w="100" w:type="dxa"/>
              <w:bottom w:w="0" w:type="dxa"/>
              <w:right w:w="100" w:type="dxa"/>
            </w:tcMar>
          </w:tcPr>
          <w:p w14:paraId="7322A9E7"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Deploy behavioural detection on endpoints and servers</w:t>
            </w:r>
          </w:p>
        </w:tc>
        <w:tc>
          <w:tcPr>
            <w:tcW w:w="1980" w:type="dxa"/>
            <w:tcBorders>
              <w:top w:val="nil"/>
              <w:left w:val="nil"/>
              <w:bottom w:val="single" w:sz="5" w:space="0" w:color="000000"/>
              <w:right w:val="single" w:sz="5" w:space="0" w:color="000000"/>
            </w:tcBorders>
            <w:tcMar>
              <w:top w:w="0" w:type="dxa"/>
              <w:left w:w="100" w:type="dxa"/>
              <w:bottom w:w="0" w:type="dxa"/>
              <w:right w:w="100" w:type="dxa"/>
            </w:tcMar>
          </w:tcPr>
          <w:p w14:paraId="13DD0812"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Detects sophisticated malware early</w:t>
            </w:r>
          </w:p>
        </w:tc>
        <w:tc>
          <w:tcPr>
            <w:tcW w:w="1515" w:type="dxa"/>
            <w:tcBorders>
              <w:top w:val="nil"/>
              <w:left w:val="nil"/>
              <w:bottom w:val="single" w:sz="5" w:space="0" w:color="000000"/>
              <w:right w:val="single" w:sz="5" w:space="0" w:color="000000"/>
            </w:tcBorders>
            <w:tcMar>
              <w:top w:w="0" w:type="dxa"/>
              <w:left w:w="100" w:type="dxa"/>
              <w:bottom w:w="0" w:type="dxa"/>
              <w:right w:w="100" w:type="dxa"/>
            </w:tcMar>
          </w:tcPr>
          <w:p w14:paraId="218B457A"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NIST CSF</w:t>
            </w:r>
          </w:p>
        </w:tc>
      </w:tr>
      <w:tr w:rsidR="0095498E" w14:paraId="5716A5DE" w14:textId="77777777">
        <w:trPr>
          <w:trHeight w:val="285"/>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26E9A7B"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Advanced attacks</w:t>
            </w:r>
          </w:p>
        </w:tc>
        <w:tc>
          <w:tcPr>
            <w:tcW w:w="1800" w:type="dxa"/>
            <w:tcBorders>
              <w:top w:val="nil"/>
              <w:left w:val="nil"/>
              <w:bottom w:val="single" w:sz="5" w:space="0" w:color="000000"/>
              <w:right w:val="single" w:sz="5" w:space="0" w:color="000000"/>
            </w:tcBorders>
            <w:tcMar>
              <w:top w:w="0" w:type="dxa"/>
              <w:left w:w="100" w:type="dxa"/>
              <w:bottom w:w="0" w:type="dxa"/>
              <w:right w:w="100" w:type="dxa"/>
            </w:tcMar>
          </w:tcPr>
          <w:p w14:paraId="58292AA3"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SIEM</w:t>
            </w:r>
          </w:p>
        </w:tc>
        <w:tc>
          <w:tcPr>
            <w:tcW w:w="2235" w:type="dxa"/>
            <w:tcBorders>
              <w:top w:val="nil"/>
              <w:left w:val="nil"/>
              <w:bottom w:val="single" w:sz="5" w:space="0" w:color="000000"/>
              <w:right w:val="single" w:sz="5" w:space="0" w:color="000000"/>
            </w:tcBorders>
            <w:tcMar>
              <w:top w:w="0" w:type="dxa"/>
              <w:left w:w="100" w:type="dxa"/>
              <w:bottom w:w="0" w:type="dxa"/>
              <w:right w:w="100" w:type="dxa"/>
            </w:tcMar>
          </w:tcPr>
          <w:p w14:paraId="3E5593C5"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Centralise log collection with real-time correlation and alerts</w:t>
            </w:r>
          </w:p>
        </w:tc>
        <w:tc>
          <w:tcPr>
            <w:tcW w:w="1980" w:type="dxa"/>
            <w:tcBorders>
              <w:top w:val="nil"/>
              <w:left w:val="nil"/>
              <w:bottom w:val="single" w:sz="5" w:space="0" w:color="000000"/>
              <w:right w:val="single" w:sz="5" w:space="0" w:color="000000"/>
            </w:tcBorders>
            <w:tcMar>
              <w:top w:w="0" w:type="dxa"/>
              <w:left w:w="100" w:type="dxa"/>
              <w:bottom w:w="0" w:type="dxa"/>
              <w:right w:w="100" w:type="dxa"/>
            </w:tcMar>
          </w:tcPr>
          <w:p w14:paraId="7412BD43"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Improves threat visibility and incident response</w:t>
            </w:r>
          </w:p>
        </w:tc>
        <w:tc>
          <w:tcPr>
            <w:tcW w:w="1515" w:type="dxa"/>
            <w:tcBorders>
              <w:top w:val="nil"/>
              <w:left w:val="nil"/>
              <w:bottom w:val="single" w:sz="5" w:space="0" w:color="000000"/>
              <w:right w:val="single" w:sz="5" w:space="0" w:color="000000"/>
            </w:tcBorders>
            <w:tcMar>
              <w:top w:w="0" w:type="dxa"/>
              <w:left w:w="100" w:type="dxa"/>
              <w:bottom w:w="0" w:type="dxa"/>
              <w:right w:w="100" w:type="dxa"/>
            </w:tcMar>
          </w:tcPr>
          <w:p w14:paraId="0DF3A53C"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ISO 27001</w:t>
            </w:r>
          </w:p>
        </w:tc>
      </w:tr>
      <w:tr w:rsidR="0095498E" w14:paraId="3B23C87F" w14:textId="77777777">
        <w:trPr>
          <w:trHeight w:val="285"/>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AE622E5"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Data loss</w:t>
            </w:r>
          </w:p>
        </w:tc>
        <w:tc>
          <w:tcPr>
            <w:tcW w:w="1800" w:type="dxa"/>
            <w:tcBorders>
              <w:top w:val="nil"/>
              <w:left w:val="nil"/>
              <w:bottom w:val="single" w:sz="5" w:space="0" w:color="000000"/>
              <w:right w:val="single" w:sz="5" w:space="0" w:color="000000"/>
            </w:tcBorders>
            <w:tcMar>
              <w:top w:w="0" w:type="dxa"/>
              <w:left w:w="100" w:type="dxa"/>
              <w:bottom w:w="0" w:type="dxa"/>
              <w:right w:w="100" w:type="dxa"/>
            </w:tcMar>
          </w:tcPr>
          <w:p w14:paraId="09D57E97"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Secure backups</w:t>
            </w:r>
          </w:p>
        </w:tc>
        <w:tc>
          <w:tcPr>
            <w:tcW w:w="2235" w:type="dxa"/>
            <w:tcBorders>
              <w:top w:val="nil"/>
              <w:left w:val="nil"/>
              <w:bottom w:val="single" w:sz="5" w:space="0" w:color="000000"/>
              <w:right w:val="single" w:sz="5" w:space="0" w:color="000000"/>
            </w:tcBorders>
            <w:tcMar>
              <w:top w:w="0" w:type="dxa"/>
              <w:left w:w="100" w:type="dxa"/>
              <w:bottom w:w="0" w:type="dxa"/>
              <w:right w:w="100" w:type="dxa"/>
            </w:tcMar>
          </w:tcPr>
          <w:p w14:paraId="5E6620B3"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Maintain encrypted, offline, immutable backups with recovery testing</w:t>
            </w:r>
          </w:p>
        </w:tc>
        <w:tc>
          <w:tcPr>
            <w:tcW w:w="1980" w:type="dxa"/>
            <w:tcBorders>
              <w:top w:val="nil"/>
              <w:left w:val="nil"/>
              <w:bottom w:val="single" w:sz="5" w:space="0" w:color="000000"/>
              <w:right w:val="single" w:sz="5" w:space="0" w:color="000000"/>
            </w:tcBorders>
            <w:tcMar>
              <w:top w:w="0" w:type="dxa"/>
              <w:left w:w="100" w:type="dxa"/>
              <w:bottom w:w="0" w:type="dxa"/>
              <w:right w:w="100" w:type="dxa"/>
            </w:tcMar>
          </w:tcPr>
          <w:p w14:paraId="0F015590"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Ensures rapid business recovery</w:t>
            </w:r>
          </w:p>
        </w:tc>
        <w:tc>
          <w:tcPr>
            <w:tcW w:w="1515" w:type="dxa"/>
            <w:tcBorders>
              <w:top w:val="nil"/>
              <w:left w:val="nil"/>
              <w:bottom w:val="single" w:sz="5" w:space="0" w:color="000000"/>
              <w:right w:val="single" w:sz="5" w:space="0" w:color="000000"/>
            </w:tcBorders>
            <w:tcMar>
              <w:top w:w="0" w:type="dxa"/>
              <w:left w:w="100" w:type="dxa"/>
              <w:bottom w:w="0" w:type="dxa"/>
              <w:right w:w="100" w:type="dxa"/>
            </w:tcMar>
          </w:tcPr>
          <w:p w14:paraId="413C2352"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ISO 27001</w:t>
            </w:r>
          </w:p>
        </w:tc>
      </w:tr>
      <w:tr w:rsidR="0095498E" w14:paraId="1BFD8C98" w14:textId="77777777">
        <w:trPr>
          <w:trHeight w:val="285"/>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6CF8374"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Software vulnerabilities</w:t>
            </w:r>
          </w:p>
        </w:tc>
        <w:tc>
          <w:tcPr>
            <w:tcW w:w="1800" w:type="dxa"/>
            <w:tcBorders>
              <w:top w:val="nil"/>
              <w:left w:val="nil"/>
              <w:bottom w:val="single" w:sz="5" w:space="0" w:color="000000"/>
              <w:right w:val="single" w:sz="5" w:space="0" w:color="000000"/>
            </w:tcBorders>
            <w:tcMar>
              <w:top w:w="0" w:type="dxa"/>
              <w:left w:w="100" w:type="dxa"/>
              <w:bottom w:w="0" w:type="dxa"/>
              <w:right w:w="100" w:type="dxa"/>
            </w:tcMar>
          </w:tcPr>
          <w:p w14:paraId="41F2F8BE"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Vulnerability and patch management</w:t>
            </w:r>
          </w:p>
        </w:tc>
        <w:tc>
          <w:tcPr>
            <w:tcW w:w="2235" w:type="dxa"/>
            <w:tcBorders>
              <w:top w:val="nil"/>
              <w:left w:val="nil"/>
              <w:bottom w:val="single" w:sz="5" w:space="0" w:color="000000"/>
              <w:right w:val="single" w:sz="5" w:space="0" w:color="000000"/>
            </w:tcBorders>
            <w:tcMar>
              <w:top w:w="0" w:type="dxa"/>
              <w:left w:w="100" w:type="dxa"/>
              <w:bottom w:w="0" w:type="dxa"/>
              <w:right w:w="100" w:type="dxa"/>
            </w:tcMar>
          </w:tcPr>
          <w:p w14:paraId="213D77AD"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Conduct regular vulnerability scanning and prioritised patch deployment</w:t>
            </w:r>
          </w:p>
        </w:tc>
        <w:tc>
          <w:tcPr>
            <w:tcW w:w="1980" w:type="dxa"/>
            <w:tcBorders>
              <w:top w:val="nil"/>
              <w:left w:val="nil"/>
              <w:bottom w:val="single" w:sz="5" w:space="0" w:color="000000"/>
              <w:right w:val="single" w:sz="5" w:space="0" w:color="000000"/>
            </w:tcBorders>
            <w:tcMar>
              <w:top w:w="0" w:type="dxa"/>
              <w:left w:w="100" w:type="dxa"/>
              <w:bottom w:w="0" w:type="dxa"/>
              <w:right w:w="100" w:type="dxa"/>
            </w:tcMar>
          </w:tcPr>
          <w:p w14:paraId="4E24FBD7"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Reduces exploit opportunities</w:t>
            </w:r>
          </w:p>
        </w:tc>
        <w:tc>
          <w:tcPr>
            <w:tcW w:w="1515" w:type="dxa"/>
            <w:tcBorders>
              <w:top w:val="nil"/>
              <w:left w:val="nil"/>
              <w:bottom w:val="single" w:sz="5" w:space="0" w:color="000000"/>
              <w:right w:val="single" w:sz="5" w:space="0" w:color="000000"/>
            </w:tcBorders>
            <w:tcMar>
              <w:top w:w="0" w:type="dxa"/>
              <w:left w:w="100" w:type="dxa"/>
              <w:bottom w:w="0" w:type="dxa"/>
              <w:right w:w="100" w:type="dxa"/>
            </w:tcMar>
          </w:tcPr>
          <w:p w14:paraId="7BDE58B2"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NIST CSF</w:t>
            </w:r>
          </w:p>
        </w:tc>
      </w:tr>
      <w:tr w:rsidR="0095498E" w14:paraId="0F0592CB" w14:textId="77777777">
        <w:trPr>
          <w:trHeight w:val="285"/>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907544B"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Insider threats</w:t>
            </w:r>
          </w:p>
        </w:tc>
        <w:tc>
          <w:tcPr>
            <w:tcW w:w="1800" w:type="dxa"/>
            <w:tcBorders>
              <w:top w:val="nil"/>
              <w:left w:val="nil"/>
              <w:bottom w:val="single" w:sz="5" w:space="0" w:color="000000"/>
              <w:right w:val="single" w:sz="5" w:space="0" w:color="000000"/>
            </w:tcBorders>
            <w:tcMar>
              <w:top w:w="0" w:type="dxa"/>
              <w:left w:w="100" w:type="dxa"/>
              <w:bottom w:w="0" w:type="dxa"/>
              <w:right w:w="100" w:type="dxa"/>
            </w:tcMar>
          </w:tcPr>
          <w:p w14:paraId="5939C079"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Zero Trust Architecture</w:t>
            </w:r>
          </w:p>
        </w:tc>
        <w:tc>
          <w:tcPr>
            <w:tcW w:w="2235" w:type="dxa"/>
            <w:tcBorders>
              <w:top w:val="nil"/>
              <w:left w:val="nil"/>
              <w:bottom w:val="single" w:sz="5" w:space="0" w:color="000000"/>
              <w:right w:val="single" w:sz="5" w:space="0" w:color="000000"/>
            </w:tcBorders>
            <w:tcMar>
              <w:top w:w="0" w:type="dxa"/>
              <w:left w:w="100" w:type="dxa"/>
              <w:bottom w:w="0" w:type="dxa"/>
              <w:right w:w="100" w:type="dxa"/>
            </w:tcMar>
          </w:tcPr>
          <w:p w14:paraId="1799CC22"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Continuously verify users, devices, and applications using least-privilege access</w:t>
            </w:r>
          </w:p>
        </w:tc>
        <w:tc>
          <w:tcPr>
            <w:tcW w:w="1980" w:type="dxa"/>
            <w:tcBorders>
              <w:top w:val="nil"/>
              <w:left w:val="nil"/>
              <w:bottom w:val="single" w:sz="5" w:space="0" w:color="000000"/>
              <w:right w:val="single" w:sz="5" w:space="0" w:color="000000"/>
            </w:tcBorders>
            <w:tcMar>
              <w:top w:w="0" w:type="dxa"/>
              <w:left w:w="100" w:type="dxa"/>
              <w:bottom w:w="0" w:type="dxa"/>
              <w:right w:w="100" w:type="dxa"/>
            </w:tcMar>
          </w:tcPr>
          <w:p w14:paraId="0238F698"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Minimises lateral movement</w:t>
            </w:r>
          </w:p>
        </w:tc>
        <w:tc>
          <w:tcPr>
            <w:tcW w:w="1515" w:type="dxa"/>
            <w:tcBorders>
              <w:top w:val="nil"/>
              <w:left w:val="nil"/>
              <w:bottom w:val="single" w:sz="5" w:space="0" w:color="000000"/>
              <w:right w:val="single" w:sz="5" w:space="0" w:color="000000"/>
            </w:tcBorders>
            <w:tcMar>
              <w:top w:w="0" w:type="dxa"/>
              <w:left w:w="100" w:type="dxa"/>
              <w:bottom w:w="0" w:type="dxa"/>
              <w:right w:w="100" w:type="dxa"/>
            </w:tcMar>
          </w:tcPr>
          <w:p w14:paraId="5E58C835"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NIST SP 800-207</w:t>
            </w:r>
          </w:p>
        </w:tc>
      </w:tr>
      <w:tr w:rsidR="0095498E" w14:paraId="2E428334" w14:textId="77777777">
        <w:trPr>
          <w:trHeight w:val="285"/>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3DD31B0"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Intellectual property theft</w:t>
            </w:r>
          </w:p>
        </w:tc>
        <w:tc>
          <w:tcPr>
            <w:tcW w:w="1800" w:type="dxa"/>
            <w:tcBorders>
              <w:top w:val="nil"/>
              <w:left w:val="nil"/>
              <w:bottom w:val="single" w:sz="5" w:space="0" w:color="000000"/>
              <w:right w:val="single" w:sz="5" w:space="0" w:color="000000"/>
            </w:tcBorders>
            <w:tcMar>
              <w:top w:w="0" w:type="dxa"/>
              <w:left w:w="100" w:type="dxa"/>
              <w:bottom w:w="0" w:type="dxa"/>
              <w:right w:w="100" w:type="dxa"/>
            </w:tcMar>
          </w:tcPr>
          <w:p w14:paraId="37C812C4"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Encryption and Data Loss Prevention (DLP)</w:t>
            </w:r>
          </w:p>
        </w:tc>
        <w:tc>
          <w:tcPr>
            <w:tcW w:w="2235" w:type="dxa"/>
            <w:tcBorders>
              <w:top w:val="nil"/>
              <w:left w:val="nil"/>
              <w:bottom w:val="single" w:sz="5" w:space="0" w:color="000000"/>
              <w:right w:val="single" w:sz="5" w:space="0" w:color="000000"/>
            </w:tcBorders>
            <w:tcMar>
              <w:top w:w="0" w:type="dxa"/>
              <w:left w:w="100" w:type="dxa"/>
              <w:bottom w:w="0" w:type="dxa"/>
              <w:right w:w="100" w:type="dxa"/>
            </w:tcMar>
          </w:tcPr>
          <w:p w14:paraId="1184BD47"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Encrypt sensitive data and monitor unauthorised transfers</w:t>
            </w:r>
          </w:p>
        </w:tc>
        <w:tc>
          <w:tcPr>
            <w:tcW w:w="1980" w:type="dxa"/>
            <w:tcBorders>
              <w:top w:val="nil"/>
              <w:left w:val="nil"/>
              <w:bottom w:val="single" w:sz="5" w:space="0" w:color="000000"/>
              <w:right w:val="single" w:sz="5" w:space="0" w:color="000000"/>
            </w:tcBorders>
            <w:tcMar>
              <w:top w:w="0" w:type="dxa"/>
              <w:left w:w="100" w:type="dxa"/>
              <w:bottom w:w="0" w:type="dxa"/>
              <w:right w:w="100" w:type="dxa"/>
            </w:tcMar>
          </w:tcPr>
          <w:p w14:paraId="2C5DF8A1"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Protects confidential engineering information</w:t>
            </w:r>
          </w:p>
        </w:tc>
        <w:tc>
          <w:tcPr>
            <w:tcW w:w="1515" w:type="dxa"/>
            <w:tcBorders>
              <w:top w:val="nil"/>
              <w:left w:val="nil"/>
              <w:bottom w:val="single" w:sz="5" w:space="0" w:color="000000"/>
              <w:right w:val="single" w:sz="5" w:space="0" w:color="000000"/>
            </w:tcBorders>
            <w:tcMar>
              <w:top w:w="0" w:type="dxa"/>
              <w:left w:w="100" w:type="dxa"/>
              <w:bottom w:w="0" w:type="dxa"/>
              <w:right w:w="100" w:type="dxa"/>
            </w:tcMar>
          </w:tcPr>
          <w:p w14:paraId="2C17F5EE"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GDPR, ISO 27001</w:t>
            </w:r>
          </w:p>
        </w:tc>
      </w:tr>
      <w:tr w:rsidR="0095498E" w14:paraId="635C9897" w14:textId="77777777">
        <w:trPr>
          <w:trHeight w:val="285"/>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8B03044"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Supply chain attacks</w:t>
            </w:r>
          </w:p>
        </w:tc>
        <w:tc>
          <w:tcPr>
            <w:tcW w:w="1800" w:type="dxa"/>
            <w:tcBorders>
              <w:top w:val="nil"/>
              <w:left w:val="nil"/>
              <w:bottom w:val="single" w:sz="5" w:space="0" w:color="000000"/>
              <w:right w:val="single" w:sz="5" w:space="0" w:color="000000"/>
            </w:tcBorders>
            <w:tcMar>
              <w:top w:w="0" w:type="dxa"/>
              <w:left w:w="100" w:type="dxa"/>
              <w:bottom w:w="0" w:type="dxa"/>
              <w:right w:w="100" w:type="dxa"/>
            </w:tcMar>
          </w:tcPr>
          <w:p w14:paraId="2A387A65"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Vendor risk assessment</w:t>
            </w:r>
          </w:p>
        </w:tc>
        <w:tc>
          <w:tcPr>
            <w:tcW w:w="2235" w:type="dxa"/>
            <w:tcBorders>
              <w:top w:val="nil"/>
              <w:left w:val="nil"/>
              <w:bottom w:val="single" w:sz="5" w:space="0" w:color="000000"/>
              <w:right w:val="single" w:sz="5" w:space="0" w:color="000000"/>
            </w:tcBorders>
            <w:tcMar>
              <w:top w:w="0" w:type="dxa"/>
              <w:left w:w="100" w:type="dxa"/>
              <w:bottom w:w="0" w:type="dxa"/>
              <w:right w:w="100" w:type="dxa"/>
            </w:tcMar>
          </w:tcPr>
          <w:p w14:paraId="53BC386D"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Perform supplier security audits and contractual compliance reviews</w:t>
            </w:r>
          </w:p>
        </w:tc>
        <w:tc>
          <w:tcPr>
            <w:tcW w:w="1980" w:type="dxa"/>
            <w:tcBorders>
              <w:top w:val="nil"/>
              <w:left w:val="nil"/>
              <w:bottom w:val="single" w:sz="5" w:space="0" w:color="000000"/>
              <w:right w:val="single" w:sz="5" w:space="0" w:color="000000"/>
            </w:tcBorders>
            <w:tcMar>
              <w:top w:w="0" w:type="dxa"/>
              <w:left w:w="100" w:type="dxa"/>
              <w:bottom w:w="0" w:type="dxa"/>
              <w:right w:w="100" w:type="dxa"/>
            </w:tcMar>
          </w:tcPr>
          <w:p w14:paraId="76CD8F3A"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Reduces third-party cyber risk</w:t>
            </w:r>
          </w:p>
        </w:tc>
        <w:tc>
          <w:tcPr>
            <w:tcW w:w="1515" w:type="dxa"/>
            <w:tcBorders>
              <w:top w:val="nil"/>
              <w:left w:val="nil"/>
              <w:bottom w:val="single" w:sz="5" w:space="0" w:color="000000"/>
              <w:right w:val="single" w:sz="5" w:space="0" w:color="000000"/>
            </w:tcBorders>
            <w:tcMar>
              <w:top w:w="0" w:type="dxa"/>
              <w:left w:w="100" w:type="dxa"/>
              <w:bottom w:w="0" w:type="dxa"/>
              <w:right w:w="100" w:type="dxa"/>
            </w:tcMar>
          </w:tcPr>
          <w:p w14:paraId="46FC97E9"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ISO 27001</w:t>
            </w:r>
          </w:p>
        </w:tc>
      </w:tr>
    </w:tbl>
    <w:p w14:paraId="7256B59D" w14:textId="77777777" w:rsidR="0095498E" w:rsidRDefault="0095498E">
      <w:pPr>
        <w:spacing w:line="480" w:lineRule="auto"/>
        <w:rPr>
          <w:rFonts w:ascii="Times New Roman" w:eastAsia="Times New Roman" w:hAnsi="Times New Roman" w:cs="Times New Roman"/>
          <w:sz w:val="24"/>
          <w:szCs w:val="24"/>
        </w:rPr>
      </w:pPr>
    </w:p>
    <w:p w14:paraId="0382434C" w14:textId="4DD15216"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Currently, ransomware has adopted the new tactics of fileless attacks and zero-day exploits and the use of legitimate administrative software, so the traditional signature-based </w:t>
      </w:r>
      <w:r>
        <w:rPr>
          <w:rFonts w:ascii="Times New Roman" w:eastAsia="Times New Roman" w:hAnsi="Times New Roman" w:cs="Times New Roman"/>
          <w:sz w:val="24"/>
          <w:szCs w:val="24"/>
        </w:rPr>
        <w:lastRenderedPageBreak/>
        <w:t>anti-virus is no longer enough to protect against ransomware attacks (Liu et al. 2024). Thus, SFM should adopt a multi-layered defence approach, which involves preventative controls like network segmentation, MFA, patch management, detective controls such as EDR, SIEM and vulnerability scanning and corrective controls such as secure backups and incident recovery (Al-</w:t>
      </w:r>
      <w:proofErr w:type="spellStart"/>
      <w:r>
        <w:rPr>
          <w:rFonts w:ascii="Times New Roman" w:eastAsia="Times New Roman" w:hAnsi="Times New Roman" w:cs="Times New Roman"/>
          <w:sz w:val="24"/>
          <w:szCs w:val="24"/>
        </w:rPr>
        <w:t>Hawawreh</w:t>
      </w:r>
      <w:proofErr w:type="spellEnd"/>
      <w:r>
        <w:rPr>
          <w:rFonts w:ascii="Times New Roman" w:eastAsia="Times New Roman" w:hAnsi="Times New Roman" w:cs="Times New Roman"/>
          <w:sz w:val="24"/>
          <w:szCs w:val="24"/>
        </w:rPr>
        <w:t xml:space="preserve"> et al. 2024). This comprehensive solution helps to minimize the spreading of attacks, improve detection rate and ensure operational resilience. </w:t>
      </w:r>
    </w:p>
    <w:p w14:paraId="375C6671" w14:textId="77777777" w:rsidR="0095498E"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86AB364" wp14:editId="5070C843">
            <wp:extent cx="5731200" cy="36195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3619500"/>
                    </a:xfrm>
                    <a:prstGeom prst="rect">
                      <a:avLst/>
                    </a:prstGeom>
                    <a:ln/>
                  </pic:spPr>
                </pic:pic>
              </a:graphicData>
            </a:graphic>
          </wp:inline>
        </w:drawing>
      </w:r>
    </w:p>
    <w:p w14:paraId="6ED2E0DA" w14:textId="77777777" w:rsidR="0095498E" w:rsidRDefault="00000000">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4.1: Layered Security Architecture</w:t>
      </w:r>
    </w:p>
    <w:p w14:paraId="2B09094D" w14:textId="77777777" w:rsidR="0095498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when considering the Zero Trust strategy, vendors are continuously evaluated, and the continuous assessment of the environment can provide a deeper level of protection in an interdependent IT/OT/IoT environment, it can help to minimize risks and the impact of advanced cyberattacks while maintaining the ability to continue production processes (</w:t>
      </w:r>
      <w:proofErr w:type="spellStart"/>
      <w:r>
        <w:rPr>
          <w:rFonts w:ascii="Times New Roman" w:eastAsia="Times New Roman" w:hAnsi="Times New Roman" w:cs="Times New Roman"/>
          <w:sz w:val="24"/>
          <w:szCs w:val="24"/>
        </w:rPr>
        <w:t>Alqudhaibi</w:t>
      </w:r>
      <w:proofErr w:type="spellEnd"/>
      <w:r>
        <w:rPr>
          <w:rFonts w:ascii="Times New Roman" w:eastAsia="Times New Roman" w:hAnsi="Times New Roman" w:cs="Times New Roman"/>
          <w:sz w:val="24"/>
          <w:szCs w:val="24"/>
        </w:rPr>
        <w:t xml:space="preserve"> et al. 2025).</w:t>
      </w:r>
    </w:p>
    <w:p w14:paraId="14B69D6D" w14:textId="77777777" w:rsidR="0095498E" w:rsidRDefault="00000000" w:rsidP="003272EF">
      <w:pPr>
        <w:pStyle w:val="Heading1"/>
      </w:pPr>
      <w:bookmarkStart w:id="4" w:name="_Toc237029085"/>
      <w:r>
        <w:t>5. Network Monitoring and Incident Response Plan</w:t>
      </w:r>
      <w:bookmarkEnd w:id="4"/>
      <w:r>
        <w:t xml:space="preserve"> </w:t>
      </w:r>
    </w:p>
    <w:p w14:paraId="3CC218E4"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t xml:space="preserve">Security Information and Event Management (SIEM), Intrusion Detection Systems (IDS), Intrusion Prevention Systems (IPS), Security Operations Centre (SOC) capabilities, threat intelligence, centralised log management, vulnerability scanning, and endpoint monitoring should all be a part of a continuous monitoring strategy in the case of </w:t>
      </w:r>
      <w:proofErr w:type="spellStart"/>
      <w:r>
        <w:rPr>
          <w:rFonts w:ascii="Times New Roman" w:eastAsia="Times New Roman" w:hAnsi="Times New Roman" w:cs="Times New Roman"/>
          <w:sz w:val="24"/>
          <w:szCs w:val="24"/>
        </w:rPr>
        <w:t>SteelForm</w:t>
      </w:r>
      <w:proofErr w:type="spellEnd"/>
      <w:r>
        <w:rPr>
          <w:rFonts w:ascii="Times New Roman" w:eastAsia="Times New Roman" w:hAnsi="Times New Roman" w:cs="Times New Roman"/>
          <w:sz w:val="24"/>
          <w:szCs w:val="24"/>
        </w:rPr>
        <w:t xml:space="preserve"> Manufacturing Ltd. (SFM) (</w:t>
      </w:r>
      <w:proofErr w:type="spellStart"/>
      <w:r>
        <w:rPr>
          <w:rFonts w:ascii="Times New Roman" w:eastAsia="Times New Roman" w:hAnsi="Times New Roman" w:cs="Times New Roman"/>
          <w:sz w:val="24"/>
          <w:szCs w:val="24"/>
        </w:rPr>
        <w:t>Giustozzi</w:t>
      </w:r>
      <w:proofErr w:type="spellEnd"/>
      <w:r>
        <w:rPr>
          <w:rFonts w:ascii="Times New Roman" w:eastAsia="Times New Roman" w:hAnsi="Times New Roman" w:cs="Times New Roman"/>
          <w:sz w:val="24"/>
          <w:szCs w:val="24"/>
        </w:rPr>
        <w:t xml:space="preserve"> et al. 2024). IDS/IPS detect and prevent bad activities in the network while SIEM enables them to correlate security events from multiple sources (Ban et al. 2023). Continuous vulnerability scanning/endpoint monitoring identifies misconfigurations, malware and unauthorised changes before they can impact manufacturing processes. Threat intelligence also provides an extra level of monitoring by alerting to new attack patterns that are relevant to Industrial Environments and enabling Proactive Defence (Alem et al. 2023).</w:t>
      </w:r>
    </w:p>
    <w:p w14:paraId="7D41C8CD" w14:textId="77777777" w:rsidR="0095498E" w:rsidRDefault="00000000">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11BF9061" wp14:editId="7D128B23">
            <wp:extent cx="5731200" cy="3429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429000"/>
                    </a:xfrm>
                    <a:prstGeom prst="rect">
                      <a:avLst/>
                    </a:prstGeom>
                    <a:ln/>
                  </pic:spPr>
                </pic:pic>
              </a:graphicData>
            </a:graphic>
          </wp:inline>
        </w:drawing>
      </w:r>
    </w:p>
    <w:p w14:paraId="5FC168D7" w14:textId="77777777" w:rsidR="0095498E" w:rsidRDefault="00000000">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5.1: Incident Response Flowchart</w:t>
      </w:r>
    </w:p>
    <w:p w14:paraId="19DFF06D" w14:textId="77777777" w:rsidR="0095498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Incident response should be performed in accordance with the NIST lifecycle, and tailored to the manufacturing processes at SFM. Planning should involve preparing security policies, response plans, backup policies and employee roles. Detection includes analysing </w:t>
      </w:r>
      <w:r>
        <w:rPr>
          <w:rFonts w:ascii="Times New Roman" w:eastAsia="Times New Roman" w:hAnsi="Times New Roman" w:cs="Times New Roman"/>
          <w:sz w:val="24"/>
          <w:szCs w:val="24"/>
        </w:rPr>
        <w:lastRenderedPageBreak/>
        <w:t>SIEM alerts and endpoint telemetry to detect suspicious activity, and the analysis to understand the extent of the attack, affected assets and impact on operations. Containment prevents the lateral spread from a breached IT/OT asset without an unacceptably long delay in production. Eradication rids of malware, locks up system loopholes and checks system integrity. Recovery - Rebuilds operations from the proven backups and monitors for any recurring threats. Lastly, lessons learnt should be documented to capture the findings of the incident, retain the forensic evidence, review the effectiveness of the response and update security controls, staff training and security policies as needed (Ban et al. 2023; Alem et al. 2023).</w:t>
      </w:r>
    </w:p>
    <w:p w14:paraId="3F1743CA" w14:textId="77777777" w:rsidR="0095498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the manufacturing sector, where production lines are becoming increasingly automated and can halt production, degrade product quality, cause harm to industrial assets, and create risks to employees, it is all the more critical to detect cyber incidents early. In traditional workspaces, however, disruptions can impact the delivery of the product to customers and the functioning of the plant. Continuous monitoring, combined with a well-defined incident response process, can help reduce recovery time, financial losses, operational continuity and increase the resilience of the organization to the ever-evolving threats in SFM's Industry 4.0 ecosystem (</w:t>
      </w:r>
      <w:proofErr w:type="spellStart"/>
      <w:r>
        <w:rPr>
          <w:rFonts w:ascii="Times New Roman" w:eastAsia="Times New Roman" w:hAnsi="Times New Roman" w:cs="Times New Roman"/>
          <w:sz w:val="24"/>
          <w:szCs w:val="24"/>
        </w:rPr>
        <w:t>Giustozzi</w:t>
      </w:r>
      <w:proofErr w:type="spellEnd"/>
      <w:r>
        <w:rPr>
          <w:rFonts w:ascii="Times New Roman" w:eastAsia="Times New Roman" w:hAnsi="Times New Roman" w:cs="Times New Roman"/>
          <w:sz w:val="24"/>
          <w:szCs w:val="24"/>
        </w:rPr>
        <w:t xml:space="preserve"> et al. 2024).</w:t>
      </w:r>
    </w:p>
    <w:p w14:paraId="7A906D14" w14:textId="77777777" w:rsidR="0095498E" w:rsidRDefault="00000000" w:rsidP="003272EF">
      <w:pPr>
        <w:pStyle w:val="Heading1"/>
      </w:pPr>
      <w:bookmarkStart w:id="5" w:name="_Toc237029086"/>
      <w:r>
        <w:t>6. Cybersecurity Awareness and Training Programme</w:t>
      </w:r>
      <w:bookmarkEnd w:id="5"/>
      <w:r>
        <w:t xml:space="preserve"> </w:t>
      </w:r>
    </w:p>
    <w:p w14:paraId="11B58A29"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SFM (</w:t>
      </w:r>
      <w:proofErr w:type="spellStart"/>
      <w:r>
        <w:rPr>
          <w:rFonts w:ascii="Times New Roman" w:eastAsia="Times New Roman" w:hAnsi="Times New Roman" w:cs="Times New Roman"/>
          <w:sz w:val="24"/>
          <w:szCs w:val="24"/>
        </w:rPr>
        <w:t>SteelForm</w:t>
      </w:r>
      <w:proofErr w:type="spellEnd"/>
      <w:r>
        <w:rPr>
          <w:rFonts w:ascii="Times New Roman" w:eastAsia="Times New Roman" w:hAnsi="Times New Roman" w:cs="Times New Roman"/>
          <w:sz w:val="24"/>
          <w:szCs w:val="24"/>
        </w:rPr>
        <w:t xml:space="preserve"> Manufacturing Ltd) should adopt a role-based cybersecurity awareness programme, instead of a one-off annual compliance training programme. Induction training on phishing awareness and password management, incident reporting and policies should be carried out for all new hires, quarterly awareness training for all staff and annual refresh training for all staff. What is needed is some more specialized social-engineering and supplier-fraud training for procurement staff, more secure OT/IoT practices from production operators, and ransomware, data breach and incident decision making training for executives. </w:t>
      </w:r>
      <w:r>
        <w:rPr>
          <w:rFonts w:ascii="Times New Roman" w:eastAsia="Times New Roman" w:hAnsi="Times New Roman" w:cs="Times New Roman"/>
          <w:sz w:val="24"/>
          <w:szCs w:val="24"/>
        </w:rPr>
        <w:lastRenderedPageBreak/>
        <w:t>The study shows that also the knowledge in the field of cyber security decreases over time which makes it clear that it is necessary to conduct training continuously, and not only specific ones (</w:t>
      </w:r>
      <w:proofErr w:type="spellStart"/>
      <w:r>
        <w:rPr>
          <w:rFonts w:ascii="Times New Roman" w:eastAsia="Times New Roman" w:hAnsi="Times New Roman" w:cs="Times New Roman"/>
          <w:sz w:val="24"/>
          <w:szCs w:val="24"/>
        </w:rPr>
        <w:t>Sikolia</w:t>
      </w:r>
      <w:proofErr w:type="spellEnd"/>
      <w:r>
        <w:rPr>
          <w:rFonts w:ascii="Times New Roman" w:eastAsia="Times New Roman" w:hAnsi="Times New Roman" w:cs="Times New Roman"/>
          <w:sz w:val="24"/>
          <w:szCs w:val="24"/>
        </w:rPr>
        <w:t xml:space="preserve"> et al. 2023).</w:t>
      </w:r>
    </w:p>
    <w:p w14:paraId="7C81FDF7" w14:textId="5D955767" w:rsidR="0095498E"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Regularly (quarterly) run simulated phishing exercises and provide scenario-based exercises and short remedial modules so that employees can spot and report phishing attempts. Mungo (2024) also emphasizes the need for the appropriate training frequency, training content, and employee motivation to strengthen the phishing identification skills. Success of a programme should, therefore, be measured by training completion, assessment results, phishing click rates, reporting rates and rate of policy violations reoccurring. There is a need for behavioural training in addition to technical safeguards, as human behaviour remains a critical factor as no technical solution can be developed to stop/slow down the exploitation of trust and </w:t>
      </w:r>
      <w:r w:rsidR="003272EF">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processes in the form of social engineering.</w:t>
      </w:r>
    </w:p>
    <w:p w14:paraId="21F8D9FA" w14:textId="77777777" w:rsidR="0095498E" w:rsidRDefault="00000000" w:rsidP="0020755F">
      <w:pPr>
        <w:pStyle w:val="Heading1"/>
      </w:pPr>
      <w:bookmarkStart w:id="6" w:name="_Toc237029087"/>
      <w:r>
        <w:t>7. Conclusion</w:t>
      </w:r>
      <w:bookmarkEnd w:id="6"/>
      <w:r>
        <w:t xml:space="preserve"> </w:t>
      </w:r>
    </w:p>
    <w:p w14:paraId="62CF1F5D" w14:textId="77777777" w:rsidR="0095498E"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This report identifies the insider threat, ransomware attacks, phishing attacks, supply chain attacks and the vulnerabilities of the Industrial Internet of Things as the biggest cyber threats. In response to these threats, a full data governance and cybersecurity framework in line with the recognised international frameworks was suggested along with a layered technical and administrative mitigation framework. The following systems should be in place: a cybersecurity awareness programme to help build employee awareness and resilience and a framework for continuous monitoring and incident response to help build threat detection and response and resilience. All these recommendations support the security of any organization, the continuity of their business, protection of appropriate manufacturing resources and safe and resilient digital transformation in Industry 4.0 settings.</w:t>
      </w:r>
    </w:p>
    <w:p w14:paraId="3EF320EE" w14:textId="77777777" w:rsidR="0095498E" w:rsidRDefault="00000000">
      <w:pPr>
        <w:spacing w:line="480" w:lineRule="auto"/>
        <w:rPr>
          <w:rFonts w:ascii="Times New Roman" w:eastAsia="Times New Roman" w:hAnsi="Times New Roman" w:cs="Times New Roman"/>
          <w:sz w:val="24"/>
          <w:szCs w:val="24"/>
        </w:rPr>
      </w:pPr>
      <w:r>
        <w:br w:type="page"/>
      </w:r>
    </w:p>
    <w:p w14:paraId="104324C1" w14:textId="77777777" w:rsidR="0095498E" w:rsidRDefault="00000000" w:rsidP="0020755F">
      <w:pPr>
        <w:pStyle w:val="Heading1"/>
      </w:pPr>
      <w:bookmarkStart w:id="7" w:name="_Toc237029088"/>
      <w:r>
        <w:lastRenderedPageBreak/>
        <w:t>Reference List</w:t>
      </w:r>
      <w:bookmarkEnd w:id="7"/>
    </w:p>
    <w:p w14:paraId="207D4369" w14:textId="77777777" w:rsidR="0020755F" w:rsidRPr="0020755F" w:rsidRDefault="0020755F" w:rsidP="0020755F">
      <w:pPr>
        <w:spacing w:after="160" w:line="480" w:lineRule="auto"/>
        <w:ind w:left="720" w:hanging="720"/>
        <w:rPr>
          <w:rFonts w:ascii="Times New Roman" w:eastAsia="Times New Roman" w:hAnsi="Times New Roman" w:cs="Times New Roman"/>
          <w:color w:val="1155CC"/>
          <w:sz w:val="24"/>
          <w:szCs w:val="24"/>
          <w:u w:val="single"/>
        </w:rPr>
      </w:pPr>
      <w:r w:rsidRPr="0020755F">
        <w:rPr>
          <w:rFonts w:ascii="Times New Roman" w:eastAsia="Times New Roman" w:hAnsi="Times New Roman" w:cs="Times New Roman"/>
          <w:sz w:val="24"/>
          <w:szCs w:val="24"/>
        </w:rPr>
        <w:t xml:space="preserve">Alem, S., </w:t>
      </w:r>
      <w:proofErr w:type="spellStart"/>
      <w:r w:rsidRPr="0020755F">
        <w:rPr>
          <w:rFonts w:ascii="Times New Roman" w:eastAsia="Times New Roman" w:hAnsi="Times New Roman" w:cs="Times New Roman"/>
          <w:sz w:val="24"/>
          <w:szCs w:val="24"/>
        </w:rPr>
        <w:t>Espes</w:t>
      </w:r>
      <w:proofErr w:type="spellEnd"/>
      <w:r w:rsidRPr="0020755F">
        <w:rPr>
          <w:rFonts w:ascii="Times New Roman" w:eastAsia="Times New Roman" w:hAnsi="Times New Roman" w:cs="Times New Roman"/>
          <w:sz w:val="24"/>
          <w:szCs w:val="24"/>
        </w:rPr>
        <w:t xml:space="preserve">, D., Nana, L., Martin, E., &amp; De Lamotte, F. (2023). A new normative approach to intrusion detection in manufacturing 4.0. </w:t>
      </w:r>
      <w:r w:rsidRPr="0020755F">
        <w:rPr>
          <w:rFonts w:ascii="Times New Roman" w:eastAsia="Times New Roman" w:hAnsi="Times New Roman" w:cs="Times New Roman"/>
          <w:i/>
          <w:iCs/>
          <w:sz w:val="24"/>
          <w:szCs w:val="24"/>
        </w:rPr>
        <w:t>IFAC-</w:t>
      </w:r>
      <w:proofErr w:type="spellStart"/>
      <w:r w:rsidRPr="0020755F">
        <w:rPr>
          <w:rFonts w:ascii="Times New Roman" w:eastAsia="Times New Roman" w:hAnsi="Times New Roman" w:cs="Times New Roman"/>
          <w:i/>
          <w:iCs/>
          <w:sz w:val="24"/>
          <w:szCs w:val="24"/>
        </w:rPr>
        <w:t>PapersOnLine</w:t>
      </w:r>
      <w:proofErr w:type="spellEnd"/>
      <w:r w:rsidRPr="0020755F">
        <w:rPr>
          <w:rFonts w:ascii="Times New Roman" w:eastAsia="Times New Roman" w:hAnsi="Times New Roman" w:cs="Times New Roman"/>
          <w:sz w:val="24"/>
          <w:szCs w:val="24"/>
        </w:rPr>
        <w:t xml:space="preserve">, </w:t>
      </w:r>
      <w:r w:rsidRPr="0020755F">
        <w:rPr>
          <w:rFonts w:ascii="Times New Roman" w:eastAsia="Times New Roman" w:hAnsi="Times New Roman" w:cs="Times New Roman"/>
          <w:i/>
          <w:iCs/>
          <w:sz w:val="24"/>
          <w:szCs w:val="24"/>
        </w:rPr>
        <w:t>56</w:t>
      </w:r>
      <w:r w:rsidRPr="0020755F">
        <w:rPr>
          <w:rFonts w:ascii="Times New Roman" w:eastAsia="Times New Roman" w:hAnsi="Times New Roman" w:cs="Times New Roman"/>
          <w:sz w:val="24"/>
          <w:szCs w:val="24"/>
        </w:rPr>
        <w:t>(2), 3692-3697.</w:t>
      </w:r>
      <w:hyperlink r:id="rId9">
        <w:r w:rsidRPr="0020755F">
          <w:rPr>
            <w:rFonts w:ascii="Times New Roman" w:eastAsia="Times New Roman" w:hAnsi="Times New Roman" w:cs="Times New Roman"/>
            <w:sz w:val="24"/>
            <w:szCs w:val="24"/>
          </w:rPr>
          <w:t xml:space="preserve"> </w:t>
        </w:r>
      </w:hyperlink>
      <w:hyperlink r:id="rId10">
        <w:r w:rsidRPr="0020755F">
          <w:rPr>
            <w:rFonts w:ascii="Times New Roman" w:eastAsia="Times New Roman" w:hAnsi="Times New Roman" w:cs="Times New Roman"/>
            <w:color w:val="1155CC"/>
            <w:sz w:val="24"/>
            <w:szCs w:val="24"/>
            <w:u w:val="single"/>
          </w:rPr>
          <w:t>https://www.sciencedirect.com/science/article/am/pii/S2405896323019432</w:t>
        </w:r>
      </w:hyperlink>
    </w:p>
    <w:p w14:paraId="008FD190" w14:textId="77777777" w:rsidR="0020755F" w:rsidRPr="0020755F" w:rsidRDefault="0020755F" w:rsidP="0020755F">
      <w:pPr>
        <w:spacing w:after="160" w:line="480" w:lineRule="auto"/>
        <w:ind w:left="720" w:hanging="720"/>
        <w:rPr>
          <w:rFonts w:ascii="Times New Roman" w:eastAsia="Times New Roman" w:hAnsi="Times New Roman" w:cs="Times New Roman"/>
          <w:color w:val="1155CC"/>
          <w:sz w:val="24"/>
          <w:szCs w:val="24"/>
          <w:u w:val="single"/>
        </w:rPr>
      </w:pPr>
      <w:r w:rsidRPr="0020755F">
        <w:rPr>
          <w:rFonts w:ascii="Times New Roman" w:eastAsia="Times New Roman" w:hAnsi="Times New Roman" w:cs="Times New Roman"/>
          <w:sz w:val="24"/>
          <w:szCs w:val="24"/>
        </w:rPr>
        <w:t>Al-</w:t>
      </w:r>
      <w:proofErr w:type="spellStart"/>
      <w:r w:rsidRPr="0020755F">
        <w:rPr>
          <w:rFonts w:ascii="Times New Roman" w:eastAsia="Times New Roman" w:hAnsi="Times New Roman" w:cs="Times New Roman"/>
          <w:sz w:val="24"/>
          <w:szCs w:val="24"/>
        </w:rPr>
        <w:t>Hawawreh</w:t>
      </w:r>
      <w:proofErr w:type="spellEnd"/>
      <w:r w:rsidRPr="0020755F">
        <w:rPr>
          <w:rFonts w:ascii="Times New Roman" w:eastAsia="Times New Roman" w:hAnsi="Times New Roman" w:cs="Times New Roman"/>
          <w:sz w:val="24"/>
          <w:szCs w:val="24"/>
        </w:rPr>
        <w:t xml:space="preserve">, M., </w:t>
      </w:r>
      <w:proofErr w:type="spellStart"/>
      <w:r w:rsidRPr="0020755F">
        <w:rPr>
          <w:rFonts w:ascii="Times New Roman" w:eastAsia="Times New Roman" w:hAnsi="Times New Roman" w:cs="Times New Roman"/>
          <w:sz w:val="24"/>
          <w:szCs w:val="24"/>
        </w:rPr>
        <w:t>Alazab</w:t>
      </w:r>
      <w:proofErr w:type="spellEnd"/>
      <w:r w:rsidRPr="0020755F">
        <w:rPr>
          <w:rFonts w:ascii="Times New Roman" w:eastAsia="Times New Roman" w:hAnsi="Times New Roman" w:cs="Times New Roman"/>
          <w:sz w:val="24"/>
          <w:szCs w:val="24"/>
        </w:rPr>
        <w:t xml:space="preserve">, M., </w:t>
      </w:r>
      <w:proofErr w:type="spellStart"/>
      <w:r w:rsidRPr="0020755F">
        <w:rPr>
          <w:rFonts w:ascii="Times New Roman" w:eastAsia="Times New Roman" w:hAnsi="Times New Roman" w:cs="Times New Roman"/>
          <w:sz w:val="24"/>
          <w:szCs w:val="24"/>
        </w:rPr>
        <w:t>Ferrag</w:t>
      </w:r>
      <w:proofErr w:type="spellEnd"/>
      <w:r w:rsidRPr="0020755F">
        <w:rPr>
          <w:rFonts w:ascii="Times New Roman" w:eastAsia="Times New Roman" w:hAnsi="Times New Roman" w:cs="Times New Roman"/>
          <w:sz w:val="24"/>
          <w:szCs w:val="24"/>
        </w:rPr>
        <w:t xml:space="preserve">, M. A., &amp; Hossain, M. S. (2024). Securing the Industrial Internet of Things against ransomware attacks: A comprehensive analysis of the emerging threat landscape and detection mechanisms. </w:t>
      </w:r>
      <w:r w:rsidRPr="0020755F">
        <w:rPr>
          <w:rFonts w:ascii="Times New Roman" w:eastAsia="Times New Roman" w:hAnsi="Times New Roman" w:cs="Times New Roman"/>
          <w:i/>
          <w:iCs/>
          <w:sz w:val="24"/>
          <w:szCs w:val="24"/>
        </w:rPr>
        <w:t>Journal of Network and Computer Applications</w:t>
      </w:r>
      <w:r w:rsidRPr="0020755F">
        <w:rPr>
          <w:rFonts w:ascii="Times New Roman" w:eastAsia="Times New Roman" w:hAnsi="Times New Roman" w:cs="Times New Roman"/>
          <w:sz w:val="24"/>
          <w:szCs w:val="24"/>
        </w:rPr>
        <w:t xml:space="preserve">, </w:t>
      </w:r>
      <w:r w:rsidRPr="0020755F">
        <w:rPr>
          <w:rFonts w:ascii="Times New Roman" w:eastAsia="Times New Roman" w:hAnsi="Times New Roman" w:cs="Times New Roman"/>
          <w:i/>
          <w:iCs/>
          <w:sz w:val="24"/>
          <w:szCs w:val="24"/>
        </w:rPr>
        <w:t>223</w:t>
      </w:r>
      <w:r w:rsidRPr="0020755F">
        <w:rPr>
          <w:rFonts w:ascii="Times New Roman" w:eastAsia="Times New Roman" w:hAnsi="Times New Roman" w:cs="Times New Roman"/>
          <w:sz w:val="24"/>
          <w:szCs w:val="24"/>
        </w:rPr>
        <w:t>, 103809.</w:t>
      </w:r>
      <w:hyperlink r:id="rId11">
        <w:r w:rsidRPr="0020755F">
          <w:rPr>
            <w:rFonts w:ascii="Times New Roman" w:eastAsia="Times New Roman" w:hAnsi="Times New Roman" w:cs="Times New Roman"/>
            <w:sz w:val="24"/>
            <w:szCs w:val="24"/>
          </w:rPr>
          <w:t xml:space="preserve"> </w:t>
        </w:r>
      </w:hyperlink>
      <w:hyperlink r:id="rId12">
        <w:r w:rsidRPr="0020755F">
          <w:rPr>
            <w:rFonts w:ascii="Times New Roman" w:eastAsia="Times New Roman" w:hAnsi="Times New Roman" w:cs="Times New Roman"/>
            <w:color w:val="1155CC"/>
            <w:sz w:val="24"/>
            <w:szCs w:val="24"/>
            <w:u w:val="single"/>
          </w:rPr>
          <w:t>https://www.sciencedirect.com/science/article/pii/S108480452300228X</w:t>
        </w:r>
      </w:hyperlink>
    </w:p>
    <w:p w14:paraId="2867408E" w14:textId="77777777" w:rsidR="0020755F" w:rsidRPr="0020755F" w:rsidRDefault="0020755F" w:rsidP="0020755F">
      <w:pPr>
        <w:spacing w:after="160" w:line="480" w:lineRule="auto"/>
        <w:ind w:left="720" w:hanging="720"/>
        <w:rPr>
          <w:rFonts w:ascii="Times New Roman" w:eastAsia="Times New Roman" w:hAnsi="Times New Roman" w:cs="Times New Roman"/>
          <w:color w:val="1155CC"/>
          <w:sz w:val="24"/>
          <w:szCs w:val="24"/>
          <w:u w:val="single"/>
        </w:rPr>
      </w:pPr>
      <w:proofErr w:type="spellStart"/>
      <w:r w:rsidRPr="0020755F">
        <w:rPr>
          <w:rFonts w:ascii="Times New Roman" w:eastAsia="Times New Roman" w:hAnsi="Times New Roman" w:cs="Times New Roman"/>
          <w:sz w:val="24"/>
          <w:szCs w:val="24"/>
        </w:rPr>
        <w:t>Alqudhaibi</w:t>
      </w:r>
      <w:proofErr w:type="spellEnd"/>
      <w:r w:rsidRPr="0020755F">
        <w:rPr>
          <w:rFonts w:ascii="Times New Roman" w:eastAsia="Times New Roman" w:hAnsi="Times New Roman" w:cs="Times New Roman"/>
          <w:sz w:val="24"/>
          <w:szCs w:val="24"/>
        </w:rPr>
        <w:t xml:space="preserve">, A., Albarrak, M., Jagtap, S., Williams, N., &amp; </w:t>
      </w:r>
      <w:proofErr w:type="spellStart"/>
      <w:r w:rsidRPr="0020755F">
        <w:rPr>
          <w:rFonts w:ascii="Times New Roman" w:eastAsia="Times New Roman" w:hAnsi="Times New Roman" w:cs="Times New Roman"/>
          <w:sz w:val="24"/>
          <w:szCs w:val="24"/>
        </w:rPr>
        <w:t>Salonitis</w:t>
      </w:r>
      <w:proofErr w:type="spellEnd"/>
      <w:r w:rsidRPr="0020755F">
        <w:rPr>
          <w:rFonts w:ascii="Times New Roman" w:eastAsia="Times New Roman" w:hAnsi="Times New Roman" w:cs="Times New Roman"/>
          <w:sz w:val="24"/>
          <w:szCs w:val="24"/>
        </w:rPr>
        <w:t xml:space="preserve">, K. (2025). Securing industry 4.0: Assessing cybersecurity challenges and proposing strategies for manufacturing management. </w:t>
      </w:r>
      <w:r w:rsidRPr="0020755F">
        <w:rPr>
          <w:rFonts w:ascii="Times New Roman" w:eastAsia="Times New Roman" w:hAnsi="Times New Roman" w:cs="Times New Roman"/>
          <w:i/>
          <w:iCs/>
          <w:sz w:val="24"/>
          <w:szCs w:val="24"/>
        </w:rPr>
        <w:t>Cyber Security and Applications</w:t>
      </w:r>
      <w:r w:rsidRPr="0020755F">
        <w:rPr>
          <w:rFonts w:ascii="Times New Roman" w:eastAsia="Times New Roman" w:hAnsi="Times New Roman" w:cs="Times New Roman"/>
          <w:sz w:val="24"/>
          <w:szCs w:val="24"/>
        </w:rPr>
        <w:t xml:space="preserve">, </w:t>
      </w:r>
      <w:r w:rsidRPr="0020755F">
        <w:rPr>
          <w:rFonts w:ascii="Times New Roman" w:eastAsia="Times New Roman" w:hAnsi="Times New Roman" w:cs="Times New Roman"/>
          <w:i/>
          <w:iCs/>
          <w:sz w:val="24"/>
          <w:szCs w:val="24"/>
        </w:rPr>
        <w:t>3</w:t>
      </w:r>
      <w:r w:rsidRPr="0020755F">
        <w:rPr>
          <w:rFonts w:ascii="Times New Roman" w:eastAsia="Times New Roman" w:hAnsi="Times New Roman" w:cs="Times New Roman"/>
          <w:sz w:val="24"/>
          <w:szCs w:val="24"/>
        </w:rPr>
        <w:t>, 100067.</w:t>
      </w:r>
      <w:hyperlink r:id="rId13">
        <w:r w:rsidRPr="0020755F">
          <w:rPr>
            <w:rFonts w:ascii="Times New Roman" w:eastAsia="Times New Roman" w:hAnsi="Times New Roman" w:cs="Times New Roman"/>
            <w:sz w:val="24"/>
            <w:szCs w:val="24"/>
          </w:rPr>
          <w:t xml:space="preserve"> </w:t>
        </w:r>
      </w:hyperlink>
      <w:hyperlink r:id="rId14">
        <w:r w:rsidRPr="0020755F">
          <w:rPr>
            <w:rFonts w:ascii="Times New Roman" w:eastAsia="Times New Roman" w:hAnsi="Times New Roman" w:cs="Times New Roman"/>
            <w:color w:val="1155CC"/>
            <w:sz w:val="24"/>
            <w:szCs w:val="24"/>
            <w:u w:val="single"/>
          </w:rPr>
          <w:t>https://www.sciencedirect.com/science/article/pii/S277291842400033X</w:t>
        </w:r>
      </w:hyperlink>
    </w:p>
    <w:p w14:paraId="1C2446C1" w14:textId="77777777" w:rsidR="0020755F" w:rsidRPr="0020755F" w:rsidRDefault="0020755F" w:rsidP="0020755F">
      <w:pPr>
        <w:spacing w:after="160" w:line="480" w:lineRule="auto"/>
        <w:ind w:left="720" w:hanging="720"/>
        <w:rPr>
          <w:rFonts w:ascii="Times New Roman" w:eastAsia="Times New Roman" w:hAnsi="Times New Roman" w:cs="Times New Roman"/>
          <w:color w:val="1155CC"/>
          <w:sz w:val="24"/>
          <w:szCs w:val="24"/>
          <w:u w:val="single"/>
        </w:rPr>
      </w:pPr>
      <w:r w:rsidRPr="0020755F">
        <w:rPr>
          <w:rFonts w:ascii="Times New Roman" w:eastAsia="Times New Roman" w:hAnsi="Times New Roman" w:cs="Times New Roman"/>
          <w:sz w:val="24"/>
          <w:szCs w:val="24"/>
        </w:rPr>
        <w:t xml:space="preserve">Atieh, A. M., Cooke, K. O., &amp; </w:t>
      </w:r>
      <w:proofErr w:type="spellStart"/>
      <w:r w:rsidRPr="0020755F">
        <w:rPr>
          <w:rFonts w:ascii="Times New Roman" w:eastAsia="Times New Roman" w:hAnsi="Times New Roman" w:cs="Times New Roman"/>
          <w:sz w:val="24"/>
          <w:szCs w:val="24"/>
        </w:rPr>
        <w:t>Osiyevskyy</w:t>
      </w:r>
      <w:proofErr w:type="spellEnd"/>
      <w:r w:rsidRPr="0020755F">
        <w:rPr>
          <w:rFonts w:ascii="Times New Roman" w:eastAsia="Times New Roman" w:hAnsi="Times New Roman" w:cs="Times New Roman"/>
          <w:sz w:val="24"/>
          <w:szCs w:val="24"/>
        </w:rPr>
        <w:t xml:space="preserve">, O. (2023). The role of intelligent manufacturing systems in the implementation of Industry 4.0 by small and medium enterprises in developing countries. </w:t>
      </w:r>
      <w:r w:rsidRPr="0020755F">
        <w:rPr>
          <w:rFonts w:ascii="Times New Roman" w:eastAsia="Times New Roman" w:hAnsi="Times New Roman" w:cs="Times New Roman"/>
          <w:i/>
          <w:iCs/>
          <w:sz w:val="24"/>
          <w:szCs w:val="24"/>
        </w:rPr>
        <w:t>Engineering Reports</w:t>
      </w:r>
      <w:r w:rsidRPr="0020755F">
        <w:rPr>
          <w:rFonts w:ascii="Times New Roman" w:eastAsia="Times New Roman" w:hAnsi="Times New Roman" w:cs="Times New Roman"/>
          <w:sz w:val="24"/>
          <w:szCs w:val="24"/>
        </w:rPr>
        <w:t xml:space="preserve">, </w:t>
      </w:r>
      <w:r w:rsidRPr="0020755F">
        <w:rPr>
          <w:rFonts w:ascii="Times New Roman" w:eastAsia="Times New Roman" w:hAnsi="Times New Roman" w:cs="Times New Roman"/>
          <w:i/>
          <w:iCs/>
          <w:sz w:val="24"/>
          <w:szCs w:val="24"/>
        </w:rPr>
        <w:t>5</w:t>
      </w:r>
      <w:r w:rsidRPr="0020755F">
        <w:rPr>
          <w:rFonts w:ascii="Times New Roman" w:eastAsia="Times New Roman" w:hAnsi="Times New Roman" w:cs="Times New Roman"/>
          <w:sz w:val="24"/>
          <w:szCs w:val="24"/>
        </w:rPr>
        <w:t>(3), e12578.</w:t>
      </w:r>
      <w:hyperlink r:id="rId15">
        <w:r w:rsidRPr="0020755F">
          <w:rPr>
            <w:rFonts w:ascii="Times New Roman" w:eastAsia="Times New Roman" w:hAnsi="Times New Roman" w:cs="Times New Roman"/>
            <w:sz w:val="24"/>
            <w:szCs w:val="24"/>
          </w:rPr>
          <w:t xml:space="preserve"> </w:t>
        </w:r>
      </w:hyperlink>
      <w:hyperlink r:id="rId16">
        <w:r w:rsidRPr="0020755F">
          <w:rPr>
            <w:rFonts w:ascii="Times New Roman" w:eastAsia="Times New Roman" w:hAnsi="Times New Roman" w:cs="Times New Roman"/>
            <w:color w:val="1155CC"/>
            <w:sz w:val="24"/>
            <w:szCs w:val="24"/>
            <w:u w:val="single"/>
          </w:rPr>
          <w:t>https://onlinelibrary.wiley.com/doi/pdf/10.1002/eng2.12578</w:t>
        </w:r>
      </w:hyperlink>
    </w:p>
    <w:p w14:paraId="36BB1DD0" w14:textId="77777777" w:rsidR="0020755F" w:rsidRPr="0020755F" w:rsidRDefault="0020755F" w:rsidP="0020755F">
      <w:pPr>
        <w:spacing w:after="160" w:line="480" w:lineRule="auto"/>
        <w:ind w:left="720" w:hanging="720"/>
        <w:rPr>
          <w:rFonts w:ascii="Times New Roman" w:eastAsia="Times New Roman" w:hAnsi="Times New Roman" w:cs="Times New Roman"/>
          <w:color w:val="1155CC"/>
          <w:sz w:val="24"/>
          <w:szCs w:val="24"/>
          <w:u w:val="single"/>
        </w:rPr>
      </w:pPr>
      <w:r w:rsidRPr="0020755F">
        <w:rPr>
          <w:rFonts w:ascii="Times New Roman" w:eastAsia="Times New Roman" w:hAnsi="Times New Roman" w:cs="Times New Roman"/>
          <w:sz w:val="24"/>
          <w:szCs w:val="24"/>
        </w:rPr>
        <w:t xml:space="preserve">Ban, T., Takahashi, T., Ndichu, S., &amp; Inoue, D. (2023). Breaking alert fatigue: AI-assisted SIEM framework for effective incident response. </w:t>
      </w:r>
      <w:r w:rsidRPr="0020755F">
        <w:rPr>
          <w:rFonts w:ascii="Times New Roman" w:eastAsia="Times New Roman" w:hAnsi="Times New Roman" w:cs="Times New Roman"/>
          <w:i/>
          <w:iCs/>
          <w:sz w:val="24"/>
          <w:szCs w:val="24"/>
        </w:rPr>
        <w:t>Applied Sciences</w:t>
      </w:r>
      <w:r w:rsidRPr="0020755F">
        <w:rPr>
          <w:rFonts w:ascii="Times New Roman" w:eastAsia="Times New Roman" w:hAnsi="Times New Roman" w:cs="Times New Roman"/>
          <w:sz w:val="24"/>
          <w:szCs w:val="24"/>
        </w:rPr>
        <w:t xml:space="preserve">, </w:t>
      </w:r>
      <w:r w:rsidRPr="0020755F">
        <w:rPr>
          <w:rFonts w:ascii="Times New Roman" w:eastAsia="Times New Roman" w:hAnsi="Times New Roman" w:cs="Times New Roman"/>
          <w:i/>
          <w:iCs/>
          <w:sz w:val="24"/>
          <w:szCs w:val="24"/>
        </w:rPr>
        <w:t>13</w:t>
      </w:r>
      <w:r w:rsidRPr="0020755F">
        <w:rPr>
          <w:rFonts w:ascii="Times New Roman" w:eastAsia="Times New Roman" w:hAnsi="Times New Roman" w:cs="Times New Roman"/>
          <w:sz w:val="24"/>
          <w:szCs w:val="24"/>
        </w:rPr>
        <w:t>(11), 6610.</w:t>
      </w:r>
      <w:hyperlink r:id="rId17">
        <w:r w:rsidRPr="0020755F">
          <w:rPr>
            <w:rFonts w:ascii="Times New Roman" w:eastAsia="Times New Roman" w:hAnsi="Times New Roman" w:cs="Times New Roman"/>
            <w:sz w:val="24"/>
            <w:szCs w:val="24"/>
          </w:rPr>
          <w:t xml:space="preserve"> </w:t>
        </w:r>
      </w:hyperlink>
      <w:hyperlink r:id="rId18">
        <w:r w:rsidRPr="0020755F">
          <w:rPr>
            <w:rFonts w:ascii="Times New Roman" w:eastAsia="Times New Roman" w:hAnsi="Times New Roman" w:cs="Times New Roman"/>
            <w:color w:val="1155CC"/>
            <w:sz w:val="24"/>
            <w:szCs w:val="24"/>
            <w:u w:val="single"/>
          </w:rPr>
          <w:t>https://www.mdpi.com/2076-3417/13/11/6610</w:t>
        </w:r>
      </w:hyperlink>
    </w:p>
    <w:p w14:paraId="43737F87" w14:textId="77777777" w:rsidR="0020755F" w:rsidRPr="0020755F" w:rsidRDefault="0020755F" w:rsidP="0020755F">
      <w:pPr>
        <w:spacing w:after="160" w:line="480" w:lineRule="auto"/>
        <w:ind w:left="720" w:hanging="720"/>
        <w:rPr>
          <w:rFonts w:ascii="Times New Roman" w:eastAsia="Times New Roman" w:hAnsi="Times New Roman" w:cs="Times New Roman"/>
          <w:color w:val="1155CC"/>
          <w:sz w:val="24"/>
          <w:szCs w:val="24"/>
          <w:u w:val="single"/>
        </w:rPr>
      </w:pPr>
      <w:r w:rsidRPr="0020755F">
        <w:rPr>
          <w:rFonts w:ascii="Times New Roman" w:eastAsia="Times New Roman" w:hAnsi="Times New Roman" w:cs="Times New Roman"/>
          <w:sz w:val="24"/>
          <w:szCs w:val="24"/>
        </w:rPr>
        <w:t xml:space="preserve">Giustozzi, F., Saunier, J., &amp; Zanni-Merk, C. (2024). A semantic framework for condition monitoring in Industry 4.0 based on evolving knowledge bases. </w:t>
      </w:r>
      <w:r w:rsidRPr="0020755F">
        <w:rPr>
          <w:rFonts w:ascii="Times New Roman" w:eastAsia="Times New Roman" w:hAnsi="Times New Roman" w:cs="Times New Roman"/>
          <w:i/>
          <w:iCs/>
          <w:sz w:val="24"/>
          <w:szCs w:val="24"/>
        </w:rPr>
        <w:t>Semantic Web</w:t>
      </w:r>
      <w:r w:rsidRPr="0020755F">
        <w:rPr>
          <w:rFonts w:ascii="Times New Roman" w:eastAsia="Times New Roman" w:hAnsi="Times New Roman" w:cs="Times New Roman"/>
          <w:sz w:val="24"/>
          <w:szCs w:val="24"/>
        </w:rPr>
        <w:t xml:space="preserve">, </w:t>
      </w:r>
      <w:r w:rsidRPr="0020755F">
        <w:rPr>
          <w:rFonts w:ascii="Times New Roman" w:eastAsia="Times New Roman" w:hAnsi="Times New Roman" w:cs="Times New Roman"/>
          <w:i/>
          <w:iCs/>
          <w:sz w:val="24"/>
          <w:szCs w:val="24"/>
        </w:rPr>
        <w:t>15</w:t>
      </w:r>
      <w:r w:rsidRPr="0020755F">
        <w:rPr>
          <w:rFonts w:ascii="Times New Roman" w:eastAsia="Times New Roman" w:hAnsi="Times New Roman" w:cs="Times New Roman"/>
          <w:sz w:val="24"/>
          <w:szCs w:val="24"/>
        </w:rPr>
        <w:t>(2), 583-611.</w:t>
      </w:r>
      <w:hyperlink r:id="rId19">
        <w:r w:rsidRPr="0020755F">
          <w:rPr>
            <w:rFonts w:ascii="Times New Roman" w:eastAsia="Times New Roman" w:hAnsi="Times New Roman" w:cs="Times New Roman"/>
            <w:sz w:val="24"/>
            <w:szCs w:val="24"/>
          </w:rPr>
          <w:t xml:space="preserve"> </w:t>
        </w:r>
      </w:hyperlink>
      <w:hyperlink r:id="rId20">
        <w:r w:rsidRPr="0020755F">
          <w:rPr>
            <w:rFonts w:ascii="Times New Roman" w:eastAsia="Times New Roman" w:hAnsi="Times New Roman" w:cs="Times New Roman"/>
            <w:color w:val="1155CC"/>
            <w:sz w:val="24"/>
            <w:szCs w:val="24"/>
            <w:u w:val="single"/>
          </w:rPr>
          <w:t>https://journals.sagepub.com/doi/pdf/10.3233/SW-233481</w:t>
        </w:r>
      </w:hyperlink>
    </w:p>
    <w:p w14:paraId="40F040CC" w14:textId="77777777" w:rsidR="0020755F" w:rsidRPr="0020755F" w:rsidRDefault="0020755F" w:rsidP="0020755F">
      <w:pPr>
        <w:spacing w:after="160" w:line="480" w:lineRule="auto"/>
        <w:ind w:left="720" w:hanging="720"/>
        <w:rPr>
          <w:rFonts w:ascii="Times New Roman" w:eastAsia="Times New Roman" w:hAnsi="Times New Roman" w:cs="Times New Roman"/>
          <w:color w:val="1155CC"/>
          <w:sz w:val="24"/>
          <w:szCs w:val="24"/>
          <w:u w:val="single"/>
        </w:rPr>
      </w:pPr>
      <w:r w:rsidRPr="0020755F">
        <w:rPr>
          <w:rFonts w:ascii="Times New Roman" w:eastAsia="Times New Roman" w:hAnsi="Times New Roman" w:cs="Times New Roman"/>
          <w:sz w:val="24"/>
          <w:szCs w:val="24"/>
        </w:rPr>
        <w:lastRenderedPageBreak/>
        <w:t xml:space="preserve">Liu, C., Tan, R., Wu, Y., Feng, Y., Jin, Z., Zhang, F., ... &amp; Liu, Q. (2024). Dissecting zero trust: research landscape and its implementation in IoT. </w:t>
      </w:r>
      <w:r w:rsidRPr="0020755F">
        <w:rPr>
          <w:rFonts w:ascii="Times New Roman" w:eastAsia="Times New Roman" w:hAnsi="Times New Roman" w:cs="Times New Roman"/>
          <w:i/>
          <w:iCs/>
          <w:sz w:val="24"/>
          <w:szCs w:val="24"/>
        </w:rPr>
        <w:t>Cybersecurity</w:t>
      </w:r>
      <w:r w:rsidRPr="0020755F">
        <w:rPr>
          <w:rFonts w:ascii="Times New Roman" w:eastAsia="Times New Roman" w:hAnsi="Times New Roman" w:cs="Times New Roman"/>
          <w:sz w:val="24"/>
          <w:szCs w:val="24"/>
        </w:rPr>
        <w:t xml:space="preserve">, </w:t>
      </w:r>
      <w:r w:rsidRPr="0020755F">
        <w:rPr>
          <w:rFonts w:ascii="Times New Roman" w:eastAsia="Times New Roman" w:hAnsi="Times New Roman" w:cs="Times New Roman"/>
          <w:i/>
          <w:iCs/>
          <w:sz w:val="24"/>
          <w:szCs w:val="24"/>
        </w:rPr>
        <w:t>7</w:t>
      </w:r>
      <w:r w:rsidRPr="0020755F">
        <w:rPr>
          <w:rFonts w:ascii="Times New Roman" w:eastAsia="Times New Roman" w:hAnsi="Times New Roman" w:cs="Times New Roman"/>
          <w:sz w:val="24"/>
          <w:szCs w:val="24"/>
        </w:rPr>
        <w:t>(1), 20.</w:t>
      </w:r>
      <w:hyperlink r:id="rId21">
        <w:r w:rsidRPr="0020755F">
          <w:rPr>
            <w:rFonts w:ascii="Times New Roman" w:eastAsia="Times New Roman" w:hAnsi="Times New Roman" w:cs="Times New Roman"/>
            <w:sz w:val="24"/>
            <w:szCs w:val="24"/>
          </w:rPr>
          <w:t xml:space="preserve"> </w:t>
        </w:r>
      </w:hyperlink>
      <w:hyperlink r:id="rId22">
        <w:r w:rsidRPr="0020755F">
          <w:rPr>
            <w:rFonts w:ascii="Times New Roman" w:eastAsia="Times New Roman" w:hAnsi="Times New Roman" w:cs="Times New Roman"/>
            <w:color w:val="1155CC"/>
            <w:sz w:val="24"/>
            <w:szCs w:val="24"/>
            <w:u w:val="single"/>
          </w:rPr>
          <w:t>https://link.springer.com/content/pdf/10.1186/s42400-024-00212-0.pdf</w:t>
        </w:r>
      </w:hyperlink>
    </w:p>
    <w:p w14:paraId="5BF2BB62" w14:textId="77777777" w:rsidR="0020755F" w:rsidRDefault="0020755F" w:rsidP="0020755F">
      <w:pPr>
        <w:spacing w:line="480" w:lineRule="auto"/>
        <w:ind w:left="720" w:hanging="720"/>
        <w:rPr>
          <w:rFonts w:ascii="Times New Roman" w:eastAsia="Times New Roman" w:hAnsi="Times New Roman" w:cs="Times New Roman"/>
          <w:sz w:val="24"/>
          <w:szCs w:val="24"/>
        </w:rPr>
      </w:pPr>
      <w:r w:rsidRPr="0020755F">
        <w:rPr>
          <w:rFonts w:ascii="Times New Roman" w:hAnsi="Times New Roman" w:cs="Times New Roman"/>
          <w:sz w:val="24"/>
          <w:szCs w:val="24"/>
        </w:rPr>
        <w:t xml:space="preserve">Mungo, J. (2024). Self-paced cybersecurity awareness training educating retail employees to identify phishing attacks. </w:t>
      </w:r>
      <w:r w:rsidRPr="0020755F">
        <w:rPr>
          <w:rFonts w:ascii="Times New Roman" w:hAnsi="Times New Roman" w:cs="Times New Roman"/>
          <w:i/>
          <w:iCs/>
          <w:sz w:val="24"/>
          <w:szCs w:val="24"/>
        </w:rPr>
        <w:t>Journal of Cyber Security Technology</w:t>
      </w:r>
      <w:r w:rsidRPr="0020755F">
        <w:rPr>
          <w:rFonts w:ascii="Times New Roman" w:hAnsi="Times New Roman" w:cs="Times New Roman"/>
          <w:sz w:val="24"/>
          <w:szCs w:val="24"/>
        </w:rPr>
        <w:t xml:space="preserve">, </w:t>
      </w:r>
      <w:r w:rsidRPr="0020755F">
        <w:rPr>
          <w:rFonts w:ascii="Times New Roman" w:hAnsi="Times New Roman" w:cs="Times New Roman"/>
          <w:i/>
          <w:iCs/>
          <w:sz w:val="24"/>
          <w:szCs w:val="24"/>
        </w:rPr>
        <w:t>8</w:t>
      </w:r>
      <w:r w:rsidRPr="0020755F">
        <w:rPr>
          <w:rFonts w:ascii="Times New Roman" w:hAnsi="Times New Roman" w:cs="Times New Roman"/>
          <w:sz w:val="24"/>
          <w:szCs w:val="24"/>
        </w:rPr>
        <w:t>(2), 71-119.</w:t>
      </w:r>
      <w:hyperlink r:id="rId23">
        <w:r w:rsidRPr="0020755F">
          <w:rPr>
            <w:rFonts w:ascii="Times New Roman" w:hAnsi="Times New Roman" w:cs="Times New Roman"/>
            <w:sz w:val="24"/>
            <w:szCs w:val="24"/>
          </w:rPr>
          <w:t xml:space="preserve"> </w:t>
        </w:r>
      </w:hyperlink>
      <w:hyperlink r:id="rId24">
        <w:r w:rsidRPr="0020755F">
          <w:rPr>
            <w:rFonts w:ascii="Times New Roman" w:hAnsi="Times New Roman" w:cs="Times New Roman"/>
            <w:color w:val="1155CC"/>
            <w:sz w:val="24"/>
            <w:szCs w:val="24"/>
            <w:u w:val="single"/>
          </w:rPr>
          <w:t>https://www.tandfonline.com/doi/abs/10.1080/23742917.2023.2244210</w:t>
        </w:r>
      </w:hyperlink>
      <w:r>
        <w:rPr>
          <w:rFonts w:ascii="Times New Roman" w:eastAsia="Times New Roman" w:hAnsi="Times New Roman" w:cs="Times New Roman"/>
          <w:sz w:val="24"/>
          <w:szCs w:val="24"/>
        </w:rPr>
        <w:t xml:space="preserve"> </w:t>
      </w:r>
    </w:p>
    <w:p w14:paraId="0A0B8050" w14:textId="77777777" w:rsidR="0020755F" w:rsidRPr="0020755F" w:rsidRDefault="0020755F" w:rsidP="0020755F">
      <w:pPr>
        <w:spacing w:after="160" w:line="480" w:lineRule="auto"/>
        <w:ind w:left="720" w:hanging="720"/>
        <w:rPr>
          <w:rFonts w:ascii="Times New Roman" w:eastAsia="Times New Roman" w:hAnsi="Times New Roman" w:cs="Times New Roman"/>
          <w:color w:val="1155CC"/>
          <w:sz w:val="24"/>
          <w:szCs w:val="24"/>
          <w:u w:val="single"/>
        </w:rPr>
      </w:pPr>
      <w:r w:rsidRPr="0020755F">
        <w:rPr>
          <w:rFonts w:ascii="Times New Roman" w:eastAsia="Times New Roman" w:hAnsi="Times New Roman" w:cs="Times New Roman"/>
          <w:sz w:val="24"/>
          <w:szCs w:val="24"/>
        </w:rPr>
        <w:t xml:space="preserve">Rahman, M. H., Wuest, T., &amp; </w:t>
      </w:r>
      <w:proofErr w:type="spellStart"/>
      <w:r w:rsidRPr="0020755F">
        <w:rPr>
          <w:rFonts w:ascii="Times New Roman" w:eastAsia="Times New Roman" w:hAnsi="Times New Roman" w:cs="Times New Roman"/>
          <w:sz w:val="24"/>
          <w:szCs w:val="24"/>
        </w:rPr>
        <w:t>Shafae</w:t>
      </w:r>
      <w:proofErr w:type="spellEnd"/>
      <w:r w:rsidRPr="0020755F">
        <w:rPr>
          <w:rFonts w:ascii="Times New Roman" w:eastAsia="Times New Roman" w:hAnsi="Times New Roman" w:cs="Times New Roman"/>
          <w:sz w:val="24"/>
          <w:szCs w:val="24"/>
        </w:rPr>
        <w:t xml:space="preserve">, M. (2023). Manufacturing cybersecurity threat attributes and countermeasures: Review, meta-taxonomy, and use cases of cyberattack taxonomies. </w:t>
      </w:r>
      <w:r w:rsidRPr="0020755F">
        <w:rPr>
          <w:rFonts w:ascii="Times New Roman" w:eastAsia="Times New Roman" w:hAnsi="Times New Roman" w:cs="Times New Roman"/>
          <w:i/>
          <w:iCs/>
          <w:sz w:val="24"/>
          <w:szCs w:val="24"/>
        </w:rPr>
        <w:t>Journal of Manufacturing Systems</w:t>
      </w:r>
      <w:r w:rsidRPr="0020755F">
        <w:rPr>
          <w:rFonts w:ascii="Times New Roman" w:eastAsia="Times New Roman" w:hAnsi="Times New Roman" w:cs="Times New Roman"/>
          <w:sz w:val="24"/>
          <w:szCs w:val="24"/>
        </w:rPr>
        <w:t xml:space="preserve">, </w:t>
      </w:r>
      <w:r w:rsidRPr="0020755F">
        <w:rPr>
          <w:rFonts w:ascii="Times New Roman" w:eastAsia="Times New Roman" w:hAnsi="Times New Roman" w:cs="Times New Roman"/>
          <w:i/>
          <w:iCs/>
          <w:sz w:val="24"/>
          <w:szCs w:val="24"/>
        </w:rPr>
        <w:t>68</w:t>
      </w:r>
      <w:r w:rsidRPr="0020755F">
        <w:rPr>
          <w:rFonts w:ascii="Times New Roman" w:eastAsia="Times New Roman" w:hAnsi="Times New Roman" w:cs="Times New Roman"/>
          <w:sz w:val="24"/>
          <w:szCs w:val="24"/>
        </w:rPr>
        <w:t>, 196-208.</w:t>
      </w:r>
      <w:hyperlink r:id="rId25">
        <w:r w:rsidRPr="0020755F">
          <w:rPr>
            <w:rFonts w:ascii="Times New Roman" w:eastAsia="Times New Roman" w:hAnsi="Times New Roman" w:cs="Times New Roman"/>
            <w:sz w:val="24"/>
            <w:szCs w:val="24"/>
          </w:rPr>
          <w:t xml:space="preserve"> </w:t>
        </w:r>
      </w:hyperlink>
      <w:hyperlink r:id="rId26">
        <w:r w:rsidRPr="0020755F">
          <w:rPr>
            <w:rFonts w:ascii="Times New Roman" w:eastAsia="Times New Roman" w:hAnsi="Times New Roman" w:cs="Times New Roman"/>
            <w:color w:val="1155CC"/>
            <w:sz w:val="24"/>
            <w:szCs w:val="24"/>
            <w:u w:val="single"/>
          </w:rPr>
          <w:t>https://www.sciencedirect.com/science/article/am/pii/S0278612523000602</w:t>
        </w:r>
      </w:hyperlink>
    </w:p>
    <w:p w14:paraId="76462B24" w14:textId="77777777" w:rsidR="0020755F" w:rsidRPr="0020755F" w:rsidRDefault="0020755F" w:rsidP="0020755F">
      <w:pPr>
        <w:spacing w:after="160" w:line="480" w:lineRule="auto"/>
        <w:ind w:left="720" w:hanging="720"/>
        <w:rPr>
          <w:rFonts w:ascii="Times New Roman" w:eastAsia="Times New Roman" w:hAnsi="Times New Roman" w:cs="Times New Roman"/>
          <w:color w:val="1155CC"/>
          <w:sz w:val="24"/>
          <w:szCs w:val="24"/>
          <w:u w:val="single"/>
        </w:rPr>
      </w:pPr>
      <w:proofErr w:type="spellStart"/>
      <w:r w:rsidRPr="0020755F">
        <w:rPr>
          <w:rFonts w:ascii="Times New Roman" w:eastAsia="Times New Roman" w:hAnsi="Times New Roman" w:cs="Times New Roman"/>
          <w:sz w:val="24"/>
          <w:szCs w:val="24"/>
        </w:rPr>
        <w:t>Sikolia</w:t>
      </w:r>
      <w:proofErr w:type="spellEnd"/>
      <w:r w:rsidRPr="0020755F">
        <w:rPr>
          <w:rFonts w:ascii="Times New Roman" w:eastAsia="Times New Roman" w:hAnsi="Times New Roman" w:cs="Times New Roman"/>
          <w:sz w:val="24"/>
          <w:szCs w:val="24"/>
        </w:rPr>
        <w:t xml:space="preserve">, D., Biros, D., &amp; Zhang, T. (2023). How effective are SETA programs anyway: Learning and forgetting in security awareness training. </w:t>
      </w:r>
      <w:r w:rsidRPr="0020755F">
        <w:rPr>
          <w:rFonts w:ascii="Times New Roman" w:eastAsia="Times New Roman" w:hAnsi="Times New Roman" w:cs="Times New Roman"/>
          <w:i/>
          <w:iCs/>
          <w:sz w:val="24"/>
          <w:szCs w:val="24"/>
        </w:rPr>
        <w:t>Journal of Cybersecurity Education, Research and Practice</w:t>
      </w:r>
      <w:r w:rsidRPr="0020755F">
        <w:rPr>
          <w:rFonts w:ascii="Times New Roman" w:eastAsia="Times New Roman" w:hAnsi="Times New Roman" w:cs="Times New Roman"/>
          <w:sz w:val="24"/>
          <w:szCs w:val="24"/>
        </w:rPr>
        <w:t xml:space="preserve">, </w:t>
      </w:r>
      <w:r w:rsidRPr="0020755F">
        <w:rPr>
          <w:rFonts w:ascii="Times New Roman" w:eastAsia="Times New Roman" w:hAnsi="Times New Roman" w:cs="Times New Roman"/>
          <w:i/>
          <w:iCs/>
          <w:sz w:val="24"/>
          <w:szCs w:val="24"/>
        </w:rPr>
        <w:t>2023</w:t>
      </w:r>
      <w:r w:rsidRPr="0020755F">
        <w:rPr>
          <w:rFonts w:ascii="Times New Roman" w:eastAsia="Times New Roman" w:hAnsi="Times New Roman" w:cs="Times New Roman"/>
          <w:sz w:val="24"/>
          <w:szCs w:val="24"/>
        </w:rPr>
        <w:t>(1), 4.</w:t>
      </w:r>
      <w:hyperlink r:id="rId27">
        <w:r w:rsidRPr="0020755F">
          <w:rPr>
            <w:rFonts w:ascii="Times New Roman" w:eastAsia="Times New Roman" w:hAnsi="Times New Roman" w:cs="Times New Roman"/>
            <w:sz w:val="24"/>
            <w:szCs w:val="24"/>
          </w:rPr>
          <w:t xml:space="preserve"> </w:t>
        </w:r>
      </w:hyperlink>
      <w:hyperlink r:id="rId28">
        <w:r w:rsidRPr="0020755F">
          <w:rPr>
            <w:rFonts w:ascii="Times New Roman" w:eastAsia="Times New Roman" w:hAnsi="Times New Roman" w:cs="Times New Roman"/>
            <w:color w:val="1155CC"/>
            <w:sz w:val="24"/>
            <w:szCs w:val="24"/>
            <w:u w:val="single"/>
          </w:rPr>
          <w:t>https://digitalcommons.kennesaw.edu/cgi/viewcontent.cgi?article=1125&amp;context=jcerp</w:t>
        </w:r>
      </w:hyperlink>
    </w:p>
    <w:p w14:paraId="7CF1F91D" w14:textId="77777777" w:rsidR="0020755F" w:rsidRPr="0020755F" w:rsidRDefault="0020755F" w:rsidP="0020755F">
      <w:pPr>
        <w:spacing w:after="160" w:line="480" w:lineRule="auto"/>
        <w:ind w:left="720" w:hanging="720"/>
        <w:rPr>
          <w:rFonts w:ascii="Times New Roman" w:eastAsia="Times New Roman" w:hAnsi="Times New Roman" w:cs="Times New Roman"/>
          <w:color w:val="1155CC"/>
          <w:sz w:val="24"/>
          <w:szCs w:val="24"/>
          <w:u w:val="single"/>
        </w:rPr>
      </w:pPr>
      <w:r w:rsidRPr="0020755F">
        <w:rPr>
          <w:rFonts w:ascii="Times New Roman" w:eastAsia="Times New Roman" w:hAnsi="Times New Roman" w:cs="Times New Roman"/>
          <w:sz w:val="24"/>
          <w:szCs w:val="24"/>
        </w:rPr>
        <w:t xml:space="preserve">Tang, Z., Zeng, C., &amp; Zeng, Y. (2025). Research on data security in industry 4.0 manufacturing industry against the background of privacy protection challenges. </w:t>
      </w:r>
      <w:r w:rsidRPr="0020755F">
        <w:rPr>
          <w:rFonts w:ascii="Times New Roman" w:eastAsia="Times New Roman" w:hAnsi="Times New Roman" w:cs="Times New Roman"/>
          <w:i/>
          <w:iCs/>
          <w:sz w:val="24"/>
          <w:szCs w:val="24"/>
        </w:rPr>
        <w:t>International Journal of Computer Integrated Manufacturing</w:t>
      </w:r>
      <w:r w:rsidRPr="0020755F">
        <w:rPr>
          <w:rFonts w:ascii="Times New Roman" w:eastAsia="Times New Roman" w:hAnsi="Times New Roman" w:cs="Times New Roman"/>
          <w:sz w:val="24"/>
          <w:szCs w:val="24"/>
        </w:rPr>
        <w:t xml:space="preserve">, </w:t>
      </w:r>
      <w:r w:rsidRPr="0020755F">
        <w:rPr>
          <w:rFonts w:ascii="Times New Roman" w:eastAsia="Times New Roman" w:hAnsi="Times New Roman" w:cs="Times New Roman"/>
          <w:i/>
          <w:iCs/>
          <w:sz w:val="24"/>
          <w:szCs w:val="24"/>
        </w:rPr>
        <w:t>38</w:t>
      </w:r>
      <w:r w:rsidRPr="0020755F">
        <w:rPr>
          <w:rFonts w:ascii="Times New Roman" w:eastAsia="Times New Roman" w:hAnsi="Times New Roman" w:cs="Times New Roman"/>
          <w:sz w:val="24"/>
          <w:szCs w:val="24"/>
        </w:rPr>
        <w:t>(5), 636-648.</w:t>
      </w:r>
      <w:hyperlink r:id="rId29">
        <w:r w:rsidRPr="0020755F">
          <w:rPr>
            <w:rFonts w:ascii="Times New Roman" w:eastAsia="Times New Roman" w:hAnsi="Times New Roman" w:cs="Times New Roman"/>
            <w:sz w:val="24"/>
            <w:szCs w:val="24"/>
          </w:rPr>
          <w:t xml:space="preserve"> </w:t>
        </w:r>
      </w:hyperlink>
      <w:hyperlink r:id="rId30">
        <w:r w:rsidRPr="0020755F">
          <w:rPr>
            <w:rFonts w:ascii="Times New Roman" w:eastAsia="Times New Roman" w:hAnsi="Times New Roman" w:cs="Times New Roman"/>
            <w:color w:val="1155CC"/>
            <w:sz w:val="24"/>
            <w:szCs w:val="24"/>
            <w:u w:val="single"/>
          </w:rPr>
          <w:t>https://www.tandfonline.com/doi/abs/10.1080/0951192X.2024.2319656</w:t>
        </w:r>
      </w:hyperlink>
    </w:p>
    <w:p w14:paraId="69EEC33F" w14:textId="77777777" w:rsidR="0020755F" w:rsidRPr="0020755F" w:rsidRDefault="0020755F" w:rsidP="0020755F">
      <w:pPr>
        <w:spacing w:after="160" w:line="480" w:lineRule="auto"/>
        <w:ind w:left="720" w:hanging="720"/>
        <w:rPr>
          <w:rFonts w:ascii="Times New Roman" w:eastAsia="Times New Roman" w:hAnsi="Times New Roman" w:cs="Times New Roman"/>
          <w:color w:val="1155CC"/>
          <w:sz w:val="24"/>
          <w:szCs w:val="24"/>
          <w:u w:val="single"/>
        </w:rPr>
      </w:pPr>
      <w:r w:rsidRPr="0020755F">
        <w:rPr>
          <w:rFonts w:ascii="Times New Roman" w:eastAsia="Times New Roman" w:hAnsi="Times New Roman" w:cs="Times New Roman"/>
          <w:sz w:val="24"/>
          <w:szCs w:val="24"/>
        </w:rPr>
        <w:t xml:space="preserve">Toussaint, M., Krima, S., &amp; </w:t>
      </w:r>
      <w:proofErr w:type="spellStart"/>
      <w:r w:rsidRPr="0020755F">
        <w:rPr>
          <w:rFonts w:ascii="Times New Roman" w:eastAsia="Times New Roman" w:hAnsi="Times New Roman" w:cs="Times New Roman"/>
          <w:sz w:val="24"/>
          <w:szCs w:val="24"/>
        </w:rPr>
        <w:t>Panetto</w:t>
      </w:r>
      <w:proofErr w:type="spellEnd"/>
      <w:r w:rsidRPr="0020755F">
        <w:rPr>
          <w:rFonts w:ascii="Times New Roman" w:eastAsia="Times New Roman" w:hAnsi="Times New Roman" w:cs="Times New Roman"/>
          <w:sz w:val="24"/>
          <w:szCs w:val="24"/>
        </w:rPr>
        <w:t xml:space="preserve">, H. (2024). Industry 4.0 data security: A cybersecurity frameworks review. </w:t>
      </w:r>
      <w:r w:rsidRPr="0020755F">
        <w:rPr>
          <w:rFonts w:ascii="Times New Roman" w:eastAsia="Times New Roman" w:hAnsi="Times New Roman" w:cs="Times New Roman"/>
          <w:i/>
          <w:iCs/>
          <w:sz w:val="24"/>
          <w:szCs w:val="24"/>
        </w:rPr>
        <w:t>Journal of Industrial Information Integration</w:t>
      </w:r>
      <w:r w:rsidRPr="0020755F">
        <w:rPr>
          <w:rFonts w:ascii="Times New Roman" w:eastAsia="Times New Roman" w:hAnsi="Times New Roman" w:cs="Times New Roman"/>
          <w:sz w:val="24"/>
          <w:szCs w:val="24"/>
        </w:rPr>
        <w:t xml:space="preserve">, </w:t>
      </w:r>
      <w:r w:rsidRPr="0020755F">
        <w:rPr>
          <w:rFonts w:ascii="Times New Roman" w:eastAsia="Times New Roman" w:hAnsi="Times New Roman" w:cs="Times New Roman"/>
          <w:i/>
          <w:iCs/>
          <w:sz w:val="24"/>
          <w:szCs w:val="24"/>
        </w:rPr>
        <w:t>39</w:t>
      </w:r>
      <w:r w:rsidRPr="0020755F">
        <w:rPr>
          <w:rFonts w:ascii="Times New Roman" w:eastAsia="Times New Roman" w:hAnsi="Times New Roman" w:cs="Times New Roman"/>
          <w:sz w:val="24"/>
          <w:szCs w:val="24"/>
        </w:rPr>
        <w:t>, 100604.</w:t>
      </w:r>
      <w:hyperlink r:id="rId31">
        <w:r w:rsidRPr="0020755F">
          <w:rPr>
            <w:rFonts w:ascii="Times New Roman" w:eastAsia="Times New Roman" w:hAnsi="Times New Roman" w:cs="Times New Roman"/>
            <w:sz w:val="24"/>
            <w:szCs w:val="24"/>
          </w:rPr>
          <w:t xml:space="preserve"> </w:t>
        </w:r>
      </w:hyperlink>
      <w:hyperlink r:id="rId32">
        <w:r w:rsidRPr="0020755F">
          <w:rPr>
            <w:rFonts w:ascii="Times New Roman" w:eastAsia="Times New Roman" w:hAnsi="Times New Roman" w:cs="Times New Roman"/>
            <w:color w:val="1155CC"/>
            <w:sz w:val="24"/>
            <w:szCs w:val="24"/>
            <w:u w:val="single"/>
          </w:rPr>
          <w:t>https://www.sciencedirect.com/science/article/am/pii/S2452414X24000487</w:t>
        </w:r>
      </w:hyperlink>
    </w:p>
    <w:p w14:paraId="07C52F84" w14:textId="77777777" w:rsidR="0020755F" w:rsidRPr="0020755F" w:rsidRDefault="0020755F" w:rsidP="0020755F">
      <w:pPr>
        <w:spacing w:after="160" w:line="480" w:lineRule="auto"/>
        <w:ind w:left="720" w:hanging="720"/>
        <w:rPr>
          <w:rFonts w:ascii="Times New Roman" w:eastAsia="Times New Roman" w:hAnsi="Times New Roman" w:cs="Times New Roman"/>
          <w:color w:val="1155CC"/>
          <w:sz w:val="24"/>
          <w:szCs w:val="24"/>
          <w:u w:val="single"/>
        </w:rPr>
      </w:pPr>
      <w:r w:rsidRPr="0020755F">
        <w:rPr>
          <w:rFonts w:ascii="Times New Roman" w:eastAsia="Times New Roman" w:hAnsi="Times New Roman" w:cs="Times New Roman"/>
          <w:sz w:val="24"/>
          <w:szCs w:val="24"/>
        </w:rPr>
        <w:t xml:space="preserve">Umer, M. A., Belay, E. G., &amp; Gouveia, L. B. (2024). Fortifying Industry 4.0: Internet of Things Security in Cloud Manufacturing through Artificial Intelligence and </w:t>
      </w:r>
      <w:r w:rsidRPr="0020755F">
        <w:rPr>
          <w:rFonts w:ascii="Times New Roman" w:eastAsia="Times New Roman" w:hAnsi="Times New Roman" w:cs="Times New Roman"/>
          <w:sz w:val="24"/>
          <w:szCs w:val="24"/>
        </w:rPr>
        <w:lastRenderedPageBreak/>
        <w:t xml:space="preserve">Provenance Blockchain—A Thematic Literature Review. </w:t>
      </w:r>
      <w:r w:rsidRPr="0020755F">
        <w:rPr>
          <w:rFonts w:ascii="Times New Roman" w:eastAsia="Times New Roman" w:hAnsi="Times New Roman" w:cs="Times New Roman"/>
          <w:i/>
          <w:iCs/>
          <w:sz w:val="24"/>
          <w:szCs w:val="24"/>
        </w:rPr>
        <w:t>Sci</w:t>
      </w:r>
      <w:r w:rsidRPr="0020755F">
        <w:rPr>
          <w:rFonts w:ascii="Times New Roman" w:eastAsia="Times New Roman" w:hAnsi="Times New Roman" w:cs="Times New Roman"/>
          <w:sz w:val="24"/>
          <w:szCs w:val="24"/>
        </w:rPr>
        <w:t xml:space="preserve">, </w:t>
      </w:r>
      <w:r w:rsidRPr="0020755F">
        <w:rPr>
          <w:rFonts w:ascii="Times New Roman" w:eastAsia="Times New Roman" w:hAnsi="Times New Roman" w:cs="Times New Roman"/>
          <w:i/>
          <w:iCs/>
          <w:sz w:val="24"/>
          <w:szCs w:val="24"/>
        </w:rPr>
        <w:t>6</w:t>
      </w:r>
      <w:r w:rsidRPr="0020755F">
        <w:rPr>
          <w:rFonts w:ascii="Times New Roman" w:eastAsia="Times New Roman" w:hAnsi="Times New Roman" w:cs="Times New Roman"/>
          <w:sz w:val="24"/>
          <w:szCs w:val="24"/>
        </w:rPr>
        <w:t>(3), 51.</w:t>
      </w:r>
      <w:hyperlink r:id="rId33">
        <w:r w:rsidRPr="0020755F">
          <w:rPr>
            <w:rFonts w:ascii="Times New Roman" w:eastAsia="Times New Roman" w:hAnsi="Times New Roman" w:cs="Times New Roman"/>
            <w:sz w:val="24"/>
            <w:szCs w:val="24"/>
          </w:rPr>
          <w:t xml:space="preserve"> </w:t>
        </w:r>
      </w:hyperlink>
      <w:hyperlink r:id="rId34">
        <w:r w:rsidRPr="0020755F">
          <w:rPr>
            <w:rFonts w:ascii="Times New Roman" w:eastAsia="Times New Roman" w:hAnsi="Times New Roman" w:cs="Times New Roman"/>
            <w:color w:val="1155CC"/>
            <w:sz w:val="24"/>
            <w:szCs w:val="24"/>
            <w:u w:val="single"/>
          </w:rPr>
          <w:t>https://www.mdpi.com/2413-4155/6/3/51</w:t>
        </w:r>
      </w:hyperlink>
    </w:p>
    <w:p w14:paraId="32BC9673" w14:textId="77777777" w:rsidR="0020755F" w:rsidRDefault="0020755F" w:rsidP="0020755F">
      <w:pPr>
        <w:spacing w:after="160" w:line="480" w:lineRule="auto"/>
        <w:ind w:left="720" w:hanging="720"/>
        <w:rPr>
          <w:rFonts w:ascii="Times New Roman" w:hAnsi="Times New Roman" w:cs="Times New Roman"/>
        </w:rPr>
      </w:pPr>
      <w:r w:rsidRPr="0020755F">
        <w:rPr>
          <w:rFonts w:ascii="Times New Roman" w:eastAsia="Times New Roman" w:hAnsi="Times New Roman" w:cs="Times New Roman"/>
          <w:sz w:val="24"/>
          <w:szCs w:val="24"/>
        </w:rPr>
        <w:t>Vangala, A., Das, A. K., Kumar, N., Vijayakumar, P., Karuppiah, M., &amp; Park, Y. (2024). Designing access control security protocol for Industry 4.0 using Blockchain‐as‐a‐Service. Security and Privacy, 7(2), e362.</w:t>
      </w:r>
      <w:hyperlink r:id="rId35">
        <w:r w:rsidRPr="0020755F">
          <w:rPr>
            <w:rFonts w:ascii="Times New Roman" w:eastAsia="Times New Roman" w:hAnsi="Times New Roman" w:cs="Times New Roman"/>
            <w:sz w:val="24"/>
            <w:szCs w:val="24"/>
          </w:rPr>
          <w:t xml:space="preserve"> </w:t>
        </w:r>
      </w:hyperlink>
      <w:hyperlink r:id="rId36">
        <w:r w:rsidRPr="0020755F">
          <w:rPr>
            <w:rFonts w:ascii="Times New Roman" w:eastAsia="Times New Roman" w:hAnsi="Times New Roman" w:cs="Times New Roman"/>
            <w:color w:val="1155CC"/>
            <w:sz w:val="24"/>
            <w:szCs w:val="24"/>
            <w:u w:val="single"/>
          </w:rPr>
          <w:t>https://onlinelibrary.wiley.com/doi/abs/10.1002/spy2.362</w:t>
        </w:r>
      </w:hyperlink>
    </w:p>
    <w:p w14:paraId="5B6495A9" w14:textId="3CCE4BD6" w:rsidR="007B283A" w:rsidRDefault="007B283A">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140299B" w14:textId="4E01392A" w:rsidR="007B283A" w:rsidRDefault="007B283A" w:rsidP="007B283A">
      <w:pPr>
        <w:pStyle w:val="Heading1"/>
      </w:pPr>
      <w:bookmarkStart w:id="8" w:name="_Toc237029089"/>
      <w:r>
        <w:lastRenderedPageBreak/>
        <w:t>Appendix</w:t>
      </w:r>
      <w:bookmarkEnd w:id="8"/>
    </w:p>
    <w:p w14:paraId="126B60EE" w14:textId="7A2DE38C" w:rsidR="007B283A" w:rsidRDefault="003002FF" w:rsidP="007B283A">
      <w:pPr>
        <w:jc w:val="center"/>
      </w:pPr>
      <w:r w:rsidRPr="003002FF">
        <w:drawing>
          <wp:inline distT="0" distB="0" distL="0" distR="0" wp14:anchorId="4D7F5883" wp14:editId="6806DD75">
            <wp:extent cx="5733415" cy="3107690"/>
            <wp:effectExtent l="0" t="0" r="635" b="0"/>
            <wp:docPr id="1260914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914085" name=""/>
                    <pic:cNvPicPr/>
                  </pic:nvPicPr>
                  <pic:blipFill>
                    <a:blip r:embed="rId37"/>
                    <a:stretch>
                      <a:fillRect/>
                    </a:stretch>
                  </pic:blipFill>
                  <pic:spPr>
                    <a:xfrm>
                      <a:off x="0" y="0"/>
                      <a:ext cx="5733415" cy="3107690"/>
                    </a:xfrm>
                    <a:prstGeom prst="rect">
                      <a:avLst/>
                    </a:prstGeom>
                  </pic:spPr>
                </pic:pic>
              </a:graphicData>
            </a:graphic>
          </wp:inline>
        </w:drawing>
      </w:r>
    </w:p>
    <w:p w14:paraId="1BDFA240" w14:textId="61CBDECE" w:rsidR="003002FF" w:rsidRDefault="003002FF" w:rsidP="007B283A">
      <w:pPr>
        <w:jc w:val="center"/>
      </w:pPr>
      <w:r w:rsidRPr="003002FF">
        <w:drawing>
          <wp:inline distT="0" distB="0" distL="0" distR="0" wp14:anchorId="652F68CA" wp14:editId="4843CF68">
            <wp:extent cx="5733415" cy="3165475"/>
            <wp:effectExtent l="0" t="0" r="635" b="0"/>
            <wp:docPr id="191837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37096" name=""/>
                    <pic:cNvPicPr/>
                  </pic:nvPicPr>
                  <pic:blipFill>
                    <a:blip r:embed="rId38"/>
                    <a:stretch>
                      <a:fillRect/>
                    </a:stretch>
                  </pic:blipFill>
                  <pic:spPr>
                    <a:xfrm>
                      <a:off x="0" y="0"/>
                      <a:ext cx="5733415" cy="3165475"/>
                    </a:xfrm>
                    <a:prstGeom prst="rect">
                      <a:avLst/>
                    </a:prstGeom>
                  </pic:spPr>
                </pic:pic>
              </a:graphicData>
            </a:graphic>
          </wp:inline>
        </w:drawing>
      </w:r>
    </w:p>
    <w:p w14:paraId="691AD56B" w14:textId="543012EA" w:rsidR="003002FF" w:rsidRDefault="003002FF" w:rsidP="007B283A">
      <w:pPr>
        <w:jc w:val="center"/>
      </w:pPr>
      <w:r w:rsidRPr="003002FF">
        <w:lastRenderedPageBreak/>
        <w:drawing>
          <wp:inline distT="0" distB="0" distL="0" distR="0" wp14:anchorId="5352718D" wp14:editId="216BFE05">
            <wp:extent cx="5733415" cy="3133725"/>
            <wp:effectExtent l="0" t="0" r="635" b="9525"/>
            <wp:docPr id="801123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123150" name=""/>
                    <pic:cNvPicPr/>
                  </pic:nvPicPr>
                  <pic:blipFill>
                    <a:blip r:embed="rId39"/>
                    <a:stretch>
                      <a:fillRect/>
                    </a:stretch>
                  </pic:blipFill>
                  <pic:spPr>
                    <a:xfrm>
                      <a:off x="0" y="0"/>
                      <a:ext cx="5733415" cy="3133725"/>
                    </a:xfrm>
                    <a:prstGeom prst="rect">
                      <a:avLst/>
                    </a:prstGeom>
                  </pic:spPr>
                </pic:pic>
              </a:graphicData>
            </a:graphic>
          </wp:inline>
        </w:drawing>
      </w:r>
    </w:p>
    <w:p w14:paraId="68910197" w14:textId="4151BDB6" w:rsidR="003002FF" w:rsidRDefault="003002FF" w:rsidP="007B283A">
      <w:pPr>
        <w:jc w:val="center"/>
      </w:pPr>
      <w:r w:rsidRPr="003002FF">
        <w:drawing>
          <wp:inline distT="0" distB="0" distL="0" distR="0" wp14:anchorId="77E7B3E6" wp14:editId="6D17CB50">
            <wp:extent cx="5733415" cy="3157220"/>
            <wp:effectExtent l="0" t="0" r="635" b="5080"/>
            <wp:docPr id="2041843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843543" name=""/>
                    <pic:cNvPicPr/>
                  </pic:nvPicPr>
                  <pic:blipFill>
                    <a:blip r:embed="rId40"/>
                    <a:stretch>
                      <a:fillRect/>
                    </a:stretch>
                  </pic:blipFill>
                  <pic:spPr>
                    <a:xfrm>
                      <a:off x="0" y="0"/>
                      <a:ext cx="5733415" cy="3157220"/>
                    </a:xfrm>
                    <a:prstGeom prst="rect">
                      <a:avLst/>
                    </a:prstGeom>
                  </pic:spPr>
                </pic:pic>
              </a:graphicData>
            </a:graphic>
          </wp:inline>
        </w:drawing>
      </w:r>
    </w:p>
    <w:p w14:paraId="52AE77D5" w14:textId="0428993E" w:rsidR="003002FF" w:rsidRDefault="003002FF" w:rsidP="007B283A">
      <w:pPr>
        <w:jc w:val="center"/>
      </w:pPr>
      <w:r w:rsidRPr="003002FF">
        <w:lastRenderedPageBreak/>
        <w:drawing>
          <wp:inline distT="0" distB="0" distL="0" distR="0" wp14:anchorId="248B88A9" wp14:editId="1566FAFE">
            <wp:extent cx="5733415" cy="3227070"/>
            <wp:effectExtent l="0" t="0" r="635" b="0"/>
            <wp:docPr id="1255295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295756" name=""/>
                    <pic:cNvPicPr/>
                  </pic:nvPicPr>
                  <pic:blipFill>
                    <a:blip r:embed="rId41"/>
                    <a:stretch>
                      <a:fillRect/>
                    </a:stretch>
                  </pic:blipFill>
                  <pic:spPr>
                    <a:xfrm>
                      <a:off x="0" y="0"/>
                      <a:ext cx="5733415" cy="3227070"/>
                    </a:xfrm>
                    <a:prstGeom prst="rect">
                      <a:avLst/>
                    </a:prstGeom>
                  </pic:spPr>
                </pic:pic>
              </a:graphicData>
            </a:graphic>
          </wp:inline>
        </w:drawing>
      </w:r>
    </w:p>
    <w:p w14:paraId="63964EC7" w14:textId="1DAAEA91" w:rsidR="003002FF" w:rsidRDefault="003002FF" w:rsidP="007B283A">
      <w:pPr>
        <w:jc w:val="center"/>
      </w:pPr>
      <w:r w:rsidRPr="003002FF">
        <w:drawing>
          <wp:inline distT="0" distB="0" distL="0" distR="0" wp14:anchorId="40F58043" wp14:editId="2E559DFF">
            <wp:extent cx="5733415" cy="3202940"/>
            <wp:effectExtent l="0" t="0" r="635" b="0"/>
            <wp:docPr id="224689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689127" name=""/>
                    <pic:cNvPicPr/>
                  </pic:nvPicPr>
                  <pic:blipFill>
                    <a:blip r:embed="rId42"/>
                    <a:stretch>
                      <a:fillRect/>
                    </a:stretch>
                  </pic:blipFill>
                  <pic:spPr>
                    <a:xfrm>
                      <a:off x="0" y="0"/>
                      <a:ext cx="5733415" cy="3202940"/>
                    </a:xfrm>
                    <a:prstGeom prst="rect">
                      <a:avLst/>
                    </a:prstGeom>
                  </pic:spPr>
                </pic:pic>
              </a:graphicData>
            </a:graphic>
          </wp:inline>
        </w:drawing>
      </w:r>
    </w:p>
    <w:p w14:paraId="4858A412" w14:textId="517449C4" w:rsidR="003002FF" w:rsidRDefault="003002FF" w:rsidP="007B283A">
      <w:pPr>
        <w:jc w:val="center"/>
      </w:pPr>
      <w:r w:rsidRPr="003002FF">
        <w:lastRenderedPageBreak/>
        <w:drawing>
          <wp:inline distT="0" distB="0" distL="0" distR="0" wp14:anchorId="753EB978" wp14:editId="38DFB045">
            <wp:extent cx="5733415" cy="3134360"/>
            <wp:effectExtent l="0" t="0" r="635" b="8890"/>
            <wp:docPr id="902813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813294" name=""/>
                    <pic:cNvPicPr/>
                  </pic:nvPicPr>
                  <pic:blipFill>
                    <a:blip r:embed="rId43"/>
                    <a:stretch>
                      <a:fillRect/>
                    </a:stretch>
                  </pic:blipFill>
                  <pic:spPr>
                    <a:xfrm>
                      <a:off x="0" y="0"/>
                      <a:ext cx="5733415" cy="3134360"/>
                    </a:xfrm>
                    <a:prstGeom prst="rect">
                      <a:avLst/>
                    </a:prstGeom>
                  </pic:spPr>
                </pic:pic>
              </a:graphicData>
            </a:graphic>
          </wp:inline>
        </w:drawing>
      </w:r>
    </w:p>
    <w:p w14:paraId="7E282EA7" w14:textId="407503E9" w:rsidR="003002FF" w:rsidRDefault="003002FF" w:rsidP="007B283A">
      <w:pPr>
        <w:jc w:val="center"/>
      </w:pPr>
      <w:r w:rsidRPr="003002FF">
        <w:drawing>
          <wp:inline distT="0" distB="0" distL="0" distR="0" wp14:anchorId="6423D676" wp14:editId="1F41B413">
            <wp:extent cx="5733415" cy="3155315"/>
            <wp:effectExtent l="0" t="0" r="635" b="6985"/>
            <wp:docPr id="457867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867817" name=""/>
                    <pic:cNvPicPr/>
                  </pic:nvPicPr>
                  <pic:blipFill>
                    <a:blip r:embed="rId44"/>
                    <a:stretch>
                      <a:fillRect/>
                    </a:stretch>
                  </pic:blipFill>
                  <pic:spPr>
                    <a:xfrm>
                      <a:off x="0" y="0"/>
                      <a:ext cx="5733415" cy="3155315"/>
                    </a:xfrm>
                    <a:prstGeom prst="rect">
                      <a:avLst/>
                    </a:prstGeom>
                  </pic:spPr>
                </pic:pic>
              </a:graphicData>
            </a:graphic>
          </wp:inline>
        </w:drawing>
      </w:r>
    </w:p>
    <w:p w14:paraId="168230BC" w14:textId="76705058" w:rsidR="003002FF" w:rsidRDefault="003002FF" w:rsidP="007B283A">
      <w:pPr>
        <w:jc w:val="center"/>
      </w:pPr>
      <w:r w:rsidRPr="003002FF">
        <w:lastRenderedPageBreak/>
        <w:drawing>
          <wp:inline distT="0" distB="0" distL="0" distR="0" wp14:anchorId="4DC72918" wp14:editId="43FFD9DB">
            <wp:extent cx="5733415" cy="3208020"/>
            <wp:effectExtent l="0" t="0" r="635" b="0"/>
            <wp:docPr id="1443004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04055" name=""/>
                    <pic:cNvPicPr/>
                  </pic:nvPicPr>
                  <pic:blipFill>
                    <a:blip r:embed="rId45"/>
                    <a:stretch>
                      <a:fillRect/>
                    </a:stretch>
                  </pic:blipFill>
                  <pic:spPr>
                    <a:xfrm>
                      <a:off x="0" y="0"/>
                      <a:ext cx="5733415" cy="3208020"/>
                    </a:xfrm>
                    <a:prstGeom prst="rect">
                      <a:avLst/>
                    </a:prstGeom>
                  </pic:spPr>
                </pic:pic>
              </a:graphicData>
            </a:graphic>
          </wp:inline>
        </w:drawing>
      </w:r>
    </w:p>
    <w:p w14:paraId="701D3B5F" w14:textId="7C2509A3" w:rsidR="003002FF" w:rsidRPr="007B283A" w:rsidRDefault="003002FF" w:rsidP="007B283A">
      <w:pPr>
        <w:jc w:val="center"/>
      </w:pPr>
      <w:r w:rsidRPr="003002FF">
        <w:drawing>
          <wp:inline distT="0" distB="0" distL="0" distR="0" wp14:anchorId="33EFBD82" wp14:editId="4AC43B96">
            <wp:extent cx="5733415" cy="3146425"/>
            <wp:effectExtent l="0" t="0" r="635" b="0"/>
            <wp:docPr id="1311758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758472" name=""/>
                    <pic:cNvPicPr/>
                  </pic:nvPicPr>
                  <pic:blipFill>
                    <a:blip r:embed="rId46"/>
                    <a:stretch>
                      <a:fillRect/>
                    </a:stretch>
                  </pic:blipFill>
                  <pic:spPr>
                    <a:xfrm>
                      <a:off x="0" y="0"/>
                      <a:ext cx="5733415" cy="3146425"/>
                    </a:xfrm>
                    <a:prstGeom prst="rect">
                      <a:avLst/>
                    </a:prstGeom>
                  </pic:spPr>
                </pic:pic>
              </a:graphicData>
            </a:graphic>
          </wp:inline>
        </w:drawing>
      </w:r>
    </w:p>
    <w:p w14:paraId="770931AE" w14:textId="77777777" w:rsidR="007B283A" w:rsidRPr="0020755F" w:rsidRDefault="007B283A" w:rsidP="0020755F">
      <w:pPr>
        <w:spacing w:after="160" w:line="480" w:lineRule="auto"/>
        <w:ind w:left="720" w:hanging="720"/>
        <w:rPr>
          <w:rFonts w:ascii="Times New Roman" w:eastAsia="Times New Roman" w:hAnsi="Times New Roman" w:cs="Times New Roman"/>
          <w:color w:val="1155CC"/>
          <w:sz w:val="24"/>
          <w:szCs w:val="24"/>
          <w:u w:val="single"/>
        </w:rPr>
      </w:pPr>
    </w:p>
    <w:sectPr w:rsidR="007B283A" w:rsidRPr="0020755F" w:rsidSect="003A72DE">
      <w:headerReference w:type="default" r:id="rId47"/>
      <w:headerReference w:type="first" r:id="rId4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BD3266" w14:textId="77777777" w:rsidR="00695511" w:rsidRDefault="00695511" w:rsidP="007D6026">
      <w:pPr>
        <w:spacing w:line="240" w:lineRule="auto"/>
      </w:pPr>
      <w:r>
        <w:separator/>
      </w:r>
    </w:p>
  </w:endnote>
  <w:endnote w:type="continuationSeparator" w:id="0">
    <w:p w14:paraId="3C70AD47" w14:textId="77777777" w:rsidR="00695511" w:rsidRDefault="00695511" w:rsidP="007D60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CA11A2A-8154-4C34-8B67-A327CE9407CD}"/>
  </w:font>
  <w:font w:name="Cambria">
    <w:panose1 w:val="02040503050406030204"/>
    <w:charset w:val="00"/>
    <w:family w:val="roman"/>
    <w:pitch w:val="variable"/>
    <w:sig w:usb0="E00006FF" w:usb1="420024FF" w:usb2="02000000" w:usb3="00000000" w:csb0="0000019F" w:csb1="00000000"/>
    <w:embedRegular r:id="rId2" w:fontKey="{9946F793-B368-4F06-A44D-8D62CBFA1C75}"/>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CCD3E" w14:textId="77777777" w:rsidR="00695511" w:rsidRDefault="00695511" w:rsidP="007D6026">
      <w:pPr>
        <w:spacing w:line="240" w:lineRule="auto"/>
      </w:pPr>
      <w:r>
        <w:separator/>
      </w:r>
    </w:p>
  </w:footnote>
  <w:footnote w:type="continuationSeparator" w:id="0">
    <w:p w14:paraId="0070789D" w14:textId="77777777" w:rsidR="00695511" w:rsidRDefault="00695511" w:rsidP="007D602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554892384"/>
      <w:docPartObj>
        <w:docPartGallery w:val="Page Numbers (Top of Page)"/>
        <w:docPartUnique/>
      </w:docPartObj>
    </w:sdtPr>
    <w:sdtEndPr>
      <w:rPr>
        <w:noProof/>
      </w:rPr>
    </w:sdtEndPr>
    <w:sdtContent>
      <w:p w14:paraId="6A1A462C" w14:textId="4300CB6F" w:rsidR="007D6026" w:rsidRPr="007D6026" w:rsidRDefault="007D6026">
        <w:pPr>
          <w:pStyle w:val="Header"/>
          <w:jc w:val="right"/>
          <w:rPr>
            <w:rFonts w:ascii="Times New Roman" w:hAnsi="Times New Roman" w:cs="Times New Roman"/>
            <w:sz w:val="20"/>
            <w:szCs w:val="20"/>
          </w:rPr>
        </w:pPr>
        <w:r w:rsidRPr="007D6026">
          <w:rPr>
            <w:rFonts w:ascii="Times New Roman" w:hAnsi="Times New Roman" w:cs="Times New Roman"/>
            <w:sz w:val="20"/>
            <w:szCs w:val="20"/>
          </w:rPr>
          <w:fldChar w:fldCharType="begin"/>
        </w:r>
        <w:r w:rsidRPr="007D6026">
          <w:rPr>
            <w:rFonts w:ascii="Times New Roman" w:hAnsi="Times New Roman" w:cs="Times New Roman"/>
            <w:sz w:val="20"/>
            <w:szCs w:val="20"/>
          </w:rPr>
          <w:instrText xml:space="preserve"> PAGE   \* MERGEFORMAT </w:instrText>
        </w:r>
        <w:r w:rsidRPr="007D6026">
          <w:rPr>
            <w:rFonts w:ascii="Times New Roman" w:hAnsi="Times New Roman" w:cs="Times New Roman"/>
            <w:sz w:val="20"/>
            <w:szCs w:val="20"/>
          </w:rPr>
          <w:fldChar w:fldCharType="separate"/>
        </w:r>
        <w:r w:rsidRPr="007D6026">
          <w:rPr>
            <w:rFonts w:ascii="Times New Roman" w:hAnsi="Times New Roman" w:cs="Times New Roman"/>
            <w:noProof/>
            <w:sz w:val="20"/>
            <w:szCs w:val="20"/>
          </w:rPr>
          <w:t>2</w:t>
        </w:r>
        <w:r w:rsidRPr="007D6026">
          <w:rPr>
            <w:rFonts w:ascii="Times New Roman" w:hAnsi="Times New Roman" w:cs="Times New Roman"/>
            <w:noProof/>
            <w:sz w:val="20"/>
            <w:szCs w:val="20"/>
          </w:rPr>
          <w:fldChar w:fldCharType="end"/>
        </w:r>
      </w:p>
    </w:sdtContent>
  </w:sdt>
  <w:p w14:paraId="55C3EBEA" w14:textId="27EE4078" w:rsidR="007D6026" w:rsidRPr="007D6026" w:rsidRDefault="007D6026">
    <w:pPr>
      <w:pStyle w:val="Header"/>
      <w:rPr>
        <w:rFonts w:ascii="Times New Roman" w:hAnsi="Times New Roman" w:cs="Times New Roman"/>
        <w:sz w:val="20"/>
        <w:szCs w:val="20"/>
      </w:rPr>
    </w:pPr>
    <w:r w:rsidRPr="007D6026">
      <w:rPr>
        <w:rFonts w:ascii="Times New Roman" w:eastAsia="Times New Roman" w:hAnsi="Times New Roman" w:cs="Times New Roman"/>
        <w:sz w:val="20"/>
        <w:szCs w:val="20"/>
      </w:rPr>
      <w:t>NETWORKS AND CYBER SECURITY ESSENTIALS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184976027"/>
      <w:docPartObj>
        <w:docPartGallery w:val="Page Numbers (Top of Page)"/>
        <w:docPartUnique/>
      </w:docPartObj>
    </w:sdtPr>
    <w:sdtEndPr>
      <w:rPr>
        <w:noProof/>
      </w:rPr>
    </w:sdtEndPr>
    <w:sdtContent>
      <w:p w14:paraId="49272CF8" w14:textId="77777777" w:rsidR="003A72DE" w:rsidRPr="007D6026" w:rsidRDefault="003A72DE" w:rsidP="003A72DE">
        <w:pPr>
          <w:pStyle w:val="Header"/>
          <w:jc w:val="right"/>
          <w:rPr>
            <w:rFonts w:ascii="Times New Roman" w:hAnsi="Times New Roman" w:cs="Times New Roman"/>
            <w:sz w:val="20"/>
            <w:szCs w:val="20"/>
          </w:rPr>
        </w:pPr>
        <w:r w:rsidRPr="007D6026">
          <w:rPr>
            <w:rFonts w:ascii="Times New Roman" w:hAnsi="Times New Roman" w:cs="Times New Roman"/>
            <w:sz w:val="20"/>
            <w:szCs w:val="20"/>
          </w:rPr>
          <w:fldChar w:fldCharType="begin"/>
        </w:r>
        <w:r w:rsidRPr="007D6026">
          <w:rPr>
            <w:rFonts w:ascii="Times New Roman" w:hAnsi="Times New Roman" w:cs="Times New Roman"/>
            <w:sz w:val="20"/>
            <w:szCs w:val="20"/>
          </w:rPr>
          <w:instrText xml:space="preserve"> PAGE   \* MERGEFORMAT </w:instrText>
        </w:r>
        <w:r w:rsidRPr="007D6026">
          <w:rPr>
            <w:rFonts w:ascii="Times New Roman" w:hAnsi="Times New Roman" w:cs="Times New Roman"/>
            <w:sz w:val="20"/>
            <w:szCs w:val="20"/>
          </w:rPr>
          <w:fldChar w:fldCharType="separate"/>
        </w:r>
        <w:r>
          <w:rPr>
            <w:rFonts w:ascii="Times New Roman" w:hAnsi="Times New Roman" w:cs="Times New Roman"/>
            <w:sz w:val="20"/>
            <w:szCs w:val="20"/>
          </w:rPr>
          <w:t>1</w:t>
        </w:r>
        <w:r w:rsidRPr="007D6026">
          <w:rPr>
            <w:rFonts w:ascii="Times New Roman" w:hAnsi="Times New Roman" w:cs="Times New Roman"/>
            <w:noProof/>
            <w:sz w:val="20"/>
            <w:szCs w:val="20"/>
          </w:rPr>
          <w:fldChar w:fldCharType="end"/>
        </w:r>
      </w:p>
    </w:sdtContent>
  </w:sdt>
  <w:p w14:paraId="086C98AE" w14:textId="7081D62E" w:rsidR="003A72DE" w:rsidRPr="003A72DE" w:rsidRDefault="003A72DE">
    <w:pPr>
      <w:pStyle w:val="Header"/>
      <w:rPr>
        <w:rFonts w:ascii="Times New Roman" w:hAnsi="Times New Roman" w:cs="Times New Roman"/>
        <w:sz w:val="20"/>
        <w:szCs w:val="20"/>
      </w:rPr>
    </w:pPr>
    <w:r>
      <w:rPr>
        <w:rFonts w:ascii="Times New Roman" w:eastAsia="Times New Roman" w:hAnsi="Times New Roman" w:cs="Times New Roman"/>
        <w:sz w:val="20"/>
        <w:szCs w:val="20"/>
      </w:rPr>
      <w:t xml:space="preserve">Running Head: </w:t>
    </w:r>
    <w:r w:rsidRPr="007D6026">
      <w:rPr>
        <w:rFonts w:ascii="Times New Roman" w:eastAsia="Times New Roman" w:hAnsi="Times New Roman" w:cs="Times New Roman"/>
        <w:sz w:val="20"/>
        <w:szCs w:val="20"/>
      </w:rPr>
      <w:t>NETWORKS AND CYBER SECURITY ESSENTIALS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498E"/>
    <w:rsid w:val="00103AD3"/>
    <w:rsid w:val="0020755F"/>
    <w:rsid w:val="003002FF"/>
    <w:rsid w:val="003272EF"/>
    <w:rsid w:val="003A72DE"/>
    <w:rsid w:val="003C4CA2"/>
    <w:rsid w:val="005F263C"/>
    <w:rsid w:val="00695511"/>
    <w:rsid w:val="007B283A"/>
    <w:rsid w:val="007D6026"/>
    <w:rsid w:val="0090441E"/>
    <w:rsid w:val="009116BE"/>
    <w:rsid w:val="0095498E"/>
    <w:rsid w:val="00AB0EB2"/>
    <w:rsid w:val="00DB2B38"/>
    <w:rsid w:val="00DD4E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F4504"/>
  <w15:docId w15:val="{99F1BAAB-652B-43C1-9B37-9A5AB4C6D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F263C"/>
    <w:pPr>
      <w:spacing w:line="480" w:lineRule="auto"/>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7D6026"/>
    <w:pPr>
      <w:tabs>
        <w:tab w:val="center" w:pos="4513"/>
        <w:tab w:val="right" w:pos="9026"/>
      </w:tabs>
      <w:spacing w:line="240" w:lineRule="auto"/>
    </w:pPr>
  </w:style>
  <w:style w:type="character" w:customStyle="1" w:styleId="HeaderChar">
    <w:name w:val="Header Char"/>
    <w:basedOn w:val="DefaultParagraphFont"/>
    <w:link w:val="Header"/>
    <w:uiPriority w:val="99"/>
    <w:rsid w:val="007D6026"/>
  </w:style>
  <w:style w:type="paragraph" w:styleId="Footer">
    <w:name w:val="footer"/>
    <w:basedOn w:val="Normal"/>
    <w:link w:val="FooterChar"/>
    <w:uiPriority w:val="99"/>
    <w:unhideWhenUsed/>
    <w:rsid w:val="007D6026"/>
    <w:pPr>
      <w:tabs>
        <w:tab w:val="center" w:pos="4513"/>
        <w:tab w:val="right" w:pos="9026"/>
      </w:tabs>
      <w:spacing w:line="240" w:lineRule="auto"/>
    </w:pPr>
  </w:style>
  <w:style w:type="character" w:customStyle="1" w:styleId="FooterChar">
    <w:name w:val="Footer Char"/>
    <w:basedOn w:val="DefaultParagraphFont"/>
    <w:link w:val="Footer"/>
    <w:uiPriority w:val="99"/>
    <w:rsid w:val="007D6026"/>
  </w:style>
  <w:style w:type="paragraph" w:styleId="TOCHeading">
    <w:name w:val="TOC Heading"/>
    <w:basedOn w:val="Heading1"/>
    <w:next w:val="Normal"/>
    <w:uiPriority w:val="39"/>
    <w:unhideWhenUsed/>
    <w:qFormat/>
    <w:rsid w:val="00AB0EB2"/>
    <w:pPr>
      <w:keepNext/>
      <w:keepLines/>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B0EB2"/>
    <w:pPr>
      <w:spacing w:after="100"/>
    </w:pPr>
  </w:style>
  <w:style w:type="character" w:styleId="Hyperlink">
    <w:name w:val="Hyperlink"/>
    <w:basedOn w:val="DefaultParagraphFont"/>
    <w:uiPriority w:val="99"/>
    <w:unhideWhenUsed/>
    <w:rsid w:val="00AB0EB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277291842400033X" TargetMode="External"/><Relationship Id="rId18" Type="http://schemas.openxmlformats.org/officeDocument/2006/relationships/hyperlink" Target="https://www.mdpi.com/2076-3417/13/11/6610" TargetMode="External"/><Relationship Id="rId26" Type="http://schemas.openxmlformats.org/officeDocument/2006/relationships/hyperlink" Target="https://www.sciencedirect.com/science/article/am/pii/S0278612523000602" TargetMode="External"/><Relationship Id="rId39" Type="http://schemas.openxmlformats.org/officeDocument/2006/relationships/image" Target="media/image5.png"/><Relationship Id="rId21" Type="http://schemas.openxmlformats.org/officeDocument/2006/relationships/hyperlink" Target="https://link.springer.com/content/pdf/10.1186/s42400-024-00212-0.pdf" TargetMode="External"/><Relationship Id="rId34" Type="http://schemas.openxmlformats.org/officeDocument/2006/relationships/hyperlink" Target="https://www.mdpi.com/2413-4155/6/3/51" TargetMode="External"/><Relationship Id="rId42" Type="http://schemas.openxmlformats.org/officeDocument/2006/relationships/image" Target="media/image8.pn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onlinelibrary.wiley.com/doi/pdf/10.1002/eng2.12578" TargetMode="External"/><Relationship Id="rId29" Type="http://schemas.openxmlformats.org/officeDocument/2006/relationships/hyperlink" Target="https://www.tandfonline.com/doi/abs/10.1080/0951192X.2024.2319656" TargetMode="External"/><Relationship Id="rId11" Type="http://schemas.openxmlformats.org/officeDocument/2006/relationships/hyperlink" Target="https://www.sciencedirect.com/science/article/pii/S108480452300228X" TargetMode="External"/><Relationship Id="rId24" Type="http://schemas.openxmlformats.org/officeDocument/2006/relationships/hyperlink" Target="https://www.tandfonline.com/doi/abs/10.1080/23742917.2023.2244210" TargetMode="External"/><Relationship Id="rId32" Type="http://schemas.openxmlformats.org/officeDocument/2006/relationships/hyperlink" Target="https://www.sciencedirect.com/science/article/am/pii/S2452414X24000487" TargetMode="External"/><Relationship Id="rId37" Type="http://schemas.openxmlformats.org/officeDocument/2006/relationships/image" Target="media/image3.png"/><Relationship Id="rId40" Type="http://schemas.openxmlformats.org/officeDocument/2006/relationships/image" Target="media/image6.png"/><Relationship Id="rId45"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hyperlink" Target="https://onlinelibrary.wiley.com/doi/pdf/10.1002/eng2.12578" TargetMode="External"/><Relationship Id="rId23" Type="http://schemas.openxmlformats.org/officeDocument/2006/relationships/hyperlink" Target="https://www.tandfonline.com/doi/abs/10.1080/23742917.2023.2244210" TargetMode="External"/><Relationship Id="rId28" Type="http://schemas.openxmlformats.org/officeDocument/2006/relationships/hyperlink" Target="https://digitalcommons.kennesaw.edu/cgi/viewcontent.cgi?article=1125&amp;context=jcerp" TargetMode="External"/><Relationship Id="rId36" Type="http://schemas.openxmlformats.org/officeDocument/2006/relationships/hyperlink" Target="https://onlinelibrary.wiley.com/doi/abs/10.1002/spy2.362" TargetMode="External"/><Relationship Id="rId49" Type="http://schemas.openxmlformats.org/officeDocument/2006/relationships/fontTable" Target="fontTable.xml"/><Relationship Id="rId10" Type="http://schemas.openxmlformats.org/officeDocument/2006/relationships/hyperlink" Target="https://www.sciencedirect.com/science/article/am/pii/S2405896323019432" TargetMode="External"/><Relationship Id="rId19" Type="http://schemas.openxmlformats.org/officeDocument/2006/relationships/hyperlink" Target="https://journals.sagepub.com/doi/pdf/10.3233/SW-233481" TargetMode="External"/><Relationship Id="rId31" Type="http://schemas.openxmlformats.org/officeDocument/2006/relationships/hyperlink" Target="https://www.sciencedirect.com/science/article/am/pii/S2452414X24000487" TargetMode="External"/><Relationship Id="rId44"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www.sciencedirect.com/science/article/am/pii/S2405896323019432" TargetMode="External"/><Relationship Id="rId14" Type="http://schemas.openxmlformats.org/officeDocument/2006/relationships/hyperlink" Target="https://www.sciencedirect.com/science/article/pii/S277291842400033X" TargetMode="External"/><Relationship Id="rId22" Type="http://schemas.openxmlformats.org/officeDocument/2006/relationships/hyperlink" Target="https://link.springer.com/content/pdf/10.1186/s42400-024-00212-0.pdf" TargetMode="External"/><Relationship Id="rId27" Type="http://schemas.openxmlformats.org/officeDocument/2006/relationships/hyperlink" Target="https://digitalcommons.kennesaw.edu/cgi/viewcontent.cgi?article=1125&amp;context=jcerp" TargetMode="External"/><Relationship Id="rId30" Type="http://schemas.openxmlformats.org/officeDocument/2006/relationships/hyperlink" Target="https://www.tandfonline.com/doi/abs/10.1080/0951192X.2024.2319656" TargetMode="External"/><Relationship Id="rId35" Type="http://schemas.openxmlformats.org/officeDocument/2006/relationships/hyperlink" Target="https://onlinelibrary.wiley.com/doi/abs/10.1002/spy2.362" TargetMode="External"/><Relationship Id="rId43" Type="http://schemas.openxmlformats.org/officeDocument/2006/relationships/image" Target="media/image9.png"/><Relationship Id="rId48" Type="http://schemas.openxmlformats.org/officeDocument/2006/relationships/header" Target="header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sciencedirect.com/science/article/pii/S108480452300228X" TargetMode="External"/><Relationship Id="rId17" Type="http://schemas.openxmlformats.org/officeDocument/2006/relationships/hyperlink" Target="https://www.mdpi.com/2076-3417/13/11/6610" TargetMode="External"/><Relationship Id="rId25" Type="http://schemas.openxmlformats.org/officeDocument/2006/relationships/hyperlink" Target="https://www.sciencedirect.com/science/article/am/pii/S0278612523000602" TargetMode="External"/><Relationship Id="rId33" Type="http://schemas.openxmlformats.org/officeDocument/2006/relationships/hyperlink" Target="https://www.mdpi.com/2413-4155/6/3/51" TargetMode="External"/><Relationship Id="rId38" Type="http://schemas.openxmlformats.org/officeDocument/2006/relationships/image" Target="media/image4.png"/><Relationship Id="rId46" Type="http://schemas.openxmlformats.org/officeDocument/2006/relationships/image" Target="media/image12.png"/><Relationship Id="rId20" Type="http://schemas.openxmlformats.org/officeDocument/2006/relationships/hyperlink" Target="https://journals.sagepub.com/doi/pdf/10.3233/SW-233481" TargetMode="External"/><Relationship Id="rId41"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41BFB-E8B2-4A77-BDDA-D1C93DC95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20</Pages>
  <Words>3411</Words>
  <Characters>19447</Characters>
  <DocSecurity>0</DocSecurity>
  <Lines>162</Lines>
  <Paragraphs>45</Paragraphs>
  <ScaleCrop>false</ScaleCrop>
  <Company/>
  <LinksUpToDate>false</LinksUpToDate>
  <CharactersWithSpaces>22813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2026-08-07T14:33:00Z</dcterms:created>
  <dcterms:modified xsi:type="dcterms:W3CDTF">2026-08-07T15:34:00Z</dcterms:modified>
</cp:coreProperties>
</file>