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48626" w14:textId="77777777" w:rsidR="00A9124B" w:rsidRDefault="00A9124B" w:rsidP="00EA27E8">
      <w:pPr>
        <w:jc w:val="center"/>
        <w:rPr>
          <w:rFonts w:ascii="Calibri" w:hAnsi="Calibri" w:cs="Calibri"/>
          <w:b/>
          <w:bCs/>
          <w:sz w:val="32"/>
          <w:szCs w:val="32"/>
          <w:u w:val="single"/>
        </w:rPr>
      </w:pPr>
    </w:p>
    <w:p w14:paraId="33A97C9F" w14:textId="77777777" w:rsidR="00A9124B" w:rsidRDefault="00A9124B" w:rsidP="00EA27E8">
      <w:pPr>
        <w:jc w:val="center"/>
        <w:rPr>
          <w:rFonts w:ascii="Calibri" w:hAnsi="Calibri" w:cs="Calibri"/>
          <w:b/>
          <w:bCs/>
          <w:sz w:val="32"/>
          <w:szCs w:val="32"/>
          <w:u w:val="single"/>
        </w:rPr>
      </w:pPr>
    </w:p>
    <w:p w14:paraId="1CCBE5BE" w14:textId="77777777" w:rsidR="00A9124B" w:rsidRDefault="00A9124B" w:rsidP="00EA27E8">
      <w:pPr>
        <w:jc w:val="center"/>
        <w:rPr>
          <w:rFonts w:ascii="Calibri" w:hAnsi="Calibri" w:cs="Calibri"/>
          <w:b/>
          <w:bCs/>
          <w:sz w:val="32"/>
          <w:szCs w:val="32"/>
          <w:u w:val="single"/>
        </w:rPr>
      </w:pPr>
    </w:p>
    <w:p w14:paraId="16123A2C" w14:textId="77777777" w:rsidR="00A9124B" w:rsidRDefault="00A9124B" w:rsidP="00EA27E8">
      <w:pPr>
        <w:jc w:val="center"/>
        <w:rPr>
          <w:rFonts w:ascii="Calibri" w:hAnsi="Calibri" w:cs="Calibri"/>
          <w:b/>
          <w:bCs/>
          <w:sz w:val="32"/>
          <w:szCs w:val="32"/>
          <w:u w:val="single"/>
        </w:rPr>
      </w:pPr>
    </w:p>
    <w:p w14:paraId="35BCE77A" w14:textId="55396631" w:rsidR="00EA27E8" w:rsidRPr="00D52EC0" w:rsidRDefault="00EA27E8" w:rsidP="00EA27E8">
      <w:pPr>
        <w:jc w:val="center"/>
        <w:rPr>
          <w:rFonts w:ascii="Calibri" w:hAnsi="Calibri" w:cs="Calibri"/>
          <w:b/>
          <w:bCs/>
          <w:sz w:val="32"/>
          <w:szCs w:val="32"/>
          <w:u w:val="single"/>
        </w:rPr>
      </w:pPr>
      <w:r w:rsidRPr="00D52EC0">
        <w:rPr>
          <w:rFonts w:ascii="Calibri" w:hAnsi="Calibri" w:cs="Calibri"/>
          <w:b/>
          <w:bCs/>
          <w:sz w:val="32"/>
          <w:szCs w:val="32"/>
          <w:u w:val="single"/>
        </w:rPr>
        <w:t>To what extent does supported accommodation facilitate a sense of personal control to their residents in Carmarthenshire?</w:t>
      </w:r>
    </w:p>
    <w:p w14:paraId="4FA76158" w14:textId="77777777" w:rsidR="009E73DF" w:rsidRDefault="009E73DF" w:rsidP="003E291C">
      <w:pPr>
        <w:jc w:val="center"/>
        <w:rPr>
          <w:b/>
          <w:bCs/>
          <w:u w:val="single"/>
        </w:rPr>
      </w:pPr>
    </w:p>
    <w:p w14:paraId="4CF3C563" w14:textId="77777777" w:rsidR="009E73DF" w:rsidRDefault="009E73DF" w:rsidP="003E291C">
      <w:pPr>
        <w:jc w:val="center"/>
        <w:rPr>
          <w:b/>
          <w:bCs/>
          <w:u w:val="single"/>
        </w:rPr>
      </w:pPr>
    </w:p>
    <w:p w14:paraId="606C669F" w14:textId="305AF22E" w:rsidR="00A9124B" w:rsidRPr="00A9124B" w:rsidRDefault="00A9124B" w:rsidP="003E291C">
      <w:pPr>
        <w:jc w:val="center"/>
        <w:rPr>
          <w:b/>
          <w:bCs/>
        </w:rPr>
      </w:pPr>
      <w:r w:rsidRPr="00A9124B">
        <w:rPr>
          <w:b/>
          <w:bCs/>
        </w:rPr>
        <w:t xml:space="preserve">Dyfan Jones - </w:t>
      </w:r>
      <w:r w:rsidR="00936861">
        <w:rPr>
          <w:b/>
          <w:bCs/>
        </w:rPr>
        <w:t>2131242</w:t>
      </w:r>
    </w:p>
    <w:p w14:paraId="717214D4" w14:textId="77777777" w:rsidR="009E73DF" w:rsidRDefault="009E73DF" w:rsidP="003E291C">
      <w:pPr>
        <w:jc w:val="center"/>
        <w:rPr>
          <w:b/>
          <w:bCs/>
          <w:u w:val="single"/>
        </w:rPr>
      </w:pPr>
    </w:p>
    <w:p w14:paraId="56EC7B17" w14:textId="77777777" w:rsidR="009E73DF" w:rsidRDefault="009E73DF" w:rsidP="003E291C">
      <w:pPr>
        <w:jc w:val="center"/>
        <w:rPr>
          <w:b/>
          <w:bCs/>
          <w:u w:val="single"/>
        </w:rPr>
      </w:pPr>
    </w:p>
    <w:p w14:paraId="77BD9395" w14:textId="77777777" w:rsidR="009E73DF" w:rsidRDefault="009E73DF" w:rsidP="003E291C">
      <w:pPr>
        <w:jc w:val="center"/>
        <w:rPr>
          <w:b/>
          <w:bCs/>
          <w:u w:val="single"/>
        </w:rPr>
      </w:pPr>
    </w:p>
    <w:p w14:paraId="59B87537" w14:textId="77777777" w:rsidR="009E73DF" w:rsidRDefault="009E73DF" w:rsidP="003E291C">
      <w:pPr>
        <w:jc w:val="center"/>
        <w:rPr>
          <w:b/>
          <w:bCs/>
          <w:u w:val="single"/>
        </w:rPr>
      </w:pPr>
    </w:p>
    <w:p w14:paraId="022BF728" w14:textId="77777777" w:rsidR="009E73DF" w:rsidRDefault="009E73DF" w:rsidP="003E291C">
      <w:pPr>
        <w:jc w:val="center"/>
        <w:rPr>
          <w:b/>
          <w:bCs/>
          <w:u w:val="single"/>
        </w:rPr>
      </w:pPr>
    </w:p>
    <w:p w14:paraId="2C9EFAD2" w14:textId="77777777" w:rsidR="009E73DF" w:rsidRDefault="009E73DF" w:rsidP="003E291C">
      <w:pPr>
        <w:jc w:val="center"/>
        <w:rPr>
          <w:b/>
          <w:bCs/>
          <w:u w:val="single"/>
        </w:rPr>
      </w:pPr>
    </w:p>
    <w:p w14:paraId="7ADBA1BF" w14:textId="77777777" w:rsidR="009E73DF" w:rsidRDefault="009E73DF" w:rsidP="003E291C">
      <w:pPr>
        <w:jc w:val="center"/>
        <w:rPr>
          <w:b/>
          <w:bCs/>
          <w:u w:val="single"/>
        </w:rPr>
      </w:pPr>
    </w:p>
    <w:p w14:paraId="5E874881" w14:textId="77777777" w:rsidR="009E73DF" w:rsidRDefault="009E73DF" w:rsidP="003E291C">
      <w:pPr>
        <w:jc w:val="center"/>
        <w:rPr>
          <w:b/>
          <w:bCs/>
          <w:u w:val="single"/>
        </w:rPr>
      </w:pPr>
    </w:p>
    <w:p w14:paraId="0CE6AABF" w14:textId="77777777" w:rsidR="009E73DF" w:rsidRDefault="009E73DF" w:rsidP="003E291C">
      <w:pPr>
        <w:jc w:val="center"/>
        <w:rPr>
          <w:b/>
          <w:bCs/>
          <w:u w:val="single"/>
        </w:rPr>
      </w:pPr>
    </w:p>
    <w:p w14:paraId="60307A7A" w14:textId="77777777" w:rsidR="009E73DF" w:rsidRDefault="009E73DF" w:rsidP="003E291C">
      <w:pPr>
        <w:jc w:val="center"/>
        <w:rPr>
          <w:b/>
          <w:bCs/>
          <w:u w:val="single"/>
        </w:rPr>
      </w:pPr>
    </w:p>
    <w:p w14:paraId="6F5003DC" w14:textId="77777777" w:rsidR="009E73DF" w:rsidRDefault="009E73DF" w:rsidP="003E291C">
      <w:pPr>
        <w:jc w:val="center"/>
        <w:rPr>
          <w:b/>
          <w:bCs/>
          <w:u w:val="single"/>
        </w:rPr>
      </w:pPr>
    </w:p>
    <w:p w14:paraId="00060E2D" w14:textId="77777777" w:rsidR="009E73DF" w:rsidRDefault="009E73DF" w:rsidP="003E291C">
      <w:pPr>
        <w:jc w:val="center"/>
        <w:rPr>
          <w:b/>
          <w:bCs/>
          <w:u w:val="single"/>
        </w:rPr>
      </w:pPr>
    </w:p>
    <w:p w14:paraId="41FA0842" w14:textId="77777777" w:rsidR="009E73DF" w:rsidRDefault="009E73DF" w:rsidP="003E291C">
      <w:pPr>
        <w:jc w:val="center"/>
        <w:rPr>
          <w:b/>
          <w:bCs/>
          <w:u w:val="single"/>
        </w:rPr>
      </w:pPr>
    </w:p>
    <w:p w14:paraId="303446DC" w14:textId="77777777" w:rsidR="009E73DF" w:rsidRDefault="009E73DF" w:rsidP="003E291C">
      <w:pPr>
        <w:jc w:val="center"/>
        <w:rPr>
          <w:b/>
          <w:bCs/>
          <w:u w:val="single"/>
        </w:rPr>
      </w:pPr>
    </w:p>
    <w:p w14:paraId="6DE5032E" w14:textId="77777777" w:rsidR="009E73DF" w:rsidRDefault="009E73DF" w:rsidP="003E291C">
      <w:pPr>
        <w:jc w:val="center"/>
        <w:rPr>
          <w:b/>
          <w:bCs/>
          <w:u w:val="single"/>
        </w:rPr>
      </w:pPr>
    </w:p>
    <w:p w14:paraId="7BCCCE68" w14:textId="77777777" w:rsidR="009E73DF" w:rsidRDefault="009E73DF" w:rsidP="003E291C">
      <w:pPr>
        <w:jc w:val="center"/>
        <w:rPr>
          <w:b/>
          <w:bCs/>
          <w:u w:val="single"/>
        </w:rPr>
      </w:pPr>
    </w:p>
    <w:p w14:paraId="4D1D8E4A" w14:textId="77777777" w:rsidR="009E73DF" w:rsidRDefault="009E73DF" w:rsidP="003E291C">
      <w:pPr>
        <w:jc w:val="center"/>
        <w:rPr>
          <w:b/>
          <w:bCs/>
          <w:u w:val="single"/>
        </w:rPr>
      </w:pPr>
    </w:p>
    <w:p w14:paraId="37106870" w14:textId="77777777" w:rsidR="009E73DF" w:rsidRDefault="009E73DF" w:rsidP="00EC7DE3">
      <w:pPr>
        <w:rPr>
          <w:b/>
          <w:bCs/>
          <w:u w:val="single"/>
        </w:rPr>
      </w:pPr>
    </w:p>
    <w:p w14:paraId="1ABAFA24" w14:textId="77777777" w:rsidR="00D63A4F" w:rsidRDefault="00D63A4F" w:rsidP="00D63A4F">
      <w:pPr>
        <w:rPr>
          <w:b/>
          <w:bCs/>
          <w:u w:val="single"/>
        </w:rPr>
      </w:pPr>
    </w:p>
    <w:p w14:paraId="56D38857" w14:textId="77777777" w:rsidR="004B1603" w:rsidRPr="0060365B" w:rsidRDefault="004B1603" w:rsidP="00D63A4F">
      <w:pPr>
        <w:rPr>
          <w:b/>
          <w:bCs/>
          <w:u w:val="single"/>
        </w:rPr>
      </w:pPr>
    </w:p>
    <w:p w14:paraId="6713D139" w14:textId="77777777" w:rsidR="00D63A4F" w:rsidRPr="0060365B" w:rsidRDefault="00D63A4F" w:rsidP="003E291C">
      <w:pPr>
        <w:jc w:val="center"/>
        <w:rPr>
          <w:b/>
          <w:bCs/>
          <w:u w:val="single"/>
        </w:rPr>
      </w:pPr>
    </w:p>
    <w:p w14:paraId="66908AFA" w14:textId="434C743B" w:rsidR="003E291C" w:rsidRPr="0060365B" w:rsidRDefault="003E291C" w:rsidP="003E291C">
      <w:pPr>
        <w:jc w:val="center"/>
        <w:rPr>
          <w:b/>
          <w:bCs/>
          <w:u w:val="single"/>
        </w:rPr>
      </w:pPr>
      <w:r w:rsidRPr="0060365B">
        <w:rPr>
          <w:b/>
          <w:bCs/>
          <w:u w:val="single"/>
        </w:rPr>
        <w:lastRenderedPageBreak/>
        <w:t>Introduction</w:t>
      </w:r>
    </w:p>
    <w:p w14:paraId="69E4D34B" w14:textId="0466607F" w:rsidR="003E291C" w:rsidRPr="0060365B" w:rsidRDefault="003E291C" w:rsidP="003E291C">
      <w:pPr>
        <w:rPr>
          <w:b/>
          <w:bCs/>
        </w:rPr>
      </w:pPr>
      <w:r w:rsidRPr="0060365B">
        <w:rPr>
          <w:b/>
          <w:bCs/>
        </w:rPr>
        <w:t>Context</w:t>
      </w:r>
    </w:p>
    <w:p w14:paraId="0A8AC1FC" w14:textId="77777777" w:rsidR="003E291C" w:rsidRPr="0060365B" w:rsidRDefault="003E291C" w:rsidP="003E291C">
      <w:r w:rsidRPr="0060365B">
        <w:t>Carmarthenshire County Council, as well as all other local authorities in Wales, currently commission a variety of supported accommodation schemes. These schemes vary widely in terms of the facilities they provide, level of support offered, and overall intention due to the diversity in support need of their intended client group. A common theme across models, however, is the aim of allowing residents to live as independently as possible, in the hopes of improving and maintaining their overall well-being.</w:t>
      </w:r>
    </w:p>
    <w:p w14:paraId="08409CF1" w14:textId="77777777" w:rsidR="003E291C" w:rsidRPr="0060365B" w:rsidRDefault="003E291C" w:rsidP="003E291C">
      <w:r w:rsidRPr="0060365B">
        <w:t>One model of supported accommodation that has become popular amongst commissioners across the United Kingdom, is Supported Living. Supported Living can be seen as falling somewhere in between living fully independently and being supported full time in a residential home. Exactly where in-between these two contrasting models varies depending on the setting; however, Supported Living settings generally involve people living in homes that resemble regular homes, except that support staff have access to come in and offer support throughout the day. This is intended to develop and/or maintain independence amongst residents and facilitate a feeling of control.</w:t>
      </w:r>
    </w:p>
    <w:p w14:paraId="31D18C77" w14:textId="77777777" w:rsidR="003E291C" w:rsidRPr="0060365B" w:rsidRDefault="003E291C" w:rsidP="003E291C">
      <w:pPr>
        <w:rPr>
          <w:b/>
          <w:bCs/>
        </w:rPr>
      </w:pPr>
      <w:r w:rsidRPr="0060365B">
        <w:rPr>
          <w:b/>
          <w:bCs/>
        </w:rPr>
        <w:t>Justification</w:t>
      </w:r>
    </w:p>
    <w:p w14:paraId="4F066C93" w14:textId="098D6516" w:rsidR="003E291C" w:rsidRPr="0060365B" w:rsidRDefault="003E291C" w:rsidP="003E291C">
      <w:r w:rsidRPr="0060365B">
        <w:t xml:space="preserve">The existing body of research is a major factor in justifying the current research project. Some research exists that explores supported accommodation in general, as well as some that focus in on specific models, that have looked to identify some best practices in terms of these accommodations reaching better outcomes for well-being, better health outcomes, and reaching better cost-effectiveness amongst others. Many of which have been brought together and analysed by </w:t>
      </w:r>
      <w:r w:rsidR="00E11C51" w:rsidRPr="0060365B">
        <w:t>(Clapham, 2017)</w:t>
      </w:r>
      <w:r w:rsidR="00E11C51" w:rsidRPr="0060365B">
        <w:t xml:space="preserve">. </w:t>
      </w:r>
      <w:r w:rsidRPr="0060365B">
        <w:t>This book argues that supported accommodation should be evaluated by mainly using subjective well-being of residents as the key measure. It then breaks down well-being into 3 key components, one of which being “a feeling of control”.</w:t>
      </w:r>
    </w:p>
    <w:p w14:paraId="448017D9" w14:textId="77777777" w:rsidR="003E291C" w:rsidRPr="0060365B" w:rsidRDefault="003E291C" w:rsidP="003E291C">
      <w:r w:rsidRPr="0060365B">
        <w:t>However, minimal research currently exists that specifically investigates Supported Living settings and its role in improving this aspect of well-being. This is surprising, partly because of the model’s popularity across the country, but partly also because of its ethos of promoting independence and therefore promoting control. This research activity, then, can be seen as an investigation to explore the Supported Living model’s effectiveness in reaching one of its key intentions.</w:t>
      </w:r>
    </w:p>
    <w:p w14:paraId="011FAE83" w14:textId="77777777" w:rsidR="003E291C" w:rsidRPr="0060365B" w:rsidRDefault="003E291C" w:rsidP="003E291C">
      <w:pPr>
        <w:rPr>
          <w:b/>
          <w:bCs/>
        </w:rPr>
      </w:pPr>
      <w:r w:rsidRPr="0060365B">
        <w:rPr>
          <w:b/>
          <w:bCs/>
        </w:rPr>
        <w:t>Outlined Intention</w:t>
      </w:r>
    </w:p>
    <w:p w14:paraId="3776806D" w14:textId="77777777" w:rsidR="003E291C" w:rsidRPr="0060365B" w:rsidRDefault="003E291C" w:rsidP="003E291C">
      <w:r w:rsidRPr="0060365B">
        <w:t>The intention of this project is to identify some key areas for improvement amongst Supported Living settings across Carmarthenshire. This may feed into Carmarthenshire County Council’s wider strategic priority of promoting independence and resilience, which also serves as a key component of the Wellbeing of Future Generations Act (Wales) 2015.</w:t>
      </w:r>
    </w:p>
    <w:p w14:paraId="5829AF36" w14:textId="77777777" w:rsidR="003E291C" w:rsidRPr="0060365B" w:rsidRDefault="003E291C" w:rsidP="003E291C">
      <w:pPr>
        <w:rPr>
          <w:b/>
          <w:bCs/>
        </w:rPr>
      </w:pPr>
      <w:r w:rsidRPr="0060365B">
        <w:rPr>
          <w:b/>
          <w:bCs/>
        </w:rPr>
        <w:t>Expected Learning Outcomes</w:t>
      </w:r>
    </w:p>
    <w:p w14:paraId="52339936" w14:textId="77777777" w:rsidR="003E291C" w:rsidRPr="0060365B" w:rsidRDefault="003E291C" w:rsidP="003E291C">
      <w:r w:rsidRPr="0060365B">
        <w:t xml:space="preserve">The expected learning outcomes for this project are to identify the factors that most influence a feeling of control in Supported Living settings. Additionally, the project will give insight into whether the support model is achieving what it is intended to, and therefore provide data that can be used to justify the model or its alternatives. </w:t>
      </w:r>
    </w:p>
    <w:p w14:paraId="0886F76D" w14:textId="77777777" w:rsidR="006F6265" w:rsidRPr="0060365B" w:rsidRDefault="006F6265" w:rsidP="003E291C"/>
    <w:p w14:paraId="4E964BB0" w14:textId="53F67B08" w:rsidR="006F6265" w:rsidRPr="0060365B" w:rsidRDefault="006F6265" w:rsidP="006F6265">
      <w:pPr>
        <w:jc w:val="center"/>
        <w:rPr>
          <w:b/>
          <w:bCs/>
          <w:u w:val="single"/>
        </w:rPr>
      </w:pPr>
      <w:r w:rsidRPr="0060365B">
        <w:rPr>
          <w:b/>
          <w:bCs/>
          <w:u w:val="single"/>
        </w:rPr>
        <w:lastRenderedPageBreak/>
        <w:t>Literature Review</w:t>
      </w:r>
    </w:p>
    <w:p w14:paraId="1FB95706" w14:textId="2961662E" w:rsidR="006F6265" w:rsidRPr="0060365B" w:rsidRDefault="006F6265" w:rsidP="006F6265">
      <w:r w:rsidRPr="0060365B">
        <w:t>There is a wealth of research available focusing on control, and its associations with various factors relating to one’s well-being and quality of life. Improved control has been shown to be correlated with improvements in subjective well-being, anxiety, and stress to name a few</w:t>
      </w:r>
      <w:r w:rsidR="00A45777" w:rsidRPr="0060365B">
        <w:t xml:space="preserve"> </w:t>
      </w:r>
      <w:r w:rsidR="00A45777" w:rsidRPr="0060365B">
        <w:rPr>
          <w:rFonts w:ascii="Calibri" w:hAnsi="Calibri" w:cs="Calibri"/>
          <w:shd w:val="clear" w:color="auto" w:fill="FFFFFF"/>
        </w:rPr>
        <w:t>(Larson, 1989</w:t>
      </w:r>
      <w:proofErr w:type="gramStart"/>
      <w:r w:rsidR="00A45777" w:rsidRPr="0060365B">
        <w:rPr>
          <w:rFonts w:ascii="Calibri" w:hAnsi="Calibri" w:cs="Calibri"/>
          <w:shd w:val="clear" w:color="auto" w:fill="FFFFFF"/>
        </w:rPr>
        <w:t xml:space="preserve">) </w:t>
      </w:r>
      <w:r w:rsidR="006F2844" w:rsidRPr="0060365B">
        <w:t xml:space="preserve"> </w:t>
      </w:r>
      <w:r w:rsidR="006F2844" w:rsidRPr="0060365B">
        <w:rPr>
          <w:rFonts w:ascii="Calibri" w:hAnsi="Calibri" w:cs="Calibri"/>
          <w:shd w:val="clear" w:color="auto" w:fill="FFFFFF"/>
        </w:rPr>
        <w:t>(</w:t>
      </w:r>
      <w:proofErr w:type="gramEnd"/>
      <w:r w:rsidR="006F2844" w:rsidRPr="0060365B">
        <w:rPr>
          <w:rFonts w:ascii="Calibri" w:hAnsi="Calibri" w:cs="Calibri"/>
          <w:shd w:val="clear" w:color="auto" w:fill="FFFFFF"/>
        </w:rPr>
        <w:t>Declerck et al, 2006)</w:t>
      </w:r>
      <w:r w:rsidRPr="0060365B">
        <w:t>. The definition of control does vary from study to study, however, which translates to a variance in study design and their results. Some focus on external factors, measuring someone’s “control” via examining the influence they have over their external environment, and cross examining how the effect on various areas of psychology. This is also sometimes referred to as “autonomy”</w:t>
      </w:r>
      <w:r w:rsidR="002E77C7" w:rsidRPr="0060365B">
        <w:rPr>
          <w:rFonts w:ascii="Calibri" w:hAnsi="Calibri" w:cs="Calibri"/>
          <w:shd w:val="clear" w:color="auto" w:fill="FFFFFF"/>
        </w:rPr>
        <w:t xml:space="preserve"> </w:t>
      </w:r>
      <w:r w:rsidR="002E77C7" w:rsidRPr="0060365B">
        <w:rPr>
          <w:rFonts w:ascii="Calibri" w:hAnsi="Calibri" w:cs="Calibri"/>
          <w:shd w:val="clear" w:color="auto" w:fill="FFFFFF"/>
        </w:rPr>
        <w:t>(Deci, Ryan, 1987)</w:t>
      </w:r>
      <w:r w:rsidRPr="0060365B">
        <w:t xml:space="preserve">, which serves as one of the three basic psychological needs put forth in self-determination theory. Other research focuses on the subjectivity of feeling in control, defining control as a feeling in of itself. External factors such as autonomy has been shown to positively influence this phenomenon, however, control is defined in these studies as a subjective feeling, or an internal state of being. It can therefore be highlighted that these studies focus on one’s interpretation of the outside world and aim to measure how external factors can influence one’s internal state.   </w:t>
      </w:r>
    </w:p>
    <w:p w14:paraId="244C4956" w14:textId="14B9B02C" w:rsidR="006F6265" w:rsidRPr="0060365B" w:rsidRDefault="006F6265" w:rsidP="006F6265">
      <w:r w:rsidRPr="0060365B">
        <w:t xml:space="preserve">Crucially, </w:t>
      </w:r>
      <w:r w:rsidR="000F3952" w:rsidRPr="0060365B">
        <w:t>(Clapham, 2017)</w:t>
      </w:r>
      <w:r w:rsidRPr="0060365B">
        <w:t xml:space="preserve"> attempted to define a feeling of control in the context of supported housing. He stated that “in the context of housing, control can be seen as feeling in control of one’s housing circumstances and the process of achieving one’s goals”. This appears to be a multi-faceted definition of feeling in control, as it combines the subjective nature of control with how it relates to one’s external environment, or their “housing circumstances”, as well as extending the definition to include how one feels about their ability to influence the future, or their “goals”. Fundamentally though, this definition remains focused on the subjectivity of feeling in control, as opposed to directly describing one’s ability to influence their housing circumstances, or ability to achieve their goals. As shown in other research, this subjectivity becomes an important factor to consider and analyse when engaging with the world of Health and Social Care.</w:t>
      </w:r>
    </w:p>
    <w:p w14:paraId="1DA63F03" w14:textId="3DDB92EF" w:rsidR="006F6265" w:rsidRPr="0060365B" w:rsidRDefault="006F6265" w:rsidP="006F6265">
      <w:r w:rsidRPr="0060365B">
        <w:t>People living within supported accommodation often face barriers that those living independently do not. These barriers can be physical and/or psychological in nature</w:t>
      </w:r>
      <w:r w:rsidR="00E74ED0" w:rsidRPr="0060365B">
        <w:t xml:space="preserve"> </w:t>
      </w:r>
      <w:r w:rsidR="00E74ED0" w:rsidRPr="0060365B">
        <w:rPr>
          <w:rFonts w:ascii="Calibri" w:hAnsi="Calibri" w:cs="Calibri"/>
          <w:shd w:val="clear" w:color="auto" w:fill="FFFFFF"/>
        </w:rPr>
        <w:t>(</w:t>
      </w:r>
      <w:proofErr w:type="spellStart"/>
      <w:r w:rsidR="00E74ED0" w:rsidRPr="0060365B">
        <w:rPr>
          <w:rFonts w:ascii="Calibri" w:hAnsi="Calibri" w:cs="Calibri"/>
          <w:shd w:val="clear" w:color="auto" w:fill="FFFFFF"/>
        </w:rPr>
        <w:t>Messent</w:t>
      </w:r>
      <w:proofErr w:type="spellEnd"/>
      <w:r w:rsidR="00E74ED0" w:rsidRPr="0060365B">
        <w:rPr>
          <w:rFonts w:ascii="Calibri" w:hAnsi="Calibri" w:cs="Calibri"/>
          <w:shd w:val="clear" w:color="auto" w:fill="FFFFFF"/>
        </w:rPr>
        <w:t xml:space="preserve"> et al, 1999)</w:t>
      </w:r>
      <w:r w:rsidRPr="0060365B">
        <w:t>, but regularly they create a need for support to be able to stay safe and as independent as is possible</w:t>
      </w:r>
      <w:r w:rsidR="00E74ED0" w:rsidRPr="0060365B">
        <w:t>,</w:t>
      </w:r>
      <w:r w:rsidRPr="0060365B">
        <w:t xml:space="preserve"> </w:t>
      </w:r>
      <w:r w:rsidR="00E74ED0" w:rsidRPr="0060365B">
        <w:t>h</w:t>
      </w:r>
      <w:r w:rsidRPr="0060365B">
        <w:t>ence the phrase “supported accommodation”. These barriers can make a feeling of control far more challenging to experience for these individuals, as they are often reliant on other people for many tasks and functions that most people take for granted (e.g. toileting, washing and socialising)</w:t>
      </w:r>
      <w:r w:rsidR="00F75818" w:rsidRPr="0060365B">
        <w:rPr>
          <w:rFonts w:ascii="Calibri" w:hAnsi="Calibri" w:cs="Calibri"/>
          <w:shd w:val="clear" w:color="auto" w:fill="FFFFFF"/>
        </w:rPr>
        <w:t xml:space="preserve"> </w:t>
      </w:r>
      <w:r w:rsidR="00F75818" w:rsidRPr="0060365B">
        <w:rPr>
          <w:rFonts w:ascii="Calibri" w:hAnsi="Calibri" w:cs="Calibri"/>
          <w:shd w:val="clear" w:color="auto" w:fill="FFFFFF"/>
        </w:rPr>
        <w:t>(Hogg, 2001)</w:t>
      </w:r>
      <w:r w:rsidRPr="0060365B">
        <w:t xml:space="preserve">. </w:t>
      </w:r>
    </w:p>
    <w:p w14:paraId="0DCC169B" w14:textId="45F4E2CB" w:rsidR="006F6265" w:rsidRPr="0060365B" w:rsidRDefault="006F6265" w:rsidP="006F6265">
      <w:r w:rsidRPr="0060365B">
        <w:t>Research has shown however, that there are several variables that can influence a feeling of control in these settings. This suggests that despite needing support, feeling in control is something that can still be achieved in supported accommodation. A re-occurring example of this is the relationship between members of staff and residents. A positive relationship between staff and residents can often have an empowering effect on residents, as the trust and respect grow on both sides, meaning that residents are more likely to be involved in decision making around their care and support, leading to higher autonomy and greater feelings of control</w:t>
      </w:r>
      <w:r w:rsidR="0015407B" w:rsidRPr="0060365B">
        <w:t xml:space="preserve"> </w:t>
      </w:r>
      <w:r w:rsidR="0015407B" w:rsidRPr="0060365B">
        <w:rPr>
          <w:rFonts w:ascii="Calibri" w:hAnsi="Calibri" w:cs="Calibri"/>
          <w:shd w:val="clear" w:color="auto" w:fill="FFFFFF"/>
        </w:rPr>
        <w:t>(Fish, Morgan, 2021)</w:t>
      </w:r>
      <w:r w:rsidRPr="0060365B">
        <w:t>. This can also affect the ability for both sides to problem solve, and to resolve potential disputes. These have been shown to create feelings of frustration and resentment for residents if left unresolved. Breaking free of or avoiding these feelings can allow individuals to feel more in control of their living environments</w:t>
      </w:r>
      <w:r w:rsidR="00053218" w:rsidRPr="0060365B">
        <w:t xml:space="preserve"> </w:t>
      </w:r>
      <w:r w:rsidR="00053218" w:rsidRPr="0060365B">
        <w:rPr>
          <w:rFonts w:ascii="Calibri" w:hAnsi="Calibri" w:cs="Calibri"/>
          <w:shd w:val="clear" w:color="auto" w:fill="FFFFFF"/>
        </w:rPr>
        <w:t>(Hastings, 2010)</w:t>
      </w:r>
      <w:r w:rsidR="004B0D40" w:rsidRPr="0060365B">
        <w:rPr>
          <w:rFonts w:ascii="Calibri" w:hAnsi="Calibri" w:cs="Calibri"/>
          <w:shd w:val="clear" w:color="auto" w:fill="FFFFFF"/>
        </w:rPr>
        <w:t xml:space="preserve"> </w:t>
      </w:r>
      <w:r w:rsidR="004B0D40" w:rsidRPr="0060365B">
        <w:rPr>
          <w:rFonts w:ascii="Calibri" w:hAnsi="Calibri" w:cs="Calibri"/>
          <w:shd w:val="clear" w:color="auto" w:fill="FFFFFF"/>
        </w:rPr>
        <w:t>(Hastings, Remington, 1994)</w:t>
      </w:r>
      <w:r w:rsidRPr="0060365B">
        <w:t>.</w:t>
      </w:r>
    </w:p>
    <w:p w14:paraId="698BFAD8" w14:textId="40900148" w:rsidR="006F6265" w:rsidRPr="0060365B" w:rsidRDefault="006F6265" w:rsidP="006F6265">
      <w:r w:rsidRPr="0060365B">
        <w:t xml:space="preserve">Another example is the ability of residents to influence aspects of the accommodation itself. Positive outcomes have been recorded in instances where residents have been allowed to choose furnishings </w:t>
      </w:r>
      <w:r w:rsidRPr="0060365B">
        <w:lastRenderedPageBreak/>
        <w:t>and the layout of individual rooms within the accommodation. This has been shown to promote a “homely” feeling</w:t>
      </w:r>
      <w:r w:rsidR="00477822" w:rsidRPr="0060365B">
        <w:t xml:space="preserve"> </w:t>
      </w:r>
      <w:r w:rsidR="00477822" w:rsidRPr="0060365B">
        <w:rPr>
          <w:rFonts w:ascii="Calibri" w:hAnsi="Calibri" w:cs="Calibri"/>
          <w:shd w:val="clear" w:color="auto" w:fill="FFFFFF"/>
        </w:rPr>
        <w:t>(Chan, 2020)</w:t>
      </w:r>
      <w:r w:rsidR="00C61779" w:rsidRPr="0060365B">
        <w:t xml:space="preserve"> </w:t>
      </w:r>
      <w:r w:rsidR="00C61779" w:rsidRPr="0060365B">
        <w:rPr>
          <w:rFonts w:ascii="Calibri" w:hAnsi="Calibri" w:cs="Calibri"/>
          <w:shd w:val="clear" w:color="auto" w:fill="FFFFFF"/>
        </w:rPr>
        <w:t>(Marcheschi et al, 2016)</w:t>
      </w:r>
      <w:r w:rsidRPr="0060365B">
        <w:t>, as opposed feeling forced to live somewhere where the support needed is available, which can often promote feelings of embarrassment and discomfort</w:t>
      </w:r>
      <w:r w:rsidR="00C64ACE" w:rsidRPr="0060365B">
        <w:t xml:space="preserve"> </w:t>
      </w:r>
      <w:r w:rsidR="00C64ACE" w:rsidRPr="0060365B">
        <w:rPr>
          <w:rFonts w:ascii="Calibri" w:hAnsi="Calibri" w:cs="Calibri"/>
          <w:shd w:val="clear" w:color="auto" w:fill="FFFFFF"/>
        </w:rPr>
        <w:t>(Johnston et al, 2022)</w:t>
      </w:r>
      <w:r w:rsidRPr="0060365B">
        <w:t xml:space="preserve">.  </w:t>
      </w:r>
    </w:p>
    <w:p w14:paraId="3A2315B3" w14:textId="692D0805" w:rsidR="006F6265" w:rsidRPr="0060365B" w:rsidRDefault="006F6265" w:rsidP="006F6265">
      <w:r w:rsidRPr="0060365B">
        <w:t>Furthermore, another recurring theme across the literature is the effect of the location of the home on the feelings of control of residents. Firstly, the facilities and opportunities available within a close vicinity of the home has been associated with greater feelings of control</w:t>
      </w:r>
      <w:r w:rsidR="00BF4C5B" w:rsidRPr="0060365B">
        <w:t xml:space="preserve"> </w:t>
      </w:r>
      <w:r w:rsidR="00BF4C5B" w:rsidRPr="0060365B">
        <w:rPr>
          <w:rFonts w:ascii="Calibri" w:hAnsi="Calibri" w:cs="Calibri"/>
          <w:shd w:val="clear" w:color="auto" w:fill="FFFFFF"/>
        </w:rPr>
        <w:t>(Rog, 2004)</w:t>
      </w:r>
      <w:r w:rsidRPr="0060365B">
        <w:t>. This is likely due to the greater independence that can be obtained due to an abundance of safe and convenient options to access the community and engage in activities that are shown to enhance well-being</w:t>
      </w:r>
      <w:r w:rsidR="00922850" w:rsidRPr="0060365B">
        <w:t xml:space="preserve"> </w:t>
      </w:r>
      <w:r w:rsidR="00922850" w:rsidRPr="0060365B">
        <w:rPr>
          <w:rFonts w:ascii="Calibri" w:hAnsi="Calibri" w:cs="Calibri"/>
          <w:shd w:val="clear" w:color="auto" w:fill="FFFFFF"/>
        </w:rPr>
        <w:t>(Lyubomirsky, 2013)</w:t>
      </w:r>
      <w:r w:rsidR="007A2DE0" w:rsidRPr="0060365B">
        <w:rPr>
          <w:rFonts w:ascii="Calibri" w:hAnsi="Calibri" w:cs="Calibri"/>
          <w:shd w:val="clear" w:color="auto" w:fill="FFFFFF"/>
        </w:rPr>
        <w:t xml:space="preserve"> </w:t>
      </w:r>
      <w:r w:rsidR="007A2DE0" w:rsidRPr="0060365B">
        <w:rPr>
          <w:rFonts w:ascii="Calibri" w:hAnsi="Calibri" w:cs="Calibri"/>
          <w:shd w:val="clear" w:color="auto" w:fill="FFFFFF"/>
        </w:rPr>
        <w:t>(Adams et al, 2011)</w:t>
      </w:r>
      <w:r w:rsidRPr="0060365B">
        <w:t>. Homes in more isolated areas, without access to opportunities mentioned above have been associated with lower markers of independence and feelings of control</w:t>
      </w:r>
      <w:r w:rsidR="0031756D" w:rsidRPr="0060365B">
        <w:t xml:space="preserve"> </w:t>
      </w:r>
      <w:r w:rsidR="0031756D" w:rsidRPr="0060365B">
        <w:rPr>
          <w:rFonts w:ascii="Calibri" w:hAnsi="Calibri" w:cs="Calibri"/>
          <w:shd w:val="clear" w:color="auto" w:fill="FFFFFF"/>
        </w:rPr>
        <w:t>(Parrish, 1990)</w:t>
      </w:r>
      <w:r w:rsidRPr="0060365B">
        <w:t>. This is not the case for all individuals though. This point is often balanced with the wishes of individuals to stay within a community in which they may have grown up</w:t>
      </w:r>
      <w:r w:rsidR="00065CB0" w:rsidRPr="0060365B">
        <w:t xml:space="preserve"> </w:t>
      </w:r>
      <w:r w:rsidR="00065CB0" w:rsidRPr="0060365B">
        <w:rPr>
          <w:rFonts w:ascii="Calibri" w:hAnsi="Calibri" w:cs="Calibri"/>
          <w:shd w:val="clear" w:color="auto" w:fill="FFFFFF"/>
        </w:rPr>
        <w:t>(Clapham, 2017)</w:t>
      </w:r>
      <w:r w:rsidRPr="0060365B">
        <w:t>, or where they would call their hometown. When individuals are forced to move away from these communities due to health &amp; safety risks, they often feel a sense of helplessness and a lack of control over their lives</w:t>
      </w:r>
      <w:r w:rsidR="002168BC" w:rsidRPr="0060365B">
        <w:t xml:space="preserve"> (Clapham, 2017)</w:t>
      </w:r>
      <w:r w:rsidRPr="0060365B">
        <w:t xml:space="preserve">. </w:t>
      </w:r>
    </w:p>
    <w:p w14:paraId="37F475E0" w14:textId="77777777" w:rsidR="006F6265" w:rsidRPr="0060365B" w:rsidRDefault="006F6265" w:rsidP="006F6265"/>
    <w:p w14:paraId="1494BB1A" w14:textId="0C56DB63" w:rsidR="006F6265" w:rsidRPr="0060365B" w:rsidRDefault="00842393" w:rsidP="006F6265">
      <w:pPr>
        <w:jc w:val="center"/>
        <w:rPr>
          <w:b/>
          <w:bCs/>
          <w:u w:val="single"/>
        </w:rPr>
      </w:pPr>
      <w:r w:rsidRPr="0060365B">
        <w:rPr>
          <w:b/>
          <w:bCs/>
          <w:u w:val="single"/>
        </w:rPr>
        <w:t>Methodology</w:t>
      </w:r>
    </w:p>
    <w:p w14:paraId="4F824F28" w14:textId="77777777" w:rsidR="00626572" w:rsidRPr="001A2E9D" w:rsidRDefault="00626572" w:rsidP="00626572">
      <w:pPr>
        <w:spacing w:before="100" w:beforeAutospacing="1" w:after="100" w:afterAutospacing="1" w:line="240" w:lineRule="auto"/>
        <w:outlineLvl w:val="3"/>
        <w:rPr>
          <w:rFonts w:eastAsia="Times New Roman" w:cstheme="minorHAnsi"/>
          <w:b/>
          <w:bCs/>
          <w:kern w:val="0"/>
          <w:lang w:eastAsia="en-GB"/>
          <w14:ligatures w14:val="none"/>
        </w:rPr>
      </w:pPr>
      <w:r w:rsidRPr="001A2E9D">
        <w:rPr>
          <w:rFonts w:eastAsia="Times New Roman" w:cstheme="minorHAnsi"/>
          <w:b/>
          <w:bCs/>
          <w:kern w:val="0"/>
          <w:lang w:eastAsia="en-GB"/>
          <w14:ligatures w14:val="none"/>
        </w:rPr>
        <w:t>Survey of Residents</w:t>
      </w:r>
      <w:r w:rsidRPr="0060365B">
        <w:rPr>
          <w:rFonts w:eastAsia="Times New Roman" w:cstheme="minorHAnsi"/>
          <w:b/>
          <w:bCs/>
          <w:kern w:val="0"/>
          <w:lang w:eastAsia="en-GB"/>
          <w14:ligatures w14:val="none"/>
        </w:rPr>
        <w:t>’ Family Members</w:t>
      </w:r>
    </w:p>
    <w:p w14:paraId="55239782" w14:textId="77777777" w:rsidR="00626572" w:rsidRPr="001A2E9D" w:rsidRDefault="00626572" w:rsidP="00626572">
      <w:p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kern w:val="0"/>
          <w:lang w:eastAsia="en-GB"/>
          <w14:ligatures w14:val="none"/>
        </w:rPr>
        <w:t xml:space="preserve">To assess whether the supported living model promotes a feeling of control among residents, a structured survey was conducted. The survey targeted </w:t>
      </w:r>
      <w:r w:rsidRPr="0060365B">
        <w:rPr>
          <w:rFonts w:eastAsia="Times New Roman" w:cstheme="minorHAnsi"/>
          <w:kern w:val="0"/>
          <w:lang w:eastAsia="en-GB"/>
          <w14:ligatures w14:val="none"/>
        </w:rPr>
        <w:t xml:space="preserve">the families of </w:t>
      </w:r>
      <w:r w:rsidRPr="001A2E9D">
        <w:rPr>
          <w:rFonts w:eastAsia="Times New Roman" w:cstheme="minorHAnsi"/>
          <w:kern w:val="0"/>
          <w:lang w:eastAsia="en-GB"/>
          <w14:ligatures w14:val="none"/>
        </w:rPr>
        <w:t>residents currently living in supported living environments. The methodology for the survey included the following steps:</w:t>
      </w:r>
    </w:p>
    <w:p w14:paraId="5178383B" w14:textId="77777777" w:rsidR="00626572" w:rsidRPr="001A2E9D" w:rsidRDefault="00626572" w:rsidP="00626572">
      <w:pPr>
        <w:numPr>
          <w:ilvl w:val="0"/>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Survey Design:</w:t>
      </w:r>
    </w:p>
    <w:p w14:paraId="0C121FC1" w14:textId="77777777" w:rsidR="00626572" w:rsidRPr="001A2E9D"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Questionnaire Development:</w:t>
      </w:r>
      <w:r w:rsidRPr="001A2E9D">
        <w:rPr>
          <w:rFonts w:eastAsia="Times New Roman" w:cstheme="minorHAnsi"/>
          <w:kern w:val="0"/>
          <w:lang w:eastAsia="en-GB"/>
          <w14:ligatures w14:val="none"/>
        </w:rPr>
        <w:t xml:space="preserve"> A comprehensive questionnaire was developed, comprising both closed-ended and open-ended questions. The questions were designed to capture </w:t>
      </w:r>
      <w:r w:rsidRPr="0060365B">
        <w:rPr>
          <w:rFonts w:eastAsia="Times New Roman" w:cstheme="minorHAnsi"/>
          <w:kern w:val="0"/>
          <w:lang w:eastAsia="en-GB"/>
          <w14:ligatures w14:val="none"/>
        </w:rPr>
        <w:t>the respondents</w:t>
      </w:r>
      <w:r w:rsidRPr="001A2E9D">
        <w:rPr>
          <w:rFonts w:eastAsia="Times New Roman" w:cstheme="minorHAnsi"/>
          <w:kern w:val="0"/>
          <w:lang w:eastAsia="en-GB"/>
          <w14:ligatures w14:val="none"/>
        </w:rPr>
        <w:t>' perceptions of the</w:t>
      </w:r>
      <w:r w:rsidRPr="0060365B">
        <w:rPr>
          <w:rFonts w:eastAsia="Times New Roman" w:cstheme="minorHAnsi"/>
          <w:kern w:val="0"/>
          <w:lang w:eastAsia="en-GB"/>
          <w14:ligatures w14:val="none"/>
        </w:rPr>
        <w:t xml:space="preserve"> level of </w:t>
      </w:r>
      <w:r w:rsidRPr="001A2E9D">
        <w:rPr>
          <w:rFonts w:eastAsia="Times New Roman" w:cstheme="minorHAnsi"/>
          <w:kern w:val="0"/>
          <w:lang w:eastAsia="en-GB"/>
          <w14:ligatures w14:val="none"/>
        </w:rPr>
        <w:t>control</w:t>
      </w:r>
      <w:r w:rsidRPr="0060365B">
        <w:rPr>
          <w:rFonts w:eastAsia="Times New Roman" w:cstheme="minorHAnsi"/>
          <w:kern w:val="0"/>
          <w:lang w:eastAsia="en-GB"/>
          <w14:ligatures w14:val="none"/>
        </w:rPr>
        <w:t xml:space="preserve"> their family members were allowed to exercise.</w:t>
      </w:r>
      <w:r w:rsidRPr="001A2E9D">
        <w:rPr>
          <w:rFonts w:eastAsia="Times New Roman" w:cstheme="minorHAnsi"/>
          <w:kern w:val="0"/>
          <w:lang w:eastAsia="en-GB"/>
          <w14:ligatures w14:val="none"/>
        </w:rPr>
        <w:t xml:space="preserve"> </w:t>
      </w:r>
      <w:r w:rsidRPr="0060365B">
        <w:rPr>
          <w:rFonts w:eastAsia="Times New Roman" w:cstheme="minorHAnsi"/>
          <w:kern w:val="0"/>
          <w:lang w:eastAsia="en-GB"/>
          <w14:ligatures w14:val="none"/>
        </w:rPr>
        <w:t>Questions included more general questions such which asked about overall feelings of control, and more specific questions which asked about the opportunities available within the local area to exercise control, and asked for respondents to list what they felt could be improved in terms of facilitating control</w:t>
      </w:r>
      <w:r w:rsidRPr="001A2E9D">
        <w:rPr>
          <w:rFonts w:eastAsia="Times New Roman" w:cstheme="minorHAnsi"/>
          <w:kern w:val="0"/>
          <w:lang w:eastAsia="en-GB"/>
          <w14:ligatures w14:val="none"/>
        </w:rPr>
        <w:t>.</w:t>
      </w:r>
    </w:p>
    <w:p w14:paraId="2E58ED4E" w14:textId="77777777" w:rsidR="00626572" w:rsidRPr="001A2E9D" w:rsidRDefault="00626572" w:rsidP="00626572">
      <w:pPr>
        <w:numPr>
          <w:ilvl w:val="0"/>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Sample Selection:</w:t>
      </w:r>
    </w:p>
    <w:p w14:paraId="24949A09" w14:textId="77777777" w:rsidR="00626572" w:rsidRPr="001A2E9D"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Sampling Method:</w:t>
      </w:r>
      <w:r w:rsidRPr="001A2E9D">
        <w:rPr>
          <w:rFonts w:eastAsia="Times New Roman" w:cstheme="minorHAnsi"/>
          <w:kern w:val="0"/>
          <w:lang w:eastAsia="en-GB"/>
          <w14:ligatures w14:val="none"/>
        </w:rPr>
        <w:t xml:space="preserve"> A purposive sampling method was employed to select participants. Residents who had lived in supported living arrangements for at least six months were targeted to ensure they had sufficient experience to provide meaningful feedback.</w:t>
      </w:r>
    </w:p>
    <w:p w14:paraId="73E616CB" w14:textId="77777777" w:rsidR="00626572" w:rsidRPr="001A2E9D"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Sample Size:</w:t>
      </w:r>
      <w:r w:rsidRPr="001A2E9D">
        <w:rPr>
          <w:rFonts w:eastAsia="Times New Roman" w:cstheme="minorHAnsi"/>
          <w:kern w:val="0"/>
          <w:lang w:eastAsia="en-GB"/>
          <w14:ligatures w14:val="none"/>
        </w:rPr>
        <w:t xml:space="preserve"> The sample size aimed for was 100 residents, to achieve a balance between comprehensive data collection and manageability.</w:t>
      </w:r>
    </w:p>
    <w:p w14:paraId="5D056D8B" w14:textId="77777777" w:rsidR="00626572" w:rsidRPr="001A2E9D" w:rsidRDefault="00626572" w:rsidP="00626572">
      <w:pPr>
        <w:numPr>
          <w:ilvl w:val="0"/>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Data Collection:</w:t>
      </w:r>
    </w:p>
    <w:p w14:paraId="34485AD1" w14:textId="77777777" w:rsidR="00626572" w:rsidRPr="0060365B" w:rsidRDefault="00626572" w:rsidP="00626572">
      <w:pPr>
        <w:numPr>
          <w:ilvl w:val="1"/>
          <w:numId w:val="1"/>
        </w:numPr>
        <w:spacing w:before="100" w:beforeAutospacing="1" w:after="100" w:afterAutospacing="1" w:line="240" w:lineRule="auto"/>
        <w:rPr>
          <w:rFonts w:eastAsia="Times New Roman" w:cstheme="minorHAnsi"/>
          <w:b/>
          <w:bCs/>
          <w:kern w:val="0"/>
          <w:lang w:eastAsia="en-GB"/>
          <w14:ligatures w14:val="none"/>
        </w:rPr>
      </w:pPr>
      <w:r w:rsidRPr="0060365B">
        <w:rPr>
          <w:rFonts w:eastAsia="Times New Roman" w:cstheme="minorHAnsi"/>
          <w:b/>
          <w:bCs/>
          <w:kern w:val="0"/>
          <w:lang w:eastAsia="en-GB"/>
          <w14:ligatures w14:val="none"/>
        </w:rPr>
        <w:t xml:space="preserve">Distribution: </w:t>
      </w:r>
      <w:r w:rsidRPr="0060365B">
        <w:rPr>
          <w:rFonts w:eastAsia="Times New Roman" w:cstheme="minorHAnsi"/>
          <w:kern w:val="0"/>
          <w:lang w:eastAsia="en-GB"/>
          <w14:ligatures w14:val="none"/>
        </w:rPr>
        <w:t>The survey</w:t>
      </w:r>
      <w:r w:rsidRPr="0060365B">
        <w:rPr>
          <w:rFonts w:eastAsia="Times New Roman" w:cstheme="minorHAnsi"/>
          <w:b/>
          <w:bCs/>
          <w:kern w:val="0"/>
          <w:lang w:eastAsia="en-GB"/>
          <w14:ligatures w14:val="none"/>
        </w:rPr>
        <w:t xml:space="preserve"> </w:t>
      </w:r>
      <w:r w:rsidRPr="0060365B">
        <w:rPr>
          <w:rFonts w:eastAsia="Times New Roman" w:cstheme="minorHAnsi"/>
          <w:kern w:val="0"/>
          <w:lang w:eastAsia="en-GB"/>
          <w14:ligatures w14:val="none"/>
        </w:rPr>
        <w:t>was distributed to</w:t>
      </w:r>
      <w:r w:rsidRPr="0060365B">
        <w:rPr>
          <w:rFonts w:eastAsia="Times New Roman" w:cstheme="minorHAnsi"/>
          <w:b/>
          <w:bCs/>
          <w:kern w:val="0"/>
          <w:lang w:eastAsia="en-GB"/>
          <w14:ligatures w14:val="none"/>
        </w:rPr>
        <w:t xml:space="preserve"> </w:t>
      </w:r>
      <w:r w:rsidRPr="0060365B">
        <w:rPr>
          <w:rFonts w:eastAsia="Times New Roman" w:cstheme="minorHAnsi"/>
          <w:kern w:val="0"/>
          <w:lang w:eastAsia="en-GB"/>
          <w14:ligatures w14:val="none"/>
        </w:rPr>
        <w:t>5 Chief Executive Officers of care providers, who’s companies were each responsible for between 4 and 15 Supported Living Settings. The survey was then intended to be passed onto the staff members at individua settings, who would then share the survey with the intended individuals.</w:t>
      </w:r>
    </w:p>
    <w:p w14:paraId="56D0DE4A" w14:textId="77777777" w:rsidR="00626572" w:rsidRPr="001A2E9D"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60365B">
        <w:rPr>
          <w:rFonts w:eastAsia="Times New Roman" w:cstheme="minorHAnsi"/>
          <w:b/>
          <w:bCs/>
          <w:kern w:val="0"/>
          <w:lang w:eastAsia="en-GB"/>
          <w14:ligatures w14:val="none"/>
        </w:rPr>
        <w:lastRenderedPageBreak/>
        <w:t>Accessibility</w:t>
      </w:r>
      <w:r w:rsidRPr="001A2E9D">
        <w:rPr>
          <w:rFonts w:eastAsia="Times New Roman" w:cstheme="minorHAnsi"/>
          <w:b/>
          <w:bCs/>
          <w:kern w:val="0"/>
          <w:lang w:eastAsia="en-GB"/>
          <w14:ligatures w14:val="none"/>
        </w:rPr>
        <w:t>:</w:t>
      </w:r>
      <w:r w:rsidRPr="001A2E9D">
        <w:rPr>
          <w:rFonts w:eastAsia="Times New Roman" w:cstheme="minorHAnsi"/>
          <w:kern w:val="0"/>
          <w:lang w:eastAsia="en-GB"/>
          <w14:ligatures w14:val="none"/>
        </w:rPr>
        <w:t xml:space="preserve"> The survey was distributed both in paper form and electronically, providing residents with the option to choose their preferred mode of response.</w:t>
      </w:r>
    </w:p>
    <w:p w14:paraId="25EC98F9" w14:textId="77777777" w:rsidR="00626572" w:rsidRPr="001A2E9D"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Anonymity and Confidentiality:</w:t>
      </w:r>
      <w:r w:rsidRPr="001A2E9D">
        <w:rPr>
          <w:rFonts w:eastAsia="Times New Roman" w:cstheme="minorHAnsi"/>
          <w:kern w:val="0"/>
          <w:lang w:eastAsia="en-GB"/>
          <w14:ligatures w14:val="none"/>
        </w:rPr>
        <w:t xml:space="preserve"> Participants were assured of their anonymity and the confidentiality of their responses to encourage honest and open feedback.</w:t>
      </w:r>
    </w:p>
    <w:p w14:paraId="00B54501" w14:textId="77777777" w:rsidR="00626572" w:rsidRPr="001A2E9D" w:rsidRDefault="00626572" w:rsidP="00626572">
      <w:pPr>
        <w:numPr>
          <w:ilvl w:val="0"/>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Data Analysis:</w:t>
      </w:r>
    </w:p>
    <w:p w14:paraId="4524E1D9" w14:textId="77777777" w:rsidR="00626572" w:rsidRPr="001A2E9D"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Quantitative Analysis:</w:t>
      </w:r>
      <w:r w:rsidRPr="001A2E9D">
        <w:rPr>
          <w:rFonts w:eastAsia="Times New Roman" w:cstheme="minorHAnsi"/>
          <w:kern w:val="0"/>
          <w:lang w:eastAsia="en-GB"/>
          <w14:ligatures w14:val="none"/>
        </w:rPr>
        <w:t xml:space="preserve"> Responses to closed-ended questions were </w:t>
      </w:r>
      <w:r w:rsidRPr="0060365B">
        <w:rPr>
          <w:rFonts w:eastAsia="Times New Roman" w:cstheme="minorHAnsi"/>
          <w:kern w:val="0"/>
          <w:lang w:eastAsia="en-GB"/>
          <w14:ligatures w14:val="none"/>
        </w:rPr>
        <w:t>analysed</w:t>
      </w:r>
      <w:r w:rsidRPr="001A2E9D">
        <w:rPr>
          <w:rFonts w:eastAsia="Times New Roman" w:cstheme="minorHAnsi"/>
          <w:kern w:val="0"/>
          <w:lang w:eastAsia="en-GB"/>
          <w14:ligatures w14:val="none"/>
        </w:rPr>
        <w:t xml:space="preserve"> using descriptive statistics to identify trends and patterns in residents' perceptions of control.</w:t>
      </w:r>
    </w:p>
    <w:p w14:paraId="32F91B4C" w14:textId="77777777" w:rsidR="00626572" w:rsidRPr="0060365B" w:rsidRDefault="00626572" w:rsidP="00626572">
      <w:pPr>
        <w:numPr>
          <w:ilvl w:val="1"/>
          <w:numId w:val="1"/>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Qualitative Analysis:</w:t>
      </w:r>
      <w:r w:rsidRPr="001A2E9D">
        <w:rPr>
          <w:rFonts w:eastAsia="Times New Roman" w:cstheme="minorHAnsi"/>
          <w:kern w:val="0"/>
          <w:lang w:eastAsia="en-GB"/>
          <w14:ligatures w14:val="none"/>
        </w:rPr>
        <w:t xml:space="preserve"> Responses to open-ended questions were </w:t>
      </w:r>
      <w:r w:rsidRPr="0060365B">
        <w:rPr>
          <w:rFonts w:eastAsia="Times New Roman" w:cstheme="minorHAnsi"/>
          <w:kern w:val="0"/>
          <w:lang w:eastAsia="en-GB"/>
          <w14:ligatures w14:val="none"/>
        </w:rPr>
        <w:t>analysed</w:t>
      </w:r>
      <w:r w:rsidRPr="001A2E9D">
        <w:rPr>
          <w:rFonts w:eastAsia="Times New Roman" w:cstheme="minorHAnsi"/>
          <w:kern w:val="0"/>
          <w:lang w:eastAsia="en-GB"/>
          <w14:ligatures w14:val="none"/>
        </w:rPr>
        <w:t xml:space="preserve"> using thematic analysis to gain deeper insights into the specific factors contributing to or hindering feelings of control among residents.</w:t>
      </w:r>
    </w:p>
    <w:p w14:paraId="7BABDB85" w14:textId="77777777" w:rsidR="003F2F4B" w:rsidRPr="001A2E9D" w:rsidRDefault="003F2F4B" w:rsidP="003F2F4B">
      <w:pPr>
        <w:spacing w:before="100" w:beforeAutospacing="1" w:after="100" w:afterAutospacing="1" w:line="240" w:lineRule="auto"/>
        <w:rPr>
          <w:rFonts w:eastAsia="Times New Roman" w:cstheme="minorHAnsi"/>
          <w:kern w:val="0"/>
          <w:lang w:eastAsia="en-GB"/>
          <w14:ligatures w14:val="none"/>
        </w:rPr>
      </w:pPr>
    </w:p>
    <w:p w14:paraId="19991345" w14:textId="77777777" w:rsidR="00626572" w:rsidRPr="001A2E9D" w:rsidRDefault="00626572" w:rsidP="00626572">
      <w:pPr>
        <w:spacing w:before="100" w:beforeAutospacing="1" w:after="100" w:afterAutospacing="1" w:line="240" w:lineRule="auto"/>
        <w:outlineLvl w:val="3"/>
        <w:rPr>
          <w:rFonts w:eastAsia="Times New Roman" w:cstheme="minorHAnsi"/>
          <w:b/>
          <w:bCs/>
          <w:kern w:val="0"/>
          <w:lang w:eastAsia="en-GB"/>
          <w14:ligatures w14:val="none"/>
        </w:rPr>
      </w:pPr>
      <w:r w:rsidRPr="001A2E9D">
        <w:rPr>
          <w:rFonts w:eastAsia="Times New Roman" w:cstheme="minorHAnsi"/>
          <w:b/>
          <w:bCs/>
          <w:kern w:val="0"/>
          <w:lang w:eastAsia="en-GB"/>
          <w14:ligatures w14:val="none"/>
        </w:rPr>
        <w:t>Focus Group with Professionals</w:t>
      </w:r>
    </w:p>
    <w:p w14:paraId="2084FDAF" w14:textId="77777777" w:rsidR="00626572" w:rsidRPr="001A2E9D" w:rsidRDefault="00626572" w:rsidP="00626572">
      <w:p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kern w:val="0"/>
          <w:lang w:eastAsia="en-GB"/>
          <w14:ligatures w14:val="none"/>
        </w:rPr>
        <w:t>To complement the survey data and gain a professional perspective on the supported living model, a focus group discussion was conducted with professionals involved in providing or managing supported living services. The focus group methodology included the following steps:</w:t>
      </w:r>
    </w:p>
    <w:p w14:paraId="2904DE38" w14:textId="77777777" w:rsidR="00626572" w:rsidRPr="001A2E9D" w:rsidRDefault="00626572" w:rsidP="00626572">
      <w:pPr>
        <w:numPr>
          <w:ilvl w:val="0"/>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Participant Selection:</w:t>
      </w:r>
    </w:p>
    <w:p w14:paraId="3ACDD44C" w14:textId="77777777" w:rsidR="00626572" w:rsidRPr="001A2E9D" w:rsidRDefault="00626572" w:rsidP="00626572">
      <w:pPr>
        <w:numPr>
          <w:ilvl w:val="1"/>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Sampling Method:</w:t>
      </w:r>
      <w:r w:rsidRPr="001A2E9D">
        <w:rPr>
          <w:rFonts w:eastAsia="Times New Roman" w:cstheme="minorHAnsi"/>
          <w:kern w:val="0"/>
          <w:lang w:eastAsia="en-GB"/>
          <w14:ligatures w14:val="none"/>
        </w:rPr>
        <w:t xml:space="preserve"> Purposive sampling was used to select participants who had direct experience with the supported living model. Participants included social workers, care managers, support staff, and administrators.</w:t>
      </w:r>
    </w:p>
    <w:p w14:paraId="05564C2B" w14:textId="77777777" w:rsidR="00626572" w:rsidRPr="001A2E9D" w:rsidRDefault="00626572" w:rsidP="00626572">
      <w:pPr>
        <w:numPr>
          <w:ilvl w:val="1"/>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Group Size:</w:t>
      </w:r>
      <w:r w:rsidRPr="001A2E9D">
        <w:rPr>
          <w:rFonts w:eastAsia="Times New Roman" w:cstheme="minorHAnsi"/>
          <w:kern w:val="0"/>
          <w:lang w:eastAsia="en-GB"/>
          <w14:ligatures w14:val="none"/>
        </w:rPr>
        <w:t xml:space="preserve"> The focus group consisted of 8-10 professionals to ensure a diverse range of perspectives while maintaining a manageable group size for in-depth discussion.</w:t>
      </w:r>
    </w:p>
    <w:p w14:paraId="5AB4B7F4" w14:textId="77777777" w:rsidR="00626572" w:rsidRPr="001A2E9D" w:rsidRDefault="00626572" w:rsidP="00626572">
      <w:pPr>
        <w:numPr>
          <w:ilvl w:val="0"/>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Discussion Guide:</w:t>
      </w:r>
    </w:p>
    <w:p w14:paraId="6201FD88" w14:textId="77777777" w:rsidR="00626572" w:rsidRPr="001A2E9D" w:rsidRDefault="00626572" w:rsidP="00626572">
      <w:pPr>
        <w:numPr>
          <w:ilvl w:val="1"/>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Guide Development:</w:t>
      </w:r>
      <w:r w:rsidRPr="001A2E9D">
        <w:rPr>
          <w:rFonts w:eastAsia="Times New Roman" w:cstheme="minorHAnsi"/>
          <w:kern w:val="0"/>
          <w:lang w:eastAsia="en-GB"/>
          <w14:ligatures w14:val="none"/>
        </w:rPr>
        <w:t xml:space="preserve"> A discussion guide was developed to steer the conversation. Key topics </w:t>
      </w:r>
      <w:r w:rsidRPr="0060365B">
        <w:rPr>
          <w:rFonts w:eastAsia="Times New Roman" w:cstheme="minorHAnsi"/>
          <w:kern w:val="0"/>
          <w:lang w:eastAsia="en-GB"/>
          <w14:ligatures w14:val="none"/>
        </w:rPr>
        <w:t>mirrored those within the survey, and statistics gathered from the survey were shared and discussed in the hopes of providing context and relating the results to previous experiences.</w:t>
      </w:r>
    </w:p>
    <w:p w14:paraId="016827D9" w14:textId="77777777" w:rsidR="00626572" w:rsidRPr="001A2E9D" w:rsidRDefault="00626572" w:rsidP="00626572">
      <w:pPr>
        <w:numPr>
          <w:ilvl w:val="0"/>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Conducting the Focus Group:</w:t>
      </w:r>
    </w:p>
    <w:p w14:paraId="13CD505B" w14:textId="77777777" w:rsidR="00626572" w:rsidRPr="001A2E9D" w:rsidRDefault="00626572" w:rsidP="00626572">
      <w:pPr>
        <w:numPr>
          <w:ilvl w:val="1"/>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Facilitation:</w:t>
      </w:r>
      <w:r w:rsidRPr="001A2E9D">
        <w:rPr>
          <w:rFonts w:eastAsia="Times New Roman" w:cstheme="minorHAnsi"/>
          <w:kern w:val="0"/>
          <w:lang w:eastAsia="en-GB"/>
          <w14:ligatures w14:val="none"/>
        </w:rPr>
        <w:t xml:space="preserve"> The focus group was facilitated by a trained moderator who guided the discussion, ensured all participants had the opportunity to contribute, and kept the conversation focused on the key topics.</w:t>
      </w:r>
    </w:p>
    <w:p w14:paraId="46906017" w14:textId="77777777" w:rsidR="00626572" w:rsidRPr="001A2E9D" w:rsidRDefault="00626572" w:rsidP="00626572">
      <w:pPr>
        <w:numPr>
          <w:ilvl w:val="1"/>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Recording and Transcription:</w:t>
      </w:r>
      <w:r w:rsidRPr="001A2E9D">
        <w:rPr>
          <w:rFonts w:eastAsia="Times New Roman" w:cstheme="minorHAnsi"/>
          <w:kern w:val="0"/>
          <w:lang w:eastAsia="en-GB"/>
          <w14:ligatures w14:val="none"/>
        </w:rPr>
        <w:t xml:space="preserve"> The discussion was audio-recorded and later transcribed verbatim to capture all insights and nuances of the conversation.</w:t>
      </w:r>
    </w:p>
    <w:p w14:paraId="2BC33E11" w14:textId="77777777" w:rsidR="00626572" w:rsidRPr="001A2E9D" w:rsidRDefault="00626572" w:rsidP="00626572">
      <w:pPr>
        <w:numPr>
          <w:ilvl w:val="0"/>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Data Analysis:</w:t>
      </w:r>
    </w:p>
    <w:p w14:paraId="7C30DCF3" w14:textId="77777777" w:rsidR="00626572" w:rsidRPr="001A2E9D" w:rsidRDefault="00626572" w:rsidP="00626572">
      <w:pPr>
        <w:numPr>
          <w:ilvl w:val="1"/>
          <w:numId w:val="2"/>
        </w:numPr>
        <w:spacing w:before="100" w:beforeAutospacing="1" w:after="100" w:afterAutospacing="1" w:line="240" w:lineRule="auto"/>
        <w:rPr>
          <w:rFonts w:eastAsia="Times New Roman" w:cstheme="minorHAnsi"/>
          <w:kern w:val="0"/>
          <w:lang w:eastAsia="en-GB"/>
          <w14:ligatures w14:val="none"/>
        </w:rPr>
      </w:pPr>
      <w:r w:rsidRPr="001A2E9D">
        <w:rPr>
          <w:rFonts w:eastAsia="Times New Roman" w:cstheme="minorHAnsi"/>
          <w:b/>
          <w:bCs/>
          <w:kern w:val="0"/>
          <w:lang w:eastAsia="en-GB"/>
          <w14:ligatures w14:val="none"/>
        </w:rPr>
        <w:t>Thematic Analysis:</w:t>
      </w:r>
      <w:r w:rsidRPr="001A2E9D">
        <w:rPr>
          <w:rFonts w:eastAsia="Times New Roman" w:cstheme="minorHAnsi"/>
          <w:kern w:val="0"/>
          <w:lang w:eastAsia="en-GB"/>
          <w14:ligatures w14:val="none"/>
        </w:rPr>
        <w:t xml:space="preserve"> The focus group transcript was </w:t>
      </w:r>
      <w:r w:rsidRPr="0060365B">
        <w:rPr>
          <w:rFonts w:eastAsia="Times New Roman" w:cstheme="minorHAnsi"/>
          <w:kern w:val="0"/>
          <w:lang w:eastAsia="en-GB"/>
          <w14:ligatures w14:val="none"/>
        </w:rPr>
        <w:t>analysed</w:t>
      </w:r>
      <w:r w:rsidRPr="001A2E9D">
        <w:rPr>
          <w:rFonts w:eastAsia="Times New Roman" w:cstheme="minorHAnsi"/>
          <w:kern w:val="0"/>
          <w:lang w:eastAsia="en-GB"/>
          <w14:ligatures w14:val="none"/>
        </w:rPr>
        <w:t xml:space="preserve"> using thematic analysis. Key themes </w:t>
      </w:r>
      <w:r w:rsidRPr="0060365B">
        <w:rPr>
          <w:rFonts w:eastAsia="Times New Roman" w:cstheme="minorHAnsi"/>
          <w:kern w:val="0"/>
          <w:lang w:eastAsia="en-GB"/>
          <w14:ligatures w14:val="none"/>
        </w:rPr>
        <w:t>for each section were</w:t>
      </w:r>
      <w:r w:rsidRPr="001A2E9D">
        <w:rPr>
          <w:rFonts w:eastAsia="Times New Roman" w:cstheme="minorHAnsi"/>
          <w:kern w:val="0"/>
          <w:lang w:eastAsia="en-GB"/>
          <w14:ligatures w14:val="none"/>
        </w:rPr>
        <w:t xml:space="preserve"> identified, highlighting professionals' views on the effectiveness of the supported living model in promoting resident control and autonomy</w:t>
      </w:r>
      <w:r w:rsidRPr="0060365B">
        <w:rPr>
          <w:rFonts w:eastAsia="Times New Roman" w:cstheme="minorHAnsi"/>
          <w:kern w:val="0"/>
          <w:lang w:eastAsia="en-GB"/>
          <w14:ligatures w14:val="none"/>
        </w:rPr>
        <w:t>, as well as providing additional context to the survey responses, and suggesting how the data could be used to inform future commissioning processes</w:t>
      </w:r>
      <w:r w:rsidRPr="001A2E9D">
        <w:rPr>
          <w:rFonts w:eastAsia="Times New Roman" w:cstheme="minorHAnsi"/>
          <w:kern w:val="0"/>
          <w:lang w:eastAsia="en-GB"/>
          <w14:ligatures w14:val="none"/>
        </w:rPr>
        <w:t>.</w:t>
      </w:r>
    </w:p>
    <w:p w14:paraId="7999611E" w14:textId="77777777" w:rsidR="00626572" w:rsidRPr="0060365B" w:rsidRDefault="00626572" w:rsidP="00626572">
      <w:r w:rsidRPr="0060365B">
        <w:t>By combining quantitative data from the resident survey with qualitative insights from the professional focus group, this study provides a comprehensive examination of whether the supported living model promotes a feeling of control among residents. This mixed-methods approach ensures a holistic understanding of the issue, capturing both the lived experiences of residents and the professional insights from those involved in their care.</w:t>
      </w:r>
    </w:p>
    <w:p w14:paraId="0C2FAC12" w14:textId="77777777" w:rsidR="00626572" w:rsidRPr="0060365B" w:rsidRDefault="00626572" w:rsidP="00626572">
      <w:pPr>
        <w:pStyle w:val="NormalWeb"/>
        <w:rPr>
          <w:rFonts w:ascii="Calibri" w:hAnsi="Calibri" w:cs="Calibri"/>
          <w:sz w:val="22"/>
          <w:szCs w:val="22"/>
        </w:rPr>
      </w:pPr>
      <w:r w:rsidRPr="0060365B">
        <w:rPr>
          <w:rFonts w:ascii="Calibri" w:hAnsi="Calibri" w:cs="Calibri"/>
          <w:sz w:val="22"/>
          <w:szCs w:val="22"/>
        </w:rPr>
        <w:lastRenderedPageBreak/>
        <w:t>Ethical considerations were paramount in both the survey and focus group components of the study.</w:t>
      </w:r>
    </w:p>
    <w:p w14:paraId="1BE8DEDF" w14:textId="77777777" w:rsidR="00626572" w:rsidRPr="0060365B" w:rsidRDefault="00626572" w:rsidP="00626572">
      <w:pPr>
        <w:pStyle w:val="NormalWeb"/>
        <w:numPr>
          <w:ilvl w:val="0"/>
          <w:numId w:val="3"/>
        </w:numPr>
        <w:rPr>
          <w:rFonts w:asciiTheme="minorHAnsi" w:hAnsiTheme="minorHAnsi" w:cstheme="minorHAnsi"/>
          <w:sz w:val="22"/>
          <w:szCs w:val="22"/>
        </w:rPr>
      </w:pPr>
      <w:r w:rsidRPr="0060365B">
        <w:rPr>
          <w:rStyle w:val="Strong"/>
          <w:rFonts w:asciiTheme="minorHAnsi" w:eastAsiaTheme="majorEastAsia" w:hAnsiTheme="minorHAnsi" w:cstheme="minorHAnsi"/>
          <w:sz w:val="22"/>
          <w:szCs w:val="22"/>
        </w:rPr>
        <w:t>Informed Consent:</w:t>
      </w:r>
      <w:r w:rsidRPr="0060365B">
        <w:rPr>
          <w:rFonts w:asciiTheme="minorHAnsi" w:hAnsiTheme="minorHAnsi" w:cstheme="minorHAnsi"/>
          <w:sz w:val="22"/>
          <w:szCs w:val="22"/>
        </w:rPr>
        <w:t xml:space="preserve"> All participants were provided with detailed information about the study's purpose, procedures, risks, and benefits before participating. Written consent was obtained from survey participants, while verbal consent was secured from focus group participants.</w:t>
      </w:r>
    </w:p>
    <w:p w14:paraId="4FBACA8E" w14:textId="77777777" w:rsidR="00626572" w:rsidRPr="0060365B" w:rsidRDefault="00626572" w:rsidP="00626572">
      <w:pPr>
        <w:pStyle w:val="NormalWeb"/>
        <w:numPr>
          <w:ilvl w:val="0"/>
          <w:numId w:val="3"/>
        </w:numPr>
        <w:rPr>
          <w:rFonts w:asciiTheme="minorHAnsi" w:hAnsiTheme="minorHAnsi" w:cstheme="minorHAnsi"/>
          <w:sz w:val="22"/>
          <w:szCs w:val="22"/>
        </w:rPr>
      </w:pPr>
      <w:r w:rsidRPr="0060365B">
        <w:rPr>
          <w:rStyle w:val="Strong"/>
          <w:rFonts w:asciiTheme="minorHAnsi" w:eastAsiaTheme="majorEastAsia" w:hAnsiTheme="minorHAnsi" w:cstheme="minorHAnsi"/>
          <w:sz w:val="22"/>
          <w:szCs w:val="22"/>
        </w:rPr>
        <w:t>Confidentiality:</w:t>
      </w:r>
      <w:r w:rsidRPr="0060365B">
        <w:rPr>
          <w:rFonts w:asciiTheme="minorHAnsi" w:hAnsiTheme="minorHAnsi" w:cstheme="minorHAnsi"/>
          <w:sz w:val="22"/>
          <w:szCs w:val="22"/>
        </w:rPr>
        <w:t xml:space="preserve"> Measures were taken to ensure the confidentiality of participants' responses. Survey data were anonymized, and focus group discussions were held in a secure, private setting to protect the identity of participants. Data were stored securely, and access was limited to the research team.</w:t>
      </w:r>
    </w:p>
    <w:p w14:paraId="6E4967B1" w14:textId="033021B7" w:rsidR="00752B8A" w:rsidRPr="0060365B" w:rsidRDefault="00626572" w:rsidP="00BA67DA">
      <w:pPr>
        <w:pStyle w:val="NormalWeb"/>
        <w:numPr>
          <w:ilvl w:val="0"/>
          <w:numId w:val="3"/>
        </w:numPr>
        <w:rPr>
          <w:rFonts w:asciiTheme="minorHAnsi" w:hAnsiTheme="minorHAnsi" w:cstheme="minorHAnsi"/>
          <w:sz w:val="22"/>
          <w:szCs w:val="22"/>
        </w:rPr>
      </w:pPr>
      <w:r w:rsidRPr="0060365B">
        <w:rPr>
          <w:rStyle w:val="Strong"/>
          <w:rFonts w:asciiTheme="minorHAnsi" w:eastAsiaTheme="majorEastAsia" w:hAnsiTheme="minorHAnsi" w:cstheme="minorHAnsi"/>
          <w:sz w:val="22"/>
          <w:szCs w:val="22"/>
        </w:rPr>
        <w:t>Voluntary Participation:</w:t>
      </w:r>
      <w:r w:rsidRPr="0060365B">
        <w:rPr>
          <w:rFonts w:asciiTheme="minorHAnsi" w:hAnsiTheme="minorHAnsi" w:cstheme="minorHAnsi"/>
          <w:sz w:val="22"/>
          <w:szCs w:val="22"/>
        </w:rPr>
        <w:t xml:space="preserve"> Participation was entirely voluntary, and participants were informed of their right to withdraw from the study at any time without any consequences.</w:t>
      </w:r>
    </w:p>
    <w:p w14:paraId="301DCB90" w14:textId="77777777" w:rsidR="00121ABB" w:rsidRPr="0060365B" w:rsidRDefault="00121ABB" w:rsidP="00121ABB">
      <w:pPr>
        <w:pStyle w:val="NormalWeb"/>
        <w:ind w:left="720"/>
        <w:rPr>
          <w:rFonts w:asciiTheme="minorHAnsi" w:hAnsiTheme="minorHAnsi" w:cstheme="minorHAnsi"/>
          <w:sz w:val="22"/>
          <w:szCs w:val="22"/>
        </w:rPr>
      </w:pPr>
    </w:p>
    <w:p w14:paraId="55C87582" w14:textId="5257C21D" w:rsidR="00922F06" w:rsidRPr="0060365B" w:rsidRDefault="00121ABB" w:rsidP="00121ABB">
      <w:pPr>
        <w:pStyle w:val="NormalWeb"/>
        <w:jc w:val="center"/>
        <w:rPr>
          <w:rFonts w:asciiTheme="minorHAnsi" w:hAnsiTheme="minorHAnsi" w:cstheme="minorHAnsi"/>
          <w:b/>
          <w:bCs/>
          <w:sz w:val="22"/>
          <w:szCs w:val="22"/>
          <w:u w:val="single"/>
        </w:rPr>
      </w:pPr>
      <w:r w:rsidRPr="0060365B">
        <w:rPr>
          <w:rFonts w:asciiTheme="minorHAnsi" w:hAnsiTheme="minorHAnsi" w:cstheme="minorHAnsi"/>
          <w:b/>
          <w:bCs/>
          <w:sz w:val="22"/>
          <w:szCs w:val="22"/>
          <w:u w:val="single"/>
        </w:rPr>
        <w:t>Findings</w:t>
      </w:r>
    </w:p>
    <w:p w14:paraId="6AC1AE51" w14:textId="77777777" w:rsidR="00752B8A" w:rsidRPr="0060365B" w:rsidRDefault="00752B8A" w:rsidP="00752B8A">
      <w:bookmarkStart w:id="0" w:name="_Hlk169368085"/>
      <w:bookmarkEnd w:id="0"/>
      <w:r w:rsidRPr="0060365B">
        <w:t xml:space="preserve">In total, 16 individuals completed the online questionnaire. This is a lower number than expected, as the questionnaire itself potentially reached over 500 families. A factor that may have influenced this low number is the degree of separation between the researched and the respondent. As outlined in the section above, the researcher passed the link to the questionnaire on to senior leaders of care providers, each responsible for between 2 and 12 supported living settings each. The questionnaire was then passed on to these individual settings, the staff of which then passed it on to the resident’s family members to complete. This creates a situation in which buy in from everyone in the chain becomes paramount to collecting responses. If communication were to break down between the senior leadership and staff at the setting, for example, then the questionnaire would immediately be distributed to a lower number of families. Also, the questionnaire being intended for the family members of the residents may have caused a weakness in the chain. This is due to the reliance on these family members coming into the settings to visit the residents before being able to complete the questionnaire. There is, of course, no guarantee that residents’ families would visit during the time that the questionnaire was open to be answered. Finally, the questionnaire was reliant on members of staff distributing it during their regular work hours, as an addition to their existing everyday workload. It would be expected that tasks such as ensuring the safety of residents, engaging in wellbeing activities etc would take priority over ensuring the questionnaire is well distributed. </w:t>
      </w:r>
    </w:p>
    <w:p w14:paraId="23494028" w14:textId="77777777" w:rsidR="00752B8A" w:rsidRPr="0060365B" w:rsidRDefault="00752B8A" w:rsidP="00752B8A">
      <w:r w:rsidRPr="0060365B">
        <w:t xml:space="preserve">It is outside the scope of this project to determine which of these factors, or any others were the most influential in limiting the number of respondents. However, for future projects, efforts should be made to shorten the chain between researcher and respondent. This is to provide more control and influence </w:t>
      </w:r>
      <w:proofErr w:type="gramStart"/>
      <w:r w:rsidRPr="0060365B">
        <w:t>to</w:t>
      </w:r>
      <w:proofErr w:type="gramEnd"/>
      <w:r w:rsidRPr="0060365B">
        <w:t xml:space="preserve"> the researcher over the quantity of respondents. As highlighted above, the approach taken in this project relied heavily on individuals who were outside of the researcher’s sphere of influence.</w:t>
      </w:r>
    </w:p>
    <w:p w14:paraId="4C2EF321" w14:textId="77777777" w:rsidR="00752B8A" w:rsidRPr="0060365B" w:rsidRDefault="00752B8A" w:rsidP="00752B8A">
      <w:r w:rsidRPr="0060365B">
        <w:t>The opening question asked for the type of location in which the family member in question resided. The results are outlined within figure 1.0:</w:t>
      </w:r>
    </w:p>
    <w:p w14:paraId="40322675"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r w:rsidRPr="0060365B">
        <w:rPr>
          <w:rFonts w:ascii="Times New Roman" w:eastAsia="Times New Roman" w:hAnsi="Times New Roman" w:cs="Times New Roman"/>
          <w:noProof/>
          <w:lang w:eastAsia="en-GB"/>
        </w:rPr>
        <w:lastRenderedPageBreak/>
        <w:drawing>
          <wp:inline distT="0" distB="0" distL="0" distR="0" wp14:anchorId="35843103" wp14:editId="2B5902B4">
            <wp:extent cx="4076700" cy="2452786"/>
            <wp:effectExtent l="0" t="0" r="0" b="5080"/>
            <wp:docPr id="1152346603" name="Picture 6" descr="A pie chart with numbers and a few percent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46603" name="Picture 6" descr="A pie chart with numbers and a few percentag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3719" cy="2463026"/>
                    </a:xfrm>
                    <a:prstGeom prst="rect">
                      <a:avLst/>
                    </a:prstGeom>
                    <a:noFill/>
                    <a:ln>
                      <a:noFill/>
                    </a:ln>
                  </pic:spPr>
                </pic:pic>
              </a:graphicData>
            </a:graphic>
          </wp:inline>
        </w:drawing>
      </w:r>
    </w:p>
    <w:p w14:paraId="5EFA3ECD"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1.0</w:t>
      </w:r>
    </w:p>
    <w:p w14:paraId="414838AE" w14:textId="77777777" w:rsidR="00752B8A" w:rsidRPr="0060365B" w:rsidRDefault="00752B8A" w:rsidP="00752B8A">
      <w:pPr>
        <w:spacing w:after="0" w:line="240" w:lineRule="auto"/>
        <w:rPr>
          <w:rFonts w:ascii="Times New Roman" w:eastAsia="Times New Roman" w:hAnsi="Times New Roman" w:cs="Times New Roman"/>
          <w:lang w:eastAsia="en-GB"/>
        </w:rPr>
      </w:pPr>
    </w:p>
    <w:p w14:paraId="0AB34EDF"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This result was expected, due to the density of Supported Living settings within each type of area in Carmarthenshire. Most settings reside within towns, followed by villages, followed by rural areas. </w:t>
      </w:r>
    </w:p>
    <w:p w14:paraId="1BE56475" w14:textId="77777777" w:rsidR="00752B8A" w:rsidRPr="0060365B" w:rsidRDefault="00752B8A" w:rsidP="00752B8A">
      <w:pPr>
        <w:spacing w:after="0" w:line="240" w:lineRule="auto"/>
        <w:rPr>
          <w:rFonts w:eastAsia="Times New Roman"/>
          <w:lang w:eastAsia="en-GB"/>
        </w:rPr>
      </w:pPr>
    </w:p>
    <w:p w14:paraId="4A4B8CC2"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Figure 1.1 shows the responses to a question that asked respondents to score out of 10 the extent to which they agreed with the following statement: The area in which my family member lives provides sufficient options/opportunities for them to exercise control over their lives. </w:t>
      </w:r>
    </w:p>
    <w:p w14:paraId="4F63C76A" w14:textId="77777777" w:rsidR="00752B8A" w:rsidRPr="0060365B" w:rsidRDefault="00752B8A" w:rsidP="00752B8A">
      <w:pPr>
        <w:spacing w:after="0" w:line="240" w:lineRule="auto"/>
        <w:rPr>
          <w:rFonts w:eastAsia="Times New Roman"/>
          <w:lang w:eastAsia="en-GB"/>
        </w:rPr>
      </w:pPr>
    </w:p>
    <w:p w14:paraId="41E61EA6" w14:textId="77777777" w:rsidR="00752B8A" w:rsidRPr="0060365B" w:rsidRDefault="00752B8A" w:rsidP="00752B8A">
      <w:pPr>
        <w:spacing w:after="0" w:line="240" w:lineRule="auto"/>
        <w:jc w:val="center"/>
        <w:rPr>
          <w:rFonts w:eastAsia="Times New Roman"/>
          <w:lang w:eastAsia="en-GB"/>
        </w:rPr>
      </w:pPr>
      <w:r w:rsidRPr="0060365B">
        <w:rPr>
          <w:noProof/>
        </w:rPr>
        <w:drawing>
          <wp:inline distT="0" distB="0" distL="0" distR="0" wp14:anchorId="10C9793A" wp14:editId="1C3C64A3">
            <wp:extent cx="4572000" cy="2881313"/>
            <wp:effectExtent l="0" t="0" r="0" b="14605"/>
            <wp:docPr id="711070462" name="Chart 1">
              <a:extLst xmlns:a="http://schemas.openxmlformats.org/drawingml/2006/main">
                <a:ext uri="{FF2B5EF4-FFF2-40B4-BE49-F238E27FC236}">
                  <a16:creationId xmlns:a16="http://schemas.microsoft.com/office/drawing/2014/main" id="{2569D34A-D811-39AE-D302-B67F792520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32AAC9"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1.1</w:t>
      </w:r>
    </w:p>
    <w:p w14:paraId="16CEAAC0" w14:textId="77777777" w:rsidR="00752B8A" w:rsidRPr="0060365B" w:rsidRDefault="00752B8A" w:rsidP="00752B8A">
      <w:pPr>
        <w:spacing w:after="0" w:line="240" w:lineRule="auto"/>
        <w:rPr>
          <w:rFonts w:eastAsia="Times New Roman"/>
          <w:lang w:eastAsia="en-GB"/>
        </w:rPr>
      </w:pPr>
      <w:proofErr w:type="spellStart"/>
      <w:r w:rsidRPr="0060365B">
        <w:rPr>
          <w:rFonts w:eastAsia="Times New Roman"/>
          <w:lang w:eastAsia="en-GB"/>
        </w:rPr>
        <w:t>Avg</w:t>
      </w:r>
      <w:proofErr w:type="spellEnd"/>
      <w:r w:rsidRPr="0060365B">
        <w:rPr>
          <w:rFonts w:eastAsia="Times New Roman"/>
          <w:lang w:eastAsia="en-GB"/>
        </w:rPr>
        <w:t xml:space="preserve"> Score: 7.875</w:t>
      </w:r>
    </w:p>
    <w:p w14:paraId="11795767"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St Dev: 1.298</w:t>
      </w:r>
    </w:p>
    <w:p w14:paraId="771AC11D" w14:textId="77777777" w:rsidR="00752B8A" w:rsidRPr="0060365B" w:rsidRDefault="00752B8A" w:rsidP="00752B8A">
      <w:pPr>
        <w:spacing w:after="0" w:line="240" w:lineRule="auto"/>
        <w:rPr>
          <w:rFonts w:eastAsia="Times New Roman"/>
          <w:lang w:eastAsia="en-GB"/>
        </w:rPr>
      </w:pPr>
    </w:p>
    <w:p w14:paraId="586F664D"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The table shows a positive representation of how family members feel about the area of residency. No respondents scored below a 6/10, with 3 individuals scoring the maximum of 10/10. This element of consistency is surprising due to the disparity in options/opportunities available for well-being in different parts of the county, with rural areas generally having less available locally in terms of clubs/activities, and a higher likelihood of needing to travel further to access these opportunities, which provides its own set of challenges.</w:t>
      </w:r>
    </w:p>
    <w:p w14:paraId="44B4800C" w14:textId="77777777" w:rsidR="00752B8A" w:rsidRPr="0060365B" w:rsidRDefault="00752B8A" w:rsidP="00752B8A">
      <w:pPr>
        <w:spacing w:after="0" w:line="240" w:lineRule="auto"/>
        <w:rPr>
          <w:rFonts w:eastAsia="Times New Roman"/>
          <w:lang w:eastAsia="en-GB"/>
        </w:rPr>
      </w:pPr>
    </w:p>
    <w:p w14:paraId="5BA131A9" w14:textId="77777777" w:rsidR="00752B8A" w:rsidRPr="0060365B" w:rsidRDefault="00752B8A" w:rsidP="00752B8A">
      <w:pPr>
        <w:spacing w:after="0" w:line="240" w:lineRule="auto"/>
        <w:rPr>
          <w:rFonts w:eastAsia="Times New Roman"/>
          <w:b/>
          <w:bCs/>
          <w:lang w:eastAsia="en-GB"/>
        </w:rPr>
      </w:pPr>
      <w:r w:rsidRPr="0060365B">
        <w:rPr>
          <w:rFonts w:eastAsia="Times New Roman"/>
          <w:b/>
          <w:bCs/>
          <w:lang w:eastAsia="en-GB"/>
        </w:rPr>
        <w:t>Focus Group Discussion</w:t>
      </w:r>
    </w:p>
    <w:p w14:paraId="51FB1069"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lastRenderedPageBreak/>
        <w:t>The focus group agreed that these results were surprising, due to the number of cases that participants had dealt with where the location of the supported living setting was a key issue that family members and residents had brought up for discussion. It was discussed that, due to the design of the project, there may be risk for self-selection bias. This can lead to an overrepresentation of individuals with positive experiences because they are more likely to be motivated to respond, while those with neutral or negative experiences may opt not to participate. This may have been especially true for this project, as one participant added that family members who favour the location of the setting may be more likely to visit, and therefore more likely to fill in the questionnaire. His risk of bias is further compounded by the low number of responses, which overall led to a low amount of confidence from the group that the results were an accurate reflection of the entire target population.</w:t>
      </w:r>
    </w:p>
    <w:p w14:paraId="27B17B31" w14:textId="77777777" w:rsidR="00752B8A" w:rsidRPr="0060365B" w:rsidRDefault="00752B8A" w:rsidP="00752B8A">
      <w:pPr>
        <w:spacing w:after="0" w:line="240" w:lineRule="auto"/>
        <w:rPr>
          <w:rFonts w:eastAsia="Times New Roman"/>
          <w:lang w:eastAsia="en-GB"/>
        </w:rPr>
      </w:pPr>
    </w:p>
    <w:p w14:paraId="5ECFC19E" w14:textId="77777777" w:rsidR="00752B8A" w:rsidRPr="0060365B" w:rsidRDefault="00752B8A" w:rsidP="00752B8A">
      <w:pPr>
        <w:spacing w:after="0" w:line="240" w:lineRule="auto"/>
        <w:rPr>
          <w:rFonts w:eastAsia="Times New Roman"/>
          <w:lang w:eastAsia="en-GB"/>
        </w:rPr>
      </w:pPr>
    </w:p>
    <w:p w14:paraId="6343BACA" w14:textId="77777777" w:rsidR="00752B8A" w:rsidRPr="0060365B" w:rsidRDefault="00752B8A" w:rsidP="00752B8A">
      <w:pPr>
        <w:spacing w:after="0" w:line="240" w:lineRule="auto"/>
        <w:jc w:val="center"/>
        <w:rPr>
          <w:rFonts w:eastAsia="Times New Roman"/>
          <w:lang w:eastAsia="en-GB"/>
        </w:rPr>
      </w:pPr>
    </w:p>
    <w:p w14:paraId="3861C2E8" w14:textId="77777777" w:rsidR="00752B8A" w:rsidRPr="0060365B" w:rsidRDefault="00752B8A" w:rsidP="00752B8A">
      <w:pPr>
        <w:spacing w:after="0" w:line="240" w:lineRule="auto"/>
        <w:jc w:val="center"/>
        <w:rPr>
          <w:rFonts w:eastAsia="Times New Roman"/>
          <w:lang w:eastAsia="en-GB"/>
        </w:rPr>
      </w:pPr>
      <w:r w:rsidRPr="0060365B">
        <w:rPr>
          <w:noProof/>
        </w:rPr>
        <w:drawing>
          <wp:inline distT="0" distB="0" distL="0" distR="0" wp14:anchorId="53ED8E64" wp14:editId="5B7C6F9D">
            <wp:extent cx="4572000" cy="2743200"/>
            <wp:effectExtent l="0" t="0" r="0" b="0"/>
            <wp:docPr id="92822791" name="Chart 1">
              <a:extLst xmlns:a="http://schemas.openxmlformats.org/drawingml/2006/main">
                <a:ext uri="{FF2B5EF4-FFF2-40B4-BE49-F238E27FC236}">
                  <a16:creationId xmlns:a16="http://schemas.microsoft.com/office/drawing/2014/main" id="{C6374183-6C1C-817B-D430-7D5DEE0AD9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7F0ADC"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1.2</w:t>
      </w:r>
    </w:p>
    <w:p w14:paraId="39D065D3" w14:textId="77777777" w:rsidR="00752B8A" w:rsidRPr="0060365B" w:rsidRDefault="00752B8A" w:rsidP="00752B8A">
      <w:pPr>
        <w:spacing w:after="0" w:line="240" w:lineRule="auto"/>
        <w:jc w:val="center"/>
        <w:rPr>
          <w:rFonts w:eastAsia="Times New Roman"/>
          <w:sz w:val="16"/>
          <w:szCs w:val="16"/>
          <w:lang w:eastAsia="en-GB"/>
        </w:rPr>
      </w:pPr>
    </w:p>
    <w:p w14:paraId="0ADF2992" w14:textId="77777777" w:rsidR="00752B8A" w:rsidRPr="0060365B" w:rsidRDefault="00752B8A" w:rsidP="00752B8A">
      <w:pPr>
        <w:spacing w:after="0" w:line="240" w:lineRule="auto"/>
        <w:jc w:val="center"/>
        <w:rPr>
          <w:rFonts w:eastAsia="Times New Roman"/>
          <w:sz w:val="16"/>
          <w:szCs w:val="16"/>
          <w:lang w:eastAsia="en-GB"/>
        </w:rPr>
      </w:pPr>
      <w:r w:rsidRPr="0060365B">
        <w:rPr>
          <w:noProof/>
        </w:rPr>
        <w:drawing>
          <wp:inline distT="0" distB="0" distL="0" distR="0" wp14:anchorId="4FD2B958" wp14:editId="621D409B">
            <wp:extent cx="4572000" cy="2743200"/>
            <wp:effectExtent l="0" t="0" r="0" b="0"/>
            <wp:docPr id="344368168" name="Chart 1">
              <a:extLst xmlns:a="http://schemas.openxmlformats.org/drawingml/2006/main">
                <a:ext uri="{FF2B5EF4-FFF2-40B4-BE49-F238E27FC236}">
                  <a16:creationId xmlns:a16="http://schemas.microsoft.com/office/drawing/2014/main" id="{963452C3-0545-E785-6985-F6246FF9B2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4A7851"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1.3</w:t>
      </w:r>
    </w:p>
    <w:p w14:paraId="79F690B1"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Figure 1.2 shows the same data as figure 1.1, but the ratings are broken down into area types, and figure 1.3 shows the average score and standard deviation for each area type. As shown, there are slight differences in average and standard deviation for each area type.</w:t>
      </w:r>
    </w:p>
    <w:p w14:paraId="0319CB45" w14:textId="77777777" w:rsidR="00752B8A" w:rsidRPr="0060365B" w:rsidRDefault="00752B8A" w:rsidP="00752B8A">
      <w:pPr>
        <w:spacing w:after="0" w:line="240" w:lineRule="auto"/>
        <w:rPr>
          <w:rFonts w:eastAsia="Times New Roman"/>
          <w:lang w:eastAsia="en-GB"/>
        </w:rPr>
      </w:pPr>
    </w:p>
    <w:p w14:paraId="0F97B803"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It is not surprising that residents of towns scored slightly higher on average than those in villages, who scored slightly higher than those in rural areas. This is due to the volume of opportunities generally available within each of these areas as stated previously. More surprising is the variance in standard deviation between each of the area types. This would suggest that individuals with family members in rural areas are more consistently feel that they are more limited in their abilities to access opportunities due to the area in which they live than both village and towns. On the other hand, the relatively high standard deviation of those with family members living in villages suggests that opinions vary to a greater extent based on the individual. It is unclear exactly why this is, but contributing factors may include a variance in opportunities available from village to village, or purely individual differences in perception of what is available. Of course, this is caveated again by the low number of respondents, which creates difficulty in ascertaining an accurate reflection of the entire target population, particularly for those in rural areas as there were only 2 respondents.</w:t>
      </w:r>
    </w:p>
    <w:p w14:paraId="4A7B096F" w14:textId="77777777" w:rsidR="00752B8A" w:rsidRPr="0060365B" w:rsidRDefault="00752B8A" w:rsidP="00752B8A">
      <w:pPr>
        <w:spacing w:after="0" w:line="240" w:lineRule="auto"/>
        <w:rPr>
          <w:rFonts w:eastAsia="Times New Roman"/>
          <w:lang w:eastAsia="en-GB"/>
        </w:rPr>
      </w:pPr>
    </w:p>
    <w:p w14:paraId="6D25B699" w14:textId="77777777" w:rsidR="00752B8A" w:rsidRPr="0060365B" w:rsidRDefault="00752B8A" w:rsidP="00752B8A">
      <w:pPr>
        <w:spacing w:after="0" w:line="240" w:lineRule="auto"/>
        <w:rPr>
          <w:rFonts w:eastAsia="Times New Roman"/>
          <w:b/>
          <w:bCs/>
          <w:lang w:eastAsia="en-GB"/>
        </w:rPr>
      </w:pPr>
      <w:r w:rsidRPr="0060365B">
        <w:rPr>
          <w:rFonts w:eastAsia="Times New Roman"/>
          <w:b/>
          <w:bCs/>
          <w:lang w:eastAsia="en-GB"/>
        </w:rPr>
        <w:t>Focus Group Discussion</w:t>
      </w:r>
    </w:p>
    <w:p w14:paraId="5ADAEC2A"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The group agreed that it is not surprising that people in rural areas and villages scored lower for this question on average. Comments were made again regarding issues with travel in rural areas and villages, causing barriers for individuals to access the same opportunities that are more easily accessible in towns. </w:t>
      </w:r>
    </w:p>
    <w:p w14:paraId="1BA2E658" w14:textId="77777777" w:rsidR="00752B8A" w:rsidRPr="0060365B" w:rsidRDefault="00752B8A" w:rsidP="00752B8A">
      <w:pPr>
        <w:spacing w:after="0" w:line="240" w:lineRule="auto"/>
        <w:rPr>
          <w:rFonts w:eastAsia="Times New Roman"/>
          <w:lang w:eastAsia="en-GB"/>
        </w:rPr>
      </w:pPr>
    </w:p>
    <w:p w14:paraId="536B84B3"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The group then discussed the differences in standard deviation. Of particular interest was the higher standard deviation in villages. The group spoke regarding the variance in their experiences with individuals living in villages. They referenced many individuals, particularly older people who may be incredibly attached to an area due to having lived there for most of their lives. However, they also spoke regarding individuals who move to settings in villages purely due to what was available at the time. It was suggested that this may be a contributing factor in the higher standard deviation, as it was agreed that living in the area in which an individual has been brought up or calls ‘home’ is a significant factor in determining whether these individuals are happy with the location of their setting. It was suggested that future research should explore this idea further. </w:t>
      </w:r>
    </w:p>
    <w:p w14:paraId="5ECEB2D9" w14:textId="77777777" w:rsidR="00752B8A" w:rsidRPr="0060365B" w:rsidRDefault="00752B8A" w:rsidP="00752B8A">
      <w:pPr>
        <w:spacing w:after="0" w:line="240" w:lineRule="auto"/>
        <w:rPr>
          <w:rFonts w:eastAsia="Times New Roman"/>
          <w:lang w:eastAsia="en-GB"/>
        </w:rPr>
      </w:pPr>
    </w:p>
    <w:p w14:paraId="3AB01748" w14:textId="77777777" w:rsidR="00752B8A" w:rsidRPr="0060365B" w:rsidRDefault="00752B8A" w:rsidP="00752B8A">
      <w:pPr>
        <w:spacing w:after="0" w:line="240" w:lineRule="auto"/>
        <w:rPr>
          <w:rFonts w:eastAsia="Times New Roman"/>
          <w:lang w:eastAsia="en-GB"/>
        </w:rPr>
      </w:pPr>
    </w:p>
    <w:p w14:paraId="107A06F1" w14:textId="77777777" w:rsidR="00752B8A" w:rsidRPr="0060365B" w:rsidRDefault="00752B8A" w:rsidP="00752B8A">
      <w:pPr>
        <w:spacing w:after="0" w:line="240" w:lineRule="auto"/>
        <w:jc w:val="center"/>
        <w:rPr>
          <w:rFonts w:eastAsia="Times New Roman"/>
          <w:lang w:eastAsia="en-GB"/>
        </w:rPr>
      </w:pPr>
      <w:r w:rsidRPr="0060365B">
        <w:rPr>
          <w:noProof/>
        </w:rPr>
        <w:drawing>
          <wp:inline distT="0" distB="0" distL="0" distR="0" wp14:anchorId="174459C5" wp14:editId="34349DC7">
            <wp:extent cx="4572000" cy="2743200"/>
            <wp:effectExtent l="0" t="0" r="0" b="0"/>
            <wp:docPr id="1087534171" name="Chart 1">
              <a:extLst xmlns:a="http://schemas.openxmlformats.org/drawingml/2006/main">
                <a:ext uri="{FF2B5EF4-FFF2-40B4-BE49-F238E27FC236}">
                  <a16:creationId xmlns:a16="http://schemas.microsoft.com/office/drawing/2014/main" id="{826FC10C-6DE9-5F18-5077-3B68514E11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69009A"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1.4</w:t>
      </w:r>
    </w:p>
    <w:p w14:paraId="3B48DE80" w14:textId="77777777" w:rsidR="00752B8A" w:rsidRPr="0060365B" w:rsidRDefault="00752B8A" w:rsidP="00752B8A">
      <w:pPr>
        <w:spacing w:after="0" w:line="240" w:lineRule="auto"/>
        <w:jc w:val="center"/>
        <w:rPr>
          <w:rFonts w:eastAsia="Times New Roman"/>
          <w:sz w:val="16"/>
          <w:szCs w:val="16"/>
          <w:lang w:eastAsia="en-GB"/>
        </w:rPr>
      </w:pPr>
      <w:r w:rsidRPr="0060365B">
        <w:rPr>
          <w:noProof/>
        </w:rPr>
        <w:lastRenderedPageBreak/>
        <w:drawing>
          <wp:inline distT="0" distB="0" distL="0" distR="0" wp14:anchorId="6195B282" wp14:editId="46EE0F8D">
            <wp:extent cx="4572000" cy="2743200"/>
            <wp:effectExtent l="0" t="0" r="0" b="0"/>
            <wp:docPr id="732927544" name="Chart 1">
              <a:extLst xmlns:a="http://schemas.openxmlformats.org/drawingml/2006/main">
                <a:ext uri="{FF2B5EF4-FFF2-40B4-BE49-F238E27FC236}">
                  <a16:creationId xmlns:a16="http://schemas.microsoft.com/office/drawing/2014/main" id="{A010DBEE-8344-5967-263D-41B697CD67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8CA412"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1.5</w:t>
      </w:r>
    </w:p>
    <w:p w14:paraId="2F7F42FF" w14:textId="77777777" w:rsidR="00752B8A" w:rsidRPr="0060365B" w:rsidRDefault="00752B8A" w:rsidP="00752B8A">
      <w:pPr>
        <w:spacing w:after="0" w:line="240" w:lineRule="auto"/>
        <w:jc w:val="center"/>
        <w:rPr>
          <w:rFonts w:eastAsia="Times New Roman"/>
          <w:sz w:val="16"/>
          <w:szCs w:val="16"/>
          <w:lang w:eastAsia="en-GB"/>
        </w:rPr>
      </w:pPr>
      <w:r w:rsidRPr="0060365B">
        <w:rPr>
          <w:noProof/>
        </w:rPr>
        <w:drawing>
          <wp:inline distT="0" distB="0" distL="0" distR="0" wp14:anchorId="35D76466" wp14:editId="23335E2B">
            <wp:extent cx="4572000" cy="2743200"/>
            <wp:effectExtent l="0" t="0" r="0" b="0"/>
            <wp:docPr id="1890827841" name="Chart 1">
              <a:extLst xmlns:a="http://schemas.openxmlformats.org/drawingml/2006/main">
                <a:ext uri="{FF2B5EF4-FFF2-40B4-BE49-F238E27FC236}">
                  <a16:creationId xmlns:a16="http://schemas.microsoft.com/office/drawing/2014/main" id="{766D3910-A30F-7C41-9387-9B4509C9BE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39FF3D"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1.6</w:t>
      </w:r>
    </w:p>
    <w:p w14:paraId="0C018F65" w14:textId="77777777" w:rsidR="00752B8A" w:rsidRPr="0060365B" w:rsidRDefault="00752B8A" w:rsidP="00752B8A">
      <w:pPr>
        <w:spacing w:after="0" w:line="240" w:lineRule="auto"/>
        <w:jc w:val="center"/>
        <w:rPr>
          <w:rFonts w:eastAsia="Times New Roman"/>
          <w:sz w:val="16"/>
          <w:szCs w:val="16"/>
          <w:lang w:eastAsia="en-GB"/>
        </w:rPr>
      </w:pPr>
      <w:r w:rsidRPr="0060365B">
        <w:rPr>
          <w:noProof/>
        </w:rPr>
        <w:drawing>
          <wp:inline distT="0" distB="0" distL="0" distR="0" wp14:anchorId="04B06B8B" wp14:editId="7F1A77C1">
            <wp:extent cx="4572000" cy="2409825"/>
            <wp:effectExtent l="0" t="0" r="0" b="9525"/>
            <wp:docPr id="1681478064" name="Chart 1">
              <a:extLst xmlns:a="http://schemas.openxmlformats.org/drawingml/2006/main">
                <a:ext uri="{FF2B5EF4-FFF2-40B4-BE49-F238E27FC236}">
                  <a16:creationId xmlns:a16="http://schemas.microsoft.com/office/drawing/2014/main" id="{EAE2BC60-FD8E-ED8F-E887-53380B76DA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2E6CD11"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1.7</w:t>
      </w:r>
    </w:p>
    <w:p w14:paraId="5B55C191"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Figure 1.4 outlines the areas in which respondents stated they felt that their family member could be allowed to exercise more control over. This question was left open for multiple points to be included as part of a response, and responses were analysed and grouped into these categories. Most </w:t>
      </w:r>
      <w:r w:rsidRPr="0060365B">
        <w:rPr>
          <w:rFonts w:eastAsia="Times New Roman"/>
          <w:lang w:eastAsia="en-GB"/>
        </w:rPr>
        <w:lastRenderedPageBreak/>
        <w:t xml:space="preserve">surprising to these responses are the low number of categories needed to display the results, this would suggest that these key issues are extremely common throughout the county in supported living settings. </w:t>
      </w:r>
    </w:p>
    <w:p w14:paraId="03EFC0F4" w14:textId="77777777" w:rsidR="00752B8A" w:rsidRPr="0060365B" w:rsidRDefault="00752B8A" w:rsidP="00752B8A">
      <w:pPr>
        <w:spacing w:after="0" w:line="240" w:lineRule="auto"/>
        <w:rPr>
          <w:rFonts w:eastAsia="Times New Roman"/>
          <w:lang w:eastAsia="en-GB"/>
        </w:rPr>
      </w:pPr>
    </w:p>
    <w:p w14:paraId="1FCA0BFC"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Involvement in care planning was mentioned repeatedly throughout the responses to this question. This, however, is not necessarily something that is specific to the Supported Living model. Care planning is something that must occur for everyone within the Social Care system. There may be reason for this issue to be of particular importance within Supported Living, but without similar data from other areas of Social Care it is impossible to explore further. This, therefore, may indicate a need for people’s involvement in their care planning to be studied further by the authority. This, though, is outside of the scope of this project. </w:t>
      </w:r>
    </w:p>
    <w:p w14:paraId="253A96FE" w14:textId="77777777" w:rsidR="00752B8A" w:rsidRPr="0060365B" w:rsidRDefault="00752B8A" w:rsidP="00752B8A">
      <w:pPr>
        <w:spacing w:after="0" w:line="240" w:lineRule="auto"/>
        <w:rPr>
          <w:rFonts w:eastAsia="Times New Roman"/>
          <w:lang w:eastAsia="en-GB"/>
        </w:rPr>
      </w:pPr>
    </w:p>
    <w:p w14:paraId="53BF5CF3"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Figures 1.5, 1.6 and 1.7 depict how many individuals from each area type responded to the question. There are some variances between answers from individuals in different areas, which, again, highlights the different experiences depending on location within the county.</w:t>
      </w:r>
    </w:p>
    <w:p w14:paraId="6F5DA579" w14:textId="77777777" w:rsidR="00752B8A" w:rsidRPr="0060365B" w:rsidRDefault="00752B8A" w:rsidP="00752B8A">
      <w:pPr>
        <w:spacing w:after="0" w:line="240" w:lineRule="auto"/>
        <w:rPr>
          <w:rFonts w:eastAsia="Times New Roman"/>
          <w:lang w:eastAsia="en-GB"/>
        </w:rPr>
      </w:pPr>
    </w:p>
    <w:p w14:paraId="76A212EE"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Firstly, Location was only mentioned in responses from those with their family members staying in rural areas or villages. This is consistent with the data in Figures 1.2 and 1.3, which indicated that those in villages or rural areas felt that the areas in which their family members resided did not offer as many opportunities to exercise control as there are in towns. </w:t>
      </w:r>
    </w:p>
    <w:p w14:paraId="42BD3DF4" w14:textId="77777777" w:rsidR="00752B8A" w:rsidRPr="0060365B" w:rsidRDefault="00752B8A" w:rsidP="00752B8A">
      <w:pPr>
        <w:spacing w:after="0" w:line="240" w:lineRule="auto"/>
        <w:rPr>
          <w:rFonts w:eastAsia="Times New Roman"/>
          <w:lang w:eastAsia="en-GB"/>
        </w:rPr>
      </w:pPr>
    </w:p>
    <w:p w14:paraId="70FE9F77"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The responses to this question may also mean, however, that the issue is less the number of opportunities available in the area, but whether the individuals were allowed to choose the area in which they resided. This is also a likely possibility, as despite the respondents in rural areas and villages scoring lower than those in towns (Figures 1.2/1.3), there were no responses of under 6/10, making other possibilities for mentioning location as a barrier for control more likely. This represents a weakness in the study methodology, as alternative methodologies such as interviews or a focus group with the family members themselves would have allowed for follow up questions to be asked to ascertain exactly why a particular answer was given. </w:t>
      </w:r>
    </w:p>
    <w:p w14:paraId="733892A9" w14:textId="77777777" w:rsidR="00752B8A" w:rsidRPr="0060365B" w:rsidRDefault="00752B8A" w:rsidP="00752B8A">
      <w:pPr>
        <w:spacing w:after="0" w:line="240" w:lineRule="auto"/>
        <w:rPr>
          <w:rFonts w:eastAsia="Times New Roman"/>
          <w:lang w:eastAsia="en-GB"/>
        </w:rPr>
      </w:pPr>
    </w:p>
    <w:p w14:paraId="5C5F561A"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Secondly, a far greater percentage of individuals with family members in villages mentioned involvement in care planning than in towns or rural areas. It is hard to draw definite conclusions from this due to the low number of participants, however it is possible that this is due to different social work teams within the authority operating differently. </w:t>
      </w:r>
      <w:proofErr w:type="gramStart"/>
      <w:r w:rsidRPr="0060365B">
        <w:rPr>
          <w:rFonts w:eastAsia="Times New Roman"/>
          <w:lang w:eastAsia="en-GB"/>
        </w:rPr>
        <w:t>The majority of</w:t>
      </w:r>
      <w:proofErr w:type="gramEnd"/>
      <w:r w:rsidRPr="0060365B">
        <w:rPr>
          <w:rFonts w:eastAsia="Times New Roman"/>
          <w:lang w:eastAsia="en-GB"/>
        </w:rPr>
        <w:t xml:space="preserve"> social work teams operate geographically, meaning that there are different teams responsible for different towns, and different rural areas etc. This variance, therefore, may be from differences in regular working practices of the different teams. This is only a possibility, however, and further study would be needed to confirm this finding.</w:t>
      </w:r>
    </w:p>
    <w:p w14:paraId="50771543" w14:textId="77777777" w:rsidR="00752B8A" w:rsidRPr="0060365B" w:rsidRDefault="00752B8A" w:rsidP="00752B8A">
      <w:pPr>
        <w:spacing w:after="0" w:line="240" w:lineRule="auto"/>
        <w:rPr>
          <w:rFonts w:eastAsia="Times New Roman"/>
          <w:lang w:eastAsia="en-GB"/>
        </w:rPr>
      </w:pPr>
    </w:p>
    <w:p w14:paraId="037781D0"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Lastly, a surprising result is that of boundaries / relationships with staff being frequently mentioned by respondents and its consistent percentage across all three area types. This is surprising due to the nature of how Supported Living settings are commissioned within the county. Different care providers have their own working practices and cultures, which therefore opens the possibility for residents to have very different experiences depending on which care provider is supporting them. This, however, also highlights a significant weakness in the way in which the project was designed. This is, when distributing the questionnaire, that there is no way to ascertain exactly how thoroughly it had been distributed by the different provider. This creates the possibility that the questionnaire was distributed wider by some providers when compared with others. If this is what has occurred, then it may present as a possibility for why this was mentioned so frequently and in all area types.</w:t>
      </w:r>
    </w:p>
    <w:p w14:paraId="1ABBAD34" w14:textId="77777777" w:rsidR="00752B8A" w:rsidRPr="0060365B" w:rsidRDefault="00752B8A" w:rsidP="00752B8A">
      <w:pPr>
        <w:spacing w:after="0" w:line="240" w:lineRule="auto"/>
        <w:rPr>
          <w:rFonts w:eastAsia="Times New Roman"/>
          <w:lang w:eastAsia="en-GB"/>
        </w:rPr>
      </w:pPr>
    </w:p>
    <w:p w14:paraId="2CF076EA" w14:textId="77777777" w:rsidR="00752B8A" w:rsidRPr="0060365B" w:rsidRDefault="00752B8A" w:rsidP="00752B8A">
      <w:pPr>
        <w:spacing w:after="0" w:line="240" w:lineRule="auto"/>
        <w:rPr>
          <w:rFonts w:eastAsia="Times New Roman"/>
          <w:b/>
          <w:bCs/>
          <w:lang w:eastAsia="en-GB"/>
        </w:rPr>
      </w:pPr>
      <w:r w:rsidRPr="0060365B">
        <w:rPr>
          <w:rFonts w:eastAsia="Times New Roman"/>
          <w:b/>
          <w:bCs/>
          <w:lang w:eastAsia="en-GB"/>
        </w:rPr>
        <w:t>Focus Group Discussion</w:t>
      </w:r>
    </w:p>
    <w:p w14:paraId="200EAC60"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lastRenderedPageBreak/>
        <w:t xml:space="preserve">The group agreed that the issues raised by the respondents were consistent with conversations they had had with service users and their families. The group discussed the categories that were used whilst analysing the data and suggested that they may be </w:t>
      </w:r>
      <w:proofErr w:type="spellStart"/>
      <w:proofErr w:type="gramStart"/>
      <w:r w:rsidRPr="0060365B">
        <w:rPr>
          <w:rFonts w:eastAsia="Times New Roman"/>
          <w:lang w:eastAsia="en-GB"/>
        </w:rPr>
        <w:t>to</w:t>
      </w:r>
      <w:proofErr w:type="spellEnd"/>
      <w:proofErr w:type="gramEnd"/>
      <w:r w:rsidRPr="0060365B">
        <w:rPr>
          <w:rFonts w:eastAsia="Times New Roman"/>
          <w:lang w:eastAsia="en-GB"/>
        </w:rPr>
        <w:t xml:space="preserve"> broad to take any meaningful actions from. It was then suggested that despite these categories being mentioned frequently, due to the very individual nature of feeling in control, they may have been mentioned by different people for very different reasons. It was agreed that using techniques such as face to face interviews to ask follow-up questions and therefore provide context to answers would have been extremely helpful in ascertaining actionable information. It was also mentioned again that a higher number of participants would add to the validity of the findings. Also, it was explained by one participant that despite the data collected in this project potentially having limited opportunity to be put into practice, it does offer suggestions for further areas of research. Future research, therefore, should be aimed at looking at these categories in further detail to ascertain further context and should focus on providing actionable information.</w:t>
      </w:r>
    </w:p>
    <w:p w14:paraId="6DF7AFA5" w14:textId="77777777" w:rsidR="00752B8A" w:rsidRPr="0060365B" w:rsidRDefault="00752B8A" w:rsidP="00752B8A">
      <w:pPr>
        <w:spacing w:after="0" w:line="240" w:lineRule="auto"/>
        <w:rPr>
          <w:rFonts w:eastAsia="Times New Roman"/>
          <w:lang w:eastAsia="en-GB"/>
        </w:rPr>
      </w:pPr>
    </w:p>
    <w:p w14:paraId="521A45CD" w14:textId="77777777" w:rsidR="00752B8A" w:rsidRPr="0060365B" w:rsidRDefault="00752B8A" w:rsidP="00752B8A">
      <w:pPr>
        <w:spacing w:after="0" w:line="240" w:lineRule="auto"/>
        <w:rPr>
          <w:rFonts w:eastAsia="Times New Roman"/>
          <w:lang w:eastAsia="en-GB"/>
        </w:rPr>
      </w:pPr>
    </w:p>
    <w:p w14:paraId="54F4A2DC" w14:textId="77777777" w:rsidR="00752B8A" w:rsidRPr="0060365B" w:rsidRDefault="00752B8A" w:rsidP="00752B8A">
      <w:pPr>
        <w:spacing w:after="0" w:line="240" w:lineRule="auto"/>
        <w:rPr>
          <w:rFonts w:eastAsia="Times New Roman"/>
          <w:lang w:eastAsia="en-GB"/>
        </w:rPr>
      </w:pPr>
    </w:p>
    <w:p w14:paraId="4818C683"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79845B57"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65B10AF2"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53FDC6F2"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49C6145F"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4F084DE9"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0CA1D5D7" w14:textId="77777777" w:rsidR="00752B8A" w:rsidRPr="0060365B" w:rsidRDefault="00752B8A" w:rsidP="00752B8A">
      <w:pPr>
        <w:spacing w:after="0" w:line="240" w:lineRule="auto"/>
        <w:jc w:val="center"/>
        <w:rPr>
          <w:rFonts w:ascii="Times New Roman" w:eastAsia="Times New Roman" w:hAnsi="Times New Roman" w:cs="Times New Roman"/>
          <w:lang w:eastAsia="en-GB"/>
        </w:rPr>
      </w:pPr>
    </w:p>
    <w:p w14:paraId="379545B0" w14:textId="77777777" w:rsidR="00752B8A" w:rsidRPr="0060365B" w:rsidRDefault="00752B8A" w:rsidP="00752B8A">
      <w:pPr>
        <w:spacing w:after="0" w:line="240" w:lineRule="auto"/>
        <w:jc w:val="center"/>
        <w:rPr>
          <w:rFonts w:eastAsia="Times New Roman"/>
          <w:lang w:eastAsia="en-GB"/>
        </w:rPr>
      </w:pPr>
    </w:p>
    <w:p w14:paraId="749F4DB2" w14:textId="77777777" w:rsidR="00752B8A" w:rsidRPr="0060365B" w:rsidRDefault="00752B8A" w:rsidP="00752B8A">
      <w:pPr>
        <w:spacing w:after="0" w:line="240" w:lineRule="auto"/>
        <w:jc w:val="center"/>
        <w:rPr>
          <w:rFonts w:eastAsia="Times New Roman"/>
          <w:lang w:eastAsia="en-GB"/>
        </w:rPr>
      </w:pPr>
      <w:r w:rsidRPr="0060365B">
        <w:rPr>
          <w:noProof/>
        </w:rPr>
        <w:drawing>
          <wp:inline distT="0" distB="0" distL="0" distR="0" wp14:anchorId="35711329" wp14:editId="4DF8E309">
            <wp:extent cx="4572000" cy="2933700"/>
            <wp:effectExtent l="0" t="0" r="0" b="0"/>
            <wp:docPr id="330851410" name="Chart 1">
              <a:extLst xmlns:a="http://schemas.openxmlformats.org/drawingml/2006/main">
                <a:ext uri="{FF2B5EF4-FFF2-40B4-BE49-F238E27FC236}">
                  <a16:creationId xmlns:a16="http://schemas.microsoft.com/office/drawing/2014/main" id="{28A8722D-6EA7-9E71-F489-034159599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E74A0EC" w14:textId="77777777" w:rsidR="00752B8A" w:rsidRPr="0060365B" w:rsidRDefault="00752B8A" w:rsidP="00752B8A">
      <w:pPr>
        <w:jc w:val="center"/>
        <w:rPr>
          <w:rFonts w:eastAsia="Times New Roman"/>
          <w:sz w:val="16"/>
          <w:szCs w:val="16"/>
          <w:lang w:eastAsia="en-GB"/>
        </w:rPr>
      </w:pPr>
      <w:r w:rsidRPr="0060365B">
        <w:rPr>
          <w:rFonts w:eastAsia="Times New Roman"/>
          <w:sz w:val="16"/>
          <w:szCs w:val="16"/>
          <w:lang w:eastAsia="en-GB"/>
        </w:rPr>
        <w:t>Figure 1.8</w:t>
      </w:r>
    </w:p>
    <w:p w14:paraId="7B4E4FED" w14:textId="77777777" w:rsidR="00752B8A" w:rsidRPr="0060365B" w:rsidRDefault="00752B8A" w:rsidP="00752B8A">
      <w:pPr>
        <w:rPr>
          <w:rFonts w:eastAsia="Times New Roman"/>
          <w:lang w:eastAsia="en-GB"/>
        </w:rPr>
      </w:pPr>
      <w:r w:rsidRPr="0060365B">
        <w:rPr>
          <w:rFonts w:eastAsia="Times New Roman"/>
          <w:lang w:eastAsia="en-GB"/>
        </w:rPr>
        <w:t>Average Score: 7.875</w:t>
      </w:r>
    </w:p>
    <w:p w14:paraId="065D4145" w14:textId="77777777" w:rsidR="00752B8A" w:rsidRPr="0060365B" w:rsidRDefault="00752B8A" w:rsidP="00752B8A">
      <w:pPr>
        <w:rPr>
          <w:rFonts w:eastAsia="Times New Roman"/>
          <w:lang w:eastAsia="en-GB"/>
        </w:rPr>
      </w:pPr>
      <w:r w:rsidRPr="0060365B">
        <w:rPr>
          <w:rFonts w:eastAsia="Times New Roman"/>
          <w:lang w:eastAsia="en-GB"/>
        </w:rPr>
        <w:t>Standard Deviation: 1.408678459</w:t>
      </w:r>
    </w:p>
    <w:p w14:paraId="429DA572"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Figure 1.8 outlines the distribution of the scores given by respondents </w:t>
      </w:r>
      <w:proofErr w:type="gramStart"/>
      <w:r w:rsidRPr="0060365B">
        <w:rPr>
          <w:rFonts w:eastAsia="Times New Roman"/>
          <w:lang w:eastAsia="en-GB"/>
        </w:rPr>
        <w:t>for the amount of</w:t>
      </w:r>
      <w:proofErr w:type="gramEnd"/>
      <w:r w:rsidRPr="0060365B">
        <w:rPr>
          <w:rFonts w:eastAsia="Times New Roman"/>
          <w:lang w:eastAsia="en-GB"/>
        </w:rPr>
        <w:t xml:space="preserve"> control that they felt that their family member was allowed to exercise over their lives whilst living in their Supported Living setting. The most recurring answer given by respondents was a score of 8/10, and all respondents gave an answer of 6/10 or above. This can be seen as a positive outcome for the Supported Living Model, highlighting its ability to allow residents to remain in control of their lives despite needing some support to do so. The question then becomes which individual factors from </w:t>
      </w:r>
      <w:r w:rsidRPr="0060365B">
        <w:rPr>
          <w:rFonts w:eastAsia="Times New Roman"/>
          <w:lang w:eastAsia="en-GB"/>
        </w:rPr>
        <w:lastRenderedPageBreak/>
        <w:t>other questions most influence this feeling within residents, potentially highlighting some key areas to explore if this feeling is to be replicated and enhanced for future residents.</w:t>
      </w:r>
    </w:p>
    <w:p w14:paraId="34E0D4CA" w14:textId="77777777" w:rsidR="00752B8A" w:rsidRPr="0060365B" w:rsidRDefault="00752B8A" w:rsidP="00752B8A">
      <w:pPr>
        <w:spacing w:after="0" w:line="240" w:lineRule="auto"/>
        <w:rPr>
          <w:rFonts w:eastAsia="Times New Roman"/>
          <w:lang w:eastAsia="en-GB"/>
        </w:rPr>
      </w:pPr>
    </w:p>
    <w:p w14:paraId="30502313" w14:textId="77777777" w:rsidR="00752B8A" w:rsidRPr="0060365B" w:rsidRDefault="00752B8A" w:rsidP="00752B8A">
      <w:pPr>
        <w:spacing w:after="0" w:line="240" w:lineRule="auto"/>
        <w:rPr>
          <w:rFonts w:eastAsia="Times New Roman"/>
          <w:b/>
          <w:bCs/>
          <w:lang w:eastAsia="en-GB"/>
        </w:rPr>
      </w:pPr>
      <w:r w:rsidRPr="0060365B">
        <w:rPr>
          <w:rFonts w:eastAsia="Times New Roman"/>
          <w:b/>
          <w:bCs/>
          <w:lang w:eastAsia="en-GB"/>
        </w:rPr>
        <w:t>Focus Group Discussion</w:t>
      </w:r>
    </w:p>
    <w:p w14:paraId="0D5E53A4"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The group agreed that this result is positive one for the Supported Living model, and a sign that the model is working as intended. The point was also made, however, that most of the respondents left room for improvement, which will be key to explore if better outcomes are to be achieved in future for residents. </w:t>
      </w:r>
    </w:p>
    <w:p w14:paraId="76BB75D8" w14:textId="77777777" w:rsidR="00752B8A" w:rsidRPr="0060365B" w:rsidRDefault="00752B8A" w:rsidP="00752B8A">
      <w:pPr>
        <w:spacing w:after="0" w:line="240" w:lineRule="auto"/>
        <w:jc w:val="center"/>
        <w:rPr>
          <w:rFonts w:eastAsia="Times New Roman"/>
          <w:lang w:eastAsia="en-GB"/>
        </w:rPr>
      </w:pPr>
      <w:r w:rsidRPr="0060365B">
        <w:rPr>
          <w:noProof/>
        </w:rPr>
        <w:drawing>
          <wp:inline distT="0" distB="0" distL="0" distR="0" wp14:anchorId="602AB39F" wp14:editId="6139D56B">
            <wp:extent cx="4572000" cy="2743200"/>
            <wp:effectExtent l="0" t="0" r="0" b="0"/>
            <wp:docPr id="627739340" name="Chart 1">
              <a:extLst xmlns:a="http://schemas.openxmlformats.org/drawingml/2006/main">
                <a:ext uri="{FF2B5EF4-FFF2-40B4-BE49-F238E27FC236}">
                  <a16:creationId xmlns:a16="http://schemas.microsoft.com/office/drawing/2014/main" id="{69233D4D-4AA2-4C05-E915-DB55290053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A4D350" w14:textId="77777777" w:rsidR="00752B8A" w:rsidRPr="0060365B" w:rsidRDefault="00752B8A" w:rsidP="00752B8A">
      <w:pPr>
        <w:spacing w:after="0" w:line="240" w:lineRule="auto"/>
        <w:jc w:val="center"/>
        <w:rPr>
          <w:rFonts w:eastAsia="Times New Roman"/>
          <w:sz w:val="16"/>
          <w:szCs w:val="16"/>
          <w:lang w:eastAsia="en-GB"/>
        </w:rPr>
      </w:pPr>
      <w:r w:rsidRPr="0060365B">
        <w:rPr>
          <w:rFonts w:eastAsia="Times New Roman"/>
          <w:sz w:val="16"/>
          <w:szCs w:val="16"/>
          <w:lang w:eastAsia="en-GB"/>
        </w:rPr>
        <w:t>Figure 1.81</w:t>
      </w:r>
    </w:p>
    <w:p w14:paraId="1E4B50A6"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Figure 1.81 depicts the average score for overall control for respondents that mentioned each category in the areas for improvement question. The aim of this analysis is to determine which area for improvement category has the most significant negative impact on overall control that one feels. A key finding that this chart depicts is the significantly lower score given by individuals who mentioned boundaries / relationship with staff to be an area for improvement. Members of staff, of course, do have a large influence within settings, as they are often solely responsible for providing the necessary care and support to residents. Therefore, it is not surprising that if difficulties arise between members of staff and residents, then the overall wellbeing and feelings of control would be greatly negatively impact. This is consistent with this study, which highlights the significance of our relationships and the people in which we spend most of our time with in how greatly we feel in control of our lives and our overall happiness.</w:t>
      </w:r>
    </w:p>
    <w:p w14:paraId="4A61A6B4" w14:textId="77777777" w:rsidR="00752B8A" w:rsidRPr="0060365B" w:rsidRDefault="00752B8A" w:rsidP="00752B8A">
      <w:pPr>
        <w:spacing w:after="0" w:line="240" w:lineRule="auto"/>
        <w:rPr>
          <w:rFonts w:eastAsia="Times New Roman"/>
          <w:lang w:eastAsia="en-GB"/>
        </w:rPr>
      </w:pPr>
    </w:p>
    <w:p w14:paraId="1F451C49"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On the other hand, respondents that mentioned furnishings of the home scored highest in terms of their family member’s overall control. This would indicate that despite allowing individuals to exercise more control over this aspect would positively impact overall feelings of control, focus on other aspects may lead to a more significant improvement.</w:t>
      </w:r>
    </w:p>
    <w:p w14:paraId="395AEEA4" w14:textId="77777777" w:rsidR="00752B8A" w:rsidRPr="0060365B" w:rsidRDefault="00752B8A" w:rsidP="00752B8A">
      <w:pPr>
        <w:spacing w:after="0" w:line="240" w:lineRule="auto"/>
        <w:rPr>
          <w:rFonts w:eastAsia="Times New Roman"/>
          <w:lang w:eastAsia="en-GB"/>
        </w:rPr>
      </w:pPr>
    </w:p>
    <w:p w14:paraId="7081E669" w14:textId="77777777" w:rsidR="00752B8A" w:rsidRPr="0060365B" w:rsidRDefault="00752B8A" w:rsidP="00752B8A">
      <w:pPr>
        <w:spacing w:after="0" w:line="240" w:lineRule="auto"/>
        <w:rPr>
          <w:rFonts w:eastAsia="Times New Roman"/>
          <w:b/>
          <w:bCs/>
          <w:lang w:eastAsia="en-GB"/>
        </w:rPr>
      </w:pPr>
      <w:r w:rsidRPr="0060365B">
        <w:rPr>
          <w:rFonts w:eastAsia="Times New Roman"/>
          <w:b/>
          <w:bCs/>
          <w:lang w:eastAsia="en-GB"/>
        </w:rPr>
        <w:t>Focus Group Discussion</w:t>
      </w:r>
    </w:p>
    <w:p w14:paraId="42714C5F"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 xml:space="preserve">The group discussed the results and concluded that they were not surprised with individuals mentioning boundaries/relationships with staff to have also scored the lowest for overall feelings of control. The participants individually shared instances in which relationships between staff and residents had broken down, which resulted in severe breakdowns in wellbeing, and which often resulted in residents being moved to alternative settings or accommodation type. The group then mentioned the importance of staff training and experience for building positive relationships with residents, based on trust and respect, which can then lead to increased feelings of control over time. One participant then expanded on the importance of trust between staff and residents in promoting a feeling of control, as trust is needed for staff to allow residents to undertake more activities and </w:t>
      </w:r>
      <w:r w:rsidRPr="0060365B">
        <w:rPr>
          <w:rFonts w:eastAsia="Times New Roman"/>
          <w:lang w:eastAsia="en-GB"/>
        </w:rPr>
        <w:lastRenderedPageBreak/>
        <w:t xml:space="preserve">tasks independently. When trust is not built, it was mentioned that it can lead to residents becoming overly reliant on staff to undertake tasks for them, which can lead to a decrease in confidence and overall wellbeing. </w:t>
      </w:r>
    </w:p>
    <w:p w14:paraId="0F8BA6AA" w14:textId="77777777" w:rsidR="00752B8A" w:rsidRPr="0060365B" w:rsidRDefault="00752B8A" w:rsidP="00752B8A">
      <w:pPr>
        <w:spacing w:after="0" w:line="240" w:lineRule="auto"/>
        <w:rPr>
          <w:rFonts w:eastAsia="Times New Roman"/>
          <w:lang w:eastAsia="en-GB"/>
        </w:rPr>
      </w:pPr>
      <w:r w:rsidRPr="0060365B">
        <w:rPr>
          <w:rFonts w:eastAsia="Times New Roman"/>
          <w:lang w:eastAsia="en-GB"/>
        </w:rPr>
        <w:t>The group also discussed the results for individuals who had mentioned furnishings of the home being an area for improvement. One participant stated that an improvement in this area may be very difficult to implement due to the shared nature of the setting. It was explained that that due to the way in which the settings are commissioned, residents should have lots of control over the furnishings within their individual rooms, however difficulties arise when deciding on furnishings in shared spaces. Having multiple people living in a setting, therefore, creates a necessity for compromise in these shared spaces, which can often lead to individuals not getting what they feel that they wanted. The group then added that this area being the highest scoring can be seen as a positive result, due to the difficulties that may arise when attempting to implement solutions.</w:t>
      </w:r>
    </w:p>
    <w:p w14:paraId="7B858C8A" w14:textId="77777777" w:rsidR="00752B8A" w:rsidRPr="0060365B" w:rsidRDefault="00752B8A" w:rsidP="00752B8A">
      <w:pPr>
        <w:spacing w:after="0" w:line="240" w:lineRule="auto"/>
        <w:rPr>
          <w:rFonts w:eastAsia="Times New Roman"/>
          <w:lang w:eastAsia="en-GB"/>
        </w:rPr>
      </w:pPr>
    </w:p>
    <w:p w14:paraId="4D6D8098" w14:textId="77777777" w:rsidR="00752B8A" w:rsidRPr="0060365B" w:rsidRDefault="00752B8A" w:rsidP="00752B8A">
      <w:pPr>
        <w:spacing w:after="0" w:line="240" w:lineRule="auto"/>
        <w:jc w:val="center"/>
        <w:rPr>
          <w:rFonts w:eastAsia="Times New Roman"/>
          <w:lang w:eastAsia="en-GB"/>
        </w:rPr>
      </w:pPr>
      <w:r w:rsidRPr="0060365B">
        <w:rPr>
          <w:noProof/>
        </w:rPr>
        <w:drawing>
          <wp:inline distT="0" distB="0" distL="0" distR="0" wp14:anchorId="02BD50FA" wp14:editId="33D837E6">
            <wp:extent cx="4572000" cy="2743200"/>
            <wp:effectExtent l="0" t="0" r="0" b="0"/>
            <wp:docPr id="384151653" name="Chart 1">
              <a:extLst xmlns:a="http://schemas.openxmlformats.org/drawingml/2006/main">
                <a:ext uri="{FF2B5EF4-FFF2-40B4-BE49-F238E27FC236}">
                  <a16:creationId xmlns:a16="http://schemas.microsoft.com/office/drawing/2014/main" id="{9B44F922-9154-2E53-02B2-DF96E005E6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CEB27CC" w14:textId="77777777" w:rsidR="00752B8A" w:rsidRPr="0060365B" w:rsidRDefault="00752B8A" w:rsidP="00752B8A">
      <w:pPr>
        <w:jc w:val="center"/>
        <w:rPr>
          <w:sz w:val="16"/>
          <w:szCs w:val="16"/>
        </w:rPr>
      </w:pPr>
      <w:r w:rsidRPr="0060365B">
        <w:rPr>
          <w:sz w:val="16"/>
          <w:szCs w:val="16"/>
        </w:rPr>
        <w:t>Figure 1.82</w:t>
      </w:r>
    </w:p>
    <w:p w14:paraId="6462C27B" w14:textId="77777777" w:rsidR="00752B8A" w:rsidRPr="0060365B" w:rsidRDefault="00752B8A" w:rsidP="00752B8A">
      <w:r w:rsidRPr="0060365B">
        <w:t>Figure 1.82 shows the relationship between respondent’s score for the opportunities within their family member’s location, and their score for the overall control that their family members are allowed to exercise. As shown, there is a strong positive correlation between the two figures, showing promise for an increase in activities/opportunities within the area of one’s accommodation in terms of its effect on one’s feeling of overall control.</w:t>
      </w:r>
    </w:p>
    <w:p w14:paraId="3BCBCED0" w14:textId="75A5ADE5" w:rsidR="00752B8A" w:rsidRPr="0060365B" w:rsidRDefault="00752B8A" w:rsidP="00752B8A">
      <w:r w:rsidRPr="0060365B">
        <w:t xml:space="preserve">This can therefore be seen as evidence that suggests that a higher number of opportunities in one’s living vicinity has a positive effect on the overall control that an individual can feel. This is in alignment with </w:t>
      </w:r>
      <w:r w:rsidR="007A2DE0" w:rsidRPr="0060365B">
        <w:rPr>
          <w:rFonts w:ascii="Calibri" w:hAnsi="Calibri" w:cs="Calibri"/>
          <w:shd w:val="clear" w:color="auto" w:fill="FFFFFF"/>
        </w:rPr>
        <w:t>(Adams et al, 2011)</w:t>
      </w:r>
      <w:r w:rsidR="007A2DE0" w:rsidRPr="0060365B">
        <w:rPr>
          <w:rFonts w:ascii="Calibri" w:hAnsi="Calibri" w:cs="Calibri"/>
          <w:shd w:val="clear" w:color="auto" w:fill="FFFFFF"/>
        </w:rPr>
        <w:t xml:space="preserve"> and</w:t>
      </w:r>
      <w:r w:rsidR="007A2DE0" w:rsidRPr="0060365B">
        <w:rPr>
          <w:rFonts w:ascii="Calibri" w:hAnsi="Calibri" w:cs="Calibri"/>
          <w:shd w:val="clear" w:color="auto" w:fill="FFFFFF"/>
        </w:rPr>
        <w:t xml:space="preserve"> </w:t>
      </w:r>
      <w:r w:rsidR="00680964" w:rsidRPr="0060365B">
        <w:t>(Clapham, 2017)</w:t>
      </w:r>
      <w:r w:rsidRPr="0060365B">
        <w:t xml:space="preserve">, which suggest that more opportunities locally can add to the time that individuals can spend accessing the community around them, which has been shown to build independence and feeling ‘at home’ in the area in which they live. </w:t>
      </w:r>
      <w:proofErr w:type="gramStart"/>
      <w:r w:rsidRPr="0060365B">
        <w:t>Both of these</w:t>
      </w:r>
      <w:proofErr w:type="gramEnd"/>
      <w:r w:rsidRPr="0060365B">
        <w:t xml:space="preserve"> factors are heavily associated </w:t>
      </w:r>
      <w:r w:rsidR="00680964" w:rsidRPr="0060365B">
        <w:t xml:space="preserve">(Clapham, 2017) </w:t>
      </w:r>
      <w:r w:rsidRPr="0060365B">
        <w:t xml:space="preserve">with an overall feeling of control. This becomes of particular importance when individuals have no choice but to move to an area where they are not familiar with. </w:t>
      </w:r>
    </w:p>
    <w:p w14:paraId="14C9CB25" w14:textId="20570F3B" w:rsidR="00752B8A" w:rsidRPr="0060365B" w:rsidRDefault="00752B8A" w:rsidP="00752B8A">
      <w:r w:rsidRPr="0060365B">
        <w:t>Also, more opportunities to access the local community creates opportunities to socialise and create new social connections</w:t>
      </w:r>
      <w:r w:rsidR="00835D9E">
        <w:t xml:space="preserve"> </w:t>
      </w:r>
      <w:r w:rsidR="00835D9E" w:rsidRPr="0060365B">
        <w:rPr>
          <w:rFonts w:ascii="Calibri" w:hAnsi="Calibri" w:cs="Calibri"/>
          <w:shd w:val="clear" w:color="auto" w:fill="FFFFFF"/>
        </w:rPr>
        <w:t>(</w:t>
      </w:r>
      <w:proofErr w:type="spellStart"/>
      <w:r w:rsidR="00835D9E" w:rsidRPr="0060365B">
        <w:rPr>
          <w:rFonts w:ascii="Calibri" w:hAnsi="Calibri" w:cs="Calibri"/>
          <w:shd w:val="clear" w:color="auto" w:fill="FFFFFF"/>
        </w:rPr>
        <w:t>Kaluzna-Wielobob</w:t>
      </w:r>
      <w:proofErr w:type="spellEnd"/>
      <w:r w:rsidR="00835D9E" w:rsidRPr="0060365B">
        <w:rPr>
          <w:rFonts w:ascii="Calibri" w:hAnsi="Calibri" w:cs="Calibri"/>
          <w:shd w:val="clear" w:color="auto" w:fill="FFFFFF"/>
        </w:rPr>
        <w:t>, 2017)</w:t>
      </w:r>
      <w:r w:rsidRPr="0060365B">
        <w:t>. This is also a factor that has been shown to add to the feelings of control that individuals feel over their lives</w:t>
      </w:r>
      <w:r w:rsidR="0060365B" w:rsidRPr="0060365B">
        <w:t xml:space="preserve"> (Adams et al, 2011)</w:t>
      </w:r>
      <w:r w:rsidR="00835D9E" w:rsidRPr="00835D9E">
        <w:rPr>
          <w:rFonts w:ascii="Calibri" w:hAnsi="Calibri" w:cs="Calibri"/>
          <w:shd w:val="clear" w:color="auto" w:fill="FFFFFF"/>
        </w:rPr>
        <w:t xml:space="preserve"> </w:t>
      </w:r>
      <w:r w:rsidR="00835D9E" w:rsidRPr="0060365B">
        <w:rPr>
          <w:rFonts w:ascii="Calibri" w:hAnsi="Calibri" w:cs="Calibri"/>
          <w:shd w:val="clear" w:color="auto" w:fill="FFFFFF"/>
        </w:rPr>
        <w:t>(</w:t>
      </w:r>
      <w:proofErr w:type="spellStart"/>
      <w:r w:rsidR="00835D9E" w:rsidRPr="0060365B">
        <w:rPr>
          <w:rFonts w:ascii="Calibri" w:hAnsi="Calibri" w:cs="Calibri"/>
          <w:shd w:val="clear" w:color="auto" w:fill="FFFFFF"/>
        </w:rPr>
        <w:t>Kaluzna-Wielobob</w:t>
      </w:r>
      <w:proofErr w:type="spellEnd"/>
      <w:r w:rsidR="00835D9E" w:rsidRPr="0060365B">
        <w:rPr>
          <w:rFonts w:ascii="Calibri" w:hAnsi="Calibri" w:cs="Calibri"/>
          <w:shd w:val="clear" w:color="auto" w:fill="FFFFFF"/>
        </w:rPr>
        <w:t>, 2017)</w:t>
      </w:r>
      <w:r w:rsidRPr="0060365B">
        <w:t>. It is therefore not surprising that these two figures are positively correlated in this questionnaire.</w:t>
      </w:r>
    </w:p>
    <w:p w14:paraId="1C830C28" w14:textId="04C8F0AB" w:rsidR="00752B8A" w:rsidRPr="0060365B" w:rsidRDefault="00752B8A" w:rsidP="00752B8A">
      <w:r w:rsidRPr="0060365B">
        <w:lastRenderedPageBreak/>
        <w:t>However, based on the way the respondents scored these two questions, there may be elements of acquiescence bias inflating the scoring. This is where some respondents may tend to agree with all statements or give positive ratings consistently, regardless of the content of the questions</w:t>
      </w:r>
      <w:r w:rsidR="00A42BF2" w:rsidRPr="0060365B">
        <w:t xml:space="preserve"> </w:t>
      </w:r>
      <w:r w:rsidR="00A42BF2" w:rsidRPr="0060365B">
        <w:t>(Smith, Fischer, 2015)</w:t>
      </w:r>
      <w:r w:rsidRPr="0060365B">
        <w:t xml:space="preserve">. This is made likely by the fact that </w:t>
      </w:r>
      <w:proofErr w:type="gramStart"/>
      <w:r w:rsidRPr="0060365B">
        <w:t>the majority of</w:t>
      </w:r>
      <w:proofErr w:type="gramEnd"/>
      <w:r w:rsidRPr="0060365B">
        <w:t xml:space="preserve"> the respondents scored the same score for both questions, suggesting the possibility that some respondents answered favourably for both questions regardless of the context.</w:t>
      </w:r>
    </w:p>
    <w:p w14:paraId="6A761978" w14:textId="77777777" w:rsidR="00752B8A" w:rsidRPr="0060365B" w:rsidRDefault="00752B8A" w:rsidP="00752B8A">
      <w:pPr>
        <w:rPr>
          <w:b/>
          <w:bCs/>
        </w:rPr>
      </w:pPr>
      <w:r w:rsidRPr="0060365B">
        <w:rPr>
          <w:b/>
          <w:bCs/>
        </w:rPr>
        <w:t>Focus Group Discussion</w:t>
      </w:r>
    </w:p>
    <w:p w14:paraId="4FBC009C" w14:textId="77777777" w:rsidR="00752B8A" w:rsidRPr="0060365B" w:rsidRDefault="00752B8A" w:rsidP="00752B8A">
      <w:r w:rsidRPr="0060365B">
        <w:t>The group spoke at length about the work that is currently being undertaken in Carmarthenshire to increase the number of opportunities/activities available to people, particularly those in rural areas. This presents as an opportunity for improving the lives of residents in Supported Living settings, without needing to alter the commissioning and contracting approaches currently being taken. It was also suggested that an increase in opportunities in rural areas may encourage additional settings to be opened in these areas, which may increase the options available to people in terms of location when beginning the process of moving into Supported Living accommodation.</w:t>
      </w:r>
    </w:p>
    <w:p w14:paraId="7A704FB6" w14:textId="77777777" w:rsidR="00752B8A" w:rsidRPr="0060365B" w:rsidRDefault="00752B8A" w:rsidP="00752B8A">
      <w:r w:rsidRPr="0060365B">
        <w:t xml:space="preserve">The group also pointed out that opportunities to access the community, and therefore to try and make new social connections may help to reduce the reliance on support staff for connection and support. This links to figure 1.81, which shows that individuals who mentioned relationships/boundaries with staff to be an area for improvement. The group then suggested that additional local opportunities to socialise and form social connections could help to ease the negative impact of having poor relationships with staff members. This is because, without many opportunities to access the community, residents would be spending </w:t>
      </w:r>
      <w:proofErr w:type="gramStart"/>
      <w:r w:rsidRPr="0060365B">
        <w:t>the vast majority of</w:t>
      </w:r>
      <w:proofErr w:type="gramEnd"/>
      <w:r w:rsidRPr="0060365B">
        <w:t xml:space="preserve"> their time with a small group of people, i.e. other residents and support staff. Therefore, an increase in overall number of social connections may help reduce the negative impact of poor relationships within the Supported Living setting.</w:t>
      </w:r>
    </w:p>
    <w:p w14:paraId="41AF00AA" w14:textId="77777777" w:rsidR="00752B8A" w:rsidRPr="0060365B" w:rsidRDefault="00752B8A" w:rsidP="00752B8A">
      <w:pPr>
        <w:rPr>
          <w:b/>
          <w:bCs/>
        </w:rPr>
      </w:pPr>
      <w:r w:rsidRPr="0060365B">
        <w:rPr>
          <w:b/>
          <w:bCs/>
        </w:rPr>
        <w:t>Overall Discussion and Practical Application</w:t>
      </w:r>
    </w:p>
    <w:p w14:paraId="71B943DC" w14:textId="77777777" w:rsidR="00752B8A" w:rsidRPr="0060365B" w:rsidRDefault="00752B8A" w:rsidP="00752B8A">
      <w:proofErr w:type="gramStart"/>
      <w:r w:rsidRPr="0060365B">
        <w:t>On the whole</w:t>
      </w:r>
      <w:proofErr w:type="gramEnd"/>
      <w:r w:rsidRPr="0060365B">
        <w:t>, the project has provided some indication for areas for improvement and given some suggestion for the overall effectiveness of the Supported Living model in promoting a feeling of control.</w:t>
      </w:r>
    </w:p>
    <w:p w14:paraId="6B6D4169" w14:textId="77777777" w:rsidR="00752B8A" w:rsidRPr="0060365B" w:rsidRDefault="00752B8A" w:rsidP="00752B8A">
      <w:proofErr w:type="gramStart"/>
      <w:r w:rsidRPr="0060365B">
        <w:t>The majority of</w:t>
      </w:r>
      <w:proofErr w:type="gramEnd"/>
      <w:r w:rsidRPr="0060365B">
        <w:t xml:space="preserve"> respondents scoring positively for the question titled ‘please indicate the extent to which you feel that your family member is allowed to exercise control over their lives within their supported living setting’ does give some indication that the model is working effectively in the majority of cases for this aim. However, a severe limitation to this conclusion is the lack of similar research in Carmarthenshire studying other models and their effects on feelings of control. Without comparable data, it is not possible to ascertain whether the supported living model is the most effective model for promoting a feeling of control available in Carmarthenshire. Future research should explore other models </w:t>
      </w:r>
      <w:proofErr w:type="gramStart"/>
      <w:r w:rsidRPr="0060365B">
        <w:t>in order to</w:t>
      </w:r>
      <w:proofErr w:type="gramEnd"/>
      <w:r w:rsidRPr="0060365B">
        <w:t xml:space="preserve"> inform future Commissioning processes.</w:t>
      </w:r>
    </w:p>
    <w:p w14:paraId="597347F6" w14:textId="77777777" w:rsidR="00752B8A" w:rsidRPr="0060365B" w:rsidRDefault="00752B8A" w:rsidP="00752B8A">
      <w:r w:rsidRPr="0060365B">
        <w:t xml:space="preserve">2 key themes from the research, which pointed towards areas that could be explored in future Commissioning exercises to improve the experiences of residents whilst living in their Supported Living settings. These two themes were: activities / opportunities available </w:t>
      </w:r>
      <w:proofErr w:type="gramStart"/>
      <w:r w:rsidRPr="0060365B">
        <w:t>in the area of</w:t>
      </w:r>
      <w:proofErr w:type="gramEnd"/>
      <w:r w:rsidRPr="0060365B">
        <w:t xml:space="preserve"> the setting, and the relationship between staff and residents and its effect on feelings of control.</w:t>
      </w:r>
    </w:p>
    <w:p w14:paraId="369C9B15" w14:textId="77777777" w:rsidR="00752B8A" w:rsidRPr="0060365B" w:rsidRDefault="00752B8A" w:rsidP="00752B8A">
      <w:r w:rsidRPr="0060365B">
        <w:t xml:space="preserve">As shown previously, the activities / opportunities available within the local area was positively correlated with overall feelings of control. This has potential to influence future Commissioning exercises, both in terms of specifically commissioning supported living settings, and when </w:t>
      </w:r>
      <w:r w:rsidRPr="0060365B">
        <w:lastRenderedPageBreak/>
        <w:t>commissioning groups and activities across the county. The data would suggest that, if new supported living settings are to be commissioned, then areas in which there are already opportunities available may be the most suitable if a feeling of control is to be promoted. Also, an effort to invest in opportunities/activities in areas where there are already supported living settings may increase feelings of control in current residents. The suggestion from the focus group stating the potential for more supported living settings to be commissioned in an area if more activities are organised there also has the potential for practical application. This would suggest that the provision of activities in areas with little currently available may do somewhat to shape the market and encourage new supported living settings in these areas. This may then provide more people the opportunity to stay in the areas they already call home.</w:t>
      </w:r>
    </w:p>
    <w:p w14:paraId="30F651FE" w14:textId="77777777" w:rsidR="00752B8A" w:rsidRPr="0060365B" w:rsidRDefault="00752B8A" w:rsidP="00752B8A">
      <w:r w:rsidRPr="0060365B">
        <w:t xml:space="preserve">The relationships between staff and residents </w:t>
      </w:r>
      <w:proofErr w:type="gramStart"/>
      <w:r w:rsidRPr="0060365B">
        <w:t>was</w:t>
      </w:r>
      <w:proofErr w:type="gramEnd"/>
      <w:r w:rsidRPr="0060365B">
        <w:t xml:space="preserve"> also a prevalent factor in both the survey and the focus group. This would suggest that a focus on these relationships when commissioning the settings may have a positive impact on feelings of control in residents. This could be implemented in various ways, for example detailing the necessity of training for staff around how they are to support residents in ways that promote trust and independence, or via attempting to limit staff turnover which would allow for more consistency of care, and therefore potentially better relationships to be built over time.</w:t>
      </w:r>
    </w:p>
    <w:p w14:paraId="74B43D2F" w14:textId="77777777" w:rsidR="00752B8A" w:rsidRPr="0060365B" w:rsidRDefault="00752B8A" w:rsidP="00752B8A">
      <w:r w:rsidRPr="0060365B">
        <w:t xml:space="preserve">There are </w:t>
      </w:r>
      <w:proofErr w:type="gramStart"/>
      <w:r w:rsidRPr="0060365B">
        <w:t>a number of</w:t>
      </w:r>
      <w:proofErr w:type="gramEnd"/>
      <w:r w:rsidRPr="0060365B">
        <w:t xml:space="preserve"> limitations to this project, however, that may limit the reliability of and validity of the findings. One is the overall number of participants that responded to the survey, and who partook in the focus group. A small sample size can limit the generalizability of the data, meaning that the results may not be representative of the broader population. There is a strong possibility that if more individuals responded to the survey, different results would have been maintained. This is also true for the focus group. Despite the participants of the group possessing ample experience and expertise around the Supported Living model and Social Care in general, it does not guarantee that their views are reflective of other professionals in the field.</w:t>
      </w:r>
    </w:p>
    <w:p w14:paraId="419C31F4" w14:textId="21F6F945" w:rsidR="00752B8A" w:rsidRPr="0060365B" w:rsidRDefault="00752B8A" w:rsidP="00752B8A">
      <w:r w:rsidRPr="0060365B">
        <w:t>Another significant limitation of the project is the fact that respondents to the survey were the family members of residents as opposed to the residents themselves. The decision to approach the project in this way was made to safeguard the potentially vulnerable people who reside in the settings. This limitation, however, is of particular significance to this study due to the subjective nature of feeling in control of one’s life. Therefore, attempting to measure this metric through the eyes of a third party does call into question the overall validity of the obtained results.</w:t>
      </w:r>
    </w:p>
    <w:p w14:paraId="271C5943" w14:textId="77777777" w:rsidR="00BF2A08" w:rsidRPr="0060365B" w:rsidRDefault="00BF2A08" w:rsidP="00752B8A"/>
    <w:p w14:paraId="20353D7A" w14:textId="727509A9" w:rsidR="00752B8A" w:rsidRPr="0060365B" w:rsidRDefault="00BF2A08" w:rsidP="00BF2A08">
      <w:pPr>
        <w:jc w:val="center"/>
        <w:rPr>
          <w:b/>
          <w:bCs/>
          <w:u w:val="single"/>
        </w:rPr>
      </w:pPr>
      <w:r w:rsidRPr="0060365B">
        <w:rPr>
          <w:b/>
          <w:bCs/>
          <w:u w:val="single"/>
        </w:rPr>
        <w:t>Conclusion</w:t>
      </w:r>
    </w:p>
    <w:p w14:paraId="0201F27A" w14:textId="0986189A" w:rsidR="00BF2A08" w:rsidRPr="0060365B" w:rsidRDefault="00BF2A08" w:rsidP="00BF2A08">
      <w:pPr>
        <w:pStyle w:val="NormalWeb"/>
        <w:rPr>
          <w:rFonts w:asciiTheme="minorHAnsi" w:hAnsiTheme="minorHAnsi" w:cstheme="minorHAnsi"/>
          <w:sz w:val="22"/>
          <w:szCs w:val="22"/>
        </w:rPr>
      </w:pPr>
      <w:r w:rsidRPr="0060365B">
        <w:rPr>
          <w:rFonts w:asciiTheme="minorHAnsi" w:hAnsiTheme="minorHAnsi" w:cstheme="minorHAnsi"/>
          <w:sz w:val="22"/>
          <w:szCs w:val="22"/>
        </w:rPr>
        <w:t xml:space="preserve">Overall, the project has provided valuable insights into the effectiveness of the Supported Living model in promoting a feeling of control among residents, as well as areas for potential improvement. </w:t>
      </w:r>
      <w:proofErr w:type="gramStart"/>
      <w:r w:rsidRPr="0060365B">
        <w:rPr>
          <w:rFonts w:asciiTheme="minorHAnsi" w:hAnsiTheme="minorHAnsi" w:cstheme="minorHAnsi"/>
          <w:sz w:val="22"/>
          <w:szCs w:val="22"/>
        </w:rPr>
        <w:t>The majority of</w:t>
      </w:r>
      <w:proofErr w:type="gramEnd"/>
      <w:r w:rsidRPr="0060365B">
        <w:rPr>
          <w:rFonts w:asciiTheme="minorHAnsi" w:hAnsiTheme="minorHAnsi" w:cstheme="minorHAnsi"/>
          <w:sz w:val="22"/>
          <w:szCs w:val="22"/>
        </w:rPr>
        <w:t xml:space="preserve"> respondents indicated positively on the extent to which they felt their family members were allowed to exercise control over their lives within their supported living settings. This suggests that the model is effective in achieving its aim in most cases. However, the lack of comparable research in Carmarthenshire studying other models and their effects on feelings of control is a significant limitation. Without this data, it is difficult to determine if the Supported Living model is the most effective approach available. Future research should explore various models to better inform future commissioning processes.</w:t>
      </w:r>
    </w:p>
    <w:p w14:paraId="1FBFE81F" w14:textId="77777777" w:rsidR="00BF2A08" w:rsidRPr="0060365B" w:rsidRDefault="00BF2A08" w:rsidP="00BF2A08">
      <w:pPr>
        <w:pStyle w:val="NormalWeb"/>
        <w:rPr>
          <w:rFonts w:asciiTheme="minorHAnsi" w:hAnsiTheme="minorHAnsi" w:cstheme="minorHAnsi"/>
          <w:sz w:val="22"/>
          <w:szCs w:val="22"/>
        </w:rPr>
      </w:pPr>
      <w:r w:rsidRPr="0060365B">
        <w:rPr>
          <w:rFonts w:asciiTheme="minorHAnsi" w:hAnsiTheme="minorHAnsi" w:cstheme="minorHAnsi"/>
          <w:sz w:val="22"/>
          <w:szCs w:val="22"/>
        </w:rPr>
        <w:lastRenderedPageBreak/>
        <w:t>Two key themes emerged from the research, pointing towards areas for improvement in future commissioning exercises. These themes were the availability of activities and opportunities in the local area and the relationship between staff and residents and its impact on feelings of control.</w:t>
      </w:r>
    </w:p>
    <w:p w14:paraId="2038B0C7" w14:textId="77777777" w:rsidR="00BF2A08" w:rsidRPr="0060365B" w:rsidRDefault="00BF2A08" w:rsidP="00BF2A08">
      <w:pPr>
        <w:pStyle w:val="NormalWeb"/>
        <w:rPr>
          <w:rFonts w:asciiTheme="minorHAnsi" w:hAnsiTheme="minorHAnsi" w:cstheme="minorHAnsi"/>
          <w:sz w:val="22"/>
          <w:szCs w:val="22"/>
        </w:rPr>
      </w:pPr>
    </w:p>
    <w:p w14:paraId="4148472B" w14:textId="79CD7562" w:rsidR="00BF2A08" w:rsidRPr="0060365B" w:rsidRDefault="00BF2A08" w:rsidP="00BF2A08">
      <w:pPr>
        <w:pStyle w:val="NormalWeb"/>
        <w:rPr>
          <w:rFonts w:asciiTheme="minorHAnsi" w:hAnsiTheme="minorHAnsi" w:cstheme="minorHAnsi"/>
          <w:sz w:val="22"/>
          <w:szCs w:val="22"/>
        </w:rPr>
      </w:pPr>
      <w:r w:rsidRPr="0060365B">
        <w:rPr>
          <w:rFonts w:asciiTheme="minorHAnsi" w:hAnsiTheme="minorHAnsi" w:cstheme="minorHAnsi"/>
          <w:sz w:val="22"/>
          <w:szCs w:val="22"/>
        </w:rPr>
        <w:t>The availability of activities and opportunities within the local area was positively correlated with overall feelings of control. This finding suggests that future commissioning should focus on areas with existing opportunities or invest in creating opportunities in areas where Supported Living settings are already established. Providing more activities in under-served areas could shape the market and encourage the development of new Supported Living settings, allowing more people to remain in their local communities.</w:t>
      </w:r>
    </w:p>
    <w:p w14:paraId="6453CB36" w14:textId="56B761C6" w:rsidR="00BF2A08" w:rsidRPr="0060365B" w:rsidRDefault="00BF2A08" w:rsidP="00BF2A08">
      <w:pPr>
        <w:pStyle w:val="NormalWeb"/>
        <w:rPr>
          <w:rFonts w:asciiTheme="minorHAnsi" w:hAnsiTheme="minorHAnsi" w:cstheme="minorHAnsi"/>
          <w:sz w:val="22"/>
          <w:szCs w:val="22"/>
        </w:rPr>
      </w:pPr>
      <w:r w:rsidRPr="0060365B">
        <w:rPr>
          <w:rFonts w:asciiTheme="minorHAnsi" w:hAnsiTheme="minorHAnsi" w:cstheme="minorHAnsi"/>
          <w:sz w:val="22"/>
          <w:szCs w:val="22"/>
        </w:rPr>
        <w:t>The relationship between staff and residents was another significant factor influencing feelings of control. Emphasizing these relationships during the commissioning process could have a positive impact on residents' feelings of control. This could be achieved through staff training focused on promoting trust and independence, as well as efforts to limit staff turnover to ensure consistent care and stronger relationships over time.</w:t>
      </w:r>
    </w:p>
    <w:p w14:paraId="28202809" w14:textId="612C40A5" w:rsidR="00BF2A08" w:rsidRPr="0060365B" w:rsidRDefault="00BF2A08" w:rsidP="00BF2A08">
      <w:pPr>
        <w:pStyle w:val="NormalWeb"/>
        <w:rPr>
          <w:rFonts w:asciiTheme="minorHAnsi" w:hAnsiTheme="minorHAnsi" w:cstheme="minorHAnsi"/>
          <w:sz w:val="22"/>
          <w:szCs w:val="22"/>
        </w:rPr>
      </w:pPr>
      <w:r w:rsidRPr="0060365B">
        <w:rPr>
          <w:rFonts w:asciiTheme="minorHAnsi" w:hAnsiTheme="minorHAnsi" w:cstheme="minorHAnsi"/>
          <w:sz w:val="22"/>
          <w:szCs w:val="22"/>
        </w:rPr>
        <w:t>Despite the insights gained, the study has several limitations that may affect the reliability and validity of the findings. The small sample size of survey respondents and focus group participants limits the generalizability of the data, potentially skewing the results. Additionally, the survey's reliance on family members' perspectives, rather than the residents themselves, introduces a significant limitation given the subjective nature of feeling in control of one's life. This approach, while safeguarding vulnerable individuals, questions the overall validity of the results obtained.</w:t>
      </w:r>
    </w:p>
    <w:p w14:paraId="1C0FE09B" w14:textId="1D9345F9" w:rsidR="00295833" w:rsidRPr="0060365B" w:rsidRDefault="00BF2A08" w:rsidP="00293873">
      <w:pPr>
        <w:pStyle w:val="NormalWeb"/>
        <w:rPr>
          <w:rFonts w:asciiTheme="minorHAnsi" w:hAnsiTheme="minorHAnsi" w:cstheme="minorHAnsi"/>
          <w:sz w:val="22"/>
          <w:szCs w:val="22"/>
        </w:rPr>
      </w:pPr>
      <w:r w:rsidRPr="0060365B">
        <w:rPr>
          <w:rFonts w:asciiTheme="minorHAnsi" w:hAnsiTheme="minorHAnsi" w:cstheme="minorHAnsi"/>
          <w:sz w:val="22"/>
          <w:szCs w:val="22"/>
        </w:rPr>
        <w:t>In conclusion, while the Supported Living model appears effective in promoting control for most residents, further research with larger, more representative samples and direct input from residents is needed to strengthen the findings and guide future commissioning decisions.</w:t>
      </w:r>
    </w:p>
    <w:p w14:paraId="3FB17496" w14:textId="51F22BC5" w:rsidR="00842393" w:rsidRPr="0060365B" w:rsidRDefault="00354F7E" w:rsidP="0060365B">
      <w:pPr>
        <w:jc w:val="center"/>
        <w:rPr>
          <w:b/>
          <w:bCs/>
          <w:u w:val="single"/>
        </w:rPr>
      </w:pPr>
      <w:r w:rsidRPr="0060365B">
        <w:rPr>
          <w:b/>
          <w:bCs/>
          <w:u w:val="single"/>
        </w:rPr>
        <w:t>References</w:t>
      </w:r>
    </w:p>
    <w:p w14:paraId="33562D7B" w14:textId="77777777" w:rsidR="0060365B" w:rsidRPr="006F2844" w:rsidRDefault="0060365B">
      <w:pPr>
        <w:rPr>
          <w:rFonts w:ascii="Calibri" w:hAnsi="Calibri" w:cs="Calibri"/>
        </w:rPr>
      </w:pPr>
    </w:p>
    <w:p w14:paraId="29291129" w14:textId="77777777" w:rsidR="00835D9E" w:rsidRPr="0060365B" w:rsidRDefault="00835D9E" w:rsidP="006F6265">
      <w:pPr>
        <w:rPr>
          <w:rFonts w:ascii="Calibri" w:hAnsi="Calibri" w:cs="Calibri"/>
          <w:shd w:val="clear" w:color="auto" w:fill="FFFFFF"/>
        </w:rPr>
      </w:pPr>
      <w:r w:rsidRPr="0060365B">
        <w:rPr>
          <w:rFonts w:ascii="Calibri" w:hAnsi="Calibri" w:cs="Calibri"/>
          <w:shd w:val="clear" w:color="auto" w:fill="FFFFFF"/>
        </w:rPr>
        <w:t>Adams, K.B., Leibbrandt, S. and Moon, H., 2011. A critical review of the literature on social and leisure activity and wellbeing in later life. </w:t>
      </w:r>
      <w:r w:rsidRPr="0060365B">
        <w:rPr>
          <w:rFonts w:ascii="Calibri" w:hAnsi="Calibri" w:cs="Calibri"/>
          <w:i/>
          <w:iCs/>
          <w:shd w:val="clear" w:color="auto" w:fill="FFFFFF"/>
        </w:rPr>
        <w:t>Ageing &amp; Society</w:t>
      </w:r>
      <w:r w:rsidRPr="0060365B">
        <w:rPr>
          <w:rFonts w:ascii="Calibri" w:hAnsi="Calibri" w:cs="Calibri"/>
          <w:shd w:val="clear" w:color="auto" w:fill="FFFFFF"/>
        </w:rPr>
        <w:t>, </w:t>
      </w:r>
      <w:r w:rsidRPr="0060365B">
        <w:rPr>
          <w:rFonts w:ascii="Calibri" w:hAnsi="Calibri" w:cs="Calibri"/>
          <w:i/>
          <w:iCs/>
          <w:shd w:val="clear" w:color="auto" w:fill="FFFFFF"/>
        </w:rPr>
        <w:t>31</w:t>
      </w:r>
      <w:r w:rsidRPr="0060365B">
        <w:rPr>
          <w:rFonts w:ascii="Calibri" w:hAnsi="Calibri" w:cs="Calibri"/>
          <w:shd w:val="clear" w:color="auto" w:fill="FFFFFF"/>
        </w:rPr>
        <w:t>(4), pp.683-712.</w:t>
      </w:r>
    </w:p>
    <w:p w14:paraId="2784248B" w14:textId="77777777" w:rsidR="00835D9E" w:rsidRPr="0060365B" w:rsidRDefault="00835D9E" w:rsidP="006F6265">
      <w:pPr>
        <w:rPr>
          <w:rFonts w:ascii="Calibri" w:hAnsi="Calibri" w:cs="Calibri"/>
          <w:b/>
          <w:bCs/>
          <w:u w:val="single"/>
        </w:rPr>
      </w:pPr>
      <w:r w:rsidRPr="0060365B">
        <w:rPr>
          <w:rFonts w:ascii="Calibri" w:hAnsi="Calibri" w:cs="Calibri"/>
          <w:shd w:val="clear" w:color="auto" w:fill="FFFFFF"/>
        </w:rPr>
        <w:t>Chan, D.V., 2020. Safe spaces, agency, and connections to “regular stuff”: What makes permanent supportive housing feel like “home”. </w:t>
      </w:r>
      <w:r w:rsidRPr="0060365B">
        <w:rPr>
          <w:rFonts w:ascii="Calibri" w:hAnsi="Calibri" w:cs="Calibri"/>
          <w:i/>
          <w:iCs/>
          <w:shd w:val="clear" w:color="auto" w:fill="FFFFFF"/>
        </w:rPr>
        <w:t xml:space="preserve">Rehabilitation </w:t>
      </w:r>
      <w:proofErr w:type="spellStart"/>
      <w:r w:rsidRPr="0060365B">
        <w:rPr>
          <w:rFonts w:ascii="Calibri" w:hAnsi="Calibri" w:cs="Calibri"/>
          <w:i/>
          <w:iCs/>
          <w:shd w:val="clear" w:color="auto" w:fill="FFFFFF"/>
        </w:rPr>
        <w:t>Counseling</w:t>
      </w:r>
      <w:proofErr w:type="spellEnd"/>
      <w:r w:rsidRPr="0060365B">
        <w:rPr>
          <w:rFonts w:ascii="Calibri" w:hAnsi="Calibri" w:cs="Calibri"/>
          <w:i/>
          <w:iCs/>
          <w:shd w:val="clear" w:color="auto" w:fill="FFFFFF"/>
        </w:rPr>
        <w:t xml:space="preserve"> Bulletin</w:t>
      </w:r>
      <w:r w:rsidRPr="0060365B">
        <w:rPr>
          <w:rFonts w:ascii="Calibri" w:hAnsi="Calibri" w:cs="Calibri"/>
          <w:shd w:val="clear" w:color="auto" w:fill="FFFFFF"/>
        </w:rPr>
        <w:t>, </w:t>
      </w:r>
      <w:r w:rsidRPr="0060365B">
        <w:rPr>
          <w:rFonts w:ascii="Calibri" w:hAnsi="Calibri" w:cs="Calibri"/>
          <w:i/>
          <w:iCs/>
          <w:shd w:val="clear" w:color="auto" w:fill="FFFFFF"/>
        </w:rPr>
        <w:t>63</w:t>
      </w:r>
      <w:r w:rsidRPr="0060365B">
        <w:rPr>
          <w:rFonts w:ascii="Calibri" w:hAnsi="Calibri" w:cs="Calibri"/>
          <w:shd w:val="clear" w:color="auto" w:fill="FFFFFF"/>
        </w:rPr>
        <w:t>(2), pp.102-114.</w:t>
      </w:r>
    </w:p>
    <w:p w14:paraId="137AA963"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Clapham, D., 2017. </w:t>
      </w:r>
      <w:r w:rsidRPr="0060365B">
        <w:rPr>
          <w:rFonts w:ascii="Calibri" w:hAnsi="Calibri" w:cs="Calibri"/>
          <w:i/>
          <w:iCs/>
          <w:shd w:val="clear" w:color="auto" w:fill="FFFFFF"/>
        </w:rPr>
        <w:t>Accommodating difference: Evaluating supported housing for vulnerable people</w:t>
      </w:r>
      <w:r w:rsidRPr="0060365B">
        <w:rPr>
          <w:rFonts w:ascii="Calibri" w:hAnsi="Calibri" w:cs="Calibri"/>
          <w:shd w:val="clear" w:color="auto" w:fill="FFFFFF"/>
        </w:rPr>
        <w:t>. Policy Press.</w:t>
      </w:r>
    </w:p>
    <w:p w14:paraId="63C0F9FA"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 xml:space="preserve">Deci, E.L. and Ryan, R.M., 1987. The support of autonomy and the control of </w:t>
      </w:r>
      <w:proofErr w:type="spellStart"/>
      <w:r w:rsidRPr="0060365B">
        <w:rPr>
          <w:rFonts w:ascii="Calibri" w:hAnsi="Calibri" w:cs="Calibri"/>
          <w:shd w:val="clear" w:color="auto" w:fill="FFFFFF"/>
        </w:rPr>
        <w:t>behavior</w:t>
      </w:r>
      <w:proofErr w:type="spellEnd"/>
      <w:r w:rsidRPr="0060365B">
        <w:rPr>
          <w:rFonts w:ascii="Calibri" w:hAnsi="Calibri" w:cs="Calibri"/>
          <w:shd w:val="clear" w:color="auto" w:fill="FFFFFF"/>
        </w:rPr>
        <w:t>. </w:t>
      </w:r>
      <w:r w:rsidRPr="0060365B">
        <w:rPr>
          <w:rFonts w:ascii="Calibri" w:hAnsi="Calibri" w:cs="Calibri"/>
          <w:i/>
          <w:iCs/>
          <w:shd w:val="clear" w:color="auto" w:fill="FFFFFF"/>
        </w:rPr>
        <w:t>Journal of personality and social psychology</w:t>
      </w:r>
      <w:r w:rsidRPr="0060365B">
        <w:rPr>
          <w:rFonts w:ascii="Calibri" w:hAnsi="Calibri" w:cs="Calibri"/>
          <w:shd w:val="clear" w:color="auto" w:fill="FFFFFF"/>
        </w:rPr>
        <w:t>, </w:t>
      </w:r>
      <w:r w:rsidRPr="0060365B">
        <w:rPr>
          <w:rFonts w:ascii="Calibri" w:hAnsi="Calibri" w:cs="Calibri"/>
          <w:i/>
          <w:iCs/>
          <w:shd w:val="clear" w:color="auto" w:fill="FFFFFF"/>
        </w:rPr>
        <w:t>53</w:t>
      </w:r>
      <w:r w:rsidRPr="0060365B">
        <w:rPr>
          <w:rFonts w:ascii="Calibri" w:hAnsi="Calibri" w:cs="Calibri"/>
          <w:shd w:val="clear" w:color="auto" w:fill="FFFFFF"/>
        </w:rPr>
        <w:t>(6), p.1024.</w:t>
      </w:r>
    </w:p>
    <w:p w14:paraId="7D42E2CE"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Declerck, C.H., Boone, C. and De Brabander, B., 2006. On feeling in control: A biological theory for individual differences in control perception. </w:t>
      </w:r>
      <w:r w:rsidRPr="0060365B">
        <w:rPr>
          <w:rFonts w:ascii="Calibri" w:hAnsi="Calibri" w:cs="Calibri"/>
          <w:i/>
          <w:iCs/>
          <w:shd w:val="clear" w:color="auto" w:fill="FFFFFF"/>
        </w:rPr>
        <w:t>Brain and cognition</w:t>
      </w:r>
      <w:r w:rsidRPr="0060365B">
        <w:rPr>
          <w:rFonts w:ascii="Calibri" w:hAnsi="Calibri" w:cs="Calibri"/>
          <w:shd w:val="clear" w:color="auto" w:fill="FFFFFF"/>
        </w:rPr>
        <w:t>, </w:t>
      </w:r>
      <w:r w:rsidRPr="0060365B">
        <w:rPr>
          <w:rFonts w:ascii="Calibri" w:hAnsi="Calibri" w:cs="Calibri"/>
          <w:i/>
          <w:iCs/>
          <w:shd w:val="clear" w:color="auto" w:fill="FFFFFF"/>
        </w:rPr>
        <w:t>62</w:t>
      </w:r>
      <w:r w:rsidRPr="0060365B">
        <w:rPr>
          <w:rFonts w:ascii="Calibri" w:hAnsi="Calibri" w:cs="Calibri"/>
          <w:shd w:val="clear" w:color="auto" w:fill="FFFFFF"/>
        </w:rPr>
        <w:t>(2), pp.143-176.</w:t>
      </w:r>
    </w:p>
    <w:p w14:paraId="0A03E3C3"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Fish, R. and Morgan, H., 2021. Them two are around when I need their help” The importance of good relationships in supporting people with learning disabilities to be “in a good space. </w:t>
      </w:r>
      <w:r w:rsidRPr="0060365B">
        <w:rPr>
          <w:rFonts w:ascii="Calibri" w:hAnsi="Calibri" w:cs="Calibri"/>
          <w:i/>
          <w:iCs/>
          <w:shd w:val="clear" w:color="auto" w:fill="FFFFFF"/>
        </w:rPr>
        <w:t>British Journal of Learning Disabilities</w:t>
      </w:r>
      <w:r w:rsidRPr="0060365B">
        <w:rPr>
          <w:rFonts w:ascii="Calibri" w:hAnsi="Calibri" w:cs="Calibri"/>
          <w:shd w:val="clear" w:color="auto" w:fill="FFFFFF"/>
        </w:rPr>
        <w:t>, </w:t>
      </w:r>
      <w:r w:rsidRPr="0060365B">
        <w:rPr>
          <w:rFonts w:ascii="Calibri" w:hAnsi="Calibri" w:cs="Calibri"/>
          <w:i/>
          <w:iCs/>
          <w:shd w:val="clear" w:color="auto" w:fill="FFFFFF"/>
        </w:rPr>
        <w:t>49</w:t>
      </w:r>
      <w:r w:rsidRPr="0060365B">
        <w:rPr>
          <w:rFonts w:ascii="Calibri" w:hAnsi="Calibri" w:cs="Calibri"/>
          <w:shd w:val="clear" w:color="auto" w:fill="FFFFFF"/>
        </w:rPr>
        <w:t>(3), pp.293-302.</w:t>
      </w:r>
    </w:p>
    <w:p w14:paraId="52456B1B"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lastRenderedPageBreak/>
        <w:t>Hastings, R.P. and Remington, B., 1994. Staff behaviour and its implications for people with learning disabilities and challenging behaviours. </w:t>
      </w:r>
      <w:r w:rsidRPr="0060365B">
        <w:rPr>
          <w:rFonts w:ascii="Calibri" w:hAnsi="Calibri" w:cs="Calibri"/>
          <w:i/>
          <w:iCs/>
          <w:shd w:val="clear" w:color="auto" w:fill="FFFFFF"/>
        </w:rPr>
        <w:t>British Journal of Clinical Psychology</w:t>
      </w:r>
      <w:r w:rsidRPr="0060365B">
        <w:rPr>
          <w:rFonts w:ascii="Calibri" w:hAnsi="Calibri" w:cs="Calibri"/>
          <w:shd w:val="clear" w:color="auto" w:fill="FFFFFF"/>
        </w:rPr>
        <w:t>, </w:t>
      </w:r>
      <w:r w:rsidRPr="0060365B">
        <w:rPr>
          <w:rFonts w:ascii="Calibri" w:hAnsi="Calibri" w:cs="Calibri"/>
          <w:i/>
          <w:iCs/>
          <w:shd w:val="clear" w:color="auto" w:fill="FFFFFF"/>
        </w:rPr>
        <w:t>33</w:t>
      </w:r>
      <w:r w:rsidRPr="0060365B">
        <w:rPr>
          <w:rFonts w:ascii="Calibri" w:hAnsi="Calibri" w:cs="Calibri"/>
          <w:shd w:val="clear" w:color="auto" w:fill="FFFFFF"/>
        </w:rPr>
        <w:t>(4), pp.423-438.</w:t>
      </w:r>
    </w:p>
    <w:p w14:paraId="4C2ADEA6"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Hastings, R.P., 2010. Support staff working in intellectual disability services: The importance of relationships and positive experiences. </w:t>
      </w:r>
      <w:r w:rsidRPr="0060365B">
        <w:rPr>
          <w:rFonts w:ascii="Calibri" w:hAnsi="Calibri" w:cs="Calibri"/>
          <w:i/>
          <w:iCs/>
          <w:shd w:val="clear" w:color="auto" w:fill="FFFFFF"/>
        </w:rPr>
        <w:t>Journal of Intellectual and Developmental Disability</w:t>
      </w:r>
      <w:r w:rsidRPr="0060365B">
        <w:rPr>
          <w:rFonts w:ascii="Calibri" w:hAnsi="Calibri" w:cs="Calibri"/>
          <w:shd w:val="clear" w:color="auto" w:fill="FFFFFF"/>
        </w:rPr>
        <w:t>, </w:t>
      </w:r>
      <w:r w:rsidRPr="0060365B">
        <w:rPr>
          <w:rFonts w:ascii="Calibri" w:hAnsi="Calibri" w:cs="Calibri"/>
          <w:i/>
          <w:iCs/>
          <w:shd w:val="clear" w:color="auto" w:fill="FFFFFF"/>
        </w:rPr>
        <w:t>35</w:t>
      </w:r>
      <w:r w:rsidRPr="0060365B">
        <w:rPr>
          <w:rFonts w:ascii="Calibri" w:hAnsi="Calibri" w:cs="Calibri"/>
          <w:shd w:val="clear" w:color="auto" w:fill="FFFFFF"/>
        </w:rPr>
        <w:t>(3), pp.207-210.</w:t>
      </w:r>
    </w:p>
    <w:p w14:paraId="23AC591A"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Hogg, J., 2001. Essential healthcare for people with learning disabilities: barriers and opportunities. </w:t>
      </w:r>
      <w:r w:rsidRPr="0060365B">
        <w:rPr>
          <w:rFonts w:ascii="Calibri" w:hAnsi="Calibri" w:cs="Calibri"/>
          <w:i/>
          <w:iCs/>
          <w:shd w:val="clear" w:color="auto" w:fill="FFFFFF"/>
        </w:rPr>
        <w:t>Journal of the Royal Society of Medicine</w:t>
      </w:r>
      <w:r w:rsidRPr="0060365B">
        <w:rPr>
          <w:rFonts w:ascii="Calibri" w:hAnsi="Calibri" w:cs="Calibri"/>
          <w:shd w:val="clear" w:color="auto" w:fill="FFFFFF"/>
        </w:rPr>
        <w:t>, </w:t>
      </w:r>
      <w:r w:rsidRPr="0060365B">
        <w:rPr>
          <w:rFonts w:ascii="Calibri" w:hAnsi="Calibri" w:cs="Calibri"/>
          <w:i/>
          <w:iCs/>
          <w:shd w:val="clear" w:color="auto" w:fill="FFFFFF"/>
        </w:rPr>
        <w:t>94</w:t>
      </w:r>
      <w:r w:rsidRPr="0060365B">
        <w:rPr>
          <w:rFonts w:ascii="Calibri" w:hAnsi="Calibri" w:cs="Calibri"/>
          <w:shd w:val="clear" w:color="auto" w:fill="FFFFFF"/>
        </w:rPr>
        <w:t>(7), pp.333-336.</w:t>
      </w:r>
    </w:p>
    <w:p w14:paraId="25E30946"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Johnston, A.N.N.E., Davidson, G.A.V.I.N., Webb, P.A.U.L., McCartan, N., McAllister, K., Broughton, R., Sutherland, D. and Kennedy, C., 2022. Physical design of supported accommodation for people with mental health problems and intellectual disabilities: a scoping review. </w:t>
      </w:r>
      <w:r w:rsidRPr="0060365B">
        <w:rPr>
          <w:rFonts w:ascii="Calibri" w:hAnsi="Calibri" w:cs="Calibri"/>
          <w:i/>
          <w:iCs/>
          <w:shd w:val="clear" w:color="auto" w:fill="FFFFFF"/>
        </w:rPr>
        <w:t>Proceedings of the Architecture Media Politics Society Proceedings Series</w:t>
      </w:r>
      <w:r w:rsidRPr="0060365B">
        <w:rPr>
          <w:rFonts w:ascii="Calibri" w:hAnsi="Calibri" w:cs="Calibri"/>
          <w:shd w:val="clear" w:color="auto" w:fill="FFFFFF"/>
        </w:rPr>
        <w:t>.</w:t>
      </w:r>
    </w:p>
    <w:p w14:paraId="11E77935" w14:textId="77777777" w:rsidR="00835D9E" w:rsidRPr="0060365B" w:rsidRDefault="00835D9E" w:rsidP="006F6265">
      <w:pPr>
        <w:rPr>
          <w:rFonts w:ascii="Calibri" w:hAnsi="Calibri" w:cs="Calibri"/>
          <w:b/>
          <w:bCs/>
          <w:u w:val="single"/>
        </w:rPr>
      </w:pPr>
      <w:proofErr w:type="spellStart"/>
      <w:r w:rsidRPr="0060365B">
        <w:rPr>
          <w:rFonts w:ascii="Calibri" w:hAnsi="Calibri" w:cs="Calibri"/>
          <w:shd w:val="clear" w:color="auto" w:fill="FFFFFF"/>
        </w:rPr>
        <w:t>Kałużna-Wielobób</w:t>
      </w:r>
      <w:proofErr w:type="spellEnd"/>
      <w:r w:rsidRPr="0060365B">
        <w:rPr>
          <w:rFonts w:ascii="Calibri" w:hAnsi="Calibri" w:cs="Calibri"/>
          <w:shd w:val="clear" w:color="auto" w:fill="FFFFFF"/>
        </w:rPr>
        <w:t>, A., 2017. The community feeling versus anxiety, self-esteem and well-being–introductory research. </w:t>
      </w:r>
      <w:r w:rsidRPr="0060365B">
        <w:rPr>
          <w:rFonts w:ascii="Calibri" w:hAnsi="Calibri" w:cs="Calibri"/>
          <w:i/>
          <w:iCs/>
          <w:shd w:val="clear" w:color="auto" w:fill="FFFFFF"/>
        </w:rPr>
        <w:t>Polish Psychological Bulletin</w:t>
      </w:r>
      <w:r w:rsidRPr="0060365B">
        <w:rPr>
          <w:rFonts w:ascii="Calibri" w:hAnsi="Calibri" w:cs="Calibri"/>
          <w:shd w:val="clear" w:color="auto" w:fill="FFFFFF"/>
        </w:rPr>
        <w:t>.</w:t>
      </w:r>
    </w:p>
    <w:p w14:paraId="78219142"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 xml:space="preserve">Larson, R., 1989. Is feeling “in control” related to happiness in daily </w:t>
      </w:r>
      <w:proofErr w:type="gramStart"/>
      <w:r w:rsidRPr="0060365B">
        <w:rPr>
          <w:rFonts w:ascii="Calibri" w:hAnsi="Calibri" w:cs="Calibri"/>
          <w:shd w:val="clear" w:color="auto" w:fill="FFFFFF"/>
        </w:rPr>
        <w:t>life?.</w:t>
      </w:r>
      <w:proofErr w:type="gramEnd"/>
      <w:r w:rsidRPr="0060365B">
        <w:rPr>
          <w:rFonts w:ascii="Calibri" w:hAnsi="Calibri" w:cs="Calibri"/>
          <w:shd w:val="clear" w:color="auto" w:fill="FFFFFF"/>
        </w:rPr>
        <w:t> </w:t>
      </w:r>
      <w:r w:rsidRPr="0060365B">
        <w:rPr>
          <w:rFonts w:ascii="Calibri" w:hAnsi="Calibri" w:cs="Calibri"/>
          <w:i/>
          <w:iCs/>
          <w:shd w:val="clear" w:color="auto" w:fill="FFFFFF"/>
        </w:rPr>
        <w:t>Psychological Reports</w:t>
      </w:r>
      <w:r w:rsidRPr="0060365B">
        <w:rPr>
          <w:rFonts w:ascii="Calibri" w:hAnsi="Calibri" w:cs="Calibri"/>
          <w:shd w:val="clear" w:color="auto" w:fill="FFFFFF"/>
        </w:rPr>
        <w:t>, </w:t>
      </w:r>
      <w:r w:rsidRPr="0060365B">
        <w:rPr>
          <w:rFonts w:ascii="Calibri" w:hAnsi="Calibri" w:cs="Calibri"/>
          <w:i/>
          <w:iCs/>
          <w:shd w:val="clear" w:color="auto" w:fill="FFFFFF"/>
        </w:rPr>
        <w:t>64</w:t>
      </w:r>
      <w:r w:rsidRPr="0060365B">
        <w:rPr>
          <w:rFonts w:ascii="Calibri" w:hAnsi="Calibri" w:cs="Calibri"/>
          <w:shd w:val="clear" w:color="auto" w:fill="FFFFFF"/>
        </w:rPr>
        <w:t>(3), pp.775-784.</w:t>
      </w:r>
    </w:p>
    <w:p w14:paraId="3ACE9B38" w14:textId="77777777" w:rsidR="00835D9E" w:rsidRPr="0060365B" w:rsidRDefault="00835D9E" w:rsidP="006F6265">
      <w:pPr>
        <w:rPr>
          <w:rFonts w:ascii="Calibri" w:hAnsi="Calibri" w:cs="Calibri"/>
          <w:shd w:val="clear" w:color="auto" w:fill="FFFFFF"/>
        </w:rPr>
      </w:pPr>
      <w:r w:rsidRPr="0060365B">
        <w:rPr>
          <w:rFonts w:ascii="Calibri" w:hAnsi="Calibri" w:cs="Calibri"/>
          <w:shd w:val="clear" w:color="auto" w:fill="FFFFFF"/>
        </w:rPr>
        <w:t>Lyubomirsky, S. and Layous, K., 2013. How do simple positive activities increase well-</w:t>
      </w:r>
      <w:proofErr w:type="gramStart"/>
      <w:r w:rsidRPr="0060365B">
        <w:rPr>
          <w:rFonts w:ascii="Calibri" w:hAnsi="Calibri" w:cs="Calibri"/>
          <w:shd w:val="clear" w:color="auto" w:fill="FFFFFF"/>
        </w:rPr>
        <w:t>being?.</w:t>
      </w:r>
      <w:proofErr w:type="gramEnd"/>
      <w:r w:rsidRPr="0060365B">
        <w:rPr>
          <w:rFonts w:ascii="Calibri" w:hAnsi="Calibri" w:cs="Calibri"/>
          <w:shd w:val="clear" w:color="auto" w:fill="FFFFFF"/>
        </w:rPr>
        <w:t> </w:t>
      </w:r>
      <w:r w:rsidRPr="0060365B">
        <w:rPr>
          <w:rFonts w:ascii="Calibri" w:hAnsi="Calibri" w:cs="Calibri"/>
          <w:i/>
          <w:iCs/>
          <w:shd w:val="clear" w:color="auto" w:fill="FFFFFF"/>
        </w:rPr>
        <w:t>Current directions in psychological science</w:t>
      </w:r>
      <w:r w:rsidRPr="0060365B">
        <w:rPr>
          <w:rFonts w:ascii="Calibri" w:hAnsi="Calibri" w:cs="Calibri"/>
          <w:shd w:val="clear" w:color="auto" w:fill="FFFFFF"/>
        </w:rPr>
        <w:t>, </w:t>
      </w:r>
      <w:r w:rsidRPr="0060365B">
        <w:rPr>
          <w:rFonts w:ascii="Calibri" w:hAnsi="Calibri" w:cs="Calibri"/>
          <w:i/>
          <w:iCs/>
          <w:shd w:val="clear" w:color="auto" w:fill="FFFFFF"/>
        </w:rPr>
        <w:t>22</w:t>
      </w:r>
      <w:r w:rsidRPr="0060365B">
        <w:rPr>
          <w:rFonts w:ascii="Calibri" w:hAnsi="Calibri" w:cs="Calibri"/>
          <w:shd w:val="clear" w:color="auto" w:fill="FFFFFF"/>
        </w:rPr>
        <w:t>(1), pp.57-62.</w:t>
      </w:r>
    </w:p>
    <w:p w14:paraId="23259221"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Marcheschi, E., Johansson, M., Laike, T. and Brunt, D., 2016. Housing design and people with severe mental illness: An observational approach to the investigation of supported housing facilities. </w:t>
      </w:r>
      <w:r w:rsidRPr="0060365B">
        <w:rPr>
          <w:rFonts w:ascii="Calibri" w:hAnsi="Calibri" w:cs="Calibri"/>
          <w:i/>
          <w:iCs/>
          <w:shd w:val="clear" w:color="auto" w:fill="FFFFFF"/>
        </w:rPr>
        <w:t>Scandinavian Journal of Psychology</w:t>
      </w:r>
      <w:r w:rsidRPr="0060365B">
        <w:rPr>
          <w:rFonts w:ascii="Calibri" w:hAnsi="Calibri" w:cs="Calibri"/>
          <w:shd w:val="clear" w:color="auto" w:fill="FFFFFF"/>
        </w:rPr>
        <w:t>, </w:t>
      </w:r>
      <w:r w:rsidRPr="0060365B">
        <w:rPr>
          <w:rFonts w:ascii="Calibri" w:hAnsi="Calibri" w:cs="Calibri"/>
          <w:i/>
          <w:iCs/>
          <w:shd w:val="clear" w:color="auto" w:fill="FFFFFF"/>
        </w:rPr>
        <w:t>57</w:t>
      </w:r>
      <w:r w:rsidRPr="0060365B">
        <w:rPr>
          <w:rFonts w:ascii="Calibri" w:hAnsi="Calibri" w:cs="Calibri"/>
          <w:shd w:val="clear" w:color="auto" w:fill="FFFFFF"/>
        </w:rPr>
        <w:t>(1), pp.12-21.</w:t>
      </w:r>
    </w:p>
    <w:p w14:paraId="7363CD35" w14:textId="77777777" w:rsidR="00835D9E" w:rsidRPr="0060365B" w:rsidRDefault="00835D9E" w:rsidP="006F6265">
      <w:pPr>
        <w:rPr>
          <w:rFonts w:ascii="Calibri" w:hAnsi="Calibri" w:cs="Calibri"/>
          <w:shd w:val="clear" w:color="auto" w:fill="FFFFFF"/>
        </w:rPr>
      </w:pPr>
      <w:r w:rsidRPr="0060365B">
        <w:rPr>
          <w:rFonts w:ascii="Calibri" w:hAnsi="Calibri" w:cs="Calibri"/>
          <w:shd w:val="clear" w:color="auto" w:fill="FFFFFF"/>
        </w:rPr>
        <w:t>Parrish, J., 1990. Supported housing: A critical component of effective community support. </w:t>
      </w:r>
      <w:r w:rsidRPr="0060365B">
        <w:rPr>
          <w:rFonts w:ascii="Calibri" w:hAnsi="Calibri" w:cs="Calibri"/>
          <w:i/>
          <w:iCs/>
          <w:shd w:val="clear" w:color="auto" w:fill="FFFFFF"/>
        </w:rPr>
        <w:t>Psychosocial Rehabilitation Journal</w:t>
      </w:r>
      <w:r w:rsidRPr="0060365B">
        <w:rPr>
          <w:rFonts w:ascii="Calibri" w:hAnsi="Calibri" w:cs="Calibri"/>
          <w:shd w:val="clear" w:color="auto" w:fill="FFFFFF"/>
        </w:rPr>
        <w:t>, </w:t>
      </w:r>
      <w:r w:rsidRPr="0060365B">
        <w:rPr>
          <w:rFonts w:ascii="Calibri" w:hAnsi="Calibri" w:cs="Calibri"/>
          <w:i/>
          <w:iCs/>
          <w:shd w:val="clear" w:color="auto" w:fill="FFFFFF"/>
        </w:rPr>
        <w:t>13</w:t>
      </w:r>
      <w:r w:rsidRPr="0060365B">
        <w:rPr>
          <w:rFonts w:ascii="Calibri" w:hAnsi="Calibri" w:cs="Calibri"/>
          <w:shd w:val="clear" w:color="auto" w:fill="FFFFFF"/>
        </w:rPr>
        <w:t>(4), p.9.</w:t>
      </w:r>
    </w:p>
    <w:p w14:paraId="56C4668F" w14:textId="77777777" w:rsidR="00835D9E" w:rsidRPr="0060365B" w:rsidRDefault="00835D9E" w:rsidP="00842393">
      <w:pPr>
        <w:rPr>
          <w:rFonts w:ascii="Calibri" w:hAnsi="Calibri" w:cs="Calibri"/>
          <w:shd w:val="clear" w:color="auto" w:fill="FFFFFF"/>
        </w:rPr>
      </w:pPr>
      <w:r w:rsidRPr="0060365B">
        <w:rPr>
          <w:rFonts w:ascii="Calibri" w:hAnsi="Calibri" w:cs="Calibri"/>
          <w:shd w:val="clear" w:color="auto" w:fill="FFFFFF"/>
        </w:rPr>
        <w:t xml:space="preserve">R. </w:t>
      </w:r>
      <w:proofErr w:type="spellStart"/>
      <w:r w:rsidRPr="0060365B">
        <w:rPr>
          <w:rFonts w:ascii="Calibri" w:hAnsi="Calibri" w:cs="Calibri"/>
          <w:shd w:val="clear" w:color="auto" w:fill="FFFFFF"/>
        </w:rPr>
        <w:t>Messent</w:t>
      </w:r>
      <w:proofErr w:type="spellEnd"/>
      <w:r w:rsidRPr="0060365B">
        <w:rPr>
          <w:rFonts w:ascii="Calibri" w:hAnsi="Calibri" w:cs="Calibri"/>
          <w:shd w:val="clear" w:color="auto" w:fill="FFFFFF"/>
        </w:rPr>
        <w:t>, P., Cooke, C.B. and Long, J., 1999. Primary and secondary barriers to physically active healthy lifestyles for adults with learning disabilities. </w:t>
      </w:r>
      <w:r w:rsidRPr="0060365B">
        <w:rPr>
          <w:rFonts w:ascii="Calibri" w:hAnsi="Calibri" w:cs="Calibri"/>
          <w:i/>
          <w:iCs/>
          <w:shd w:val="clear" w:color="auto" w:fill="FFFFFF"/>
        </w:rPr>
        <w:t>Disability and rehabilitation</w:t>
      </w:r>
      <w:r w:rsidRPr="0060365B">
        <w:rPr>
          <w:rFonts w:ascii="Calibri" w:hAnsi="Calibri" w:cs="Calibri"/>
          <w:shd w:val="clear" w:color="auto" w:fill="FFFFFF"/>
        </w:rPr>
        <w:t>, </w:t>
      </w:r>
      <w:r w:rsidRPr="0060365B">
        <w:rPr>
          <w:rFonts w:ascii="Calibri" w:hAnsi="Calibri" w:cs="Calibri"/>
          <w:i/>
          <w:iCs/>
          <w:shd w:val="clear" w:color="auto" w:fill="FFFFFF"/>
        </w:rPr>
        <w:t>21</w:t>
      </w:r>
      <w:r w:rsidRPr="0060365B">
        <w:rPr>
          <w:rFonts w:ascii="Calibri" w:hAnsi="Calibri" w:cs="Calibri"/>
          <w:shd w:val="clear" w:color="auto" w:fill="FFFFFF"/>
        </w:rPr>
        <w:t>(9), pp.409-419.</w:t>
      </w:r>
    </w:p>
    <w:p w14:paraId="479F62FA" w14:textId="77777777" w:rsidR="00835D9E" w:rsidRPr="0060365B" w:rsidRDefault="00835D9E" w:rsidP="006F6265">
      <w:pPr>
        <w:rPr>
          <w:rFonts w:ascii="Calibri" w:hAnsi="Calibri" w:cs="Calibri"/>
          <w:shd w:val="clear" w:color="auto" w:fill="FFFFFF"/>
        </w:rPr>
      </w:pPr>
      <w:r w:rsidRPr="0060365B">
        <w:rPr>
          <w:rFonts w:ascii="Calibri" w:hAnsi="Calibri" w:cs="Calibri"/>
          <w:shd w:val="clear" w:color="auto" w:fill="FFFFFF"/>
        </w:rPr>
        <w:t>Rog, D.J., 2004. The evidence on supported housing. </w:t>
      </w:r>
      <w:r w:rsidRPr="0060365B">
        <w:rPr>
          <w:rFonts w:ascii="Calibri" w:hAnsi="Calibri" w:cs="Calibri"/>
          <w:i/>
          <w:iCs/>
          <w:shd w:val="clear" w:color="auto" w:fill="FFFFFF"/>
        </w:rPr>
        <w:t>Psychiatric Rehabilitation Journal</w:t>
      </w:r>
      <w:r w:rsidRPr="0060365B">
        <w:rPr>
          <w:rFonts w:ascii="Calibri" w:hAnsi="Calibri" w:cs="Calibri"/>
          <w:shd w:val="clear" w:color="auto" w:fill="FFFFFF"/>
        </w:rPr>
        <w:t>, </w:t>
      </w:r>
      <w:r w:rsidRPr="0060365B">
        <w:rPr>
          <w:rFonts w:ascii="Calibri" w:hAnsi="Calibri" w:cs="Calibri"/>
          <w:i/>
          <w:iCs/>
          <w:shd w:val="clear" w:color="auto" w:fill="FFFFFF"/>
        </w:rPr>
        <w:t>27</w:t>
      </w:r>
      <w:r w:rsidRPr="0060365B">
        <w:rPr>
          <w:rFonts w:ascii="Calibri" w:hAnsi="Calibri" w:cs="Calibri"/>
          <w:shd w:val="clear" w:color="auto" w:fill="FFFFFF"/>
        </w:rPr>
        <w:t>(4), p.334.</w:t>
      </w:r>
    </w:p>
    <w:p w14:paraId="48A4E14B" w14:textId="77777777" w:rsidR="00835D9E" w:rsidRPr="0060365B" w:rsidRDefault="00835D9E" w:rsidP="006F6265">
      <w:pPr>
        <w:rPr>
          <w:rFonts w:ascii="Calibri" w:hAnsi="Calibri" w:cs="Calibri"/>
          <w:shd w:val="clear" w:color="auto" w:fill="FFFFFF"/>
        </w:rPr>
      </w:pPr>
      <w:r w:rsidRPr="0060365B">
        <w:rPr>
          <w:rFonts w:ascii="Calibri" w:hAnsi="Calibri" w:cs="Calibri"/>
          <w:shd w:val="clear" w:color="auto" w:fill="FFFFFF"/>
        </w:rPr>
        <w:t>Smith, P.B. and Fischer, R., 2015. Acquiescence, extreme response bias and culture: A multilevel analysis. In </w:t>
      </w:r>
      <w:r w:rsidRPr="0060365B">
        <w:rPr>
          <w:rFonts w:ascii="Calibri" w:hAnsi="Calibri" w:cs="Calibri"/>
          <w:i/>
          <w:iCs/>
          <w:shd w:val="clear" w:color="auto" w:fill="FFFFFF"/>
        </w:rPr>
        <w:t>Multilevel analysis of individuals and cultures</w:t>
      </w:r>
      <w:r w:rsidRPr="0060365B">
        <w:rPr>
          <w:rFonts w:ascii="Calibri" w:hAnsi="Calibri" w:cs="Calibri"/>
          <w:shd w:val="clear" w:color="auto" w:fill="FFFFFF"/>
        </w:rPr>
        <w:t> (pp. 285-314). Psychology Press.</w:t>
      </w:r>
    </w:p>
    <w:sectPr w:rsidR="00835D9E" w:rsidRPr="006036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159DC" w14:textId="77777777" w:rsidR="005F1872" w:rsidRDefault="005F1872" w:rsidP="008025A6">
      <w:pPr>
        <w:spacing w:after="0" w:line="240" w:lineRule="auto"/>
      </w:pPr>
      <w:r>
        <w:separator/>
      </w:r>
    </w:p>
  </w:endnote>
  <w:endnote w:type="continuationSeparator" w:id="0">
    <w:p w14:paraId="216E5E17" w14:textId="77777777" w:rsidR="005F1872" w:rsidRDefault="005F1872" w:rsidP="00802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3F1EE" w14:textId="77777777" w:rsidR="005F1872" w:rsidRDefault="005F1872" w:rsidP="008025A6">
      <w:pPr>
        <w:spacing w:after="0" w:line="240" w:lineRule="auto"/>
      </w:pPr>
      <w:r>
        <w:separator/>
      </w:r>
    </w:p>
  </w:footnote>
  <w:footnote w:type="continuationSeparator" w:id="0">
    <w:p w14:paraId="4C60A0A1" w14:textId="77777777" w:rsidR="005F1872" w:rsidRDefault="005F1872" w:rsidP="00802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1F0F13"/>
    <w:multiLevelType w:val="multilevel"/>
    <w:tmpl w:val="09FEB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7D6173"/>
    <w:multiLevelType w:val="multilevel"/>
    <w:tmpl w:val="86B2E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F606B7"/>
    <w:multiLevelType w:val="multilevel"/>
    <w:tmpl w:val="AC780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9959023">
    <w:abstractNumId w:val="1"/>
  </w:num>
  <w:num w:numId="2" w16cid:durableId="1012561983">
    <w:abstractNumId w:val="2"/>
  </w:num>
  <w:num w:numId="3" w16cid:durableId="1092581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2BD"/>
    <w:rsid w:val="0000297F"/>
    <w:rsid w:val="00035011"/>
    <w:rsid w:val="000375FF"/>
    <w:rsid w:val="00053218"/>
    <w:rsid w:val="00065CB0"/>
    <w:rsid w:val="000F3952"/>
    <w:rsid w:val="00102364"/>
    <w:rsid w:val="00103891"/>
    <w:rsid w:val="00121ABB"/>
    <w:rsid w:val="0015407B"/>
    <w:rsid w:val="002168BC"/>
    <w:rsid w:val="00221502"/>
    <w:rsid w:val="0026440C"/>
    <w:rsid w:val="00293873"/>
    <w:rsid w:val="00295833"/>
    <w:rsid w:val="002E77C7"/>
    <w:rsid w:val="0031756D"/>
    <w:rsid w:val="00354F7E"/>
    <w:rsid w:val="003A744A"/>
    <w:rsid w:val="003B0089"/>
    <w:rsid w:val="003E291C"/>
    <w:rsid w:val="003F2F4B"/>
    <w:rsid w:val="003F4591"/>
    <w:rsid w:val="004028B0"/>
    <w:rsid w:val="00455017"/>
    <w:rsid w:val="00457573"/>
    <w:rsid w:val="00477822"/>
    <w:rsid w:val="004B0D40"/>
    <w:rsid w:val="004B1603"/>
    <w:rsid w:val="004C5EF8"/>
    <w:rsid w:val="005302BD"/>
    <w:rsid w:val="00554CF9"/>
    <w:rsid w:val="0056299F"/>
    <w:rsid w:val="005E16A7"/>
    <w:rsid w:val="005E237A"/>
    <w:rsid w:val="005F1872"/>
    <w:rsid w:val="0060365B"/>
    <w:rsid w:val="00626572"/>
    <w:rsid w:val="00651008"/>
    <w:rsid w:val="0066547A"/>
    <w:rsid w:val="00680964"/>
    <w:rsid w:val="006F2844"/>
    <w:rsid w:val="006F6265"/>
    <w:rsid w:val="00752B8A"/>
    <w:rsid w:val="00770C8A"/>
    <w:rsid w:val="007A2DE0"/>
    <w:rsid w:val="008025A6"/>
    <w:rsid w:val="00835D9E"/>
    <w:rsid w:val="00842393"/>
    <w:rsid w:val="00922850"/>
    <w:rsid w:val="00922F06"/>
    <w:rsid w:val="00936861"/>
    <w:rsid w:val="009A5374"/>
    <w:rsid w:val="009C7085"/>
    <w:rsid w:val="009E73DF"/>
    <w:rsid w:val="00A00CC5"/>
    <w:rsid w:val="00A42BF2"/>
    <w:rsid w:val="00A45777"/>
    <w:rsid w:val="00A62777"/>
    <w:rsid w:val="00A733B1"/>
    <w:rsid w:val="00A9124B"/>
    <w:rsid w:val="00B23176"/>
    <w:rsid w:val="00B31EE7"/>
    <w:rsid w:val="00BA67DA"/>
    <w:rsid w:val="00BC784E"/>
    <w:rsid w:val="00BF2A08"/>
    <w:rsid w:val="00BF4C5B"/>
    <w:rsid w:val="00C02E9E"/>
    <w:rsid w:val="00C61779"/>
    <w:rsid w:val="00C64ACE"/>
    <w:rsid w:val="00D222AC"/>
    <w:rsid w:val="00D52EC0"/>
    <w:rsid w:val="00D57296"/>
    <w:rsid w:val="00D63A4F"/>
    <w:rsid w:val="00D92A76"/>
    <w:rsid w:val="00DB732A"/>
    <w:rsid w:val="00E11C51"/>
    <w:rsid w:val="00E4233C"/>
    <w:rsid w:val="00E7197C"/>
    <w:rsid w:val="00E74ED0"/>
    <w:rsid w:val="00EA27E8"/>
    <w:rsid w:val="00EC7DE3"/>
    <w:rsid w:val="00ED2DB9"/>
    <w:rsid w:val="00F75818"/>
    <w:rsid w:val="00FB5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6E1AF"/>
  <w15:chartTrackingRefBased/>
  <w15:docId w15:val="{62A261C3-5227-4A86-9B52-45733A0DA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91C"/>
  </w:style>
  <w:style w:type="paragraph" w:styleId="Heading1">
    <w:name w:val="heading 1"/>
    <w:basedOn w:val="Normal"/>
    <w:next w:val="Normal"/>
    <w:link w:val="Heading1Char"/>
    <w:uiPriority w:val="9"/>
    <w:qFormat/>
    <w:rsid w:val="005302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02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02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02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02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0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2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02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02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02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02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0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2BD"/>
    <w:rPr>
      <w:rFonts w:eastAsiaTheme="majorEastAsia" w:cstheme="majorBidi"/>
      <w:color w:val="272727" w:themeColor="text1" w:themeTint="D8"/>
    </w:rPr>
  </w:style>
  <w:style w:type="paragraph" w:styleId="Title">
    <w:name w:val="Title"/>
    <w:basedOn w:val="Normal"/>
    <w:next w:val="Normal"/>
    <w:link w:val="TitleChar"/>
    <w:uiPriority w:val="10"/>
    <w:qFormat/>
    <w:rsid w:val="00530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2BD"/>
    <w:pPr>
      <w:spacing w:before="160"/>
      <w:jc w:val="center"/>
    </w:pPr>
    <w:rPr>
      <w:i/>
      <w:iCs/>
      <w:color w:val="404040" w:themeColor="text1" w:themeTint="BF"/>
    </w:rPr>
  </w:style>
  <w:style w:type="character" w:customStyle="1" w:styleId="QuoteChar">
    <w:name w:val="Quote Char"/>
    <w:basedOn w:val="DefaultParagraphFont"/>
    <w:link w:val="Quote"/>
    <w:uiPriority w:val="29"/>
    <w:rsid w:val="005302BD"/>
    <w:rPr>
      <w:i/>
      <w:iCs/>
      <w:color w:val="404040" w:themeColor="text1" w:themeTint="BF"/>
    </w:rPr>
  </w:style>
  <w:style w:type="paragraph" w:styleId="ListParagraph">
    <w:name w:val="List Paragraph"/>
    <w:basedOn w:val="Normal"/>
    <w:uiPriority w:val="34"/>
    <w:qFormat/>
    <w:rsid w:val="005302BD"/>
    <w:pPr>
      <w:ind w:left="720"/>
      <w:contextualSpacing/>
    </w:pPr>
  </w:style>
  <w:style w:type="character" w:styleId="IntenseEmphasis">
    <w:name w:val="Intense Emphasis"/>
    <w:basedOn w:val="DefaultParagraphFont"/>
    <w:uiPriority w:val="21"/>
    <w:qFormat/>
    <w:rsid w:val="005302BD"/>
    <w:rPr>
      <w:i/>
      <w:iCs/>
      <w:color w:val="2F5496" w:themeColor="accent1" w:themeShade="BF"/>
    </w:rPr>
  </w:style>
  <w:style w:type="paragraph" w:styleId="IntenseQuote">
    <w:name w:val="Intense Quote"/>
    <w:basedOn w:val="Normal"/>
    <w:next w:val="Normal"/>
    <w:link w:val="IntenseQuoteChar"/>
    <w:uiPriority w:val="30"/>
    <w:qFormat/>
    <w:rsid w:val="005302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02BD"/>
    <w:rPr>
      <w:i/>
      <w:iCs/>
      <w:color w:val="2F5496" w:themeColor="accent1" w:themeShade="BF"/>
    </w:rPr>
  </w:style>
  <w:style w:type="character" w:styleId="IntenseReference">
    <w:name w:val="Intense Reference"/>
    <w:basedOn w:val="DefaultParagraphFont"/>
    <w:uiPriority w:val="32"/>
    <w:qFormat/>
    <w:rsid w:val="005302BD"/>
    <w:rPr>
      <w:b/>
      <w:bCs/>
      <w:smallCaps/>
      <w:color w:val="2F5496" w:themeColor="accent1" w:themeShade="BF"/>
      <w:spacing w:val="5"/>
    </w:rPr>
  </w:style>
  <w:style w:type="paragraph" w:styleId="NormalWeb">
    <w:name w:val="Normal (Web)"/>
    <w:basedOn w:val="Normal"/>
    <w:uiPriority w:val="99"/>
    <w:unhideWhenUsed/>
    <w:rsid w:val="006265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26572"/>
    <w:rPr>
      <w:b/>
      <w:bCs/>
    </w:rPr>
  </w:style>
  <w:style w:type="paragraph" w:styleId="Header">
    <w:name w:val="header"/>
    <w:basedOn w:val="Normal"/>
    <w:link w:val="HeaderChar"/>
    <w:uiPriority w:val="99"/>
    <w:unhideWhenUsed/>
    <w:rsid w:val="00802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5A6"/>
  </w:style>
  <w:style w:type="paragraph" w:styleId="Footer">
    <w:name w:val="footer"/>
    <w:basedOn w:val="Normal"/>
    <w:link w:val="FooterChar"/>
    <w:uiPriority w:val="99"/>
    <w:unhideWhenUsed/>
    <w:rsid w:val="00802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carmarthenshire-my.sharepoint.com/personal/dyfjones_carmarthenshire_gov_uk/Documents/Feeling%20in%20control%20-%20Supported%20Living.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[Feeling in control - Supported Living.xlsx]Sheet4!PivotTable1</c:name>
    <c:fmtId val="-1"/>
  </c:pivotSource>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100"/>
              <a:t>The extent to which respondents agreed with the following statement: The area in which my family member lives provides sufficient options/opportunities for them to exercise control over their lives</a:t>
            </a:r>
          </a:p>
        </c:rich>
      </c:tx>
      <c:layout>
        <c:manualLayout>
          <c:xMode val="edge"/>
          <c:yMode val="edge"/>
          <c:x val="9.9416666666666667E-2"/>
          <c:y val="4.8484840071175886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Sheet4!$A$4:$A$9</c:f>
              <c:strCache>
                <c:ptCount val="5"/>
                <c:pt idx="0">
                  <c:v>6</c:v>
                </c:pt>
                <c:pt idx="1">
                  <c:v>7</c:v>
                </c:pt>
                <c:pt idx="2">
                  <c:v>8</c:v>
                </c:pt>
                <c:pt idx="3">
                  <c:v>9</c:v>
                </c:pt>
                <c:pt idx="4">
                  <c:v>10</c:v>
                </c:pt>
              </c:strCache>
            </c:strRef>
          </c:cat>
          <c:val>
            <c:numRef>
              <c:f>Sheet4!$B$4:$B$9</c:f>
              <c:numCache>
                <c:formatCode>General</c:formatCode>
                <c:ptCount val="5"/>
                <c:pt idx="0">
                  <c:v>2</c:v>
                </c:pt>
                <c:pt idx="1">
                  <c:v>5</c:v>
                </c:pt>
                <c:pt idx="2">
                  <c:v>4</c:v>
                </c:pt>
                <c:pt idx="3">
                  <c:v>2</c:v>
                </c:pt>
                <c:pt idx="4">
                  <c:v>3</c:v>
                </c:pt>
              </c:numCache>
            </c:numRef>
          </c:val>
          <c:extLst>
            <c:ext xmlns:c16="http://schemas.microsoft.com/office/drawing/2014/chart" uri="{C3380CC4-5D6E-409C-BE32-E72D297353CC}">
              <c16:uniqueId val="{00000000-BECB-4385-A29C-C79BDC826206}"/>
            </c:ext>
          </c:extLst>
        </c:ser>
        <c:dLbls>
          <c:showLegendKey val="0"/>
          <c:showVal val="0"/>
          <c:showCatName val="0"/>
          <c:showSerName val="0"/>
          <c:showPercent val="0"/>
          <c:showBubbleSize val="0"/>
        </c:dLbls>
        <c:gapWidth val="219"/>
        <c:overlap val="-27"/>
        <c:axId val="684742560"/>
        <c:axId val="684743280"/>
      </c:barChart>
      <c:catAx>
        <c:axId val="6847425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 out of 10</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43280"/>
        <c:crosses val="autoZero"/>
        <c:auto val="1"/>
        <c:lblAlgn val="ctr"/>
        <c:lblOffset val="100"/>
        <c:noMultiLvlLbl val="0"/>
      </c:catAx>
      <c:valAx>
        <c:axId val="684743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individuals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42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[Feeling in control - Supported Living.xlsx]Sheet5!PivotTable2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 The area in which my family member lives provides sufficient options/opportunities for them to exercise control over their lives by area type</a:t>
            </a:r>
          </a:p>
        </c:rich>
      </c:tx>
      <c:layout>
        <c:manualLayout>
          <c:xMode val="edge"/>
          <c:yMode val="edge"/>
          <c:x val="0.10937489063867016"/>
          <c:y val="5.45348498104403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Sheet5!$B$3:$B$4</c:f>
              <c:strCache>
                <c:ptCount val="1"/>
                <c:pt idx="0">
                  <c:v>Rural</c:v>
                </c:pt>
              </c:strCache>
            </c:strRef>
          </c:tx>
          <c:spPr>
            <a:solidFill>
              <a:schemeClr val="accent1"/>
            </a:solidFill>
            <a:ln>
              <a:noFill/>
            </a:ln>
            <a:effectLst/>
          </c:spPr>
          <c:invertIfNegative val="0"/>
          <c:cat>
            <c:strRef>
              <c:f>Sheet5!$A$5:$A$10</c:f>
              <c:strCache>
                <c:ptCount val="5"/>
                <c:pt idx="0">
                  <c:v>6</c:v>
                </c:pt>
                <c:pt idx="1">
                  <c:v>7</c:v>
                </c:pt>
                <c:pt idx="2">
                  <c:v>8</c:v>
                </c:pt>
                <c:pt idx="3">
                  <c:v>9</c:v>
                </c:pt>
                <c:pt idx="4">
                  <c:v>10</c:v>
                </c:pt>
              </c:strCache>
            </c:strRef>
          </c:cat>
          <c:val>
            <c:numRef>
              <c:f>Sheet5!$B$5:$B$10</c:f>
              <c:numCache>
                <c:formatCode>General</c:formatCode>
                <c:ptCount val="5"/>
                <c:pt idx="1">
                  <c:v>2</c:v>
                </c:pt>
                <c:pt idx="2">
                  <c:v>1</c:v>
                </c:pt>
              </c:numCache>
            </c:numRef>
          </c:val>
          <c:extLst>
            <c:ext xmlns:c16="http://schemas.microsoft.com/office/drawing/2014/chart" uri="{C3380CC4-5D6E-409C-BE32-E72D297353CC}">
              <c16:uniqueId val="{00000000-CFC9-4C13-897D-1D96A2621A0B}"/>
            </c:ext>
          </c:extLst>
        </c:ser>
        <c:ser>
          <c:idx val="1"/>
          <c:order val="1"/>
          <c:tx>
            <c:strRef>
              <c:f>Sheet5!$C$3:$C$4</c:f>
              <c:strCache>
                <c:ptCount val="1"/>
                <c:pt idx="0">
                  <c:v>Town</c:v>
                </c:pt>
              </c:strCache>
            </c:strRef>
          </c:tx>
          <c:spPr>
            <a:solidFill>
              <a:schemeClr val="accent2"/>
            </a:solidFill>
            <a:ln>
              <a:noFill/>
            </a:ln>
            <a:effectLst/>
          </c:spPr>
          <c:invertIfNegative val="0"/>
          <c:cat>
            <c:strRef>
              <c:f>Sheet5!$A$5:$A$10</c:f>
              <c:strCache>
                <c:ptCount val="5"/>
                <c:pt idx="0">
                  <c:v>6</c:v>
                </c:pt>
                <c:pt idx="1">
                  <c:v>7</c:v>
                </c:pt>
                <c:pt idx="2">
                  <c:v>8</c:v>
                </c:pt>
                <c:pt idx="3">
                  <c:v>9</c:v>
                </c:pt>
                <c:pt idx="4">
                  <c:v>10</c:v>
                </c:pt>
              </c:strCache>
            </c:strRef>
          </c:cat>
          <c:val>
            <c:numRef>
              <c:f>Sheet5!$C$5:$C$10</c:f>
              <c:numCache>
                <c:formatCode>General</c:formatCode>
                <c:ptCount val="5"/>
                <c:pt idx="1">
                  <c:v>2</c:v>
                </c:pt>
                <c:pt idx="2">
                  <c:v>3</c:v>
                </c:pt>
                <c:pt idx="3">
                  <c:v>2</c:v>
                </c:pt>
                <c:pt idx="4">
                  <c:v>1</c:v>
                </c:pt>
              </c:numCache>
            </c:numRef>
          </c:val>
          <c:extLst>
            <c:ext xmlns:c16="http://schemas.microsoft.com/office/drawing/2014/chart" uri="{C3380CC4-5D6E-409C-BE32-E72D297353CC}">
              <c16:uniqueId val="{00000001-CFC9-4C13-897D-1D96A2621A0B}"/>
            </c:ext>
          </c:extLst>
        </c:ser>
        <c:ser>
          <c:idx val="2"/>
          <c:order val="2"/>
          <c:tx>
            <c:strRef>
              <c:f>Sheet5!$D$3:$D$4</c:f>
              <c:strCache>
                <c:ptCount val="1"/>
                <c:pt idx="0">
                  <c:v>Village</c:v>
                </c:pt>
              </c:strCache>
            </c:strRef>
          </c:tx>
          <c:spPr>
            <a:solidFill>
              <a:schemeClr val="accent3"/>
            </a:solidFill>
            <a:ln>
              <a:noFill/>
            </a:ln>
            <a:effectLst/>
          </c:spPr>
          <c:invertIfNegative val="0"/>
          <c:cat>
            <c:strRef>
              <c:f>Sheet5!$A$5:$A$10</c:f>
              <c:strCache>
                <c:ptCount val="5"/>
                <c:pt idx="0">
                  <c:v>6</c:v>
                </c:pt>
                <c:pt idx="1">
                  <c:v>7</c:v>
                </c:pt>
                <c:pt idx="2">
                  <c:v>8</c:v>
                </c:pt>
                <c:pt idx="3">
                  <c:v>9</c:v>
                </c:pt>
                <c:pt idx="4">
                  <c:v>10</c:v>
                </c:pt>
              </c:strCache>
            </c:strRef>
          </c:cat>
          <c:val>
            <c:numRef>
              <c:f>Sheet5!$D$5:$D$10</c:f>
              <c:numCache>
                <c:formatCode>General</c:formatCode>
                <c:ptCount val="5"/>
                <c:pt idx="0">
                  <c:v>2</c:v>
                </c:pt>
                <c:pt idx="1">
                  <c:v>1</c:v>
                </c:pt>
                <c:pt idx="4">
                  <c:v>2</c:v>
                </c:pt>
              </c:numCache>
            </c:numRef>
          </c:val>
          <c:extLst>
            <c:ext xmlns:c16="http://schemas.microsoft.com/office/drawing/2014/chart" uri="{C3380CC4-5D6E-409C-BE32-E72D297353CC}">
              <c16:uniqueId val="{00000002-CFC9-4C13-897D-1D96A2621A0B}"/>
            </c:ext>
          </c:extLst>
        </c:ser>
        <c:dLbls>
          <c:showLegendKey val="0"/>
          <c:showVal val="0"/>
          <c:showCatName val="0"/>
          <c:showSerName val="0"/>
          <c:showPercent val="0"/>
          <c:showBubbleSize val="0"/>
        </c:dLbls>
        <c:gapWidth val="219"/>
        <c:overlap val="-27"/>
        <c:axId val="707051984"/>
        <c:axId val="707045144"/>
      </c:barChart>
      <c:catAx>
        <c:axId val="70705198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045144"/>
        <c:crosses val="autoZero"/>
        <c:auto val="1"/>
        <c:lblAlgn val="ctr"/>
        <c:lblOffset val="100"/>
        <c:noMultiLvlLbl val="0"/>
      </c:catAx>
      <c:valAx>
        <c:axId val="707045144"/>
        <c:scaling>
          <c:orientation val="minMax"/>
          <c:max val="4"/>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051984"/>
        <c:crosses val="autoZero"/>
        <c:crossBetween val="between"/>
        <c:majorUnit val="1"/>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and standart deviation</a:t>
            </a:r>
            <a:r>
              <a:rPr lang="en-GB" baseline="0"/>
              <a:t> of  oppertunities within location score by area type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'[Feeling in control - Supported Living.xlsx]Sheet1'!$F$38</c:f>
              <c:strCache>
                <c:ptCount val="1"/>
                <c:pt idx="0">
                  <c:v>Average</c:v>
                </c:pt>
              </c:strCache>
            </c:strRef>
          </c:tx>
          <c:spPr>
            <a:solidFill>
              <a:schemeClr val="accent1"/>
            </a:solidFill>
            <a:ln>
              <a:noFill/>
            </a:ln>
            <a:effectLst/>
          </c:spPr>
          <c:invertIfNegative val="0"/>
          <c:cat>
            <c:strRef>
              <c:f>'[Feeling in control - Supported Living.xlsx]Sheet1'!$E$39:$E$41</c:f>
              <c:strCache>
                <c:ptCount val="3"/>
                <c:pt idx="0">
                  <c:v>Village</c:v>
                </c:pt>
                <c:pt idx="1">
                  <c:v>Town</c:v>
                </c:pt>
                <c:pt idx="2">
                  <c:v>Rural</c:v>
                </c:pt>
              </c:strCache>
            </c:strRef>
          </c:cat>
          <c:val>
            <c:numRef>
              <c:f>'[Feeling in control - Supported Living.xlsx]Sheet1'!$F$39:$F$41</c:f>
              <c:numCache>
                <c:formatCode>General</c:formatCode>
                <c:ptCount val="3"/>
                <c:pt idx="0">
                  <c:v>7.8</c:v>
                </c:pt>
                <c:pt idx="1">
                  <c:v>8</c:v>
                </c:pt>
                <c:pt idx="2">
                  <c:v>7.67</c:v>
                </c:pt>
              </c:numCache>
            </c:numRef>
          </c:val>
          <c:extLst>
            <c:ext xmlns:c16="http://schemas.microsoft.com/office/drawing/2014/chart" uri="{C3380CC4-5D6E-409C-BE32-E72D297353CC}">
              <c16:uniqueId val="{00000000-1153-4E9D-9059-1F192F0B5B9C}"/>
            </c:ext>
          </c:extLst>
        </c:ser>
        <c:dLbls>
          <c:showLegendKey val="0"/>
          <c:showVal val="0"/>
          <c:showCatName val="0"/>
          <c:showSerName val="0"/>
          <c:showPercent val="0"/>
          <c:showBubbleSize val="0"/>
        </c:dLbls>
        <c:gapWidth val="219"/>
        <c:overlap val="-27"/>
        <c:axId val="665639696"/>
        <c:axId val="665644736"/>
      </c:barChart>
      <c:lineChart>
        <c:grouping val="standard"/>
        <c:varyColors val="0"/>
        <c:ser>
          <c:idx val="1"/>
          <c:order val="1"/>
          <c:tx>
            <c:strRef>
              <c:f>'[Feeling in control - Supported Living.xlsx]Sheet1'!$G$38</c:f>
              <c:strCache>
                <c:ptCount val="1"/>
                <c:pt idx="0">
                  <c:v>St Dev</c:v>
                </c:pt>
              </c:strCache>
            </c:strRef>
          </c:tx>
          <c:spPr>
            <a:ln w="28575" cap="rnd">
              <a:solidFill>
                <a:schemeClr val="accent2"/>
              </a:solidFill>
              <a:round/>
            </a:ln>
            <a:effectLst/>
          </c:spPr>
          <c:marker>
            <c:symbol val="none"/>
          </c:marker>
          <c:cat>
            <c:strRef>
              <c:f>'[Feeling in control - Supported Living.xlsx]Sheet1'!$E$39:$E$41</c:f>
              <c:strCache>
                <c:ptCount val="3"/>
                <c:pt idx="0">
                  <c:v>Village</c:v>
                </c:pt>
                <c:pt idx="1">
                  <c:v>Town</c:v>
                </c:pt>
                <c:pt idx="2">
                  <c:v>Rural</c:v>
                </c:pt>
              </c:strCache>
            </c:strRef>
          </c:cat>
          <c:val>
            <c:numRef>
              <c:f>'[Feeling in control - Supported Living.xlsx]Sheet1'!$G$39:$G$41</c:f>
              <c:numCache>
                <c:formatCode>General</c:formatCode>
                <c:ptCount val="3"/>
                <c:pt idx="0">
                  <c:v>1.2975337182516684</c:v>
                </c:pt>
                <c:pt idx="1">
                  <c:v>1.0714144828603169</c:v>
                </c:pt>
                <c:pt idx="2">
                  <c:v>0.8</c:v>
                </c:pt>
              </c:numCache>
            </c:numRef>
          </c:val>
          <c:smooth val="0"/>
          <c:extLst>
            <c:ext xmlns:c16="http://schemas.microsoft.com/office/drawing/2014/chart" uri="{C3380CC4-5D6E-409C-BE32-E72D297353CC}">
              <c16:uniqueId val="{00000001-1153-4E9D-9059-1F192F0B5B9C}"/>
            </c:ext>
          </c:extLst>
        </c:ser>
        <c:dLbls>
          <c:showLegendKey val="0"/>
          <c:showVal val="0"/>
          <c:showCatName val="0"/>
          <c:showSerName val="0"/>
          <c:showPercent val="0"/>
          <c:showBubbleSize val="0"/>
        </c:dLbls>
        <c:marker val="1"/>
        <c:smooth val="0"/>
        <c:axId val="665646896"/>
        <c:axId val="665646536"/>
      </c:lineChart>
      <c:catAx>
        <c:axId val="66563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644736"/>
        <c:crosses val="autoZero"/>
        <c:auto val="1"/>
        <c:lblAlgn val="ctr"/>
        <c:lblOffset val="100"/>
        <c:noMultiLvlLbl val="0"/>
      </c:catAx>
      <c:valAx>
        <c:axId val="665644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639696"/>
        <c:crosses val="autoZero"/>
        <c:crossBetween val="between"/>
      </c:valAx>
      <c:valAx>
        <c:axId val="66564653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646896"/>
        <c:crosses val="max"/>
        <c:crossBetween val="between"/>
      </c:valAx>
      <c:catAx>
        <c:axId val="665646896"/>
        <c:scaling>
          <c:orientation val="minMax"/>
        </c:scaling>
        <c:delete val="1"/>
        <c:axPos val="b"/>
        <c:numFmt formatCode="General" sourceLinked="1"/>
        <c:majorTickMark val="out"/>
        <c:minorTickMark val="none"/>
        <c:tickLblPos val="nextTo"/>
        <c:crossAx val="665646536"/>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Please identify aspects of your family member's life that you feel they could be allowed to exercise more control over </a:t>
            </a:r>
          </a:p>
        </c:rich>
      </c:tx>
      <c:layout>
        <c:manualLayout>
          <c:xMode val="edge"/>
          <c:yMode val="edge"/>
          <c:x val="0.12315288713910762"/>
          <c:y val="2.31481481481481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'[Feeling in control - Supported Living.xlsx]Sheet1'!$I$20:$I$23</c:f>
              <c:strCache>
                <c:ptCount val="4"/>
                <c:pt idx="0">
                  <c:v>Furnishings of the home</c:v>
                </c:pt>
                <c:pt idx="1">
                  <c:v>Location</c:v>
                </c:pt>
                <c:pt idx="2">
                  <c:v>Boundaries/Relationships with staff</c:v>
                </c:pt>
                <c:pt idx="3">
                  <c:v>Involvement in care planning</c:v>
                </c:pt>
              </c:strCache>
            </c:strRef>
          </c:cat>
          <c:val>
            <c:numRef>
              <c:f>'[Feeling in control - Supported Living.xlsx]Sheet1'!$J$20:$J$23</c:f>
              <c:numCache>
                <c:formatCode>General</c:formatCode>
                <c:ptCount val="4"/>
                <c:pt idx="0">
                  <c:v>5</c:v>
                </c:pt>
                <c:pt idx="1">
                  <c:v>3</c:v>
                </c:pt>
                <c:pt idx="2">
                  <c:v>6</c:v>
                </c:pt>
                <c:pt idx="3">
                  <c:v>6</c:v>
                </c:pt>
              </c:numCache>
            </c:numRef>
          </c:val>
          <c:extLst>
            <c:ext xmlns:c16="http://schemas.microsoft.com/office/drawing/2014/chart" uri="{C3380CC4-5D6E-409C-BE32-E72D297353CC}">
              <c16:uniqueId val="{00000000-32E6-4719-AA82-061141B67C55}"/>
            </c:ext>
          </c:extLst>
        </c:ser>
        <c:dLbls>
          <c:showLegendKey val="0"/>
          <c:showVal val="0"/>
          <c:showCatName val="0"/>
          <c:showSerName val="0"/>
          <c:showPercent val="0"/>
          <c:showBubbleSize val="0"/>
        </c:dLbls>
        <c:gapWidth val="182"/>
        <c:axId val="673800400"/>
        <c:axId val="673798240"/>
      </c:barChart>
      <c:catAx>
        <c:axId val="673800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798240"/>
        <c:crosses val="autoZero"/>
        <c:auto val="1"/>
        <c:lblAlgn val="ctr"/>
        <c:lblOffset val="100"/>
        <c:noMultiLvlLbl val="0"/>
      </c:catAx>
      <c:valAx>
        <c:axId val="6737982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800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Village respondents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39-4974-8F11-7095A6D3746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39-4974-8F11-7095A6D3746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39-4974-8F11-7095A6D3746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39-4974-8F11-7095A6D3746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'[Feeling in control - Supported Living.xlsx]Sheet1'!$E$28:$E$31</c:f>
              <c:strCache>
                <c:ptCount val="4"/>
                <c:pt idx="0">
                  <c:v>Location </c:v>
                </c:pt>
                <c:pt idx="1">
                  <c:v>Involvement in care planning</c:v>
                </c:pt>
                <c:pt idx="2">
                  <c:v>Furnashings of the home</c:v>
                </c:pt>
                <c:pt idx="3">
                  <c:v>Boundaries / Relationships with staff</c:v>
                </c:pt>
              </c:strCache>
            </c:strRef>
          </c:cat>
          <c:val>
            <c:numRef>
              <c:f>'[Feeling in control - Supported Living.xlsx]Sheet1'!$F$28:$F$31</c:f>
              <c:numCache>
                <c:formatCode>General</c:formatCode>
                <c:ptCount val="4"/>
                <c:pt idx="0">
                  <c:v>1</c:v>
                </c:pt>
                <c:pt idx="1">
                  <c:v>3</c:v>
                </c:pt>
                <c:pt idx="2">
                  <c:v>1</c:v>
                </c:pt>
                <c:pt idx="3">
                  <c:v>2</c:v>
                </c:pt>
              </c:numCache>
            </c:numRef>
          </c:val>
          <c:extLst>
            <c:ext xmlns:c16="http://schemas.microsoft.com/office/drawing/2014/chart" uri="{C3380CC4-5D6E-409C-BE32-E72D297353CC}">
              <c16:uniqueId val="{00000008-4B39-4974-8F11-7095A6D3746A}"/>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Town respondents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3B-495B-949B-0BB8135FB36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3B-495B-949B-0BB8135FB36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C3B-495B-949B-0BB8135FB36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'[Feeling in control - Supported Living.xlsx]Sheet1'!$E$34:$E$36</c:f>
              <c:strCache>
                <c:ptCount val="3"/>
                <c:pt idx="0">
                  <c:v>Boundaries / Relationships with staff</c:v>
                </c:pt>
                <c:pt idx="1">
                  <c:v>Furnashings of the home</c:v>
                </c:pt>
                <c:pt idx="2">
                  <c:v>Involvement in care planning</c:v>
                </c:pt>
              </c:strCache>
            </c:strRef>
          </c:cat>
          <c:val>
            <c:numRef>
              <c:f>'[Feeling in control - Supported Living.xlsx]Sheet1'!$F$34:$F$36</c:f>
              <c:numCache>
                <c:formatCode>General</c:formatCode>
                <c:ptCount val="3"/>
                <c:pt idx="0">
                  <c:v>3</c:v>
                </c:pt>
                <c:pt idx="1">
                  <c:v>4</c:v>
                </c:pt>
                <c:pt idx="2">
                  <c:v>2</c:v>
                </c:pt>
              </c:numCache>
            </c:numRef>
          </c:val>
          <c:extLst>
            <c:ext xmlns:c16="http://schemas.microsoft.com/office/drawing/2014/chart" uri="{C3380CC4-5D6E-409C-BE32-E72D297353CC}">
              <c16:uniqueId val="{00000006-4C3B-495B-949B-0BB8135FB36A}"/>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Rural respondents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8A-41B0-91F3-69B1C28012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8A-41B0-91F3-69B1C28012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8A-41B0-91F3-69B1C28012B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'[Feeling in control - Supported Living.xlsx]Sheet1'!$E$23:$E$25</c:f>
              <c:strCache>
                <c:ptCount val="3"/>
                <c:pt idx="0">
                  <c:v>Relationships with staff</c:v>
                </c:pt>
                <c:pt idx="1">
                  <c:v>Involvement in care planning</c:v>
                </c:pt>
                <c:pt idx="2">
                  <c:v>Location</c:v>
                </c:pt>
              </c:strCache>
            </c:strRef>
          </c:cat>
          <c:val>
            <c:numRef>
              <c:f>'[Feeling in control - Supported Living.xlsx]Sheet1'!$F$23:$F$25</c:f>
              <c:numCache>
                <c:formatCode>General</c:formatCode>
                <c:ptCount val="3"/>
                <c:pt idx="0">
                  <c:v>2</c:v>
                </c:pt>
                <c:pt idx="1">
                  <c:v>1</c:v>
                </c:pt>
                <c:pt idx="2">
                  <c:v>2</c:v>
                </c:pt>
              </c:numCache>
            </c:numRef>
          </c:val>
          <c:extLst>
            <c:ext xmlns:c16="http://schemas.microsoft.com/office/drawing/2014/chart" uri="{C3380CC4-5D6E-409C-BE32-E72D297353CC}">
              <c16:uniqueId val="{00000006-078A-41B0-91F3-69B1C28012B2}"/>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[Feeling in control - Supported Living.xlsx]Sheet3!PivotTable2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level to which the respondents feel that their family member is allowed to exercise control over their lives within their Supported Living setting</a:t>
            </a:r>
          </a:p>
        </c:rich>
      </c:tx>
      <c:layout>
        <c:manualLayout>
          <c:xMode val="edge"/>
          <c:yMode val="edge"/>
          <c:x val="0.10016666666666667"/>
          <c:y val="3.472222222222222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Sheet3!$B$2</c:f>
              <c:strCache>
                <c:ptCount val="1"/>
                <c:pt idx="0">
                  <c:v>Total</c:v>
                </c:pt>
              </c:strCache>
            </c:strRef>
          </c:tx>
          <c:spPr>
            <a:solidFill>
              <a:schemeClr val="accent1"/>
            </a:solidFill>
            <a:ln>
              <a:noFill/>
            </a:ln>
            <a:effectLst/>
          </c:spPr>
          <c:invertIfNegative val="0"/>
          <c:cat>
            <c:strRef>
              <c:f>Sheet3!$A$3:$A$8</c:f>
              <c:strCache>
                <c:ptCount val="5"/>
                <c:pt idx="0">
                  <c:v>6</c:v>
                </c:pt>
                <c:pt idx="1">
                  <c:v>7</c:v>
                </c:pt>
                <c:pt idx="2">
                  <c:v>8</c:v>
                </c:pt>
                <c:pt idx="3">
                  <c:v>9</c:v>
                </c:pt>
                <c:pt idx="4">
                  <c:v>10</c:v>
                </c:pt>
              </c:strCache>
            </c:strRef>
          </c:cat>
          <c:val>
            <c:numRef>
              <c:f>Sheet3!$B$3:$B$8</c:f>
              <c:numCache>
                <c:formatCode>General</c:formatCode>
                <c:ptCount val="5"/>
                <c:pt idx="0">
                  <c:v>4</c:v>
                </c:pt>
                <c:pt idx="1">
                  <c:v>2</c:v>
                </c:pt>
                <c:pt idx="2">
                  <c:v>5</c:v>
                </c:pt>
                <c:pt idx="3">
                  <c:v>2</c:v>
                </c:pt>
                <c:pt idx="4">
                  <c:v>3</c:v>
                </c:pt>
              </c:numCache>
            </c:numRef>
          </c:val>
          <c:extLst>
            <c:ext xmlns:c16="http://schemas.microsoft.com/office/drawing/2014/chart" uri="{C3380CC4-5D6E-409C-BE32-E72D297353CC}">
              <c16:uniqueId val="{00000000-7CB3-4AD1-9AF7-44216FFAE5F2}"/>
            </c:ext>
          </c:extLst>
        </c:ser>
        <c:dLbls>
          <c:showLegendKey val="0"/>
          <c:showVal val="0"/>
          <c:showCatName val="0"/>
          <c:showSerName val="0"/>
          <c:showPercent val="0"/>
          <c:showBubbleSize val="0"/>
        </c:dLbls>
        <c:gapWidth val="219"/>
        <c:overlap val="-27"/>
        <c:axId val="109583880"/>
        <c:axId val="109590024"/>
      </c:barChart>
      <c:catAx>
        <c:axId val="109583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 out of 10</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590024"/>
        <c:crosses val="autoZero"/>
        <c:auto val="1"/>
        <c:lblAlgn val="ctr"/>
        <c:lblOffset val="100"/>
        <c:noMultiLvlLbl val="0"/>
      </c:catAx>
      <c:valAx>
        <c:axId val="109590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5838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score for</a:t>
            </a:r>
            <a:r>
              <a:rPr lang="en-GB" baseline="0"/>
              <a:t> overall control by area for improvement category</a:t>
            </a:r>
            <a:endParaRPr lang="en-GB"/>
          </a:p>
        </c:rich>
      </c:tx>
      <c:layout>
        <c:manualLayout>
          <c:xMode val="edge"/>
          <c:yMode val="edge"/>
          <c:x val="0.15290266841644795"/>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'[Feeling in control - Supported Living.xlsx]Sheet1'!$F$47:$F$50</c:f>
              <c:strCache>
                <c:ptCount val="4"/>
                <c:pt idx="0">
                  <c:v>Boundaries / Relationship with staff</c:v>
                </c:pt>
                <c:pt idx="1">
                  <c:v>Furnashings of the home</c:v>
                </c:pt>
                <c:pt idx="2">
                  <c:v>Involvement in care planning</c:v>
                </c:pt>
                <c:pt idx="3">
                  <c:v>Location</c:v>
                </c:pt>
              </c:strCache>
            </c:strRef>
          </c:cat>
          <c:val>
            <c:numRef>
              <c:f>'[Feeling in control - Supported Living.xlsx]Sheet1'!$G$47:$G$50</c:f>
              <c:numCache>
                <c:formatCode>General</c:formatCode>
                <c:ptCount val="4"/>
                <c:pt idx="0">
                  <c:v>6.83</c:v>
                </c:pt>
                <c:pt idx="1">
                  <c:v>8.5</c:v>
                </c:pt>
                <c:pt idx="2">
                  <c:v>8</c:v>
                </c:pt>
                <c:pt idx="3">
                  <c:v>7.33</c:v>
                </c:pt>
              </c:numCache>
            </c:numRef>
          </c:val>
          <c:extLst>
            <c:ext xmlns:c16="http://schemas.microsoft.com/office/drawing/2014/chart" uri="{C3380CC4-5D6E-409C-BE32-E72D297353CC}">
              <c16:uniqueId val="{00000000-59E3-4B11-A084-6C871498A88D}"/>
            </c:ext>
          </c:extLst>
        </c:ser>
        <c:dLbls>
          <c:dLblPos val="outEnd"/>
          <c:showLegendKey val="0"/>
          <c:showVal val="1"/>
          <c:showCatName val="0"/>
          <c:showSerName val="0"/>
          <c:showPercent val="0"/>
          <c:showBubbleSize val="0"/>
        </c:dLbls>
        <c:gapWidth val="182"/>
        <c:axId val="692220296"/>
        <c:axId val="692214536"/>
      </c:barChart>
      <c:catAx>
        <c:axId val="692220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214536"/>
        <c:crosses val="autoZero"/>
        <c:auto val="1"/>
        <c:lblAlgn val="ctr"/>
        <c:lblOffset val="100"/>
        <c:noMultiLvlLbl val="0"/>
      </c:catAx>
      <c:valAx>
        <c:axId val="6922145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220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Avg Score (Overall control) by Opportunities within</a:t>
            </a:r>
            <a:r>
              <a:rPr lang="en-GB" baseline="0"/>
              <a:t> Location Score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'[Feeling in control - Supported Living.xlsx]Sheet1'!$H$30</c:f>
              <c:strCache>
                <c:ptCount val="1"/>
                <c:pt idx="0">
                  <c:v>Avg Score (Overall control)</c:v>
                </c:pt>
              </c:strCache>
            </c:strRef>
          </c:tx>
          <c:spPr>
            <a:ln w="28575" cap="rnd">
              <a:solidFill>
                <a:schemeClr val="accent1"/>
              </a:solidFill>
              <a:round/>
            </a:ln>
            <a:effectLst/>
          </c:spPr>
          <c:marker>
            <c:symbol val="none"/>
          </c:marker>
          <c:cat>
            <c:numRef>
              <c:f>'[Feeling in control - Supported Living.xlsx]Sheet1'!$G$31:$G$35</c:f>
              <c:numCache>
                <c:formatCode>General</c:formatCode>
                <c:ptCount val="5"/>
                <c:pt idx="0">
                  <c:v>6</c:v>
                </c:pt>
                <c:pt idx="1">
                  <c:v>7</c:v>
                </c:pt>
                <c:pt idx="2">
                  <c:v>8</c:v>
                </c:pt>
                <c:pt idx="3">
                  <c:v>9</c:v>
                </c:pt>
                <c:pt idx="4">
                  <c:v>10</c:v>
                </c:pt>
              </c:numCache>
            </c:numRef>
          </c:cat>
          <c:val>
            <c:numRef>
              <c:f>'[Feeling in control - Supported Living.xlsx]Sheet1'!$H$31:$H$35</c:f>
              <c:numCache>
                <c:formatCode>General</c:formatCode>
                <c:ptCount val="5"/>
                <c:pt idx="0">
                  <c:v>6</c:v>
                </c:pt>
                <c:pt idx="1">
                  <c:v>7.2</c:v>
                </c:pt>
                <c:pt idx="2">
                  <c:v>8</c:v>
                </c:pt>
                <c:pt idx="3">
                  <c:v>8</c:v>
                </c:pt>
                <c:pt idx="4">
                  <c:v>10</c:v>
                </c:pt>
              </c:numCache>
            </c:numRef>
          </c:val>
          <c:smooth val="0"/>
          <c:extLst>
            <c:ext xmlns:c16="http://schemas.microsoft.com/office/drawing/2014/chart" uri="{C3380CC4-5D6E-409C-BE32-E72D297353CC}">
              <c16:uniqueId val="{00000000-DF09-4D73-85CA-99200592E0ED}"/>
            </c:ext>
          </c:extLst>
        </c:ser>
        <c:dLbls>
          <c:showLegendKey val="0"/>
          <c:showVal val="0"/>
          <c:showCatName val="0"/>
          <c:showSerName val="0"/>
          <c:showPercent val="0"/>
          <c:showBubbleSize val="0"/>
        </c:dLbls>
        <c:smooth val="0"/>
        <c:axId val="673814080"/>
        <c:axId val="673820920"/>
      </c:lineChart>
      <c:catAx>
        <c:axId val="673814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Location 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820920"/>
        <c:crosses val="autoZero"/>
        <c:auto val="1"/>
        <c:lblAlgn val="ctr"/>
        <c:lblOffset val="100"/>
        <c:noMultiLvlLbl val="0"/>
      </c:catAx>
      <c:valAx>
        <c:axId val="673820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Avg Score (Overall Control)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814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B929E-060E-473E-8694-FAEDC1400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18</Pages>
  <Words>6917</Words>
  <Characters>39432</Characters>
  <Application>Microsoft Office Word</Application>
  <DocSecurity>0</DocSecurity>
  <Lines>328</Lines>
  <Paragraphs>92</Paragraphs>
  <ScaleCrop>false</ScaleCrop>
  <Company/>
  <LinksUpToDate>false</LinksUpToDate>
  <CharactersWithSpaces>46257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Dyfan L Jones</dc:creator>
  <cp:keywords/>
  <dc:description/>
  <cp:lastModifiedBy>Dyfan L Jones</cp:lastModifiedBy>
  <cp:revision>79</cp:revision>
  <dcterms:created xsi:type="dcterms:W3CDTF">2024-06-18T18:38:00Z</dcterms:created>
  <dcterms:modified xsi:type="dcterms:W3CDTF">2024-06-19T17:56:00Z</dcterms:modified>
</cp:coreProperties>
</file>