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DB133A" w:rsidP="00DB133A">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budgeting principles and approaches - edwards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4B79BE" w:rsidP="004B79BE">
              <w:pPr>
                <w:pStyle w:val="NoSpacing"/>
                <w:jc w:val="center"/>
                <w:rPr>
                  <w:color w:val="5B9BD5" w:themeColor="accent1"/>
                  <w:sz w:val="28"/>
                  <w:szCs w:val="28"/>
                </w:rPr>
              </w:pPr>
              <w:r>
                <w:rPr>
                  <w:color w:val="5B9BD5" w:themeColor="accent1"/>
                  <w:sz w:val="28"/>
                  <w:szCs w:val="28"/>
                </w:rPr>
                <w:t xml:space="preserve">Irina </w:t>
              </w:r>
              <w:proofErr w:type="spellStart"/>
              <w:r>
                <w:rPr>
                  <w:color w:val="5B9BD5" w:themeColor="accent1"/>
                  <w:sz w:val="28"/>
                  <w:szCs w:val="28"/>
                </w:rPr>
                <w:t>Kitley</w:t>
              </w:r>
              <w:proofErr w:type="spellEnd"/>
              <w:r>
                <w:rPr>
                  <w:color w:val="5B9BD5" w:themeColor="accent1"/>
                  <w:sz w:val="28"/>
                  <w:szCs w:val="28"/>
                </w:rPr>
                <w:t xml:space="preserve"> 2219546 </w:t>
              </w:r>
            </w:p>
          </w:sdtContent>
        </w:sdt>
        <w:p w:rsidR="007D1947" w:rsidRDefault="00170F72">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next-textbox:#Text Box 142;mso-fit-shape-to-text:t" inset="0,0,0,0">
                  <w:txbxContent>
                    <w:sdt>
                      <w:sdtPr>
                        <w:rPr>
                          <w:caps/>
                          <w:color w:val="5B9BD5" w:themeColor="accent1"/>
                          <w:sz w:val="28"/>
                          <w:szCs w:val="28"/>
                        </w:rPr>
                        <w:alias w:val="Date"/>
                        <w:tag w:val=""/>
                        <w:id w:val="244824745"/>
                        <w:dataBinding w:prefixMappings="xmlns:ns0='http://schemas.microsoft.com/office/2006/coverPageProps' " w:xpath="/ns0:CoverPageProperties[1]/ns0:PublishDate[1]" w:storeItemID="{55AF091B-3C7A-41E3-B477-F2FDAA23CFDA}"/>
                        <w:date w:fullDate="2024-04-15T00:00:00Z">
                          <w:dateFormat w:val="MMMM d, yyyy"/>
                          <w:lid w:val="en-US"/>
                          <w:storeMappedDataAs w:val="dateTime"/>
                          <w:calendar w:val="gregorian"/>
                        </w:date>
                      </w:sdtPr>
                      <w:sdtContent>
                        <w:p w:rsidR="00021021" w:rsidRDefault="00021021">
                          <w:pPr>
                            <w:pStyle w:val="NoSpacing"/>
                            <w:spacing w:after="40"/>
                            <w:jc w:val="center"/>
                            <w:rPr>
                              <w:caps/>
                              <w:color w:val="5B9BD5" w:themeColor="accent1"/>
                              <w:sz w:val="28"/>
                              <w:szCs w:val="28"/>
                            </w:rPr>
                          </w:pPr>
                          <w:r>
                            <w:rPr>
                              <w:caps/>
                              <w:color w:val="5B9BD5" w:themeColor="accent1"/>
                              <w:sz w:val="28"/>
                              <w:szCs w:val="28"/>
                            </w:rPr>
                            <w:t>April 15, 2024</w:t>
                          </w:r>
                        </w:p>
                      </w:sdtContent>
                    </w:sdt>
                    <w:p w:rsidR="00021021" w:rsidRDefault="00021021">
                      <w:pPr>
                        <w:pStyle w:val="NoSpacing"/>
                        <w:jc w:val="center"/>
                        <w:rPr>
                          <w:color w:val="5B9BD5" w:themeColor="accent1"/>
                        </w:rPr>
                      </w:pPr>
                      <w:sdt>
                        <w:sdtPr>
                          <w:rPr>
                            <w:caps/>
                            <w:color w:val="5B9BD5" w:themeColor="accent1"/>
                          </w:rPr>
                          <w:alias w:val="Company"/>
                          <w:tag w:val=""/>
                          <w:id w:val="244824746"/>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021021" w:rsidRDefault="00021021">
                      <w:pPr>
                        <w:pStyle w:val="NoSpacing"/>
                        <w:jc w:val="center"/>
                        <w:rPr>
                          <w:color w:val="5B9BD5" w:themeColor="accent1"/>
                        </w:rPr>
                      </w:pPr>
                      <w:sdt>
                        <w:sdtPr>
                          <w:rPr>
                            <w:color w:val="5B9BD5" w:themeColor="accent1"/>
                          </w:rPr>
                          <w:alias w:val="Address"/>
                          <w:tag w:val=""/>
                          <w:id w:val="244824747"/>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164013194"/>
          <w:r>
            <w:lastRenderedPageBreak/>
            <w:t>Executive Summary</w:t>
          </w:r>
          <w:bookmarkEnd w:id="0"/>
        </w:p>
        <w:p w:rsidR="00FC1396" w:rsidRPr="00FC1396" w:rsidRDefault="00FC1396" w:rsidP="00FC1396"/>
        <w:p w:rsidR="00021021" w:rsidRDefault="00931CAA" w:rsidP="00021021">
          <w:pPr>
            <w:spacing w:after="0"/>
            <w:jc w:val="both"/>
          </w:pPr>
          <w:r>
            <w:t xml:space="preserve"> </w:t>
          </w:r>
          <w:r w:rsidR="003946AF">
            <w:t xml:space="preserve">      This report presents the importance of management accounting </w:t>
          </w:r>
          <w:r w:rsidR="00021021">
            <w:t>through a budgeting exercise,</w:t>
          </w:r>
          <w:r w:rsidR="003946AF">
            <w:t xml:space="preserve"> its analysis and the decisions that the management </w:t>
          </w:r>
          <w:r w:rsidR="00021021">
            <w:t xml:space="preserve">of the organisation </w:t>
          </w:r>
          <w:r w:rsidR="003946AF">
            <w:t>can make based on this forecast.</w:t>
          </w:r>
          <w:r w:rsidR="00021021">
            <w:t xml:space="preserve"> The organisation chosen for this exercise is Edwards Limited, a company that sells camping gear.</w:t>
          </w:r>
        </w:p>
        <w:p w:rsidR="00FC1396" w:rsidRDefault="00FC1396" w:rsidP="00021021">
          <w:pPr>
            <w:spacing w:after="0"/>
            <w:jc w:val="both"/>
          </w:pPr>
          <w:r>
            <w:t xml:space="preserve">      Moreover, the report analyses the conditions that need to be present in organisations for budgeting systems to be implemented successfully and the behaviours that might be encountered by management when introducing these systems.</w:t>
          </w:r>
        </w:p>
        <w:p w:rsidR="00021021" w:rsidRDefault="00021021" w:rsidP="00FC1396">
          <w:pPr>
            <w:spacing w:after="0"/>
            <w:jc w:val="both"/>
          </w:pPr>
          <w:r>
            <w:t xml:space="preserve">    </w:t>
          </w:r>
          <w:r w:rsidR="003946AF">
            <w:t xml:space="preserve"> </w:t>
          </w:r>
          <w:r w:rsidR="00FC1396">
            <w:t xml:space="preserve"> </w:t>
          </w:r>
          <w:r w:rsidR="003946AF">
            <w:t xml:space="preserve">It then goes on to present budgetary control systems and </w:t>
          </w:r>
          <w:r>
            <w:t>types of budgets, such as the incremental budgeting system, the zero-based budgeting system and the beyond budgeting system. These are alternative budgeting systems that emerged over time, as the traditional budgeting systems were</w:t>
          </w:r>
          <w:r w:rsidR="00720EE2">
            <w:t xml:space="preserve"> found to be inadequate for addressing the complexities and uncertainties of today’s business environment.</w:t>
          </w:r>
        </w:p>
        <w:p w:rsidR="003946AF" w:rsidRDefault="00FC1396" w:rsidP="001B2029">
          <w:pPr>
            <w:spacing w:after="0"/>
            <w:jc w:val="both"/>
          </w:pPr>
          <w:r>
            <w:t xml:space="preserve">     The report ends with an</w:t>
          </w:r>
          <w:r w:rsidR="003946AF">
            <w:t xml:space="preserve"> analysis of the trad</w:t>
          </w:r>
          <w:r>
            <w:t>itional approaches to budgeting, their challenges and the reasons why the new systems need to be implemented by organisations in order to survive in today’s competitive environment.</w:t>
          </w:r>
        </w:p>
        <w:p w:rsidR="001B2029" w:rsidRDefault="001B2029" w:rsidP="001B2029">
          <w:pPr>
            <w:spacing w:after="0"/>
            <w:jc w:val="both"/>
          </w:pPr>
          <w:r>
            <w:t xml:space="preserve">      </w:t>
          </w:r>
        </w:p>
        <w:p w:rsidR="001B2029" w:rsidRDefault="001B2029" w:rsidP="003946AF">
          <w:pPr>
            <w:jc w:val="both"/>
          </w:pPr>
          <w:r>
            <w:t xml:space="preserve">    </w:t>
          </w:r>
        </w:p>
        <w:p w:rsidR="00D854A5" w:rsidRDefault="00D854A5"/>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6E7EE0" w:rsidRDefault="006E7EE0"/>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4446FB" w:rsidRDefault="00170F72">
              <w:pPr>
                <w:pStyle w:val="TOC1"/>
                <w:tabs>
                  <w:tab w:val="right" w:leader="dot" w:pos="9736"/>
                </w:tabs>
                <w:rPr>
                  <w:rFonts w:eastAsiaTheme="minorEastAsia"/>
                  <w:noProof/>
                  <w:lang w:eastAsia="en-GB"/>
                </w:rPr>
              </w:pPr>
              <w:r w:rsidRPr="00170F72">
                <w:fldChar w:fldCharType="begin"/>
              </w:r>
              <w:r w:rsidR="007D1947">
                <w:instrText xml:space="preserve"> TOC \o "1-3" \h \z \u </w:instrText>
              </w:r>
              <w:r w:rsidRPr="00170F72">
                <w:fldChar w:fldCharType="separate"/>
              </w:r>
              <w:hyperlink w:anchor="_Toc164013194" w:history="1">
                <w:r w:rsidR="004446FB" w:rsidRPr="00972F1C">
                  <w:rPr>
                    <w:rStyle w:val="Hyperlink"/>
                    <w:noProof/>
                  </w:rPr>
                  <w:t>Executive Summary</w:t>
                </w:r>
                <w:r w:rsidR="004446FB">
                  <w:rPr>
                    <w:noProof/>
                    <w:webHidden/>
                  </w:rPr>
                  <w:tab/>
                </w:r>
                <w:r w:rsidR="004446FB">
                  <w:rPr>
                    <w:noProof/>
                    <w:webHidden/>
                  </w:rPr>
                  <w:fldChar w:fldCharType="begin"/>
                </w:r>
                <w:r w:rsidR="004446FB">
                  <w:rPr>
                    <w:noProof/>
                    <w:webHidden/>
                  </w:rPr>
                  <w:instrText xml:space="preserve"> PAGEREF _Toc164013194 \h </w:instrText>
                </w:r>
                <w:r w:rsidR="004446FB">
                  <w:rPr>
                    <w:noProof/>
                    <w:webHidden/>
                  </w:rPr>
                </w:r>
                <w:r w:rsidR="004446FB">
                  <w:rPr>
                    <w:noProof/>
                    <w:webHidden/>
                  </w:rPr>
                  <w:fldChar w:fldCharType="separate"/>
                </w:r>
                <w:r w:rsidR="004446FB">
                  <w:rPr>
                    <w:noProof/>
                    <w:webHidden/>
                  </w:rPr>
                  <w:t>1</w:t>
                </w:r>
                <w:r w:rsidR="004446FB">
                  <w:rPr>
                    <w:noProof/>
                    <w:webHidden/>
                  </w:rPr>
                  <w:fldChar w:fldCharType="end"/>
                </w:r>
              </w:hyperlink>
            </w:p>
            <w:p w:rsidR="004446FB" w:rsidRDefault="004446FB">
              <w:pPr>
                <w:pStyle w:val="TOC1"/>
                <w:tabs>
                  <w:tab w:val="right" w:leader="dot" w:pos="9736"/>
                </w:tabs>
                <w:rPr>
                  <w:rFonts w:eastAsiaTheme="minorEastAsia"/>
                  <w:noProof/>
                  <w:lang w:eastAsia="en-GB"/>
                </w:rPr>
              </w:pPr>
              <w:hyperlink w:anchor="_Toc164013195" w:history="1">
                <w:r w:rsidRPr="00972F1C">
                  <w:rPr>
                    <w:rStyle w:val="Hyperlink"/>
                    <w:noProof/>
                  </w:rPr>
                  <w:t>Introduction</w:t>
                </w:r>
                <w:r>
                  <w:rPr>
                    <w:noProof/>
                    <w:webHidden/>
                  </w:rPr>
                  <w:tab/>
                </w:r>
                <w:r>
                  <w:rPr>
                    <w:noProof/>
                    <w:webHidden/>
                  </w:rPr>
                  <w:fldChar w:fldCharType="begin"/>
                </w:r>
                <w:r>
                  <w:rPr>
                    <w:noProof/>
                    <w:webHidden/>
                  </w:rPr>
                  <w:instrText xml:space="preserve"> PAGEREF _Toc164013195 \h </w:instrText>
                </w:r>
                <w:r>
                  <w:rPr>
                    <w:noProof/>
                    <w:webHidden/>
                  </w:rPr>
                </w:r>
                <w:r>
                  <w:rPr>
                    <w:noProof/>
                    <w:webHidden/>
                  </w:rPr>
                  <w:fldChar w:fldCharType="separate"/>
                </w:r>
                <w:r>
                  <w:rPr>
                    <w:noProof/>
                    <w:webHidden/>
                  </w:rPr>
                  <w:t>3</w:t>
                </w:r>
                <w:r>
                  <w:rPr>
                    <w:noProof/>
                    <w:webHidden/>
                  </w:rPr>
                  <w:fldChar w:fldCharType="end"/>
                </w:r>
              </w:hyperlink>
            </w:p>
            <w:p w:rsidR="004446FB" w:rsidRDefault="004446FB">
              <w:pPr>
                <w:pStyle w:val="TOC1"/>
                <w:tabs>
                  <w:tab w:val="right" w:leader="dot" w:pos="9736"/>
                </w:tabs>
                <w:rPr>
                  <w:rFonts w:eastAsiaTheme="minorEastAsia"/>
                  <w:noProof/>
                  <w:lang w:eastAsia="en-GB"/>
                </w:rPr>
              </w:pPr>
              <w:hyperlink w:anchor="_Toc164013196" w:history="1">
                <w:r w:rsidRPr="00972F1C">
                  <w:rPr>
                    <w:rStyle w:val="Hyperlink"/>
                    <w:noProof/>
                  </w:rPr>
                  <w:t>Main Findings</w:t>
                </w:r>
                <w:r>
                  <w:rPr>
                    <w:noProof/>
                    <w:webHidden/>
                  </w:rPr>
                  <w:tab/>
                </w:r>
                <w:r>
                  <w:rPr>
                    <w:noProof/>
                    <w:webHidden/>
                  </w:rPr>
                  <w:fldChar w:fldCharType="begin"/>
                </w:r>
                <w:r>
                  <w:rPr>
                    <w:noProof/>
                    <w:webHidden/>
                  </w:rPr>
                  <w:instrText xml:space="preserve"> PAGEREF _Toc164013196 \h </w:instrText>
                </w:r>
                <w:r>
                  <w:rPr>
                    <w:noProof/>
                    <w:webHidden/>
                  </w:rPr>
                </w:r>
                <w:r>
                  <w:rPr>
                    <w:noProof/>
                    <w:webHidden/>
                  </w:rPr>
                  <w:fldChar w:fldCharType="separate"/>
                </w:r>
                <w:r>
                  <w:rPr>
                    <w:noProof/>
                    <w:webHidden/>
                  </w:rPr>
                  <w:t>4</w:t>
                </w:r>
                <w:r>
                  <w:rPr>
                    <w:noProof/>
                    <w:webHidden/>
                  </w:rPr>
                  <w:fldChar w:fldCharType="end"/>
                </w:r>
              </w:hyperlink>
            </w:p>
            <w:p w:rsidR="004446FB" w:rsidRDefault="004446FB">
              <w:pPr>
                <w:pStyle w:val="TOC2"/>
                <w:tabs>
                  <w:tab w:val="left" w:pos="660"/>
                  <w:tab w:val="right" w:leader="dot" w:pos="9736"/>
                </w:tabs>
                <w:rPr>
                  <w:rFonts w:eastAsiaTheme="minorEastAsia"/>
                  <w:noProof/>
                  <w:lang w:eastAsia="en-GB"/>
                </w:rPr>
              </w:pPr>
              <w:hyperlink w:anchor="_Toc164013197" w:history="1">
                <w:r w:rsidRPr="00972F1C">
                  <w:rPr>
                    <w:rStyle w:val="Hyperlink"/>
                    <w:noProof/>
                  </w:rPr>
                  <w:t>1.</w:t>
                </w:r>
                <w:r>
                  <w:rPr>
                    <w:rFonts w:eastAsiaTheme="minorEastAsia"/>
                    <w:noProof/>
                    <w:lang w:eastAsia="en-GB"/>
                  </w:rPr>
                  <w:tab/>
                </w:r>
                <w:r w:rsidRPr="00972F1C">
                  <w:rPr>
                    <w:rStyle w:val="Hyperlink"/>
                    <w:noProof/>
                  </w:rPr>
                  <w:t>Edwards’ Six Months Budget Forecast</w:t>
                </w:r>
                <w:r>
                  <w:rPr>
                    <w:noProof/>
                    <w:webHidden/>
                  </w:rPr>
                  <w:tab/>
                </w:r>
                <w:r>
                  <w:rPr>
                    <w:noProof/>
                    <w:webHidden/>
                  </w:rPr>
                  <w:fldChar w:fldCharType="begin"/>
                </w:r>
                <w:r>
                  <w:rPr>
                    <w:noProof/>
                    <w:webHidden/>
                  </w:rPr>
                  <w:instrText xml:space="preserve"> PAGEREF _Toc164013197 \h </w:instrText>
                </w:r>
                <w:r>
                  <w:rPr>
                    <w:noProof/>
                    <w:webHidden/>
                  </w:rPr>
                </w:r>
                <w:r>
                  <w:rPr>
                    <w:noProof/>
                    <w:webHidden/>
                  </w:rPr>
                  <w:fldChar w:fldCharType="separate"/>
                </w:r>
                <w:r>
                  <w:rPr>
                    <w:noProof/>
                    <w:webHidden/>
                  </w:rPr>
                  <w:t>4</w:t>
                </w:r>
                <w:r>
                  <w:rPr>
                    <w:noProof/>
                    <w:webHidden/>
                  </w:rPr>
                  <w:fldChar w:fldCharType="end"/>
                </w:r>
              </w:hyperlink>
            </w:p>
            <w:p w:rsidR="004446FB" w:rsidRDefault="004446FB">
              <w:pPr>
                <w:pStyle w:val="TOC2"/>
                <w:tabs>
                  <w:tab w:val="left" w:pos="660"/>
                  <w:tab w:val="right" w:leader="dot" w:pos="9736"/>
                </w:tabs>
                <w:rPr>
                  <w:rFonts w:eastAsiaTheme="minorEastAsia"/>
                  <w:noProof/>
                  <w:lang w:eastAsia="en-GB"/>
                </w:rPr>
              </w:pPr>
              <w:hyperlink w:anchor="_Toc164013198" w:history="1">
                <w:r w:rsidRPr="00972F1C">
                  <w:rPr>
                    <w:rStyle w:val="Hyperlink"/>
                    <w:noProof/>
                  </w:rPr>
                  <w:t>2.</w:t>
                </w:r>
                <w:r>
                  <w:rPr>
                    <w:rFonts w:eastAsiaTheme="minorEastAsia"/>
                    <w:noProof/>
                    <w:lang w:eastAsia="en-GB"/>
                  </w:rPr>
                  <w:tab/>
                </w:r>
                <w:r w:rsidRPr="00972F1C">
                  <w:rPr>
                    <w:rStyle w:val="Hyperlink"/>
                    <w:noProof/>
                  </w:rPr>
                  <w:t>An Analysis of the Six Months Budget Forecast</w:t>
                </w:r>
                <w:r>
                  <w:rPr>
                    <w:noProof/>
                    <w:webHidden/>
                  </w:rPr>
                  <w:tab/>
                </w:r>
                <w:r>
                  <w:rPr>
                    <w:noProof/>
                    <w:webHidden/>
                  </w:rPr>
                  <w:fldChar w:fldCharType="begin"/>
                </w:r>
                <w:r>
                  <w:rPr>
                    <w:noProof/>
                    <w:webHidden/>
                  </w:rPr>
                  <w:instrText xml:space="preserve"> PAGEREF _Toc164013198 \h </w:instrText>
                </w:r>
                <w:r>
                  <w:rPr>
                    <w:noProof/>
                    <w:webHidden/>
                  </w:rPr>
                </w:r>
                <w:r>
                  <w:rPr>
                    <w:noProof/>
                    <w:webHidden/>
                  </w:rPr>
                  <w:fldChar w:fldCharType="separate"/>
                </w:r>
                <w:r>
                  <w:rPr>
                    <w:noProof/>
                    <w:webHidden/>
                  </w:rPr>
                  <w:t>5</w:t>
                </w:r>
                <w:r>
                  <w:rPr>
                    <w:noProof/>
                    <w:webHidden/>
                  </w:rPr>
                  <w:fldChar w:fldCharType="end"/>
                </w:r>
              </w:hyperlink>
            </w:p>
            <w:p w:rsidR="004446FB" w:rsidRDefault="004446FB">
              <w:pPr>
                <w:pStyle w:val="TOC2"/>
                <w:tabs>
                  <w:tab w:val="right" w:leader="dot" w:pos="9736"/>
                </w:tabs>
                <w:rPr>
                  <w:rFonts w:eastAsiaTheme="minorEastAsia"/>
                  <w:noProof/>
                  <w:lang w:eastAsia="en-GB"/>
                </w:rPr>
              </w:pPr>
              <w:hyperlink w:anchor="_Toc164013199" w:history="1">
                <w:r w:rsidRPr="00972F1C">
                  <w:rPr>
                    <w:rStyle w:val="Hyperlink"/>
                    <w:noProof/>
                  </w:rPr>
                  <w:t>3.Budgeting and budgetary controls</w:t>
                </w:r>
                <w:r>
                  <w:rPr>
                    <w:noProof/>
                    <w:webHidden/>
                  </w:rPr>
                  <w:tab/>
                </w:r>
                <w:r>
                  <w:rPr>
                    <w:noProof/>
                    <w:webHidden/>
                  </w:rPr>
                  <w:fldChar w:fldCharType="begin"/>
                </w:r>
                <w:r>
                  <w:rPr>
                    <w:noProof/>
                    <w:webHidden/>
                  </w:rPr>
                  <w:instrText xml:space="preserve"> PAGEREF _Toc164013199 \h </w:instrText>
                </w:r>
                <w:r>
                  <w:rPr>
                    <w:noProof/>
                    <w:webHidden/>
                  </w:rPr>
                </w:r>
                <w:r>
                  <w:rPr>
                    <w:noProof/>
                    <w:webHidden/>
                  </w:rPr>
                  <w:fldChar w:fldCharType="separate"/>
                </w:r>
                <w:r>
                  <w:rPr>
                    <w:noProof/>
                    <w:webHidden/>
                  </w:rPr>
                  <w:t>6</w:t>
                </w:r>
                <w:r>
                  <w:rPr>
                    <w:noProof/>
                    <w:webHidden/>
                  </w:rPr>
                  <w:fldChar w:fldCharType="end"/>
                </w:r>
              </w:hyperlink>
            </w:p>
            <w:p w:rsidR="004446FB" w:rsidRDefault="004446FB">
              <w:pPr>
                <w:pStyle w:val="TOC2"/>
                <w:tabs>
                  <w:tab w:val="right" w:leader="dot" w:pos="9736"/>
                </w:tabs>
                <w:rPr>
                  <w:rFonts w:eastAsiaTheme="minorEastAsia"/>
                  <w:noProof/>
                  <w:lang w:eastAsia="en-GB"/>
                </w:rPr>
              </w:pPr>
              <w:hyperlink w:anchor="_Toc164013200" w:history="1">
                <w:r w:rsidRPr="00972F1C">
                  <w:rPr>
                    <w:rStyle w:val="Hyperlink"/>
                    <w:noProof/>
                  </w:rPr>
                  <w:t>4.Evaluation of traditional approaches to budgeting</w:t>
                </w:r>
                <w:r>
                  <w:rPr>
                    <w:noProof/>
                    <w:webHidden/>
                  </w:rPr>
                  <w:tab/>
                </w:r>
                <w:r>
                  <w:rPr>
                    <w:noProof/>
                    <w:webHidden/>
                  </w:rPr>
                  <w:fldChar w:fldCharType="begin"/>
                </w:r>
                <w:r>
                  <w:rPr>
                    <w:noProof/>
                    <w:webHidden/>
                  </w:rPr>
                  <w:instrText xml:space="preserve"> PAGEREF _Toc164013200 \h </w:instrText>
                </w:r>
                <w:r>
                  <w:rPr>
                    <w:noProof/>
                    <w:webHidden/>
                  </w:rPr>
                </w:r>
                <w:r>
                  <w:rPr>
                    <w:noProof/>
                    <w:webHidden/>
                  </w:rPr>
                  <w:fldChar w:fldCharType="separate"/>
                </w:r>
                <w:r>
                  <w:rPr>
                    <w:noProof/>
                    <w:webHidden/>
                  </w:rPr>
                  <w:t>8</w:t>
                </w:r>
                <w:r>
                  <w:rPr>
                    <w:noProof/>
                    <w:webHidden/>
                  </w:rPr>
                  <w:fldChar w:fldCharType="end"/>
                </w:r>
              </w:hyperlink>
            </w:p>
            <w:p w:rsidR="004446FB" w:rsidRDefault="004446FB">
              <w:pPr>
                <w:pStyle w:val="TOC1"/>
                <w:tabs>
                  <w:tab w:val="right" w:leader="dot" w:pos="9736"/>
                </w:tabs>
                <w:rPr>
                  <w:rFonts w:eastAsiaTheme="minorEastAsia"/>
                  <w:noProof/>
                  <w:lang w:eastAsia="en-GB"/>
                </w:rPr>
              </w:pPr>
              <w:hyperlink w:anchor="_Toc164013201" w:history="1">
                <w:r w:rsidRPr="00972F1C">
                  <w:rPr>
                    <w:rStyle w:val="Hyperlink"/>
                    <w:noProof/>
                  </w:rPr>
                  <w:t>Conclusion</w:t>
                </w:r>
                <w:r>
                  <w:rPr>
                    <w:noProof/>
                    <w:webHidden/>
                  </w:rPr>
                  <w:tab/>
                </w:r>
                <w:r>
                  <w:rPr>
                    <w:noProof/>
                    <w:webHidden/>
                  </w:rPr>
                  <w:fldChar w:fldCharType="begin"/>
                </w:r>
                <w:r>
                  <w:rPr>
                    <w:noProof/>
                    <w:webHidden/>
                  </w:rPr>
                  <w:instrText xml:space="preserve"> PAGEREF _Toc164013201 \h </w:instrText>
                </w:r>
                <w:r>
                  <w:rPr>
                    <w:noProof/>
                    <w:webHidden/>
                  </w:rPr>
                </w:r>
                <w:r>
                  <w:rPr>
                    <w:noProof/>
                    <w:webHidden/>
                  </w:rPr>
                  <w:fldChar w:fldCharType="separate"/>
                </w:r>
                <w:r>
                  <w:rPr>
                    <w:noProof/>
                    <w:webHidden/>
                  </w:rPr>
                  <w:t>10</w:t>
                </w:r>
                <w:r>
                  <w:rPr>
                    <w:noProof/>
                    <w:webHidden/>
                  </w:rPr>
                  <w:fldChar w:fldCharType="end"/>
                </w:r>
              </w:hyperlink>
            </w:p>
            <w:p w:rsidR="004446FB" w:rsidRDefault="004446FB">
              <w:pPr>
                <w:pStyle w:val="TOC1"/>
                <w:tabs>
                  <w:tab w:val="right" w:leader="dot" w:pos="9736"/>
                </w:tabs>
                <w:rPr>
                  <w:rFonts w:eastAsiaTheme="minorEastAsia"/>
                  <w:noProof/>
                  <w:lang w:eastAsia="en-GB"/>
                </w:rPr>
              </w:pPr>
              <w:hyperlink w:anchor="_Toc164013202" w:history="1">
                <w:r w:rsidRPr="00972F1C">
                  <w:rPr>
                    <w:rStyle w:val="Hyperlink"/>
                    <w:noProof/>
                  </w:rPr>
                  <w:t>Bibliography</w:t>
                </w:r>
                <w:r>
                  <w:rPr>
                    <w:noProof/>
                    <w:webHidden/>
                  </w:rPr>
                  <w:tab/>
                </w:r>
                <w:r>
                  <w:rPr>
                    <w:noProof/>
                    <w:webHidden/>
                  </w:rPr>
                  <w:fldChar w:fldCharType="begin"/>
                </w:r>
                <w:r>
                  <w:rPr>
                    <w:noProof/>
                    <w:webHidden/>
                  </w:rPr>
                  <w:instrText xml:space="preserve"> PAGEREF _Toc164013202 \h </w:instrText>
                </w:r>
                <w:r>
                  <w:rPr>
                    <w:noProof/>
                    <w:webHidden/>
                  </w:rPr>
                </w:r>
                <w:r>
                  <w:rPr>
                    <w:noProof/>
                    <w:webHidden/>
                  </w:rPr>
                  <w:fldChar w:fldCharType="separate"/>
                </w:r>
                <w:r>
                  <w:rPr>
                    <w:noProof/>
                    <w:webHidden/>
                  </w:rPr>
                  <w:t>11</w:t>
                </w:r>
                <w:r>
                  <w:rPr>
                    <w:noProof/>
                    <w:webHidden/>
                  </w:rPr>
                  <w:fldChar w:fldCharType="end"/>
                </w:r>
              </w:hyperlink>
            </w:p>
            <w:p w:rsidR="004446FB" w:rsidRDefault="004446FB">
              <w:pPr>
                <w:pStyle w:val="TOC1"/>
                <w:tabs>
                  <w:tab w:val="right" w:leader="dot" w:pos="9736"/>
                </w:tabs>
                <w:rPr>
                  <w:rFonts w:eastAsiaTheme="minorEastAsia"/>
                  <w:noProof/>
                  <w:lang w:eastAsia="en-GB"/>
                </w:rPr>
              </w:pPr>
              <w:hyperlink w:anchor="_Toc164013203" w:history="1">
                <w:r w:rsidRPr="00972F1C">
                  <w:rPr>
                    <w:rStyle w:val="Hyperlink"/>
                    <w:noProof/>
                  </w:rPr>
                  <w:t>Appendix 1</w:t>
                </w:r>
                <w:r>
                  <w:rPr>
                    <w:noProof/>
                    <w:webHidden/>
                  </w:rPr>
                  <w:tab/>
                </w:r>
                <w:r>
                  <w:rPr>
                    <w:noProof/>
                    <w:webHidden/>
                  </w:rPr>
                  <w:fldChar w:fldCharType="begin"/>
                </w:r>
                <w:r>
                  <w:rPr>
                    <w:noProof/>
                    <w:webHidden/>
                  </w:rPr>
                  <w:instrText xml:space="preserve"> PAGEREF _Toc164013203 \h </w:instrText>
                </w:r>
                <w:r>
                  <w:rPr>
                    <w:noProof/>
                    <w:webHidden/>
                  </w:rPr>
                </w:r>
                <w:r>
                  <w:rPr>
                    <w:noProof/>
                    <w:webHidden/>
                  </w:rPr>
                  <w:fldChar w:fldCharType="separate"/>
                </w:r>
                <w:r>
                  <w:rPr>
                    <w:noProof/>
                    <w:webHidden/>
                  </w:rPr>
                  <w:t>14</w:t>
                </w:r>
                <w:r>
                  <w:rPr>
                    <w:noProof/>
                    <w:webHidden/>
                  </w:rPr>
                  <w:fldChar w:fldCharType="end"/>
                </w:r>
              </w:hyperlink>
            </w:p>
            <w:p w:rsidR="007D1947" w:rsidRDefault="00170F72">
              <w:r>
                <w:rPr>
                  <w:b/>
                  <w:bCs/>
                  <w:noProof/>
                </w:rPr>
                <w:fldChar w:fldCharType="end"/>
              </w:r>
              <w:r w:rsidR="006E7EE0">
                <w:rPr>
                  <w:b/>
                  <w:bCs/>
                  <w:noProof/>
                </w:rPr>
                <w:t xml:space="preserve"> </w:t>
              </w:r>
            </w:p>
          </w:sdtContent>
        </w:sdt>
        <w:p w:rsidR="007D1947" w:rsidRDefault="006E7EE0" w:rsidP="006E7EE0">
          <w:pPr>
            <w:tabs>
              <w:tab w:val="left" w:pos="949"/>
            </w:tabs>
          </w:pPr>
          <w:r>
            <w:tab/>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084E65" w:rsidRDefault="00084E65"/>
        <w:p w:rsidR="00084E65" w:rsidRDefault="00084E65"/>
        <w:p w:rsidR="00991D3C" w:rsidRDefault="00991D3C" w:rsidP="007A5DF9">
          <w:pPr>
            <w:pStyle w:val="Heading1"/>
            <w:rPr>
              <w:rFonts w:asciiTheme="minorHAnsi" w:eastAsiaTheme="minorHAnsi" w:hAnsiTheme="minorHAnsi" w:cstheme="minorBidi"/>
              <w:color w:val="auto"/>
              <w:sz w:val="22"/>
              <w:szCs w:val="22"/>
            </w:rPr>
          </w:pPr>
        </w:p>
        <w:p w:rsidR="00991D3C" w:rsidRPr="00991D3C" w:rsidRDefault="00991D3C" w:rsidP="00991D3C">
          <w:pPr>
            <w:pStyle w:val="Heading1"/>
          </w:pPr>
          <w:r>
            <w:t xml:space="preserve"> </w:t>
          </w:r>
          <w:bookmarkStart w:id="1" w:name="_Toc164013195"/>
          <w:r w:rsidR="007D1947">
            <w:t>Introductio</w:t>
          </w:r>
          <w:r>
            <w:t>n</w:t>
          </w:r>
          <w:bookmarkEnd w:id="1"/>
        </w:p>
        <w:p w:rsidR="007A5DF9" w:rsidRDefault="007A5DF9" w:rsidP="007A5DF9">
          <w:pPr>
            <w:spacing w:after="0"/>
            <w:jc w:val="both"/>
          </w:pPr>
          <w:r>
            <w:t xml:space="preserve">  Accounting is ‘the process of identifying, measuring and communicating economic information to permit informed judgements and decisions by users of the </w:t>
          </w:r>
          <w:proofErr w:type="gramStart"/>
          <w:r>
            <w:t>information’(</w:t>
          </w:r>
          <w:proofErr w:type="gramEnd"/>
          <w:r>
            <w:t>Drury, 2020, p4). Accounting and financial information are extremely important for any organisation or household and for the government, as they can be used when making decisions and setting the way forward (Dyson, 2020).</w:t>
          </w:r>
        </w:p>
        <w:p w:rsidR="007A5DF9" w:rsidRDefault="007A5DF9" w:rsidP="007A5DF9">
          <w:pPr>
            <w:spacing w:after="0"/>
            <w:jc w:val="both"/>
          </w:pPr>
          <w:r>
            <w:t xml:space="preserve">      Financial accounting focuses on the past performance of an organisation and it is mainly compiled in order to present it to shareholders, creditors and other people from outside the organisation. Management accounting offers essential information to the managers who work inside the organisation and this information </w:t>
          </w:r>
          <w:proofErr w:type="gramStart"/>
          <w:r>
            <w:t>is</w:t>
          </w:r>
          <w:proofErr w:type="gramEnd"/>
          <w:r>
            <w:t xml:space="preserve"> used when deciding how the organisations are run </w:t>
          </w:r>
          <w:sdt>
            <w:sdtPr>
              <w:id w:val="42791912"/>
              <w:citation/>
            </w:sdtPr>
            <w:sdtContent>
              <w:fldSimple w:instr=" CITATION Had21 \l 2057 ">
                <w:r w:rsidRPr="009E19C5">
                  <w:rPr>
                    <w:noProof/>
                  </w:rPr>
                  <w:t>(Hadid &amp; Al-Sayed, 2021)</w:t>
                </w:r>
              </w:fldSimple>
            </w:sdtContent>
          </w:sdt>
          <w:r>
            <w:t>.</w:t>
          </w:r>
        </w:p>
        <w:p w:rsidR="00B421DF" w:rsidRDefault="00B421DF" w:rsidP="007A5DF9">
          <w:pPr>
            <w:spacing w:after="0"/>
            <w:jc w:val="both"/>
          </w:pPr>
          <w:r>
            <w:t xml:space="preserve">      The field of management accounting is changing fast and has also experienced change outside of its domain of activity. From different political regimes to technological discoveries and the development of management control, all these factors have influenced management accounting and have caused its redesigning and restructuring</w:t>
          </w:r>
          <w:sdt>
            <w:sdtPr>
              <w:id w:val="144194635"/>
              <w:citation/>
            </w:sdtPr>
            <w:sdtContent>
              <w:fldSimple w:instr=" CITATION Bhi06 \l 2057 ">
                <w:r>
                  <w:rPr>
                    <w:noProof/>
                  </w:rPr>
                  <w:t xml:space="preserve"> </w:t>
                </w:r>
                <w:r w:rsidRPr="00B421DF">
                  <w:rPr>
                    <w:noProof/>
                  </w:rPr>
                  <w:t>(Bhimani, 2006)</w:t>
                </w:r>
              </w:fldSimple>
            </w:sdtContent>
          </w:sdt>
          <w:r>
            <w:t>.</w:t>
          </w:r>
        </w:p>
        <w:p w:rsidR="005E1865" w:rsidRDefault="007A5DF9" w:rsidP="00146F31">
          <w:pPr>
            <w:spacing w:after="0"/>
            <w:jc w:val="both"/>
          </w:pPr>
          <w:r>
            <w:t xml:space="preserve">      </w:t>
          </w:r>
          <w:r w:rsidR="005E1865">
            <w:t>Budgeting systems are critical tools for organisations, which help them plan, allocate resources, monitor performance and achieve their strategic objectives effectively. These systems provide a structured framework for managing financial resources and aligning operational activities with organisational goals. The importance of budgeting systems for organisations can be understood from various perspectives: financial management, strategic planning, performance evaluation and decision making. Budgeting systems support decision-making by providing managers with timely, accurate and relevant financial information. Whether it’s evaluating investment opportunities, or assessing the financial impact of strategic initiatives, having a well-designed budgeting system enables organisations to make data-driven decisions that are aligned with their goals and objectives</w:t>
          </w:r>
          <w:sdt>
            <w:sdtPr>
              <w:id w:val="144189207"/>
              <w:citation/>
            </w:sdtPr>
            <w:sdtContent>
              <w:fldSimple w:instr=" CITATION Maz19 \l 2057 ">
                <w:r w:rsidR="00521F1C">
                  <w:rPr>
                    <w:noProof/>
                  </w:rPr>
                  <w:t xml:space="preserve"> </w:t>
                </w:r>
                <w:r w:rsidR="00521F1C" w:rsidRPr="00521F1C">
                  <w:rPr>
                    <w:noProof/>
                  </w:rPr>
                  <w:t>(Mazikana, 2019)</w:t>
                </w:r>
              </w:fldSimple>
            </w:sdtContent>
          </w:sdt>
          <w:r w:rsidR="00521F1C">
            <w:t>.</w:t>
          </w:r>
        </w:p>
        <w:p w:rsidR="00146F31" w:rsidRDefault="00146F31" w:rsidP="00A425B4">
          <w:pPr>
            <w:spacing w:after="0"/>
            <w:jc w:val="both"/>
          </w:pPr>
          <w:r>
            <w:t xml:space="preserve">      Budgets were invented in the Industrial Age and by 1760 they were introduced in England. In 1837, the Reform Act made the budget effective. </w:t>
          </w:r>
          <w:r w:rsidR="00A425B4">
            <w:t xml:space="preserve">Since then, the budgeting systems have evolved, having been influenced by different factors, such as technological developments, economic conditions or management theories </w:t>
          </w:r>
          <w:sdt>
            <w:sdtPr>
              <w:id w:val="144196219"/>
              <w:citation/>
            </w:sdtPr>
            <w:sdtContent>
              <w:fldSimple w:instr=" CITATION Ric23 \l 2057 ">
                <w:r w:rsidR="00292ADA" w:rsidRPr="00292ADA">
                  <w:rPr>
                    <w:noProof/>
                  </w:rPr>
                  <w:t>(Richard, 2023)</w:t>
                </w:r>
              </w:fldSimple>
            </w:sdtContent>
          </w:sdt>
          <w:r w:rsidR="00292ADA">
            <w:t>.</w:t>
          </w:r>
          <w:r>
            <w:tab/>
          </w:r>
        </w:p>
        <w:p w:rsidR="00354093" w:rsidRDefault="00354093" w:rsidP="00A425B4">
          <w:pPr>
            <w:spacing w:after="0"/>
            <w:jc w:val="both"/>
          </w:pPr>
          <w:r>
            <w:t xml:space="preserve">      Edwards Limited is a company that sells camping gear and owns a chain of 15 shops. </w:t>
          </w:r>
          <w:r w:rsidR="000E33D3">
            <w:t>At the beginning of June, the business had an overdraft of £25.000 and the bank asked for it to be eliminated by the end of November. A stock budget and a cash budget for six months until November and a Profit and Loss account are detailed below.</w:t>
          </w:r>
        </w:p>
        <w:p w:rsidR="00B421DF" w:rsidRDefault="00B421DF" w:rsidP="00B421DF">
          <w:pPr>
            <w:spacing w:after="0"/>
          </w:pPr>
          <w:r>
            <w:t xml:space="preserve">      </w:t>
          </w:r>
        </w:p>
        <w:p w:rsidR="00B421DF" w:rsidRPr="005E1865" w:rsidRDefault="00B421DF" w:rsidP="005E1865">
          <w:r>
            <w:t xml:space="preserve"> </w:t>
          </w:r>
        </w:p>
        <w:p w:rsidR="008F4809" w:rsidRPr="008F4809" w:rsidRDefault="008F4809" w:rsidP="008F4809"/>
        <w:p w:rsidR="004A11F6" w:rsidRDefault="00520743" w:rsidP="007D1947">
          <w:r>
            <w:t xml:space="preserve">      </w:t>
          </w:r>
        </w:p>
        <w:p w:rsidR="004A11F6" w:rsidRDefault="004A11F6" w:rsidP="007D1947"/>
        <w:p w:rsidR="004A11F6" w:rsidRDefault="004A11F6" w:rsidP="007D1947"/>
        <w:p w:rsidR="004A11F6" w:rsidRDefault="004A11F6" w:rsidP="007D1947"/>
        <w:p w:rsidR="003E2D70" w:rsidRDefault="003E2D70" w:rsidP="00AA2A91">
          <w:pPr>
            <w:pStyle w:val="Heading1"/>
          </w:pPr>
        </w:p>
        <w:p w:rsidR="00480872" w:rsidRDefault="00480872" w:rsidP="00AA2A91">
          <w:pPr>
            <w:pStyle w:val="Heading1"/>
          </w:pPr>
          <w:bookmarkStart w:id="2" w:name="_Toc164013196"/>
          <w:r>
            <w:t>Main Findings</w:t>
          </w:r>
          <w:bookmarkEnd w:id="2"/>
        </w:p>
        <w:p w:rsidR="00E85A0B" w:rsidRDefault="00E85A0B" w:rsidP="00E85A0B">
          <w:pPr>
            <w:pStyle w:val="Heading2"/>
          </w:pPr>
        </w:p>
        <w:p w:rsidR="00E85A0B" w:rsidRPr="00E85A0B" w:rsidRDefault="00E85A0B" w:rsidP="00E85A0B">
          <w:pPr>
            <w:pStyle w:val="Heading2"/>
            <w:numPr>
              <w:ilvl w:val="0"/>
              <w:numId w:val="3"/>
            </w:numPr>
          </w:pPr>
          <w:bookmarkStart w:id="3" w:name="_Toc164013197"/>
          <w:r>
            <w:t>Edwards’ Six Months Budget Forecast</w:t>
          </w:r>
          <w:bookmarkEnd w:id="3"/>
        </w:p>
        <w:p w:rsidR="008F4B79" w:rsidRPr="008F4B79" w:rsidRDefault="008F4B79" w:rsidP="008F4B79"/>
        <w:p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51"/>
            <w:gridCol w:w="992"/>
            <w:gridCol w:w="992"/>
            <w:gridCol w:w="964"/>
            <w:gridCol w:w="993"/>
            <w:gridCol w:w="992"/>
            <w:gridCol w:w="992"/>
          </w:tblGrid>
          <w:tr w:rsidR="008F4B79" w:rsidTr="009260DE">
            <w:tc>
              <w:tcPr>
                <w:tcW w:w="2551" w:type="dxa"/>
              </w:tcPr>
              <w:p w:rsidR="008F4B79" w:rsidRDefault="008F4B79" w:rsidP="009260DE">
                <w:pPr>
                  <w:jc w:val="center"/>
                  <w:rPr>
                    <w:rFonts w:ascii="Arial" w:hAnsi="Arial" w:cs="Arial"/>
                  </w:rPr>
                </w:pPr>
              </w:p>
            </w:tc>
            <w:tc>
              <w:tcPr>
                <w:tcW w:w="992" w:type="dxa"/>
              </w:tcPr>
              <w:p w:rsidR="008F4B79" w:rsidRPr="004D6C12" w:rsidRDefault="008F4B79" w:rsidP="009260DE">
                <w:pPr>
                  <w:jc w:val="right"/>
                  <w:rPr>
                    <w:rFonts w:ascii="Arial" w:hAnsi="Arial" w:cs="Arial"/>
                    <w:b/>
                  </w:rPr>
                </w:pPr>
                <w:r w:rsidRPr="004D6C12">
                  <w:rPr>
                    <w:rFonts w:ascii="Arial" w:hAnsi="Arial" w:cs="Arial"/>
                    <w:b/>
                  </w:rPr>
                  <w:t>June</w:t>
                </w:r>
              </w:p>
            </w:tc>
            <w:tc>
              <w:tcPr>
                <w:tcW w:w="992" w:type="dxa"/>
              </w:tcPr>
              <w:p w:rsidR="008F4B79" w:rsidRPr="004D6C12" w:rsidRDefault="008F4B79" w:rsidP="009260DE">
                <w:pPr>
                  <w:jc w:val="right"/>
                  <w:rPr>
                    <w:rFonts w:ascii="Arial" w:hAnsi="Arial" w:cs="Arial"/>
                    <w:b/>
                  </w:rPr>
                </w:pPr>
                <w:r w:rsidRPr="004D6C12">
                  <w:rPr>
                    <w:rFonts w:ascii="Arial" w:hAnsi="Arial" w:cs="Arial"/>
                    <w:b/>
                  </w:rPr>
                  <w:t>July</w:t>
                </w:r>
              </w:p>
            </w:tc>
            <w:tc>
              <w:tcPr>
                <w:tcW w:w="964" w:type="dxa"/>
              </w:tcPr>
              <w:p w:rsidR="008F4B79" w:rsidRPr="004D6C12" w:rsidRDefault="008F4B79" w:rsidP="009260DE">
                <w:pPr>
                  <w:jc w:val="right"/>
                  <w:rPr>
                    <w:rFonts w:ascii="Arial" w:hAnsi="Arial" w:cs="Arial"/>
                    <w:b/>
                  </w:rPr>
                </w:pPr>
                <w:r w:rsidRPr="004D6C12">
                  <w:rPr>
                    <w:rFonts w:ascii="Arial" w:hAnsi="Arial" w:cs="Arial"/>
                    <w:b/>
                  </w:rPr>
                  <w:t>Aug</w:t>
                </w:r>
              </w:p>
            </w:tc>
            <w:tc>
              <w:tcPr>
                <w:tcW w:w="993" w:type="dxa"/>
              </w:tcPr>
              <w:p w:rsidR="008F4B79" w:rsidRPr="004D6C12" w:rsidRDefault="008F4B79" w:rsidP="009260DE">
                <w:pPr>
                  <w:jc w:val="right"/>
                  <w:rPr>
                    <w:rFonts w:ascii="Arial" w:hAnsi="Arial" w:cs="Arial"/>
                    <w:b/>
                  </w:rPr>
                </w:pPr>
                <w:r w:rsidRPr="004D6C12">
                  <w:rPr>
                    <w:rFonts w:ascii="Arial" w:hAnsi="Arial" w:cs="Arial"/>
                    <w:b/>
                  </w:rPr>
                  <w:t>Sept</w:t>
                </w:r>
              </w:p>
            </w:tc>
            <w:tc>
              <w:tcPr>
                <w:tcW w:w="992" w:type="dxa"/>
              </w:tcPr>
              <w:p w:rsidR="008F4B79" w:rsidRPr="004D6C12" w:rsidRDefault="008F4B79" w:rsidP="009260DE">
                <w:pPr>
                  <w:jc w:val="right"/>
                  <w:rPr>
                    <w:rFonts w:ascii="Arial" w:hAnsi="Arial" w:cs="Arial"/>
                    <w:b/>
                  </w:rPr>
                </w:pPr>
                <w:r w:rsidRPr="004D6C12">
                  <w:rPr>
                    <w:rFonts w:ascii="Arial" w:hAnsi="Arial" w:cs="Arial"/>
                    <w:b/>
                  </w:rPr>
                  <w:t>Oct</w:t>
                </w:r>
              </w:p>
            </w:tc>
            <w:tc>
              <w:tcPr>
                <w:tcW w:w="992" w:type="dxa"/>
              </w:tcPr>
              <w:p w:rsidR="008F4B79" w:rsidRPr="004D6C12" w:rsidRDefault="008F4B79" w:rsidP="009260DE">
                <w:pPr>
                  <w:jc w:val="right"/>
                  <w:rPr>
                    <w:rFonts w:ascii="Arial" w:hAnsi="Arial" w:cs="Arial"/>
                    <w:b/>
                  </w:rPr>
                </w:pPr>
                <w:r w:rsidRPr="004D6C12">
                  <w:rPr>
                    <w:rFonts w:ascii="Arial" w:hAnsi="Arial" w:cs="Arial"/>
                    <w:b/>
                  </w:rPr>
                  <w:t>Nov</w:t>
                </w:r>
              </w:p>
            </w:tc>
          </w:tr>
          <w:tr w:rsidR="008F4B79" w:rsidTr="009260DE">
            <w:trPr>
              <w:trHeight w:val="281"/>
            </w:trPr>
            <w:tc>
              <w:tcPr>
                <w:tcW w:w="2551" w:type="dxa"/>
              </w:tcPr>
              <w:p w:rsidR="008F4B79" w:rsidRDefault="008F4B79" w:rsidP="009260DE">
                <w:pPr>
                  <w:rPr>
                    <w:rFonts w:ascii="Arial" w:hAnsi="Arial" w:cs="Arial"/>
                  </w:rPr>
                </w:pPr>
              </w:p>
            </w:tc>
            <w:tc>
              <w:tcPr>
                <w:tcW w:w="992" w:type="dxa"/>
              </w:tcPr>
              <w:p w:rsidR="008F4B79" w:rsidRPr="004D6C12" w:rsidRDefault="008F4B79" w:rsidP="009260DE">
                <w:pPr>
                  <w:jc w:val="right"/>
                  <w:rPr>
                    <w:rFonts w:ascii="Arial" w:hAnsi="Arial" w:cs="Arial"/>
                    <w:sz w:val="20"/>
                    <w:szCs w:val="20"/>
                  </w:rPr>
                </w:pPr>
                <w:r w:rsidRPr="004D6C12">
                  <w:rPr>
                    <w:rFonts w:ascii="Arial" w:hAnsi="Arial" w:cs="Arial"/>
                    <w:sz w:val="20"/>
                    <w:szCs w:val="20"/>
                  </w:rPr>
                  <w:t>£000</w:t>
                </w:r>
              </w:p>
            </w:tc>
            <w:tc>
              <w:tcPr>
                <w:tcW w:w="992" w:type="dxa"/>
              </w:tcPr>
              <w:p w:rsidR="008F4B79" w:rsidRPr="004D6C12" w:rsidRDefault="008F4B79" w:rsidP="009260DE">
                <w:pPr>
                  <w:jc w:val="right"/>
                  <w:rPr>
                    <w:rFonts w:ascii="Arial" w:hAnsi="Arial" w:cs="Arial"/>
                    <w:sz w:val="20"/>
                    <w:szCs w:val="20"/>
                  </w:rPr>
                </w:pPr>
                <w:r w:rsidRPr="004D6C12">
                  <w:rPr>
                    <w:rFonts w:ascii="Arial" w:hAnsi="Arial" w:cs="Arial"/>
                    <w:sz w:val="20"/>
                    <w:szCs w:val="20"/>
                  </w:rPr>
                  <w:t>£000</w:t>
                </w:r>
              </w:p>
            </w:tc>
            <w:tc>
              <w:tcPr>
                <w:tcW w:w="964" w:type="dxa"/>
              </w:tcPr>
              <w:p w:rsidR="008F4B79" w:rsidRPr="004D6C12" w:rsidRDefault="008F4B79" w:rsidP="009260DE">
                <w:pPr>
                  <w:jc w:val="right"/>
                  <w:rPr>
                    <w:rFonts w:ascii="Arial" w:hAnsi="Arial" w:cs="Arial"/>
                    <w:sz w:val="20"/>
                    <w:szCs w:val="20"/>
                  </w:rPr>
                </w:pPr>
                <w:r w:rsidRPr="004D6C12">
                  <w:rPr>
                    <w:rFonts w:ascii="Arial" w:hAnsi="Arial" w:cs="Arial"/>
                    <w:sz w:val="20"/>
                    <w:szCs w:val="20"/>
                  </w:rPr>
                  <w:t>£000</w:t>
                </w:r>
              </w:p>
            </w:tc>
            <w:tc>
              <w:tcPr>
                <w:tcW w:w="993" w:type="dxa"/>
              </w:tcPr>
              <w:p w:rsidR="008F4B79" w:rsidRPr="004D6C12" w:rsidRDefault="008F4B79" w:rsidP="009260DE">
                <w:pPr>
                  <w:jc w:val="right"/>
                  <w:rPr>
                    <w:rFonts w:ascii="Arial" w:hAnsi="Arial" w:cs="Arial"/>
                    <w:sz w:val="20"/>
                    <w:szCs w:val="20"/>
                  </w:rPr>
                </w:pPr>
                <w:r w:rsidRPr="004D6C12">
                  <w:rPr>
                    <w:rFonts w:ascii="Arial" w:hAnsi="Arial" w:cs="Arial"/>
                    <w:sz w:val="20"/>
                    <w:szCs w:val="20"/>
                  </w:rPr>
                  <w:t>£000</w:t>
                </w:r>
              </w:p>
            </w:tc>
            <w:tc>
              <w:tcPr>
                <w:tcW w:w="992" w:type="dxa"/>
              </w:tcPr>
              <w:p w:rsidR="008F4B79" w:rsidRPr="004D6C12" w:rsidRDefault="008F4B79" w:rsidP="009260DE">
                <w:pPr>
                  <w:jc w:val="right"/>
                  <w:rPr>
                    <w:rFonts w:ascii="Arial" w:hAnsi="Arial" w:cs="Arial"/>
                    <w:sz w:val="20"/>
                    <w:szCs w:val="20"/>
                  </w:rPr>
                </w:pPr>
                <w:r w:rsidRPr="004D6C12">
                  <w:rPr>
                    <w:rFonts w:ascii="Arial" w:hAnsi="Arial" w:cs="Arial"/>
                    <w:sz w:val="20"/>
                    <w:szCs w:val="20"/>
                  </w:rPr>
                  <w:t>£000</w:t>
                </w:r>
              </w:p>
            </w:tc>
            <w:tc>
              <w:tcPr>
                <w:tcW w:w="992" w:type="dxa"/>
              </w:tcPr>
              <w:p w:rsidR="008F4B79" w:rsidRPr="004D6C12" w:rsidRDefault="008F4B79" w:rsidP="009260DE">
                <w:pPr>
                  <w:jc w:val="right"/>
                  <w:rPr>
                    <w:rFonts w:ascii="Arial" w:hAnsi="Arial" w:cs="Arial"/>
                    <w:sz w:val="20"/>
                    <w:szCs w:val="20"/>
                  </w:rPr>
                </w:pPr>
                <w:r w:rsidRPr="004D6C12">
                  <w:rPr>
                    <w:rFonts w:ascii="Arial" w:hAnsi="Arial" w:cs="Arial"/>
                    <w:sz w:val="20"/>
                    <w:szCs w:val="20"/>
                  </w:rPr>
                  <w:t>£000</w:t>
                </w:r>
              </w:p>
            </w:tc>
          </w:tr>
          <w:tr w:rsidR="008F4B79" w:rsidTr="009260DE">
            <w:tc>
              <w:tcPr>
                <w:tcW w:w="2551" w:type="dxa"/>
              </w:tcPr>
              <w:p w:rsidR="008F4B79" w:rsidRDefault="008F4B79" w:rsidP="009260DE">
                <w:pPr>
                  <w:rPr>
                    <w:rFonts w:ascii="Arial" w:hAnsi="Arial" w:cs="Arial"/>
                  </w:rPr>
                </w:pPr>
                <w:r>
                  <w:rPr>
                    <w:rFonts w:ascii="Arial" w:hAnsi="Arial" w:cs="Arial"/>
                  </w:rPr>
                  <w:t>Opening balance</w:t>
                </w:r>
              </w:p>
            </w:tc>
            <w:tc>
              <w:tcPr>
                <w:tcW w:w="992" w:type="dxa"/>
              </w:tcPr>
              <w:p w:rsidR="008F4B79" w:rsidRPr="006368CE" w:rsidRDefault="00731443" w:rsidP="009260DE">
                <w:pPr>
                  <w:jc w:val="right"/>
                  <w:rPr>
                    <w:rFonts w:ascii="Arial" w:hAnsi="Arial" w:cs="Arial"/>
                  </w:rPr>
                </w:pPr>
                <w:r w:rsidRPr="006368CE">
                  <w:rPr>
                    <w:rFonts w:ascii="Arial" w:hAnsi="Arial" w:cs="Arial"/>
                  </w:rPr>
                  <w:t>125</w:t>
                </w:r>
                <w:r w:rsidR="008F4B79" w:rsidRPr="006368CE">
                  <w:rPr>
                    <w:rFonts w:ascii="Arial" w:hAnsi="Arial" w:cs="Arial"/>
                  </w:rPr>
                  <w:t xml:space="preserve"> </w:t>
                </w:r>
              </w:p>
            </w:tc>
            <w:tc>
              <w:tcPr>
                <w:tcW w:w="992" w:type="dxa"/>
              </w:tcPr>
              <w:p w:rsidR="008F4B79" w:rsidRDefault="0023314B" w:rsidP="009260DE">
                <w:pPr>
                  <w:jc w:val="right"/>
                  <w:rPr>
                    <w:rFonts w:ascii="Arial" w:hAnsi="Arial" w:cs="Arial"/>
                  </w:rPr>
                </w:pPr>
                <w:r>
                  <w:rPr>
                    <w:rFonts w:ascii="Arial" w:hAnsi="Arial" w:cs="Arial"/>
                  </w:rPr>
                  <w:t>123</w:t>
                </w:r>
                <w:r w:rsidR="008F4B79">
                  <w:rPr>
                    <w:rFonts w:ascii="Arial" w:hAnsi="Arial" w:cs="Arial"/>
                  </w:rPr>
                  <w:t xml:space="preserve"> </w:t>
                </w:r>
              </w:p>
            </w:tc>
            <w:tc>
              <w:tcPr>
                <w:tcW w:w="964" w:type="dxa"/>
              </w:tcPr>
              <w:p w:rsidR="008F4B79" w:rsidRDefault="0023314B" w:rsidP="009260DE">
                <w:pPr>
                  <w:jc w:val="right"/>
                  <w:rPr>
                    <w:rFonts w:ascii="Arial" w:hAnsi="Arial" w:cs="Arial"/>
                  </w:rPr>
                </w:pPr>
                <w:r>
                  <w:rPr>
                    <w:rFonts w:ascii="Arial" w:hAnsi="Arial" w:cs="Arial"/>
                  </w:rPr>
                  <w:t>104</w:t>
                </w:r>
                <w:r w:rsidR="008F4B79">
                  <w:rPr>
                    <w:rFonts w:ascii="Arial" w:hAnsi="Arial" w:cs="Arial"/>
                  </w:rPr>
                  <w:t xml:space="preserve"> </w:t>
                </w:r>
              </w:p>
            </w:tc>
            <w:tc>
              <w:tcPr>
                <w:tcW w:w="993" w:type="dxa"/>
              </w:tcPr>
              <w:p w:rsidR="008F4B79" w:rsidRDefault="0023314B" w:rsidP="009260DE">
                <w:pPr>
                  <w:jc w:val="right"/>
                  <w:rPr>
                    <w:rFonts w:ascii="Arial" w:hAnsi="Arial" w:cs="Arial"/>
                  </w:rPr>
                </w:pPr>
                <w:r>
                  <w:rPr>
                    <w:rFonts w:ascii="Arial" w:hAnsi="Arial" w:cs="Arial"/>
                  </w:rPr>
                  <w:t>118</w:t>
                </w:r>
                <w:r w:rsidR="008F4B79">
                  <w:rPr>
                    <w:rFonts w:ascii="Arial" w:hAnsi="Arial" w:cs="Arial"/>
                  </w:rPr>
                  <w:t xml:space="preserve"> </w:t>
                </w:r>
              </w:p>
            </w:tc>
            <w:tc>
              <w:tcPr>
                <w:tcW w:w="992" w:type="dxa"/>
              </w:tcPr>
              <w:p w:rsidR="008F4B79" w:rsidRDefault="0023314B" w:rsidP="009260DE">
                <w:pPr>
                  <w:jc w:val="right"/>
                  <w:rPr>
                    <w:rFonts w:ascii="Arial" w:hAnsi="Arial" w:cs="Arial"/>
                  </w:rPr>
                </w:pPr>
                <w:r>
                  <w:rPr>
                    <w:rFonts w:ascii="Arial" w:hAnsi="Arial" w:cs="Arial"/>
                  </w:rPr>
                  <w:t>164</w:t>
                </w:r>
                <w:r w:rsidR="008F4B79">
                  <w:rPr>
                    <w:rFonts w:ascii="Arial" w:hAnsi="Arial" w:cs="Arial"/>
                  </w:rPr>
                  <w:t xml:space="preserve"> </w:t>
                </w:r>
              </w:p>
            </w:tc>
            <w:tc>
              <w:tcPr>
                <w:tcW w:w="992" w:type="dxa"/>
              </w:tcPr>
              <w:p w:rsidR="008F4B79" w:rsidRDefault="0023314B" w:rsidP="009260DE">
                <w:pPr>
                  <w:jc w:val="right"/>
                  <w:rPr>
                    <w:rFonts w:ascii="Arial" w:hAnsi="Arial" w:cs="Arial"/>
                  </w:rPr>
                </w:pPr>
                <w:r>
                  <w:rPr>
                    <w:rFonts w:ascii="Arial" w:hAnsi="Arial" w:cs="Arial"/>
                  </w:rPr>
                  <w:t>197</w:t>
                </w:r>
                <w:r w:rsidR="008F4B79">
                  <w:rPr>
                    <w:rFonts w:ascii="Arial" w:hAnsi="Arial" w:cs="Arial"/>
                  </w:rPr>
                  <w:t xml:space="preserve"> </w:t>
                </w:r>
              </w:p>
            </w:tc>
          </w:tr>
          <w:tr w:rsidR="008F4B79" w:rsidTr="009260DE">
            <w:tc>
              <w:tcPr>
                <w:tcW w:w="2551" w:type="dxa"/>
              </w:tcPr>
              <w:p w:rsidR="008F4B79" w:rsidRDefault="008F4B79" w:rsidP="009260DE">
                <w:pPr>
                  <w:ind w:left="-675" w:firstLine="675"/>
                  <w:rPr>
                    <w:rFonts w:ascii="Arial" w:hAnsi="Arial" w:cs="Arial"/>
                  </w:rPr>
                </w:pPr>
                <w:r>
                  <w:rPr>
                    <w:rFonts w:ascii="Arial" w:hAnsi="Arial" w:cs="Arial"/>
                  </w:rPr>
                  <w:t>Stock purchased</w:t>
                </w:r>
              </w:p>
            </w:tc>
            <w:tc>
              <w:tcPr>
                <w:tcW w:w="992" w:type="dxa"/>
              </w:tcPr>
              <w:p w:rsidR="008F4B79" w:rsidRPr="00BC19FF" w:rsidRDefault="00731443" w:rsidP="009260DE">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92" w:type="dxa"/>
              </w:tcPr>
              <w:p w:rsidR="008F4B79" w:rsidRPr="00BC19FF" w:rsidRDefault="0023314B" w:rsidP="009260DE">
                <w:pPr>
                  <w:jc w:val="right"/>
                  <w:rPr>
                    <w:rFonts w:ascii="Arial" w:hAnsi="Arial" w:cs="Arial"/>
                    <w:u w:val="single"/>
                  </w:rPr>
                </w:pPr>
                <w:r>
                  <w:rPr>
                    <w:rFonts w:ascii="Arial" w:hAnsi="Arial" w:cs="Arial"/>
                    <w:u w:val="single"/>
                  </w:rPr>
                  <w:t>170</w:t>
                </w:r>
                <w:r w:rsidR="008F4B79">
                  <w:rPr>
                    <w:rFonts w:ascii="Arial" w:hAnsi="Arial" w:cs="Arial"/>
                    <w:u w:val="single"/>
                  </w:rPr>
                  <w:t xml:space="preserve">  </w:t>
                </w:r>
              </w:p>
            </w:tc>
            <w:tc>
              <w:tcPr>
                <w:tcW w:w="964" w:type="dxa"/>
              </w:tcPr>
              <w:p w:rsidR="008F4B79" w:rsidRPr="00BC19FF" w:rsidRDefault="0023314B" w:rsidP="009260DE">
                <w:pPr>
                  <w:jc w:val="right"/>
                  <w:rPr>
                    <w:rFonts w:ascii="Arial" w:hAnsi="Arial" w:cs="Arial"/>
                    <w:u w:val="single"/>
                  </w:rPr>
                </w:pPr>
                <w:r>
                  <w:rPr>
                    <w:rFonts w:ascii="Arial" w:hAnsi="Arial" w:cs="Arial"/>
                    <w:u w:val="single"/>
                  </w:rPr>
                  <w:t>203</w:t>
                </w:r>
                <w:r w:rsidR="008F4B79">
                  <w:rPr>
                    <w:rFonts w:ascii="Arial" w:hAnsi="Arial" w:cs="Arial"/>
                    <w:u w:val="single"/>
                  </w:rPr>
                  <w:t xml:space="preserve"> </w:t>
                </w:r>
              </w:p>
            </w:tc>
            <w:tc>
              <w:tcPr>
                <w:tcW w:w="993" w:type="dxa"/>
              </w:tcPr>
              <w:p w:rsidR="008F4B79" w:rsidRPr="00BC19FF" w:rsidRDefault="0023314B" w:rsidP="009260DE">
                <w:pPr>
                  <w:jc w:val="right"/>
                  <w:rPr>
                    <w:rFonts w:ascii="Arial" w:hAnsi="Arial" w:cs="Arial"/>
                    <w:u w:val="single"/>
                  </w:rPr>
                </w:pPr>
                <w:r>
                  <w:rPr>
                    <w:rFonts w:ascii="Arial" w:hAnsi="Arial" w:cs="Arial"/>
                    <w:u w:val="single"/>
                  </w:rPr>
                  <w:t>200</w:t>
                </w:r>
                <w:r w:rsidR="008F4B79">
                  <w:rPr>
                    <w:rFonts w:ascii="Arial" w:hAnsi="Arial" w:cs="Arial"/>
                    <w:u w:val="single"/>
                  </w:rPr>
                  <w:t xml:space="preserve"> </w:t>
                </w:r>
              </w:p>
            </w:tc>
            <w:tc>
              <w:tcPr>
                <w:tcW w:w="992" w:type="dxa"/>
              </w:tcPr>
              <w:p w:rsidR="008F4B79" w:rsidRPr="00BC19FF" w:rsidRDefault="0023314B" w:rsidP="009260DE">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92" w:type="dxa"/>
              </w:tcPr>
              <w:p w:rsidR="008F4B79" w:rsidRPr="00BC19FF" w:rsidRDefault="0023314B" w:rsidP="009260DE">
                <w:pPr>
                  <w:jc w:val="right"/>
                  <w:rPr>
                    <w:rFonts w:ascii="Arial" w:hAnsi="Arial" w:cs="Arial"/>
                    <w:u w:val="single"/>
                  </w:rPr>
                </w:pPr>
                <w:r>
                  <w:rPr>
                    <w:rFonts w:ascii="Arial" w:hAnsi="Arial" w:cs="Arial"/>
                    <w:u w:val="single"/>
                  </w:rPr>
                  <w:t>195</w:t>
                </w:r>
                <w:r w:rsidR="008F4B79">
                  <w:rPr>
                    <w:rFonts w:ascii="Arial" w:hAnsi="Arial" w:cs="Arial"/>
                    <w:u w:val="single"/>
                  </w:rPr>
                  <w:t xml:space="preserve"> </w:t>
                </w:r>
              </w:p>
            </w:tc>
          </w:tr>
          <w:tr w:rsidR="008F4B79" w:rsidTr="009260DE">
            <w:tc>
              <w:tcPr>
                <w:tcW w:w="2551" w:type="dxa"/>
              </w:tcPr>
              <w:p w:rsidR="008F4B79" w:rsidRDefault="008F4B79" w:rsidP="009260DE">
                <w:pPr>
                  <w:rPr>
                    <w:rFonts w:ascii="Arial" w:hAnsi="Arial" w:cs="Arial"/>
                  </w:rPr>
                </w:pPr>
              </w:p>
            </w:tc>
            <w:tc>
              <w:tcPr>
                <w:tcW w:w="992" w:type="dxa"/>
              </w:tcPr>
              <w:p w:rsidR="008F4B79" w:rsidRDefault="00731443" w:rsidP="009260DE">
                <w:pPr>
                  <w:jc w:val="right"/>
                  <w:rPr>
                    <w:rFonts w:ascii="Arial" w:hAnsi="Arial" w:cs="Arial"/>
                  </w:rPr>
                </w:pPr>
                <w:r>
                  <w:rPr>
                    <w:rFonts w:ascii="Arial" w:hAnsi="Arial" w:cs="Arial"/>
                  </w:rPr>
                  <w:t>305</w:t>
                </w:r>
                <w:r w:rsidR="008F4B79">
                  <w:rPr>
                    <w:rFonts w:ascii="Arial" w:hAnsi="Arial" w:cs="Arial"/>
                  </w:rPr>
                  <w:t xml:space="preserve"> </w:t>
                </w:r>
              </w:p>
            </w:tc>
            <w:tc>
              <w:tcPr>
                <w:tcW w:w="992" w:type="dxa"/>
              </w:tcPr>
              <w:p w:rsidR="008F4B79" w:rsidRDefault="0023314B" w:rsidP="009260DE">
                <w:pPr>
                  <w:jc w:val="right"/>
                  <w:rPr>
                    <w:rFonts w:ascii="Arial" w:hAnsi="Arial" w:cs="Arial"/>
                  </w:rPr>
                </w:pPr>
                <w:r>
                  <w:rPr>
                    <w:rFonts w:ascii="Arial" w:hAnsi="Arial" w:cs="Arial"/>
                  </w:rPr>
                  <w:t>293</w:t>
                </w:r>
                <w:r w:rsidR="008F4B79">
                  <w:rPr>
                    <w:rFonts w:ascii="Arial" w:hAnsi="Arial" w:cs="Arial"/>
                  </w:rPr>
                  <w:t xml:space="preserve">  </w:t>
                </w:r>
              </w:p>
            </w:tc>
            <w:tc>
              <w:tcPr>
                <w:tcW w:w="964" w:type="dxa"/>
              </w:tcPr>
              <w:p w:rsidR="008F4B79" w:rsidRDefault="0023314B" w:rsidP="009260DE">
                <w:pPr>
                  <w:jc w:val="right"/>
                  <w:rPr>
                    <w:rFonts w:ascii="Arial" w:hAnsi="Arial" w:cs="Arial"/>
                  </w:rPr>
                </w:pPr>
                <w:r>
                  <w:rPr>
                    <w:rFonts w:ascii="Arial" w:hAnsi="Arial" w:cs="Arial"/>
                  </w:rPr>
                  <w:t>307</w:t>
                </w:r>
                <w:r w:rsidR="008F4B79">
                  <w:rPr>
                    <w:rFonts w:ascii="Arial" w:hAnsi="Arial" w:cs="Arial"/>
                  </w:rPr>
                  <w:t xml:space="preserve"> </w:t>
                </w:r>
              </w:p>
            </w:tc>
            <w:tc>
              <w:tcPr>
                <w:tcW w:w="993" w:type="dxa"/>
              </w:tcPr>
              <w:p w:rsidR="008F4B79" w:rsidRDefault="0023314B" w:rsidP="009260DE">
                <w:pPr>
                  <w:jc w:val="right"/>
                  <w:rPr>
                    <w:rFonts w:ascii="Arial" w:hAnsi="Arial" w:cs="Arial"/>
                  </w:rPr>
                </w:pPr>
                <w:r>
                  <w:rPr>
                    <w:rFonts w:ascii="Arial" w:hAnsi="Arial" w:cs="Arial"/>
                  </w:rPr>
                  <w:t>318</w:t>
                </w:r>
                <w:r w:rsidR="008F4B79">
                  <w:rPr>
                    <w:rFonts w:ascii="Arial" w:hAnsi="Arial" w:cs="Arial"/>
                  </w:rPr>
                  <w:t xml:space="preserve"> </w:t>
                </w:r>
              </w:p>
            </w:tc>
            <w:tc>
              <w:tcPr>
                <w:tcW w:w="992" w:type="dxa"/>
              </w:tcPr>
              <w:p w:rsidR="008F4B79" w:rsidRDefault="0023314B" w:rsidP="009260DE">
                <w:pPr>
                  <w:jc w:val="right"/>
                  <w:rPr>
                    <w:rFonts w:ascii="Arial" w:hAnsi="Arial" w:cs="Arial"/>
                  </w:rPr>
                </w:pPr>
                <w:r>
                  <w:rPr>
                    <w:rFonts w:ascii="Arial" w:hAnsi="Arial" w:cs="Arial"/>
                  </w:rPr>
                  <w:t>344</w:t>
                </w:r>
                <w:r w:rsidR="008F4B79">
                  <w:rPr>
                    <w:rFonts w:ascii="Arial" w:hAnsi="Arial" w:cs="Arial"/>
                  </w:rPr>
                  <w:t xml:space="preserve"> </w:t>
                </w:r>
              </w:p>
            </w:tc>
            <w:tc>
              <w:tcPr>
                <w:tcW w:w="992" w:type="dxa"/>
              </w:tcPr>
              <w:p w:rsidR="008F4B79" w:rsidRDefault="0023314B" w:rsidP="009260DE">
                <w:pPr>
                  <w:jc w:val="right"/>
                  <w:rPr>
                    <w:rFonts w:ascii="Arial" w:hAnsi="Arial" w:cs="Arial"/>
                  </w:rPr>
                </w:pPr>
                <w:r>
                  <w:rPr>
                    <w:rFonts w:ascii="Arial" w:hAnsi="Arial" w:cs="Arial"/>
                  </w:rPr>
                  <w:t>392</w:t>
                </w:r>
                <w:r w:rsidR="008F4B79">
                  <w:rPr>
                    <w:rFonts w:ascii="Arial" w:hAnsi="Arial" w:cs="Arial"/>
                  </w:rPr>
                  <w:t xml:space="preserve"> </w:t>
                </w:r>
              </w:p>
            </w:tc>
          </w:tr>
          <w:tr w:rsidR="008F4B79" w:rsidTr="009260DE">
            <w:tc>
              <w:tcPr>
                <w:tcW w:w="2551" w:type="dxa"/>
              </w:tcPr>
              <w:p w:rsidR="008F4B79" w:rsidRDefault="008F4B79" w:rsidP="009260DE">
                <w:pPr>
                  <w:rPr>
                    <w:rFonts w:ascii="Arial" w:hAnsi="Arial" w:cs="Arial"/>
                  </w:rPr>
                </w:pPr>
                <w:r>
                  <w:rPr>
                    <w:rFonts w:ascii="Arial" w:hAnsi="Arial" w:cs="Arial"/>
                  </w:rPr>
                  <w:t>Cost of Stock sold</w:t>
                </w:r>
              </w:p>
            </w:tc>
            <w:tc>
              <w:tcPr>
                <w:tcW w:w="992" w:type="dxa"/>
              </w:tcPr>
              <w:p w:rsidR="008F4B79" w:rsidRDefault="008F4B79" w:rsidP="009260DE">
                <w:pPr>
                  <w:jc w:val="right"/>
                  <w:rPr>
                    <w:rFonts w:ascii="Arial" w:hAnsi="Arial" w:cs="Arial"/>
                  </w:rPr>
                </w:pPr>
              </w:p>
            </w:tc>
            <w:tc>
              <w:tcPr>
                <w:tcW w:w="992" w:type="dxa"/>
              </w:tcPr>
              <w:p w:rsidR="008F4B79" w:rsidRDefault="008F4B79" w:rsidP="009260DE">
                <w:pPr>
                  <w:jc w:val="right"/>
                  <w:rPr>
                    <w:rFonts w:ascii="Arial" w:hAnsi="Arial" w:cs="Arial"/>
                  </w:rPr>
                </w:pPr>
              </w:p>
            </w:tc>
            <w:tc>
              <w:tcPr>
                <w:tcW w:w="964" w:type="dxa"/>
              </w:tcPr>
              <w:p w:rsidR="008F4B79" w:rsidRDefault="008F4B79" w:rsidP="009260DE">
                <w:pPr>
                  <w:jc w:val="right"/>
                  <w:rPr>
                    <w:rFonts w:ascii="Arial" w:hAnsi="Arial" w:cs="Arial"/>
                  </w:rPr>
                </w:pPr>
              </w:p>
            </w:tc>
            <w:tc>
              <w:tcPr>
                <w:tcW w:w="993" w:type="dxa"/>
              </w:tcPr>
              <w:p w:rsidR="008F4B79" w:rsidRDefault="008F4B79" w:rsidP="009260DE">
                <w:pPr>
                  <w:jc w:val="right"/>
                  <w:rPr>
                    <w:rFonts w:ascii="Arial" w:hAnsi="Arial" w:cs="Arial"/>
                  </w:rPr>
                </w:pPr>
              </w:p>
            </w:tc>
            <w:tc>
              <w:tcPr>
                <w:tcW w:w="992" w:type="dxa"/>
              </w:tcPr>
              <w:p w:rsidR="008F4B79" w:rsidRDefault="008F4B79" w:rsidP="009260DE">
                <w:pPr>
                  <w:jc w:val="right"/>
                  <w:rPr>
                    <w:rFonts w:ascii="Arial" w:hAnsi="Arial" w:cs="Arial"/>
                  </w:rPr>
                </w:pPr>
              </w:p>
            </w:tc>
            <w:tc>
              <w:tcPr>
                <w:tcW w:w="992" w:type="dxa"/>
              </w:tcPr>
              <w:p w:rsidR="008F4B79" w:rsidRDefault="008F4B79" w:rsidP="009260DE">
                <w:pPr>
                  <w:jc w:val="right"/>
                  <w:rPr>
                    <w:rFonts w:ascii="Arial" w:hAnsi="Arial" w:cs="Arial"/>
                  </w:rPr>
                </w:pPr>
              </w:p>
            </w:tc>
          </w:tr>
          <w:tr w:rsidR="008F4B79" w:rsidTr="009260DE">
            <w:tc>
              <w:tcPr>
                <w:tcW w:w="2551" w:type="dxa"/>
              </w:tcPr>
              <w:p w:rsidR="008F4B79" w:rsidRDefault="00731443" w:rsidP="009260DE">
                <w:pPr>
                  <w:rPr>
                    <w:rFonts w:ascii="Arial" w:hAnsi="Arial" w:cs="Arial"/>
                  </w:rPr>
                </w:pPr>
                <w:r>
                  <w:rPr>
                    <w:rFonts w:ascii="Arial" w:hAnsi="Arial" w:cs="Arial"/>
                  </w:rPr>
                  <w:t>(7</w:t>
                </w:r>
                <w:r w:rsidR="008F4B79">
                  <w:rPr>
                    <w:rFonts w:ascii="Arial" w:hAnsi="Arial" w:cs="Arial"/>
                  </w:rPr>
                  <w:t>0% of sales)</w:t>
                </w:r>
              </w:p>
            </w:tc>
            <w:tc>
              <w:tcPr>
                <w:tcW w:w="992" w:type="dxa"/>
              </w:tcPr>
              <w:p w:rsidR="008F4B79" w:rsidRPr="00BC19FF" w:rsidRDefault="008F4B79" w:rsidP="009260DE">
                <w:pPr>
                  <w:jc w:val="right"/>
                  <w:rPr>
                    <w:rFonts w:ascii="Arial" w:hAnsi="Arial" w:cs="Arial"/>
                    <w:u w:val="single"/>
                  </w:rPr>
                </w:pPr>
                <w:r>
                  <w:rPr>
                    <w:rFonts w:ascii="Arial" w:hAnsi="Arial" w:cs="Arial"/>
                    <w:u w:val="single"/>
                  </w:rPr>
                  <w:t xml:space="preserve">( </w:t>
                </w:r>
                <w:r w:rsidR="0023314B">
                  <w:rPr>
                    <w:rFonts w:ascii="Arial" w:hAnsi="Arial" w:cs="Arial"/>
                    <w:u w:val="single"/>
                  </w:rPr>
                  <w:t>182</w:t>
                </w:r>
                <w:r>
                  <w:rPr>
                    <w:rFonts w:ascii="Arial" w:hAnsi="Arial" w:cs="Arial"/>
                    <w:u w:val="single"/>
                  </w:rPr>
                  <w:t xml:space="preserve"> )</w:t>
                </w:r>
              </w:p>
            </w:tc>
            <w:tc>
              <w:tcPr>
                <w:tcW w:w="992" w:type="dxa"/>
              </w:tcPr>
              <w:p w:rsidR="008F4B79" w:rsidRPr="00BC19FF" w:rsidRDefault="008F4B79" w:rsidP="009260DE">
                <w:pPr>
                  <w:jc w:val="right"/>
                  <w:rPr>
                    <w:rFonts w:ascii="Arial" w:hAnsi="Arial" w:cs="Arial"/>
                    <w:u w:val="single"/>
                  </w:rPr>
                </w:pPr>
                <w:r>
                  <w:rPr>
                    <w:rFonts w:ascii="Arial" w:hAnsi="Arial" w:cs="Arial"/>
                    <w:u w:val="single"/>
                  </w:rPr>
                  <w:t>(</w:t>
                </w:r>
                <w:r w:rsidR="0023314B">
                  <w:rPr>
                    <w:rFonts w:ascii="Arial" w:hAnsi="Arial" w:cs="Arial"/>
                    <w:u w:val="single"/>
                  </w:rPr>
                  <w:t xml:space="preserve">189  </w:t>
                </w:r>
                <w:r>
                  <w:rPr>
                    <w:rFonts w:ascii="Arial" w:hAnsi="Arial" w:cs="Arial"/>
                    <w:u w:val="single"/>
                  </w:rPr>
                  <w:t>)</w:t>
                </w:r>
              </w:p>
            </w:tc>
            <w:tc>
              <w:tcPr>
                <w:tcW w:w="964" w:type="dxa"/>
              </w:tcPr>
              <w:p w:rsidR="008F4B79" w:rsidRPr="00BC19FF" w:rsidRDefault="0023314B" w:rsidP="009260DE">
                <w:pPr>
                  <w:jc w:val="right"/>
                  <w:rPr>
                    <w:rFonts w:ascii="Arial" w:hAnsi="Arial" w:cs="Arial"/>
                    <w:u w:val="single"/>
                  </w:rPr>
                </w:pPr>
                <w:r>
                  <w:rPr>
                    <w:rFonts w:ascii="Arial" w:hAnsi="Arial" w:cs="Arial"/>
                    <w:u w:val="single"/>
                  </w:rPr>
                  <w:t xml:space="preserve">( </w:t>
                </w:r>
                <w:r w:rsidR="008F4B79">
                  <w:rPr>
                    <w:rFonts w:ascii="Arial" w:hAnsi="Arial" w:cs="Arial"/>
                    <w:u w:val="single"/>
                  </w:rPr>
                  <w:t xml:space="preserve"> </w:t>
                </w:r>
                <w:r>
                  <w:rPr>
                    <w:rFonts w:ascii="Arial" w:hAnsi="Arial" w:cs="Arial"/>
                    <w:u w:val="single"/>
                  </w:rPr>
                  <w:t>189</w:t>
                </w:r>
                <w:r w:rsidR="008F4B79">
                  <w:rPr>
                    <w:rFonts w:ascii="Arial" w:hAnsi="Arial" w:cs="Arial"/>
                    <w:u w:val="single"/>
                  </w:rPr>
                  <w:t xml:space="preserve"> )</w:t>
                </w:r>
              </w:p>
            </w:tc>
            <w:tc>
              <w:tcPr>
                <w:tcW w:w="993" w:type="dxa"/>
              </w:tcPr>
              <w:p w:rsidR="008F4B79" w:rsidRPr="00BC19FF" w:rsidRDefault="008F4B79" w:rsidP="009260DE">
                <w:pPr>
                  <w:jc w:val="right"/>
                  <w:rPr>
                    <w:rFonts w:ascii="Arial" w:hAnsi="Arial" w:cs="Arial"/>
                    <w:u w:val="single"/>
                  </w:rPr>
                </w:pPr>
                <w:r>
                  <w:rPr>
                    <w:rFonts w:ascii="Arial" w:hAnsi="Arial" w:cs="Arial"/>
                    <w:u w:val="single"/>
                  </w:rPr>
                  <w:t xml:space="preserve">(  </w:t>
                </w:r>
                <w:r w:rsidR="0023314B">
                  <w:rPr>
                    <w:rFonts w:ascii="Arial" w:hAnsi="Arial" w:cs="Arial"/>
                    <w:u w:val="single"/>
                  </w:rPr>
                  <w:t>154</w:t>
                </w:r>
                <w:r>
                  <w:rPr>
                    <w:rFonts w:ascii="Arial" w:hAnsi="Arial" w:cs="Arial"/>
                    <w:u w:val="single"/>
                  </w:rPr>
                  <w:t xml:space="preserve">  )</w:t>
                </w:r>
              </w:p>
            </w:tc>
            <w:tc>
              <w:tcPr>
                <w:tcW w:w="992" w:type="dxa"/>
              </w:tcPr>
              <w:p w:rsidR="008F4B79" w:rsidRPr="00BC19FF" w:rsidRDefault="008F4B79" w:rsidP="009260DE">
                <w:pPr>
                  <w:jc w:val="right"/>
                  <w:rPr>
                    <w:rFonts w:ascii="Arial" w:hAnsi="Arial" w:cs="Arial"/>
                    <w:u w:val="single"/>
                  </w:rPr>
                </w:pPr>
                <w:r>
                  <w:rPr>
                    <w:rFonts w:ascii="Arial" w:hAnsi="Arial" w:cs="Arial"/>
                    <w:u w:val="single"/>
                  </w:rPr>
                  <w:t xml:space="preserve">(   </w:t>
                </w:r>
                <w:r w:rsidR="0023314B">
                  <w:rPr>
                    <w:rFonts w:ascii="Arial" w:hAnsi="Arial" w:cs="Arial"/>
                    <w:u w:val="single"/>
                  </w:rPr>
                  <w:t>147</w:t>
                </w:r>
                <w:r>
                  <w:rPr>
                    <w:rFonts w:ascii="Arial" w:hAnsi="Arial" w:cs="Arial"/>
                    <w:u w:val="single"/>
                  </w:rPr>
                  <w:t xml:space="preserve"> )</w:t>
                </w:r>
              </w:p>
            </w:tc>
            <w:tc>
              <w:tcPr>
                <w:tcW w:w="992" w:type="dxa"/>
              </w:tcPr>
              <w:p w:rsidR="008F4B79" w:rsidRPr="00BC19FF" w:rsidRDefault="008F4B79" w:rsidP="009260DE">
                <w:pPr>
                  <w:jc w:val="right"/>
                  <w:rPr>
                    <w:rFonts w:ascii="Arial" w:hAnsi="Arial" w:cs="Arial"/>
                    <w:u w:val="single"/>
                  </w:rPr>
                </w:pPr>
                <w:r>
                  <w:rPr>
                    <w:rFonts w:ascii="Arial" w:hAnsi="Arial" w:cs="Arial"/>
                    <w:u w:val="single"/>
                  </w:rPr>
                  <w:t xml:space="preserve">(   </w:t>
                </w:r>
                <w:r w:rsidR="0023314B">
                  <w:rPr>
                    <w:rFonts w:ascii="Arial" w:hAnsi="Arial" w:cs="Arial"/>
                    <w:u w:val="single"/>
                  </w:rPr>
                  <w:t>133</w:t>
                </w:r>
                <w:r>
                  <w:rPr>
                    <w:rFonts w:ascii="Arial" w:hAnsi="Arial" w:cs="Arial"/>
                    <w:u w:val="single"/>
                  </w:rPr>
                  <w:t>)</w:t>
                </w:r>
              </w:p>
            </w:tc>
          </w:tr>
          <w:tr w:rsidR="008F4B79" w:rsidTr="009260DE">
            <w:tc>
              <w:tcPr>
                <w:tcW w:w="2551" w:type="dxa"/>
              </w:tcPr>
              <w:p w:rsidR="008F4B79" w:rsidRDefault="008F4B79" w:rsidP="009260DE">
                <w:pPr>
                  <w:rPr>
                    <w:rFonts w:ascii="Arial" w:hAnsi="Arial" w:cs="Arial"/>
                  </w:rPr>
                </w:pPr>
                <w:r>
                  <w:rPr>
                    <w:rFonts w:ascii="Arial" w:hAnsi="Arial" w:cs="Arial"/>
                  </w:rPr>
                  <w:t>Therefore Closing stock</w:t>
                </w:r>
              </w:p>
            </w:tc>
            <w:tc>
              <w:tcPr>
                <w:tcW w:w="992" w:type="dxa"/>
              </w:tcPr>
              <w:p w:rsidR="008F4B79" w:rsidRPr="00BC19FF" w:rsidRDefault="0023314B" w:rsidP="009260DE">
                <w:pPr>
                  <w:jc w:val="right"/>
                  <w:rPr>
                    <w:rFonts w:ascii="Arial" w:hAnsi="Arial" w:cs="Arial"/>
                    <w:u w:val="single"/>
                  </w:rPr>
                </w:pPr>
                <w:r>
                  <w:rPr>
                    <w:rFonts w:ascii="Arial" w:hAnsi="Arial" w:cs="Arial"/>
                    <w:u w:val="single"/>
                  </w:rPr>
                  <w:t>123</w:t>
                </w:r>
                <w:r w:rsidR="008F4B79">
                  <w:rPr>
                    <w:rFonts w:ascii="Arial" w:hAnsi="Arial" w:cs="Arial"/>
                    <w:u w:val="single"/>
                  </w:rPr>
                  <w:t xml:space="preserve">   </w:t>
                </w:r>
              </w:p>
            </w:tc>
            <w:tc>
              <w:tcPr>
                <w:tcW w:w="992" w:type="dxa"/>
              </w:tcPr>
              <w:p w:rsidR="008F4B79" w:rsidRPr="00BC19FF" w:rsidRDefault="0023314B" w:rsidP="009260DE">
                <w:pPr>
                  <w:jc w:val="right"/>
                  <w:rPr>
                    <w:rFonts w:ascii="Arial" w:hAnsi="Arial" w:cs="Arial"/>
                    <w:u w:val="single"/>
                  </w:rPr>
                </w:pPr>
                <w:r>
                  <w:rPr>
                    <w:rFonts w:ascii="Arial" w:hAnsi="Arial" w:cs="Arial"/>
                    <w:u w:val="single"/>
                  </w:rPr>
                  <w:t>104</w:t>
                </w:r>
                <w:r w:rsidR="008F4B79">
                  <w:rPr>
                    <w:rFonts w:ascii="Arial" w:hAnsi="Arial" w:cs="Arial"/>
                    <w:u w:val="single"/>
                  </w:rPr>
                  <w:t xml:space="preserve">   </w:t>
                </w:r>
              </w:p>
            </w:tc>
            <w:tc>
              <w:tcPr>
                <w:tcW w:w="964" w:type="dxa"/>
              </w:tcPr>
              <w:p w:rsidR="008F4B79" w:rsidRPr="00BC19FF" w:rsidRDefault="0023314B" w:rsidP="009260DE">
                <w:pPr>
                  <w:jc w:val="right"/>
                  <w:rPr>
                    <w:rFonts w:ascii="Arial" w:hAnsi="Arial" w:cs="Arial"/>
                    <w:u w:val="single"/>
                  </w:rPr>
                </w:pPr>
                <w:r>
                  <w:rPr>
                    <w:rFonts w:ascii="Arial" w:hAnsi="Arial" w:cs="Arial"/>
                    <w:u w:val="single"/>
                  </w:rPr>
                  <w:t>118</w:t>
                </w:r>
                <w:r w:rsidR="008F4B79">
                  <w:rPr>
                    <w:rFonts w:ascii="Arial" w:hAnsi="Arial" w:cs="Arial"/>
                    <w:u w:val="single"/>
                  </w:rPr>
                  <w:t xml:space="preserve">     </w:t>
                </w:r>
              </w:p>
            </w:tc>
            <w:tc>
              <w:tcPr>
                <w:tcW w:w="993" w:type="dxa"/>
              </w:tcPr>
              <w:p w:rsidR="008F4B79" w:rsidRPr="00BC19FF" w:rsidRDefault="0023314B" w:rsidP="009260DE">
                <w:pPr>
                  <w:jc w:val="right"/>
                  <w:rPr>
                    <w:rFonts w:ascii="Arial" w:hAnsi="Arial" w:cs="Arial"/>
                    <w:u w:val="single"/>
                  </w:rPr>
                </w:pPr>
                <w:r>
                  <w:rPr>
                    <w:rFonts w:ascii="Arial" w:hAnsi="Arial" w:cs="Arial"/>
                    <w:u w:val="single"/>
                  </w:rPr>
                  <w:t>164</w:t>
                </w:r>
                <w:r w:rsidR="008F4B79">
                  <w:rPr>
                    <w:rFonts w:ascii="Arial" w:hAnsi="Arial" w:cs="Arial"/>
                    <w:u w:val="single"/>
                  </w:rPr>
                  <w:t xml:space="preserve"> </w:t>
                </w:r>
              </w:p>
            </w:tc>
            <w:tc>
              <w:tcPr>
                <w:tcW w:w="992" w:type="dxa"/>
              </w:tcPr>
              <w:p w:rsidR="008F4B79" w:rsidRPr="00BC19FF" w:rsidRDefault="0023314B" w:rsidP="009260DE">
                <w:pPr>
                  <w:jc w:val="right"/>
                  <w:rPr>
                    <w:rFonts w:ascii="Arial" w:hAnsi="Arial" w:cs="Arial"/>
                    <w:u w:val="single"/>
                  </w:rPr>
                </w:pPr>
                <w:r>
                  <w:rPr>
                    <w:rFonts w:ascii="Arial" w:hAnsi="Arial" w:cs="Arial"/>
                    <w:u w:val="single"/>
                  </w:rPr>
                  <w:t>197</w:t>
                </w:r>
                <w:r w:rsidR="008F4B79">
                  <w:rPr>
                    <w:rFonts w:ascii="Arial" w:hAnsi="Arial" w:cs="Arial"/>
                    <w:u w:val="single"/>
                  </w:rPr>
                  <w:t xml:space="preserve"> </w:t>
                </w:r>
              </w:p>
            </w:tc>
            <w:tc>
              <w:tcPr>
                <w:tcW w:w="992" w:type="dxa"/>
              </w:tcPr>
              <w:p w:rsidR="008F4B79" w:rsidRPr="00BC19FF" w:rsidRDefault="0023314B" w:rsidP="009260DE">
                <w:pPr>
                  <w:jc w:val="right"/>
                  <w:rPr>
                    <w:rFonts w:ascii="Arial" w:hAnsi="Arial" w:cs="Arial"/>
                    <w:u w:val="single"/>
                  </w:rPr>
                </w:pPr>
                <w:r>
                  <w:rPr>
                    <w:rFonts w:ascii="Arial" w:hAnsi="Arial" w:cs="Arial"/>
                    <w:u w:val="single"/>
                  </w:rPr>
                  <w:t>259</w:t>
                </w:r>
                <w:r w:rsidR="008F4B79">
                  <w:rPr>
                    <w:rFonts w:ascii="Arial" w:hAnsi="Arial" w:cs="Arial"/>
                    <w:u w:val="single"/>
                  </w:rPr>
                  <w:t xml:space="preserve"> </w:t>
                </w:r>
              </w:p>
            </w:tc>
          </w:tr>
        </w:tbl>
        <w:p w:rsidR="008F4B79" w:rsidRDefault="008F4B79" w:rsidP="008F4B79">
          <w:pPr>
            <w:spacing w:line="240" w:lineRule="auto"/>
            <w:ind w:left="360" w:firstLine="360"/>
            <w:rPr>
              <w:rFonts w:ascii="Arial" w:hAnsi="Arial" w:cs="Arial"/>
            </w:rPr>
          </w:pPr>
        </w:p>
        <w:p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260"/>
            <w:gridCol w:w="992"/>
            <w:gridCol w:w="992"/>
            <w:gridCol w:w="993"/>
            <w:gridCol w:w="992"/>
            <w:gridCol w:w="992"/>
            <w:gridCol w:w="992"/>
          </w:tblGrid>
          <w:tr w:rsidR="008F4B79" w:rsidTr="009260DE">
            <w:tc>
              <w:tcPr>
                <w:tcW w:w="3260" w:type="dxa"/>
              </w:tcPr>
              <w:p w:rsidR="008F4B79" w:rsidRDefault="008F4B79" w:rsidP="009260DE">
                <w:pPr>
                  <w:jc w:val="center"/>
                  <w:rPr>
                    <w:rFonts w:ascii="Arial" w:hAnsi="Arial" w:cs="Arial"/>
                  </w:rPr>
                </w:pPr>
              </w:p>
            </w:tc>
            <w:tc>
              <w:tcPr>
                <w:tcW w:w="992" w:type="dxa"/>
              </w:tcPr>
              <w:p w:rsidR="008F4B79" w:rsidRPr="004D6C12" w:rsidRDefault="008F4B79" w:rsidP="009260DE">
                <w:pPr>
                  <w:jc w:val="center"/>
                  <w:rPr>
                    <w:rFonts w:ascii="Arial" w:hAnsi="Arial" w:cs="Arial"/>
                    <w:b/>
                  </w:rPr>
                </w:pPr>
                <w:r w:rsidRPr="004D6C12">
                  <w:rPr>
                    <w:rFonts w:ascii="Arial" w:hAnsi="Arial" w:cs="Arial"/>
                    <w:b/>
                  </w:rPr>
                  <w:t>June</w:t>
                </w:r>
              </w:p>
            </w:tc>
            <w:tc>
              <w:tcPr>
                <w:tcW w:w="992" w:type="dxa"/>
              </w:tcPr>
              <w:p w:rsidR="008F4B79" w:rsidRPr="004D6C12" w:rsidRDefault="008F4B79" w:rsidP="009260DE">
                <w:pPr>
                  <w:jc w:val="center"/>
                  <w:rPr>
                    <w:rFonts w:ascii="Arial" w:hAnsi="Arial" w:cs="Arial"/>
                    <w:b/>
                  </w:rPr>
                </w:pPr>
                <w:r w:rsidRPr="004D6C12">
                  <w:rPr>
                    <w:rFonts w:ascii="Arial" w:hAnsi="Arial" w:cs="Arial"/>
                    <w:b/>
                  </w:rPr>
                  <w:t>July</w:t>
                </w:r>
              </w:p>
            </w:tc>
            <w:tc>
              <w:tcPr>
                <w:tcW w:w="993" w:type="dxa"/>
              </w:tcPr>
              <w:p w:rsidR="008F4B79" w:rsidRPr="004D6C12" w:rsidRDefault="008F4B79" w:rsidP="009260DE">
                <w:pPr>
                  <w:jc w:val="center"/>
                  <w:rPr>
                    <w:rFonts w:ascii="Arial" w:hAnsi="Arial" w:cs="Arial"/>
                    <w:b/>
                  </w:rPr>
                </w:pPr>
                <w:r w:rsidRPr="004D6C12">
                  <w:rPr>
                    <w:rFonts w:ascii="Arial" w:hAnsi="Arial" w:cs="Arial"/>
                    <w:b/>
                  </w:rPr>
                  <w:t>Aug</w:t>
                </w:r>
              </w:p>
            </w:tc>
            <w:tc>
              <w:tcPr>
                <w:tcW w:w="992" w:type="dxa"/>
              </w:tcPr>
              <w:p w:rsidR="008F4B79" w:rsidRPr="004D6C12" w:rsidRDefault="008F4B79" w:rsidP="009260DE">
                <w:pPr>
                  <w:jc w:val="center"/>
                  <w:rPr>
                    <w:rFonts w:ascii="Arial" w:hAnsi="Arial" w:cs="Arial"/>
                    <w:b/>
                  </w:rPr>
                </w:pPr>
                <w:r w:rsidRPr="004D6C12">
                  <w:rPr>
                    <w:rFonts w:ascii="Arial" w:hAnsi="Arial" w:cs="Arial"/>
                    <w:b/>
                  </w:rPr>
                  <w:t>Sept</w:t>
                </w:r>
              </w:p>
            </w:tc>
            <w:tc>
              <w:tcPr>
                <w:tcW w:w="992" w:type="dxa"/>
              </w:tcPr>
              <w:p w:rsidR="008F4B79" w:rsidRPr="004D6C12" w:rsidRDefault="008F4B79" w:rsidP="009260DE">
                <w:pPr>
                  <w:jc w:val="center"/>
                  <w:rPr>
                    <w:rFonts w:ascii="Arial" w:hAnsi="Arial" w:cs="Arial"/>
                    <w:b/>
                  </w:rPr>
                </w:pPr>
                <w:r w:rsidRPr="004D6C12">
                  <w:rPr>
                    <w:rFonts w:ascii="Arial" w:hAnsi="Arial" w:cs="Arial"/>
                    <w:b/>
                  </w:rPr>
                  <w:t>Oct</w:t>
                </w:r>
              </w:p>
            </w:tc>
            <w:tc>
              <w:tcPr>
                <w:tcW w:w="992" w:type="dxa"/>
              </w:tcPr>
              <w:p w:rsidR="008F4B79" w:rsidRPr="004D6C12" w:rsidRDefault="008F4B79" w:rsidP="009260DE">
                <w:pPr>
                  <w:jc w:val="center"/>
                  <w:rPr>
                    <w:rFonts w:ascii="Arial" w:hAnsi="Arial" w:cs="Arial"/>
                    <w:b/>
                  </w:rPr>
                </w:pPr>
                <w:r w:rsidRPr="004D6C12">
                  <w:rPr>
                    <w:rFonts w:ascii="Arial" w:hAnsi="Arial" w:cs="Arial"/>
                    <w:b/>
                  </w:rPr>
                  <w:t>Nov</w:t>
                </w:r>
              </w:p>
            </w:tc>
          </w:tr>
          <w:tr w:rsidR="008F4B79" w:rsidTr="009260DE">
            <w:tc>
              <w:tcPr>
                <w:tcW w:w="3260" w:type="dxa"/>
              </w:tcPr>
              <w:p w:rsidR="008F4B79" w:rsidRDefault="008F4B79" w:rsidP="009260DE">
                <w:pPr>
                  <w:rPr>
                    <w:rFonts w:ascii="Arial" w:hAnsi="Arial" w:cs="Arial"/>
                  </w:rPr>
                </w:pPr>
              </w:p>
            </w:tc>
            <w:tc>
              <w:tcPr>
                <w:tcW w:w="992" w:type="dxa"/>
              </w:tcPr>
              <w:p w:rsidR="008F4B79" w:rsidRPr="004D6C12" w:rsidRDefault="008F4B79" w:rsidP="009260DE">
                <w:pPr>
                  <w:jc w:val="center"/>
                  <w:rPr>
                    <w:rFonts w:ascii="Arial" w:hAnsi="Arial" w:cs="Arial"/>
                    <w:sz w:val="20"/>
                    <w:szCs w:val="20"/>
                  </w:rPr>
                </w:pPr>
                <w:r w:rsidRPr="004D6C12">
                  <w:rPr>
                    <w:rFonts w:ascii="Arial" w:hAnsi="Arial" w:cs="Arial"/>
                    <w:sz w:val="20"/>
                    <w:szCs w:val="20"/>
                  </w:rPr>
                  <w:t>£000</w:t>
                </w:r>
              </w:p>
            </w:tc>
            <w:tc>
              <w:tcPr>
                <w:tcW w:w="992" w:type="dxa"/>
              </w:tcPr>
              <w:p w:rsidR="008F4B79" w:rsidRPr="004D6C12" w:rsidRDefault="008F4B79" w:rsidP="009260DE">
                <w:pPr>
                  <w:jc w:val="center"/>
                  <w:rPr>
                    <w:rFonts w:ascii="Arial" w:hAnsi="Arial" w:cs="Arial"/>
                    <w:sz w:val="20"/>
                    <w:szCs w:val="20"/>
                  </w:rPr>
                </w:pPr>
                <w:r w:rsidRPr="004D6C12">
                  <w:rPr>
                    <w:rFonts w:ascii="Arial" w:hAnsi="Arial" w:cs="Arial"/>
                    <w:sz w:val="20"/>
                    <w:szCs w:val="20"/>
                  </w:rPr>
                  <w:t>£000</w:t>
                </w:r>
              </w:p>
            </w:tc>
            <w:tc>
              <w:tcPr>
                <w:tcW w:w="993" w:type="dxa"/>
              </w:tcPr>
              <w:p w:rsidR="008F4B79" w:rsidRPr="004D6C12" w:rsidRDefault="008F4B79" w:rsidP="009260DE">
                <w:pPr>
                  <w:jc w:val="center"/>
                  <w:rPr>
                    <w:rFonts w:ascii="Arial" w:hAnsi="Arial" w:cs="Arial"/>
                    <w:sz w:val="20"/>
                    <w:szCs w:val="20"/>
                  </w:rPr>
                </w:pPr>
                <w:r w:rsidRPr="004D6C12">
                  <w:rPr>
                    <w:rFonts w:ascii="Arial" w:hAnsi="Arial" w:cs="Arial"/>
                    <w:sz w:val="20"/>
                    <w:szCs w:val="20"/>
                  </w:rPr>
                  <w:t>£000</w:t>
                </w:r>
              </w:p>
            </w:tc>
            <w:tc>
              <w:tcPr>
                <w:tcW w:w="992" w:type="dxa"/>
              </w:tcPr>
              <w:p w:rsidR="008F4B79" w:rsidRPr="004D6C12" w:rsidRDefault="008F4B79" w:rsidP="009260DE">
                <w:pPr>
                  <w:jc w:val="center"/>
                  <w:rPr>
                    <w:rFonts w:ascii="Arial" w:hAnsi="Arial" w:cs="Arial"/>
                    <w:sz w:val="20"/>
                    <w:szCs w:val="20"/>
                  </w:rPr>
                </w:pPr>
                <w:r w:rsidRPr="004D6C12">
                  <w:rPr>
                    <w:rFonts w:ascii="Arial" w:hAnsi="Arial" w:cs="Arial"/>
                    <w:sz w:val="20"/>
                    <w:szCs w:val="20"/>
                  </w:rPr>
                  <w:t>£000</w:t>
                </w:r>
              </w:p>
            </w:tc>
            <w:tc>
              <w:tcPr>
                <w:tcW w:w="992" w:type="dxa"/>
              </w:tcPr>
              <w:p w:rsidR="008F4B79" w:rsidRPr="004D6C12" w:rsidRDefault="008F4B79" w:rsidP="009260DE">
                <w:pPr>
                  <w:jc w:val="center"/>
                  <w:rPr>
                    <w:rFonts w:ascii="Arial" w:hAnsi="Arial" w:cs="Arial"/>
                    <w:sz w:val="20"/>
                    <w:szCs w:val="20"/>
                  </w:rPr>
                </w:pPr>
                <w:r w:rsidRPr="004D6C12">
                  <w:rPr>
                    <w:rFonts w:ascii="Arial" w:hAnsi="Arial" w:cs="Arial"/>
                    <w:sz w:val="20"/>
                    <w:szCs w:val="20"/>
                  </w:rPr>
                  <w:t>£000</w:t>
                </w:r>
              </w:p>
            </w:tc>
            <w:tc>
              <w:tcPr>
                <w:tcW w:w="992" w:type="dxa"/>
              </w:tcPr>
              <w:p w:rsidR="008F4B79" w:rsidRPr="004D6C12" w:rsidRDefault="008F4B79" w:rsidP="009260DE">
                <w:pPr>
                  <w:jc w:val="center"/>
                  <w:rPr>
                    <w:rFonts w:ascii="Arial" w:hAnsi="Arial" w:cs="Arial"/>
                    <w:sz w:val="20"/>
                    <w:szCs w:val="20"/>
                  </w:rPr>
                </w:pPr>
                <w:r w:rsidRPr="004D6C12">
                  <w:rPr>
                    <w:rFonts w:ascii="Arial" w:hAnsi="Arial" w:cs="Arial"/>
                    <w:sz w:val="20"/>
                    <w:szCs w:val="20"/>
                  </w:rPr>
                  <w:t>£000</w:t>
                </w:r>
              </w:p>
            </w:tc>
          </w:tr>
          <w:tr w:rsidR="008F4B79" w:rsidTr="009260DE">
            <w:tc>
              <w:tcPr>
                <w:tcW w:w="3260" w:type="dxa"/>
              </w:tcPr>
              <w:p w:rsidR="008F4B79" w:rsidRDefault="008F4B79" w:rsidP="009260DE">
                <w:pPr>
                  <w:rPr>
                    <w:rFonts w:ascii="Arial" w:hAnsi="Arial" w:cs="Arial"/>
                    <w:b/>
                  </w:rPr>
                </w:pPr>
                <w:r w:rsidRPr="00493559">
                  <w:rPr>
                    <w:rFonts w:ascii="Arial" w:hAnsi="Arial" w:cs="Arial"/>
                    <w:b/>
                  </w:rPr>
                  <w:t>Cash receipts</w:t>
                </w:r>
                <w:r>
                  <w:rPr>
                    <w:rFonts w:ascii="Arial" w:hAnsi="Arial" w:cs="Arial"/>
                    <w:b/>
                  </w:rPr>
                  <w:t xml:space="preserve"> </w:t>
                </w:r>
              </w:p>
              <w:p w:rsidR="008F4B79" w:rsidRDefault="008F4B79" w:rsidP="009260DE">
                <w:pPr>
                  <w:rPr>
                    <w:rFonts w:ascii="Arial" w:hAnsi="Arial" w:cs="Arial"/>
                  </w:rPr>
                </w:pPr>
                <w:r>
                  <w:rPr>
                    <w:rFonts w:ascii="Arial" w:hAnsi="Arial" w:cs="Arial"/>
                  </w:rPr>
                  <w:t xml:space="preserve">Sales net of  </w:t>
                </w:r>
                <w:r w:rsidR="005E4900">
                  <w:rPr>
                    <w:rFonts w:ascii="Arial" w:hAnsi="Arial" w:cs="Arial"/>
                  </w:rPr>
                  <w:t>0.6x3%</w:t>
                </w:r>
              </w:p>
            </w:tc>
            <w:tc>
              <w:tcPr>
                <w:tcW w:w="992" w:type="dxa"/>
              </w:tcPr>
              <w:p w:rsidR="008F4B79" w:rsidRDefault="008F4B79" w:rsidP="009260DE">
                <w:pPr>
                  <w:jc w:val="center"/>
                  <w:rPr>
                    <w:rFonts w:ascii="Arial" w:hAnsi="Arial" w:cs="Arial"/>
                  </w:rPr>
                </w:pPr>
              </w:p>
              <w:p w:rsidR="008F4B79" w:rsidRDefault="00570C36" w:rsidP="009260DE">
                <w:pPr>
                  <w:jc w:val="center"/>
                  <w:rPr>
                    <w:rFonts w:ascii="Arial" w:hAnsi="Arial" w:cs="Arial"/>
                  </w:rPr>
                </w:pPr>
                <w:r>
                  <w:rPr>
                    <w:rFonts w:ascii="Arial" w:hAnsi="Arial" w:cs="Arial"/>
                  </w:rPr>
                  <w:t>255</w:t>
                </w:r>
                <w:r w:rsidR="008F4B79">
                  <w:rPr>
                    <w:rFonts w:ascii="Arial" w:hAnsi="Arial" w:cs="Arial"/>
                  </w:rPr>
                  <w:t xml:space="preserve"> </w:t>
                </w:r>
              </w:p>
            </w:tc>
            <w:tc>
              <w:tcPr>
                <w:tcW w:w="992" w:type="dxa"/>
              </w:tcPr>
              <w:p w:rsidR="008F4B79" w:rsidRDefault="008F4B79" w:rsidP="009260DE">
                <w:pPr>
                  <w:jc w:val="center"/>
                  <w:rPr>
                    <w:rFonts w:ascii="Arial" w:hAnsi="Arial" w:cs="Arial"/>
                  </w:rPr>
                </w:pPr>
              </w:p>
              <w:p w:rsidR="008F4B79" w:rsidRDefault="00570C36" w:rsidP="009260DE">
                <w:pPr>
                  <w:jc w:val="center"/>
                  <w:rPr>
                    <w:rFonts w:ascii="Arial" w:hAnsi="Arial" w:cs="Arial"/>
                  </w:rPr>
                </w:pPr>
                <w:r>
                  <w:rPr>
                    <w:rFonts w:ascii="Arial" w:hAnsi="Arial" w:cs="Arial"/>
                  </w:rPr>
                  <w:t>265</w:t>
                </w:r>
                <w:r w:rsidR="008F4B79">
                  <w:rPr>
                    <w:rFonts w:ascii="Arial" w:hAnsi="Arial" w:cs="Arial"/>
                  </w:rPr>
                  <w:t xml:space="preserve"> </w:t>
                </w:r>
              </w:p>
            </w:tc>
            <w:tc>
              <w:tcPr>
                <w:tcW w:w="993" w:type="dxa"/>
              </w:tcPr>
              <w:p w:rsidR="008F4B79" w:rsidRDefault="008F4B79" w:rsidP="009260DE">
                <w:pPr>
                  <w:jc w:val="center"/>
                  <w:rPr>
                    <w:rFonts w:ascii="Arial" w:hAnsi="Arial" w:cs="Arial"/>
                  </w:rPr>
                </w:pPr>
              </w:p>
              <w:p w:rsidR="008F4B79" w:rsidRDefault="00570C36" w:rsidP="009260DE">
                <w:pPr>
                  <w:jc w:val="center"/>
                  <w:rPr>
                    <w:rFonts w:ascii="Arial" w:hAnsi="Arial" w:cs="Arial"/>
                  </w:rPr>
                </w:pPr>
                <w:r>
                  <w:rPr>
                    <w:rFonts w:ascii="Arial" w:hAnsi="Arial" w:cs="Arial"/>
                  </w:rPr>
                  <w:t>265</w:t>
                </w:r>
                <w:r w:rsidR="008F4B79">
                  <w:rPr>
                    <w:rFonts w:ascii="Arial" w:hAnsi="Arial" w:cs="Arial"/>
                  </w:rPr>
                  <w:t xml:space="preserve"> </w:t>
                </w:r>
              </w:p>
            </w:tc>
            <w:tc>
              <w:tcPr>
                <w:tcW w:w="992" w:type="dxa"/>
              </w:tcPr>
              <w:p w:rsidR="008F4B79" w:rsidRDefault="008F4B79" w:rsidP="009260DE">
                <w:pPr>
                  <w:jc w:val="center"/>
                  <w:rPr>
                    <w:rFonts w:ascii="Arial" w:hAnsi="Arial" w:cs="Arial"/>
                  </w:rPr>
                </w:pPr>
              </w:p>
              <w:p w:rsidR="008F4B79" w:rsidRDefault="00570C36" w:rsidP="009260DE">
                <w:pPr>
                  <w:jc w:val="center"/>
                  <w:rPr>
                    <w:rFonts w:ascii="Arial" w:hAnsi="Arial" w:cs="Arial"/>
                  </w:rPr>
                </w:pPr>
                <w:r>
                  <w:rPr>
                    <w:rFonts w:ascii="Arial" w:hAnsi="Arial" w:cs="Arial"/>
                  </w:rPr>
                  <w:t>216</w:t>
                </w:r>
                <w:r w:rsidR="008F4B79">
                  <w:rPr>
                    <w:rFonts w:ascii="Arial" w:hAnsi="Arial" w:cs="Arial"/>
                  </w:rPr>
                  <w:t xml:space="preserve"> </w:t>
                </w:r>
              </w:p>
            </w:tc>
            <w:tc>
              <w:tcPr>
                <w:tcW w:w="992" w:type="dxa"/>
              </w:tcPr>
              <w:p w:rsidR="008F4B79" w:rsidRDefault="008F4B79" w:rsidP="009260DE">
                <w:pPr>
                  <w:jc w:val="center"/>
                  <w:rPr>
                    <w:rFonts w:ascii="Arial" w:hAnsi="Arial" w:cs="Arial"/>
                  </w:rPr>
                </w:pPr>
              </w:p>
              <w:p w:rsidR="008F4B79" w:rsidRDefault="00570C36" w:rsidP="009260DE">
                <w:pPr>
                  <w:jc w:val="center"/>
                  <w:rPr>
                    <w:rFonts w:ascii="Arial" w:hAnsi="Arial" w:cs="Arial"/>
                  </w:rPr>
                </w:pPr>
                <w:r>
                  <w:rPr>
                    <w:rFonts w:ascii="Arial" w:hAnsi="Arial" w:cs="Arial"/>
                  </w:rPr>
                  <w:t>206</w:t>
                </w:r>
                <w:r w:rsidR="008F4B79">
                  <w:rPr>
                    <w:rFonts w:ascii="Arial" w:hAnsi="Arial" w:cs="Arial"/>
                  </w:rPr>
                  <w:t xml:space="preserve"> </w:t>
                </w:r>
              </w:p>
            </w:tc>
            <w:tc>
              <w:tcPr>
                <w:tcW w:w="992" w:type="dxa"/>
              </w:tcPr>
              <w:p w:rsidR="008F4B79" w:rsidRDefault="008F4B79" w:rsidP="009260DE">
                <w:pPr>
                  <w:jc w:val="center"/>
                  <w:rPr>
                    <w:rFonts w:ascii="Arial" w:hAnsi="Arial" w:cs="Arial"/>
                  </w:rPr>
                </w:pPr>
              </w:p>
              <w:p w:rsidR="008F4B79" w:rsidRDefault="00570C36" w:rsidP="009260DE">
                <w:pPr>
                  <w:jc w:val="center"/>
                  <w:rPr>
                    <w:rFonts w:ascii="Arial" w:hAnsi="Arial" w:cs="Arial"/>
                  </w:rPr>
                </w:pPr>
                <w:r>
                  <w:rPr>
                    <w:rFonts w:ascii="Arial" w:hAnsi="Arial" w:cs="Arial"/>
                  </w:rPr>
                  <w:t>187</w:t>
                </w:r>
                <w:r w:rsidR="008F4B79">
                  <w:rPr>
                    <w:rFonts w:ascii="Arial" w:hAnsi="Arial" w:cs="Arial"/>
                  </w:rPr>
                  <w:t xml:space="preserve"> </w:t>
                </w:r>
              </w:p>
            </w:tc>
          </w:tr>
          <w:tr w:rsidR="008F4B79" w:rsidTr="009260DE">
            <w:tc>
              <w:tcPr>
                <w:tcW w:w="3260" w:type="dxa"/>
              </w:tcPr>
              <w:p w:rsidR="008F4B79" w:rsidRPr="00493559" w:rsidRDefault="008F4B79" w:rsidP="009260DE">
                <w:pPr>
                  <w:rPr>
                    <w:rFonts w:ascii="Arial" w:hAnsi="Arial" w:cs="Arial"/>
                    <w:b/>
                  </w:rPr>
                </w:pPr>
                <w:r w:rsidRPr="00493559">
                  <w:rPr>
                    <w:rFonts w:ascii="Arial" w:hAnsi="Arial" w:cs="Arial"/>
                    <w:b/>
                  </w:rPr>
                  <w:t>Cash payments</w:t>
                </w:r>
              </w:p>
              <w:p w:rsidR="008F4B79" w:rsidRDefault="008F4B79" w:rsidP="009260DE">
                <w:pPr>
                  <w:rPr>
                    <w:rFonts w:ascii="Arial" w:hAnsi="Arial" w:cs="Arial"/>
                  </w:rPr>
                </w:pPr>
                <w:r>
                  <w:rPr>
                    <w:rFonts w:ascii="Arial" w:hAnsi="Arial" w:cs="Arial"/>
                  </w:rPr>
                  <w:t xml:space="preserve">Administration  </w:t>
                </w:r>
              </w:p>
            </w:tc>
            <w:tc>
              <w:tcPr>
                <w:tcW w:w="992" w:type="dxa"/>
                <w:vAlign w:val="center"/>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21</w:t>
                </w:r>
                <w:r>
                  <w:rPr>
                    <w:rFonts w:ascii="Arial" w:hAnsi="Arial" w:cs="Arial"/>
                  </w:rPr>
                  <w:t xml:space="preserve">   )</w:t>
                </w:r>
              </w:p>
            </w:tc>
            <w:tc>
              <w:tcPr>
                <w:tcW w:w="992" w:type="dxa"/>
                <w:vAlign w:val="center"/>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20</w:t>
                </w:r>
                <w:r>
                  <w:rPr>
                    <w:rFonts w:ascii="Arial" w:hAnsi="Arial" w:cs="Arial"/>
                  </w:rPr>
                  <w:t xml:space="preserve">    )</w:t>
                </w:r>
              </w:p>
            </w:tc>
            <w:tc>
              <w:tcPr>
                <w:tcW w:w="993" w:type="dxa"/>
                <w:vAlign w:val="center"/>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18</w:t>
                </w:r>
                <w:r>
                  <w:rPr>
                    <w:rFonts w:ascii="Arial" w:hAnsi="Arial" w:cs="Arial"/>
                  </w:rPr>
                  <w:t xml:space="preserve">  )</w:t>
                </w:r>
              </w:p>
            </w:tc>
            <w:tc>
              <w:tcPr>
                <w:tcW w:w="992" w:type="dxa"/>
                <w:vAlign w:val="center"/>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19</w:t>
                </w:r>
                <w:r>
                  <w:rPr>
                    <w:rFonts w:ascii="Arial" w:hAnsi="Arial" w:cs="Arial"/>
                  </w:rPr>
                  <w:t xml:space="preserve">  )</w:t>
                </w:r>
              </w:p>
            </w:tc>
            <w:tc>
              <w:tcPr>
                <w:tcW w:w="992" w:type="dxa"/>
                <w:vAlign w:val="center"/>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19</w:t>
                </w:r>
                <w:r>
                  <w:rPr>
                    <w:rFonts w:ascii="Arial" w:hAnsi="Arial" w:cs="Arial"/>
                  </w:rPr>
                  <w:t xml:space="preserve">  )</w:t>
                </w:r>
              </w:p>
            </w:tc>
            <w:tc>
              <w:tcPr>
                <w:tcW w:w="992" w:type="dxa"/>
                <w:vAlign w:val="center"/>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17</w:t>
                </w:r>
                <w:r>
                  <w:rPr>
                    <w:rFonts w:ascii="Arial" w:hAnsi="Arial" w:cs="Arial"/>
                  </w:rPr>
                  <w:t xml:space="preserve">   )</w:t>
                </w:r>
              </w:p>
            </w:tc>
          </w:tr>
          <w:tr w:rsidR="008F4B79" w:rsidTr="009260DE">
            <w:trPr>
              <w:trHeight w:val="400"/>
            </w:trPr>
            <w:tc>
              <w:tcPr>
                <w:tcW w:w="3260" w:type="dxa"/>
              </w:tcPr>
              <w:p w:rsidR="008F4B79" w:rsidRDefault="008F4B79" w:rsidP="009260DE">
                <w:pPr>
                  <w:rPr>
                    <w:rFonts w:ascii="Arial" w:hAnsi="Arial" w:cs="Arial"/>
                  </w:rPr>
                </w:pPr>
                <w:r>
                  <w:rPr>
                    <w:rFonts w:ascii="Arial" w:hAnsi="Arial" w:cs="Arial"/>
                  </w:rPr>
                  <w:t xml:space="preserve">Stock purchased  </w:t>
                </w:r>
              </w:p>
            </w:tc>
            <w:tc>
              <w:tcPr>
                <w:tcW w:w="992" w:type="dxa"/>
              </w:tcPr>
              <w:p w:rsidR="008F4B79" w:rsidRDefault="007119F9" w:rsidP="009260DE">
                <w:pPr>
                  <w:jc w:val="center"/>
                  <w:rPr>
                    <w:rFonts w:ascii="Arial" w:hAnsi="Arial" w:cs="Arial"/>
                  </w:rPr>
                </w:pPr>
                <w:r>
                  <w:rPr>
                    <w:rFonts w:ascii="Arial" w:hAnsi="Arial" w:cs="Arial"/>
                  </w:rPr>
                  <w:t>(  205</w:t>
                </w:r>
                <w:r w:rsidR="008F4B79">
                  <w:rPr>
                    <w:rFonts w:ascii="Arial" w:hAnsi="Arial" w:cs="Arial"/>
                  </w:rPr>
                  <w:t xml:space="preserve">  )</w:t>
                </w:r>
              </w:p>
            </w:tc>
            <w:tc>
              <w:tcPr>
                <w:tcW w:w="992" w:type="dxa"/>
              </w:tcPr>
              <w:p w:rsidR="008F4B79" w:rsidRDefault="007119F9" w:rsidP="009260DE">
                <w:pPr>
                  <w:jc w:val="center"/>
                  <w:rPr>
                    <w:rFonts w:ascii="Arial" w:hAnsi="Arial" w:cs="Arial"/>
                  </w:rPr>
                </w:pPr>
                <w:r>
                  <w:rPr>
                    <w:rFonts w:ascii="Arial" w:hAnsi="Arial" w:cs="Arial"/>
                  </w:rPr>
                  <w:t>(   180</w:t>
                </w:r>
                <w:r w:rsidR="008F4B79">
                  <w:rPr>
                    <w:rFonts w:ascii="Arial" w:hAnsi="Arial" w:cs="Arial"/>
                  </w:rPr>
                  <w:t xml:space="preserve"> )</w:t>
                </w:r>
              </w:p>
            </w:tc>
            <w:tc>
              <w:tcPr>
                <w:tcW w:w="993" w:type="dxa"/>
              </w:tcPr>
              <w:p w:rsidR="008F4B79" w:rsidRDefault="007119F9" w:rsidP="009260DE">
                <w:pPr>
                  <w:jc w:val="center"/>
                  <w:rPr>
                    <w:rFonts w:ascii="Arial" w:hAnsi="Arial" w:cs="Arial"/>
                  </w:rPr>
                </w:pPr>
                <w:r>
                  <w:rPr>
                    <w:rFonts w:ascii="Arial" w:hAnsi="Arial" w:cs="Arial"/>
                  </w:rPr>
                  <w:t xml:space="preserve">(170  </w:t>
                </w:r>
                <w:r w:rsidR="008F4B79">
                  <w:rPr>
                    <w:rFonts w:ascii="Arial" w:hAnsi="Arial" w:cs="Arial"/>
                  </w:rPr>
                  <w:t xml:space="preserve"> )</w:t>
                </w:r>
              </w:p>
            </w:tc>
            <w:tc>
              <w:tcPr>
                <w:tcW w:w="992" w:type="dxa"/>
              </w:tcPr>
              <w:p w:rsidR="008F4B79" w:rsidRDefault="007119F9" w:rsidP="009260DE">
                <w:pPr>
                  <w:jc w:val="center"/>
                  <w:rPr>
                    <w:rFonts w:ascii="Arial" w:hAnsi="Arial" w:cs="Arial"/>
                  </w:rPr>
                </w:pPr>
                <w:r>
                  <w:rPr>
                    <w:rFonts w:ascii="Arial" w:hAnsi="Arial" w:cs="Arial"/>
                  </w:rPr>
                  <w:t>(  203</w:t>
                </w:r>
                <w:r w:rsidR="008F4B79">
                  <w:rPr>
                    <w:rFonts w:ascii="Arial" w:hAnsi="Arial" w:cs="Arial"/>
                  </w:rPr>
                  <w:t xml:space="preserve">  )</w:t>
                </w:r>
              </w:p>
            </w:tc>
            <w:tc>
              <w:tcPr>
                <w:tcW w:w="992" w:type="dxa"/>
              </w:tcPr>
              <w:p w:rsidR="008F4B79" w:rsidRDefault="007119F9" w:rsidP="009260DE">
                <w:pPr>
                  <w:jc w:val="center"/>
                  <w:rPr>
                    <w:rFonts w:ascii="Arial" w:hAnsi="Arial" w:cs="Arial"/>
                  </w:rPr>
                </w:pPr>
                <w:r>
                  <w:rPr>
                    <w:rFonts w:ascii="Arial" w:hAnsi="Arial" w:cs="Arial"/>
                  </w:rPr>
                  <w:t>(  200</w:t>
                </w:r>
                <w:r w:rsidR="008F4B79">
                  <w:rPr>
                    <w:rFonts w:ascii="Arial" w:hAnsi="Arial" w:cs="Arial"/>
                  </w:rPr>
                  <w:t xml:space="preserve">  )</w:t>
                </w:r>
              </w:p>
            </w:tc>
            <w:tc>
              <w:tcPr>
                <w:tcW w:w="992" w:type="dxa"/>
              </w:tcPr>
              <w:p w:rsidR="008F4B79" w:rsidRDefault="007119F9" w:rsidP="009260DE">
                <w:pPr>
                  <w:jc w:val="center"/>
                  <w:rPr>
                    <w:rFonts w:ascii="Arial" w:hAnsi="Arial" w:cs="Arial"/>
                  </w:rPr>
                </w:pPr>
                <w:r>
                  <w:rPr>
                    <w:rFonts w:ascii="Arial" w:hAnsi="Arial" w:cs="Arial"/>
                  </w:rPr>
                  <w:t xml:space="preserve">(180 </w:t>
                </w:r>
                <w:r w:rsidR="008F4B79">
                  <w:rPr>
                    <w:rFonts w:ascii="Arial" w:hAnsi="Arial" w:cs="Arial"/>
                  </w:rPr>
                  <w:t xml:space="preserve"> )</w:t>
                </w:r>
              </w:p>
            </w:tc>
          </w:tr>
          <w:tr w:rsidR="008F4B79" w:rsidTr="009260DE">
            <w:trPr>
              <w:trHeight w:val="421"/>
            </w:trPr>
            <w:tc>
              <w:tcPr>
                <w:tcW w:w="3260" w:type="dxa"/>
              </w:tcPr>
              <w:p w:rsidR="008F4B79" w:rsidRDefault="008F4B79" w:rsidP="009260DE">
                <w:pPr>
                  <w:rPr>
                    <w:rFonts w:ascii="Arial" w:hAnsi="Arial" w:cs="Arial"/>
                  </w:rPr>
                </w:pPr>
                <w:r>
                  <w:rPr>
                    <w:rFonts w:ascii="Arial" w:hAnsi="Arial" w:cs="Arial"/>
                  </w:rPr>
                  <w:t xml:space="preserve">Repayments of loan  </w:t>
                </w:r>
              </w:p>
            </w:tc>
            <w:tc>
              <w:tcPr>
                <w:tcW w:w="992" w:type="dxa"/>
              </w:tcPr>
              <w:p w:rsidR="008F4B79" w:rsidRDefault="008F4B79" w:rsidP="009260DE">
                <w:pPr>
                  <w:jc w:val="center"/>
                  <w:rPr>
                    <w:rFonts w:ascii="Arial" w:hAnsi="Arial" w:cs="Arial"/>
                  </w:rPr>
                </w:pPr>
                <w:r>
                  <w:rPr>
                    <w:rFonts w:ascii="Arial" w:hAnsi="Arial" w:cs="Arial"/>
                  </w:rPr>
                  <w:t>(</w:t>
                </w:r>
                <w:r w:rsidR="007119F9">
                  <w:rPr>
                    <w:rFonts w:ascii="Arial" w:hAnsi="Arial" w:cs="Arial"/>
                  </w:rPr>
                  <w:t>7</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7</w:t>
                </w:r>
                <w:r>
                  <w:rPr>
                    <w:rFonts w:ascii="Arial" w:hAnsi="Arial" w:cs="Arial"/>
                  </w:rPr>
                  <w:t xml:space="preserve">   )</w:t>
                </w:r>
              </w:p>
            </w:tc>
            <w:tc>
              <w:tcPr>
                <w:tcW w:w="993"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7</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7</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7</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7</w:t>
                </w:r>
                <w:r>
                  <w:rPr>
                    <w:rFonts w:ascii="Arial" w:hAnsi="Arial" w:cs="Arial"/>
                  </w:rPr>
                  <w:t xml:space="preserve">  )</w:t>
                </w:r>
              </w:p>
            </w:tc>
          </w:tr>
          <w:tr w:rsidR="008F4B79" w:rsidTr="009260DE">
            <w:trPr>
              <w:trHeight w:val="413"/>
            </w:trPr>
            <w:tc>
              <w:tcPr>
                <w:tcW w:w="3260" w:type="dxa"/>
              </w:tcPr>
              <w:p w:rsidR="008F4B79" w:rsidRDefault="008F4B79" w:rsidP="009260DE">
                <w:pPr>
                  <w:rPr>
                    <w:rFonts w:ascii="Arial" w:hAnsi="Arial" w:cs="Arial"/>
                  </w:rPr>
                </w:pPr>
                <w:r>
                  <w:rPr>
                    <w:rFonts w:ascii="Arial" w:hAnsi="Arial" w:cs="Arial"/>
                  </w:rPr>
                  <w:t xml:space="preserve">Selling expenses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9</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8</w:t>
                </w:r>
                <w:r>
                  <w:rPr>
                    <w:rFonts w:ascii="Arial" w:hAnsi="Arial" w:cs="Arial"/>
                  </w:rPr>
                  <w:t xml:space="preserve">  )</w:t>
                </w:r>
              </w:p>
            </w:tc>
            <w:tc>
              <w:tcPr>
                <w:tcW w:w="993"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8</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w:t>
                </w:r>
                <w:r w:rsidR="007119F9">
                  <w:rPr>
                    <w:rFonts w:ascii="Arial" w:hAnsi="Arial" w:cs="Arial"/>
                  </w:rPr>
                  <w:t>7</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6</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6</w:t>
                </w:r>
                <w:r>
                  <w:rPr>
                    <w:rFonts w:ascii="Arial" w:hAnsi="Arial" w:cs="Arial"/>
                  </w:rPr>
                  <w:t xml:space="preserve">  )</w:t>
                </w:r>
              </w:p>
            </w:tc>
          </w:tr>
          <w:tr w:rsidR="008F4B79" w:rsidTr="009260DE">
            <w:trPr>
              <w:trHeight w:val="419"/>
            </w:trPr>
            <w:tc>
              <w:tcPr>
                <w:tcW w:w="3260" w:type="dxa"/>
              </w:tcPr>
              <w:p w:rsidR="008F4B79" w:rsidRDefault="008F4B79" w:rsidP="009260DE">
                <w:pPr>
                  <w:rPr>
                    <w:rFonts w:ascii="Arial" w:hAnsi="Arial" w:cs="Arial"/>
                  </w:rPr>
                </w:pPr>
                <w:r>
                  <w:rPr>
                    <w:rFonts w:ascii="Arial" w:hAnsi="Arial" w:cs="Arial"/>
                  </w:rPr>
                  <w:t>Taxation paid</w:t>
                </w:r>
              </w:p>
            </w:tc>
            <w:tc>
              <w:tcPr>
                <w:tcW w:w="992" w:type="dxa"/>
              </w:tcPr>
              <w:p w:rsidR="008F4B79" w:rsidRDefault="008F4B79" w:rsidP="009260DE">
                <w:pPr>
                  <w:jc w:val="center"/>
                  <w:rPr>
                    <w:rFonts w:ascii="Arial" w:hAnsi="Arial" w:cs="Arial"/>
                  </w:rPr>
                </w:pPr>
                <w:r>
                  <w:rPr>
                    <w:rFonts w:ascii="Arial" w:hAnsi="Arial" w:cs="Arial"/>
                  </w:rPr>
                  <w:t>-</w:t>
                </w:r>
              </w:p>
            </w:tc>
            <w:tc>
              <w:tcPr>
                <w:tcW w:w="992" w:type="dxa"/>
              </w:tcPr>
              <w:p w:rsidR="008F4B79" w:rsidRDefault="008F4B79" w:rsidP="009260DE">
                <w:pPr>
                  <w:jc w:val="center"/>
                  <w:rPr>
                    <w:rFonts w:ascii="Arial" w:hAnsi="Arial" w:cs="Arial"/>
                  </w:rPr>
                </w:pPr>
                <w:r>
                  <w:rPr>
                    <w:rFonts w:ascii="Arial" w:hAnsi="Arial" w:cs="Arial"/>
                  </w:rPr>
                  <w:t>-</w:t>
                </w:r>
              </w:p>
            </w:tc>
            <w:tc>
              <w:tcPr>
                <w:tcW w:w="993"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20</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w:t>
                </w:r>
              </w:p>
            </w:tc>
            <w:tc>
              <w:tcPr>
                <w:tcW w:w="992" w:type="dxa"/>
              </w:tcPr>
              <w:p w:rsidR="008F4B79" w:rsidRDefault="008F4B79" w:rsidP="009260DE">
                <w:pPr>
                  <w:jc w:val="center"/>
                  <w:rPr>
                    <w:rFonts w:ascii="Arial" w:hAnsi="Arial" w:cs="Arial"/>
                  </w:rPr>
                </w:pPr>
                <w:r>
                  <w:rPr>
                    <w:rFonts w:ascii="Arial" w:hAnsi="Arial" w:cs="Arial"/>
                  </w:rPr>
                  <w:t>-</w:t>
                </w:r>
              </w:p>
            </w:tc>
            <w:tc>
              <w:tcPr>
                <w:tcW w:w="992" w:type="dxa"/>
              </w:tcPr>
              <w:p w:rsidR="008F4B79" w:rsidRDefault="008F4B79" w:rsidP="009260DE">
                <w:pPr>
                  <w:jc w:val="center"/>
                  <w:rPr>
                    <w:rFonts w:ascii="Arial" w:hAnsi="Arial" w:cs="Arial"/>
                  </w:rPr>
                </w:pPr>
                <w:r>
                  <w:rPr>
                    <w:rFonts w:ascii="Arial" w:hAnsi="Arial" w:cs="Arial"/>
                  </w:rPr>
                  <w:t>-</w:t>
                </w:r>
              </w:p>
            </w:tc>
          </w:tr>
          <w:tr w:rsidR="008F4B79" w:rsidTr="009260DE">
            <w:trPr>
              <w:trHeight w:val="419"/>
            </w:trPr>
            <w:tc>
              <w:tcPr>
                <w:tcW w:w="3260" w:type="dxa"/>
              </w:tcPr>
              <w:p w:rsidR="008F4B79" w:rsidRDefault="008F4B79" w:rsidP="009260DE">
                <w:pPr>
                  <w:rPr>
                    <w:rFonts w:ascii="Arial" w:hAnsi="Arial" w:cs="Arial"/>
                  </w:rPr>
                </w:pPr>
                <w:r>
                  <w:rPr>
                    <w:rFonts w:ascii="Arial" w:hAnsi="Arial" w:cs="Arial"/>
                  </w:rPr>
                  <w:t>Interest payments</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w:t>
                </w:r>
                <w:r>
                  <w:rPr>
                    <w:rFonts w:ascii="Arial" w:hAnsi="Arial" w:cs="Arial"/>
                  </w:rPr>
                  <w:t xml:space="preserve">  )</w:t>
                </w:r>
              </w:p>
            </w:tc>
            <w:tc>
              <w:tcPr>
                <w:tcW w:w="993"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w:t>
                </w:r>
                <w:r>
                  <w:rPr>
                    <w:rFonts w:ascii="Arial" w:hAnsi="Arial" w:cs="Arial"/>
                  </w:rPr>
                  <w:t xml:space="preserve">  )</w:t>
                </w:r>
              </w:p>
            </w:tc>
            <w:tc>
              <w:tcPr>
                <w:tcW w:w="992" w:type="dxa"/>
              </w:tcPr>
              <w:p w:rsidR="008F4B79" w:rsidRDefault="008F4B79" w:rsidP="009260DE">
                <w:pPr>
                  <w:jc w:val="center"/>
                  <w:rPr>
                    <w:rFonts w:ascii="Arial" w:hAnsi="Arial" w:cs="Arial"/>
                  </w:rPr>
                </w:pPr>
                <w:r>
                  <w:rPr>
                    <w:rFonts w:ascii="Arial" w:hAnsi="Arial" w:cs="Arial"/>
                  </w:rPr>
                  <w:t xml:space="preserve">(    </w:t>
                </w:r>
                <w:r w:rsidR="007119F9">
                  <w:rPr>
                    <w:rFonts w:ascii="Arial" w:hAnsi="Arial" w:cs="Arial"/>
                  </w:rPr>
                  <w:t>1</w:t>
                </w:r>
                <w:r>
                  <w:rPr>
                    <w:rFonts w:ascii="Arial" w:hAnsi="Arial" w:cs="Arial"/>
                  </w:rPr>
                  <w:t xml:space="preserve"> )</w:t>
                </w:r>
              </w:p>
            </w:tc>
          </w:tr>
          <w:tr w:rsidR="008F4B79" w:rsidTr="009260DE">
            <w:trPr>
              <w:trHeight w:val="410"/>
            </w:trPr>
            <w:tc>
              <w:tcPr>
                <w:tcW w:w="3260" w:type="dxa"/>
              </w:tcPr>
              <w:p w:rsidR="008F4B79" w:rsidRDefault="008F4B79" w:rsidP="009260DE">
                <w:pPr>
                  <w:rPr>
                    <w:rFonts w:ascii="Arial" w:hAnsi="Arial" w:cs="Arial"/>
                  </w:rPr>
                </w:pPr>
                <w:r>
                  <w:rPr>
                    <w:rFonts w:ascii="Arial" w:hAnsi="Arial" w:cs="Arial"/>
                  </w:rPr>
                  <w:t>Shop refurbishment</w:t>
                </w:r>
              </w:p>
            </w:tc>
            <w:tc>
              <w:tcPr>
                <w:tcW w:w="992" w:type="dxa"/>
              </w:tcPr>
              <w:p w:rsidR="008F4B79" w:rsidRPr="007A65C7" w:rsidRDefault="008F4B79" w:rsidP="009260DE">
                <w:pPr>
                  <w:jc w:val="center"/>
                  <w:rPr>
                    <w:rFonts w:ascii="Arial" w:hAnsi="Arial" w:cs="Arial"/>
                    <w:u w:val="single"/>
                  </w:rPr>
                </w:pPr>
                <w:r w:rsidRPr="007A65C7">
                  <w:rPr>
                    <w:rFonts w:ascii="Arial" w:hAnsi="Arial" w:cs="Arial"/>
                    <w:u w:val="single"/>
                  </w:rPr>
                  <w:t xml:space="preserve"> </w:t>
                </w:r>
                <w:r w:rsidR="007119F9">
                  <w:rPr>
                    <w:rFonts w:ascii="Arial" w:hAnsi="Arial" w:cs="Arial"/>
                    <w:u w:val="single"/>
                  </w:rPr>
                  <w:t>(34)</w:t>
                </w:r>
                <w:r w:rsidRPr="007A65C7">
                  <w:rPr>
                    <w:rFonts w:ascii="Arial" w:hAnsi="Arial" w:cs="Arial"/>
                    <w:u w:val="single"/>
                  </w:rPr>
                  <w:t xml:space="preserve">      -</w:t>
                </w:r>
              </w:p>
            </w:tc>
            <w:tc>
              <w:tcPr>
                <w:tcW w:w="992" w:type="dxa"/>
              </w:tcPr>
              <w:p w:rsidR="008F4B79" w:rsidRPr="007A65C7" w:rsidRDefault="008F4B79" w:rsidP="009260DE">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007119F9">
                  <w:rPr>
                    <w:rFonts w:ascii="Arial" w:hAnsi="Arial" w:cs="Arial"/>
                    <w:u w:val="single"/>
                  </w:rPr>
                  <w:t>26</w:t>
                </w:r>
                <w:r>
                  <w:rPr>
                    <w:rFonts w:ascii="Arial" w:hAnsi="Arial" w:cs="Arial"/>
                    <w:u w:val="single"/>
                  </w:rPr>
                  <w:t xml:space="preserve">   </w:t>
                </w:r>
                <w:r w:rsidRPr="007A65C7">
                  <w:rPr>
                    <w:rFonts w:ascii="Arial" w:hAnsi="Arial" w:cs="Arial"/>
                    <w:u w:val="single"/>
                  </w:rPr>
                  <w:t>)</w:t>
                </w:r>
              </w:p>
            </w:tc>
            <w:tc>
              <w:tcPr>
                <w:tcW w:w="993" w:type="dxa"/>
              </w:tcPr>
              <w:p w:rsidR="008F4B79" w:rsidRPr="007A65C7" w:rsidRDefault="008F4B79" w:rsidP="009260DE">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007119F9">
                  <w:rPr>
                    <w:rFonts w:ascii="Arial" w:hAnsi="Arial" w:cs="Arial"/>
                    <w:u w:val="single"/>
                  </w:rPr>
                  <w:t>18</w:t>
                </w:r>
                <w:r>
                  <w:rPr>
                    <w:rFonts w:ascii="Arial" w:hAnsi="Arial" w:cs="Arial"/>
                    <w:u w:val="single"/>
                  </w:rPr>
                  <w:t xml:space="preserve">  </w:t>
                </w:r>
                <w:r w:rsidRPr="007A65C7">
                  <w:rPr>
                    <w:rFonts w:ascii="Arial" w:hAnsi="Arial" w:cs="Arial"/>
                    <w:u w:val="single"/>
                  </w:rPr>
                  <w:t>)</w:t>
                </w:r>
              </w:p>
            </w:tc>
            <w:tc>
              <w:tcPr>
                <w:tcW w:w="992" w:type="dxa"/>
              </w:tcPr>
              <w:p w:rsidR="008F4B79" w:rsidRPr="007A65C7" w:rsidRDefault="008F4B79" w:rsidP="009260DE">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Pr="007A65C7">
                  <w:rPr>
                    <w:rFonts w:ascii="Arial" w:hAnsi="Arial" w:cs="Arial"/>
                    <w:u w:val="single"/>
                  </w:rPr>
                  <w:t>)</w:t>
                </w:r>
              </w:p>
            </w:tc>
            <w:tc>
              <w:tcPr>
                <w:tcW w:w="992" w:type="dxa"/>
              </w:tcPr>
              <w:p w:rsidR="008F4B79" w:rsidRPr="007A65C7" w:rsidRDefault="008F4B79" w:rsidP="009260DE">
                <w:pPr>
                  <w:jc w:val="center"/>
                  <w:rPr>
                    <w:rFonts w:ascii="Arial" w:hAnsi="Arial" w:cs="Arial"/>
                    <w:u w:val="single"/>
                  </w:rPr>
                </w:pPr>
                <w:r w:rsidRPr="007A65C7">
                  <w:rPr>
                    <w:rFonts w:ascii="Arial" w:hAnsi="Arial" w:cs="Arial"/>
                    <w:u w:val="single"/>
                  </w:rPr>
                  <w:t xml:space="preserve">       -</w:t>
                </w:r>
              </w:p>
            </w:tc>
            <w:tc>
              <w:tcPr>
                <w:tcW w:w="992" w:type="dxa"/>
              </w:tcPr>
              <w:p w:rsidR="008F4B79" w:rsidRPr="007A65C7" w:rsidRDefault="008F4B79" w:rsidP="009260DE">
                <w:pPr>
                  <w:jc w:val="center"/>
                  <w:rPr>
                    <w:rFonts w:ascii="Arial" w:hAnsi="Arial" w:cs="Arial"/>
                    <w:u w:val="single"/>
                  </w:rPr>
                </w:pPr>
                <w:r w:rsidRPr="007A65C7">
                  <w:rPr>
                    <w:rFonts w:ascii="Arial" w:hAnsi="Arial" w:cs="Arial"/>
                    <w:u w:val="single"/>
                  </w:rPr>
                  <w:t xml:space="preserve">       -</w:t>
                </w:r>
              </w:p>
            </w:tc>
          </w:tr>
          <w:tr w:rsidR="008F4B79" w:rsidTr="009260DE">
            <w:trPr>
              <w:trHeight w:val="423"/>
            </w:trPr>
            <w:tc>
              <w:tcPr>
                <w:tcW w:w="3260" w:type="dxa"/>
              </w:tcPr>
              <w:p w:rsidR="008F4B79" w:rsidRDefault="008F4B79" w:rsidP="009260DE">
                <w:pPr>
                  <w:rPr>
                    <w:rFonts w:ascii="Arial" w:hAnsi="Arial" w:cs="Arial"/>
                  </w:rPr>
                </w:pPr>
                <w:r>
                  <w:rPr>
                    <w:rFonts w:ascii="Arial" w:hAnsi="Arial" w:cs="Arial"/>
                  </w:rPr>
                  <w:t>Cash surplus (deficit)</w:t>
                </w:r>
              </w:p>
            </w:tc>
            <w:tc>
              <w:tcPr>
                <w:tcW w:w="992" w:type="dxa"/>
              </w:tcPr>
              <w:p w:rsidR="008F4B79" w:rsidRDefault="009F7016" w:rsidP="009260DE">
                <w:pPr>
                  <w:jc w:val="center"/>
                  <w:rPr>
                    <w:rFonts w:ascii="Arial" w:hAnsi="Arial" w:cs="Arial"/>
                  </w:rPr>
                </w:pPr>
                <w:r>
                  <w:rPr>
                    <w:rFonts w:ascii="Arial" w:hAnsi="Arial" w:cs="Arial"/>
                  </w:rPr>
                  <w:t>(22)</w:t>
                </w:r>
                <w:r w:rsidR="008F4B79">
                  <w:rPr>
                    <w:rFonts w:ascii="Arial" w:hAnsi="Arial" w:cs="Arial"/>
                  </w:rPr>
                  <w:t xml:space="preserve"> </w:t>
                </w:r>
              </w:p>
            </w:tc>
            <w:tc>
              <w:tcPr>
                <w:tcW w:w="992" w:type="dxa"/>
              </w:tcPr>
              <w:p w:rsidR="008F4B79" w:rsidRDefault="009F7016" w:rsidP="009260DE">
                <w:pPr>
                  <w:jc w:val="center"/>
                  <w:rPr>
                    <w:rFonts w:ascii="Arial" w:hAnsi="Arial" w:cs="Arial"/>
                  </w:rPr>
                </w:pPr>
                <w:r>
                  <w:rPr>
                    <w:rFonts w:ascii="Arial" w:hAnsi="Arial" w:cs="Arial"/>
                  </w:rPr>
                  <w:t>23</w:t>
                </w:r>
                <w:r w:rsidR="008F4B79">
                  <w:rPr>
                    <w:rFonts w:ascii="Arial" w:hAnsi="Arial" w:cs="Arial"/>
                  </w:rPr>
                  <w:t xml:space="preserve"> </w:t>
                </w:r>
              </w:p>
            </w:tc>
            <w:tc>
              <w:tcPr>
                <w:tcW w:w="993" w:type="dxa"/>
              </w:tcPr>
              <w:p w:rsidR="008F4B79" w:rsidRDefault="008F4B79" w:rsidP="009260DE">
                <w:pPr>
                  <w:jc w:val="center"/>
                  <w:rPr>
                    <w:rFonts w:ascii="Arial" w:hAnsi="Arial" w:cs="Arial"/>
                  </w:rPr>
                </w:pPr>
                <w:r>
                  <w:rPr>
                    <w:rFonts w:ascii="Arial" w:hAnsi="Arial" w:cs="Arial"/>
                  </w:rPr>
                  <w:t xml:space="preserve"> </w:t>
                </w:r>
                <w:r w:rsidR="009F7016">
                  <w:rPr>
                    <w:rFonts w:ascii="Arial" w:hAnsi="Arial" w:cs="Arial"/>
                  </w:rPr>
                  <w:t>23</w:t>
                </w:r>
              </w:p>
            </w:tc>
            <w:tc>
              <w:tcPr>
                <w:tcW w:w="992" w:type="dxa"/>
              </w:tcPr>
              <w:p w:rsidR="008F4B79" w:rsidRDefault="005F67E7" w:rsidP="009260DE">
                <w:pPr>
                  <w:jc w:val="center"/>
                  <w:rPr>
                    <w:rFonts w:ascii="Arial" w:hAnsi="Arial" w:cs="Arial"/>
                  </w:rPr>
                </w:pPr>
                <w:r>
                  <w:rPr>
                    <w:rFonts w:ascii="Arial" w:hAnsi="Arial" w:cs="Arial"/>
                  </w:rPr>
                  <w:t>(21)</w:t>
                </w:r>
                <w:r w:rsidR="008F4B79">
                  <w:rPr>
                    <w:rFonts w:ascii="Arial" w:hAnsi="Arial" w:cs="Arial"/>
                  </w:rPr>
                  <w:t xml:space="preserve"> </w:t>
                </w:r>
              </w:p>
            </w:tc>
            <w:tc>
              <w:tcPr>
                <w:tcW w:w="992" w:type="dxa"/>
              </w:tcPr>
              <w:p w:rsidR="008F4B79" w:rsidRDefault="005F67E7" w:rsidP="009260DE">
                <w:pPr>
                  <w:jc w:val="center"/>
                  <w:rPr>
                    <w:rFonts w:ascii="Arial" w:hAnsi="Arial" w:cs="Arial"/>
                  </w:rPr>
                </w:pPr>
                <w:r>
                  <w:rPr>
                    <w:rFonts w:ascii="Arial" w:hAnsi="Arial" w:cs="Arial"/>
                  </w:rPr>
                  <w:t>(27)</w:t>
                </w:r>
                <w:r w:rsidR="008F4B79">
                  <w:rPr>
                    <w:rFonts w:ascii="Arial" w:hAnsi="Arial" w:cs="Arial"/>
                  </w:rPr>
                  <w:t xml:space="preserve"> </w:t>
                </w:r>
              </w:p>
            </w:tc>
            <w:tc>
              <w:tcPr>
                <w:tcW w:w="992" w:type="dxa"/>
              </w:tcPr>
              <w:p w:rsidR="008F4B79" w:rsidRDefault="005F67E7" w:rsidP="009260DE">
                <w:pPr>
                  <w:jc w:val="center"/>
                  <w:rPr>
                    <w:rFonts w:ascii="Arial" w:hAnsi="Arial" w:cs="Arial"/>
                  </w:rPr>
                </w:pPr>
                <w:r>
                  <w:rPr>
                    <w:rFonts w:ascii="Arial" w:hAnsi="Arial" w:cs="Arial"/>
                  </w:rPr>
                  <w:t>(24)</w:t>
                </w:r>
                <w:r w:rsidR="008F4B79">
                  <w:rPr>
                    <w:rFonts w:ascii="Arial" w:hAnsi="Arial" w:cs="Arial"/>
                  </w:rPr>
                  <w:t xml:space="preserve"> </w:t>
                </w:r>
              </w:p>
            </w:tc>
          </w:tr>
          <w:tr w:rsidR="008F4B79" w:rsidTr="009260DE">
            <w:trPr>
              <w:trHeight w:val="407"/>
            </w:trPr>
            <w:tc>
              <w:tcPr>
                <w:tcW w:w="3260" w:type="dxa"/>
              </w:tcPr>
              <w:p w:rsidR="008F4B79" w:rsidRDefault="008F4B79" w:rsidP="009260DE">
                <w:pPr>
                  <w:rPr>
                    <w:rFonts w:ascii="Arial" w:hAnsi="Arial" w:cs="Arial"/>
                  </w:rPr>
                </w:pPr>
                <w:r>
                  <w:rPr>
                    <w:rFonts w:ascii="Arial" w:hAnsi="Arial" w:cs="Arial"/>
                  </w:rPr>
                  <w:t>Opening balance</w:t>
                </w:r>
              </w:p>
            </w:tc>
            <w:tc>
              <w:tcPr>
                <w:tcW w:w="992" w:type="dxa"/>
              </w:tcPr>
              <w:p w:rsidR="008F4B79" w:rsidRPr="007A65C7" w:rsidRDefault="005F67E7" w:rsidP="009260DE">
                <w:pPr>
                  <w:jc w:val="center"/>
                  <w:rPr>
                    <w:rFonts w:ascii="Arial" w:hAnsi="Arial" w:cs="Arial"/>
                    <w:u w:val="single"/>
                  </w:rPr>
                </w:pPr>
                <w:r>
                  <w:rPr>
                    <w:rFonts w:ascii="Arial" w:hAnsi="Arial" w:cs="Arial"/>
                    <w:u w:val="single"/>
                  </w:rPr>
                  <w:t>(25)</w:t>
                </w:r>
                <w:r w:rsidR="008F4B79">
                  <w:rPr>
                    <w:rFonts w:ascii="Arial" w:hAnsi="Arial" w:cs="Arial"/>
                    <w:u w:val="single"/>
                  </w:rPr>
                  <w:t xml:space="preserve"> </w:t>
                </w:r>
              </w:p>
            </w:tc>
            <w:tc>
              <w:tcPr>
                <w:tcW w:w="992" w:type="dxa"/>
              </w:tcPr>
              <w:p w:rsidR="008F4B79" w:rsidRPr="007A65C7" w:rsidRDefault="005F67E7" w:rsidP="009260DE">
                <w:pPr>
                  <w:jc w:val="center"/>
                  <w:rPr>
                    <w:rFonts w:ascii="Arial" w:hAnsi="Arial" w:cs="Arial"/>
                    <w:u w:val="single"/>
                  </w:rPr>
                </w:pPr>
                <w:r>
                  <w:rPr>
                    <w:rFonts w:ascii="Arial" w:hAnsi="Arial" w:cs="Arial"/>
                    <w:u w:val="single"/>
                  </w:rPr>
                  <w:t>(47)</w:t>
                </w:r>
                <w:r w:rsidR="008F4B79">
                  <w:rPr>
                    <w:rFonts w:ascii="Arial" w:hAnsi="Arial" w:cs="Arial"/>
                    <w:u w:val="single"/>
                  </w:rPr>
                  <w:t xml:space="preserve"> </w:t>
                </w:r>
              </w:p>
            </w:tc>
            <w:tc>
              <w:tcPr>
                <w:tcW w:w="993" w:type="dxa"/>
              </w:tcPr>
              <w:p w:rsidR="008F4B79" w:rsidRPr="007A65C7" w:rsidRDefault="005F67E7" w:rsidP="009260DE">
                <w:pPr>
                  <w:jc w:val="center"/>
                  <w:rPr>
                    <w:rFonts w:ascii="Arial" w:hAnsi="Arial" w:cs="Arial"/>
                    <w:u w:val="single"/>
                  </w:rPr>
                </w:pPr>
                <w:r>
                  <w:rPr>
                    <w:rFonts w:ascii="Arial" w:hAnsi="Arial" w:cs="Arial"/>
                    <w:u w:val="single"/>
                  </w:rPr>
                  <w:t>(24)</w:t>
                </w:r>
                <w:r w:rsidR="008F4B79">
                  <w:rPr>
                    <w:rFonts w:ascii="Arial" w:hAnsi="Arial" w:cs="Arial"/>
                    <w:u w:val="single"/>
                  </w:rPr>
                  <w:t xml:space="preserve"> </w:t>
                </w:r>
              </w:p>
            </w:tc>
            <w:tc>
              <w:tcPr>
                <w:tcW w:w="992" w:type="dxa"/>
              </w:tcPr>
              <w:p w:rsidR="008F4B79" w:rsidRPr="007A65C7" w:rsidRDefault="005F67E7" w:rsidP="009260DE">
                <w:pPr>
                  <w:jc w:val="center"/>
                  <w:rPr>
                    <w:rFonts w:ascii="Arial" w:hAnsi="Arial" w:cs="Arial"/>
                    <w:u w:val="single"/>
                  </w:rPr>
                </w:pPr>
                <w:r>
                  <w:rPr>
                    <w:rFonts w:ascii="Arial" w:hAnsi="Arial" w:cs="Arial"/>
                    <w:u w:val="single"/>
                  </w:rPr>
                  <w:t>(1)</w:t>
                </w:r>
                <w:r w:rsidR="008F4B79">
                  <w:rPr>
                    <w:rFonts w:ascii="Arial" w:hAnsi="Arial" w:cs="Arial"/>
                    <w:u w:val="single"/>
                  </w:rPr>
                  <w:t xml:space="preserve"> </w:t>
                </w:r>
              </w:p>
            </w:tc>
            <w:tc>
              <w:tcPr>
                <w:tcW w:w="992" w:type="dxa"/>
              </w:tcPr>
              <w:p w:rsidR="008F4B79" w:rsidRPr="007A65C7" w:rsidRDefault="005F67E7" w:rsidP="009260DE">
                <w:pPr>
                  <w:jc w:val="center"/>
                  <w:rPr>
                    <w:rFonts w:ascii="Arial" w:hAnsi="Arial" w:cs="Arial"/>
                    <w:u w:val="single"/>
                  </w:rPr>
                </w:pPr>
                <w:r>
                  <w:rPr>
                    <w:rFonts w:ascii="Arial" w:hAnsi="Arial" w:cs="Arial"/>
                    <w:u w:val="single"/>
                  </w:rPr>
                  <w:t>(22)</w:t>
                </w:r>
                <w:r w:rsidR="008F4B79">
                  <w:rPr>
                    <w:rFonts w:ascii="Arial" w:hAnsi="Arial" w:cs="Arial"/>
                    <w:u w:val="single"/>
                  </w:rPr>
                  <w:t xml:space="preserve"> </w:t>
                </w:r>
              </w:p>
            </w:tc>
            <w:tc>
              <w:tcPr>
                <w:tcW w:w="992" w:type="dxa"/>
              </w:tcPr>
              <w:p w:rsidR="008F4B79" w:rsidRPr="007A65C7" w:rsidRDefault="005F67E7" w:rsidP="009260DE">
                <w:pPr>
                  <w:jc w:val="center"/>
                  <w:rPr>
                    <w:rFonts w:ascii="Arial" w:hAnsi="Arial" w:cs="Arial"/>
                    <w:u w:val="single"/>
                  </w:rPr>
                </w:pPr>
                <w:r>
                  <w:rPr>
                    <w:rFonts w:ascii="Arial" w:hAnsi="Arial" w:cs="Arial"/>
                    <w:u w:val="single"/>
                  </w:rPr>
                  <w:t>(49)</w:t>
                </w:r>
                <w:r w:rsidR="008F4B79">
                  <w:rPr>
                    <w:rFonts w:ascii="Arial" w:hAnsi="Arial" w:cs="Arial"/>
                    <w:u w:val="single"/>
                  </w:rPr>
                  <w:t xml:space="preserve"> </w:t>
                </w:r>
              </w:p>
            </w:tc>
          </w:tr>
          <w:tr w:rsidR="008F4B79" w:rsidTr="009260DE">
            <w:trPr>
              <w:trHeight w:val="426"/>
            </w:trPr>
            <w:tc>
              <w:tcPr>
                <w:tcW w:w="3260" w:type="dxa"/>
              </w:tcPr>
              <w:p w:rsidR="008F4B79" w:rsidRDefault="008F4B79" w:rsidP="009260DE">
                <w:pPr>
                  <w:rPr>
                    <w:rFonts w:ascii="Arial" w:hAnsi="Arial" w:cs="Arial"/>
                  </w:rPr>
                </w:pPr>
                <w:r>
                  <w:rPr>
                    <w:rFonts w:ascii="Arial" w:hAnsi="Arial" w:cs="Arial"/>
                  </w:rPr>
                  <w:t>Closing balance</w:t>
                </w:r>
              </w:p>
            </w:tc>
            <w:tc>
              <w:tcPr>
                <w:tcW w:w="992" w:type="dxa"/>
              </w:tcPr>
              <w:p w:rsidR="008F4B79" w:rsidRPr="007A65C7" w:rsidRDefault="005F67E7" w:rsidP="009260DE">
                <w:pPr>
                  <w:jc w:val="center"/>
                  <w:rPr>
                    <w:rFonts w:ascii="Arial" w:hAnsi="Arial" w:cs="Arial"/>
                  </w:rPr>
                </w:pPr>
                <w:r>
                  <w:rPr>
                    <w:rFonts w:ascii="Arial" w:hAnsi="Arial" w:cs="Arial"/>
                  </w:rPr>
                  <w:t>(47)</w:t>
                </w:r>
                <w:r w:rsidR="008F4B79">
                  <w:rPr>
                    <w:rFonts w:ascii="Arial" w:hAnsi="Arial" w:cs="Arial"/>
                  </w:rPr>
                  <w:t xml:space="preserve"> </w:t>
                </w:r>
              </w:p>
            </w:tc>
            <w:tc>
              <w:tcPr>
                <w:tcW w:w="992" w:type="dxa"/>
              </w:tcPr>
              <w:p w:rsidR="008F4B79" w:rsidRPr="007A65C7" w:rsidRDefault="005F67E7" w:rsidP="009260DE">
                <w:pPr>
                  <w:jc w:val="center"/>
                  <w:rPr>
                    <w:rFonts w:ascii="Arial" w:hAnsi="Arial" w:cs="Arial"/>
                  </w:rPr>
                </w:pPr>
                <w:r>
                  <w:rPr>
                    <w:rFonts w:ascii="Arial" w:hAnsi="Arial" w:cs="Arial"/>
                  </w:rPr>
                  <w:t>(24)</w:t>
                </w:r>
                <w:r w:rsidR="008F4B79">
                  <w:rPr>
                    <w:rFonts w:ascii="Arial" w:hAnsi="Arial" w:cs="Arial"/>
                  </w:rPr>
                  <w:t xml:space="preserve"> </w:t>
                </w:r>
              </w:p>
            </w:tc>
            <w:tc>
              <w:tcPr>
                <w:tcW w:w="993" w:type="dxa"/>
              </w:tcPr>
              <w:p w:rsidR="008F4B79" w:rsidRPr="007A65C7" w:rsidRDefault="005F67E7" w:rsidP="009260DE">
                <w:pPr>
                  <w:jc w:val="center"/>
                  <w:rPr>
                    <w:rFonts w:ascii="Arial" w:hAnsi="Arial" w:cs="Arial"/>
                  </w:rPr>
                </w:pPr>
                <w:r>
                  <w:rPr>
                    <w:rFonts w:ascii="Arial" w:hAnsi="Arial" w:cs="Arial"/>
                  </w:rPr>
                  <w:t>(1)</w:t>
                </w:r>
                <w:r w:rsidR="008F4B79">
                  <w:rPr>
                    <w:rFonts w:ascii="Arial" w:hAnsi="Arial" w:cs="Arial"/>
                  </w:rPr>
                  <w:t xml:space="preserve"> </w:t>
                </w:r>
              </w:p>
            </w:tc>
            <w:tc>
              <w:tcPr>
                <w:tcW w:w="992" w:type="dxa"/>
              </w:tcPr>
              <w:p w:rsidR="008F4B79" w:rsidRPr="007A65C7" w:rsidRDefault="005F67E7" w:rsidP="009260DE">
                <w:pPr>
                  <w:jc w:val="center"/>
                  <w:rPr>
                    <w:rFonts w:ascii="Arial" w:hAnsi="Arial" w:cs="Arial"/>
                  </w:rPr>
                </w:pPr>
                <w:r>
                  <w:rPr>
                    <w:rFonts w:ascii="Arial" w:hAnsi="Arial" w:cs="Arial"/>
                  </w:rPr>
                  <w:t>(22)</w:t>
                </w:r>
                <w:r w:rsidR="008F4B79">
                  <w:rPr>
                    <w:rFonts w:ascii="Arial" w:hAnsi="Arial" w:cs="Arial"/>
                  </w:rPr>
                  <w:t xml:space="preserve"> </w:t>
                </w:r>
              </w:p>
            </w:tc>
            <w:tc>
              <w:tcPr>
                <w:tcW w:w="992" w:type="dxa"/>
              </w:tcPr>
              <w:p w:rsidR="008F4B79" w:rsidRPr="007A65C7" w:rsidRDefault="005F67E7" w:rsidP="009260DE">
                <w:pPr>
                  <w:jc w:val="center"/>
                  <w:rPr>
                    <w:rFonts w:ascii="Arial" w:hAnsi="Arial" w:cs="Arial"/>
                  </w:rPr>
                </w:pPr>
                <w:r>
                  <w:rPr>
                    <w:rFonts w:ascii="Arial" w:hAnsi="Arial" w:cs="Arial"/>
                  </w:rPr>
                  <w:t>(49)</w:t>
                </w:r>
                <w:r w:rsidR="008F4B79">
                  <w:rPr>
                    <w:rFonts w:ascii="Arial" w:hAnsi="Arial" w:cs="Arial"/>
                  </w:rPr>
                  <w:t xml:space="preserve"> </w:t>
                </w:r>
              </w:p>
            </w:tc>
            <w:tc>
              <w:tcPr>
                <w:tcW w:w="992" w:type="dxa"/>
              </w:tcPr>
              <w:p w:rsidR="008F4B79" w:rsidRPr="007A65C7" w:rsidRDefault="005F67E7" w:rsidP="009260DE">
                <w:pPr>
                  <w:jc w:val="center"/>
                  <w:rPr>
                    <w:rFonts w:ascii="Arial" w:hAnsi="Arial" w:cs="Arial"/>
                  </w:rPr>
                </w:pPr>
                <w:r>
                  <w:rPr>
                    <w:rFonts w:ascii="Arial" w:hAnsi="Arial" w:cs="Arial"/>
                  </w:rPr>
                  <w:t>(73)</w:t>
                </w:r>
                <w:r w:rsidR="008F4B79">
                  <w:rPr>
                    <w:rFonts w:ascii="Arial" w:hAnsi="Arial" w:cs="Arial"/>
                  </w:rPr>
                  <w:t xml:space="preserve"> </w:t>
                </w:r>
              </w:p>
            </w:tc>
          </w:tr>
          <w:tr w:rsidR="003444C4" w:rsidTr="009260DE">
            <w:trPr>
              <w:trHeight w:val="426"/>
            </w:trPr>
            <w:tc>
              <w:tcPr>
                <w:tcW w:w="3260" w:type="dxa"/>
              </w:tcPr>
              <w:p w:rsidR="003444C4" w:rsidRPr="003444C4" w:rsidRDefault="003444C4" w:rsidP="009260DE">
                <w:pPr>
                  <w:rPr>
                    <w:rFonts w:ascii="Arial" w:hAnsi="Arial" w:cs="Arial"/>
                    <w:i/>
                  </w:rPr>
                </w:pPr>
                <w:r w:rsidRPr="003444C4">
                  <w:rPr>
                    <w:rFonts w:ascii="Arial" w:hAnsi="Arial" w:cs="Arial"/>
                    <w:i/>
                  </w:rPr>
                  <w:t>Please find the calculations for the cost of stock and cash receipts in Appendix 1.</w:t>
                </w:r>
              </w:p>
            </w:tc>
            <w:tc>
              <w:tcPr>
                <w:tcW w:w="992" w:type="dxa"/>
              </w:tcPr>
              <w:p w:rsidR="003444C4" w:rsidRDefault="003444C4" w:rsidP="009260DE">
                <w:pPr>
                  <w:jc w:val="center"/>
                  <w:rPr>
                    <w:rFonts w:ascii="Arial" w:hAnsi="Arial" w:cs="Arial"/>
                  </w:rPr>
                </w:pPr>
              </w:p>
            </w:tc>
            <w:tc>
              <w:tcPr>
                <w:tcW w:w="992" w:type="dxa"/>
              </w:tcPr>
              <w:p w:rsidR="003444C4" w:rsidRDefault="003444C4" w:rsidP="009260DE">
                <w:pPr>
                  <w:jc w:val="center"/>
                  <w:rPr>
                    <w:rFonts w:ascii="Arial" w:hAnsi="Arial" w:cs="Arial"/>
                  </w:rPr>
                </w:pPr>
              </w:p>
            </w:tc>
            <w:tc>
              <w:tcPr>
                <w:tcW w:w="993" w:type="dxa"/>
              </w:tcPr>
              <w:p w:rsidR="003444C4" w:rsidRDefault="003444C4" w:rsidP="009260DE">
                <w:pPr>
                  <w:jc w:val="center"/>
                  <w:rPr>
                    <w:rFonts w:ascii="Arial" w:hAnsi="Arial" w:cs="Arial"/>
                  </w:rPr>
                </w:pPr>
              </w:p>
            </w:tc>
            <w:tc>
              <w:tcPr>
                <w:tcW w:w="992" w:type="dxa"/>
              </w:tcPr>
              <w:p w:rsidR="003444C4" w:rsidRDefault="003444C4" w:rsidP="009260DE">
                <w:pPr>
                  <w:jc w:val="center"/>
                  <w:rPr>
                    <w:rFonts w:ascii="Arial" w:hAnsi="Arial" w:cs="Arial"/>
                  </w:rPr>
                </w:pPr>
              </w:p>
            </w:tc>
            <w:tc>
              <w:tcPr>
                <w:tcW w:w="992" w:type="dxa"/>
              </w:tcPr>
              <w:p w:rsidR="003444C4" w:rsidRDefault="003444C4" w:rsidP="009260DE">
                <w:pPr>
                  <w:jc w:val="center"/>
                  <w:rPr>
                    <w:rFonts w:ascii="Arial" w:hAnsi="Arial" w:cs="Arial"/>
                  </w:rPr>
                </w:pPr>
              </w:p>
            </w:tc>
            <w:tc>
              <w:tcPr>
                <w:tcW w:w="992" w:type="dxa"/>
              </w:tcPr>
              <w:p w:rsidR="003444C4" w:rsidRDefault="003444C4" w:rsidP="009260DE">
                <w:pPr>
                  <w:jc w:val="center"/>
                  <w:rPr>
                    <w:rFonts w:ascii="Arial" w:hAnsi="Arial" w:cs="Arial"/>
                  </w:rPr>
                </w:pPr>
              </w:p>
            </w:tc>
          </w:tr>
        </w:tbl>
        <w:p w:rsidR="008F4B79" w:rsidRDefault="008F4B79" w:rsidP="008F4B79">
          <w:pPr>
            <w:spacing w:line="240" w:lineRule="auto"/>
            <w:ind w:left="360" w:firstLine="360"/>
            <w:rPr>
              <w:rFonts w:ascii="Arial" w:hAnsi="Arial" w:cs="Arial"/>
            </w:rPr>
          </w:pPr>
        </w:p>
        <w:p w:rsidR="008F4B79" w:rsidRPr="003B62C4" w:rsidRDefault="008F4B79" w:rsidP="008F4B79">
          <w:pPr>
            <w:pStyle w:val="ListParagraph"/>
            <w:numPr>
              <w:ilvl w:val="0"/>
              <w:numId w:val="1"/>
            </w:numPr>
            <w:ind w:left="851"/>
            <w:jc w:val="both"/>
            <w:rPr>
              <w:rFonts w:ascii="Arial" w:hAnsi="Arial" w:cs="Arial"/>
            </w:rPr>
          </w:pPr>
          <w:bookmarkStart w:id="4" w:name="OLE_LINK1"/>
          <w:bookmarkStart w:id="5" w:name="OLE_LINK2"/>
          <w:r>
            <w:rPr>
              <w:rFonts w:ascii="Arial" w:hAnsi="Arial" w:cs="Arial"/>
            </w:rPr>
            <w:t>The (</w:t>
          </w:r>
          <w:r w:rsidRPr="001174D4">
            <w:rPr>
              <w:rFonts w:ascii="Arial" w:hAnsi="Arial" w:cs="Arial"/>
              <w:i/>
            </w:rPr>
            <w:t>accruals-based)</w:t>
          </w:r>
          <w:r>
            <w:rPr>
              <w:rFonts w:ascii="Arial" w:hAnsi="Arial" w:cs="Arial"/>
            </w:rPr>
            <w:t xml:space="preserve"> budgeted Profit &amp; Loss Account for the six months ending 30 November is:</w:t>
          </w:r>
        </w:p>
        <w:bookmarkEnd w:id="4"/>
        <w:bookmarkEnd w:id="5"/>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09"/>
            <w:gridCol w:w="1134"/>
            <w:gridCol w:w="3544"/>
          </w:tblGrid>
          <w:tr w:rsidR="008F4B79" w:rsidTr="009260DE">
            <w:tc>
              <w:tcPr>
                <w:tcW w:w="2409" w:type="dxa"/>
              </w:tcPr>
              <w:p w:rsidR="008F4B79" w:rsidRDefault="008F4B79" w:rsidP="009260DE">
                <w:pPr>
                  <w:rPr>
                    <w:rFonts w:ascii="Arial" w:hAnsi="Arial" w:cs="Arial"/>
                  </w:rPr>
                </w:pPr>
              </w:p>
            </w:tc>
            <w:tc>
              <w:tcPr>
                <w:tcW w:w="1134" w:type="dxa"/>
              </w:tcPr>
              <w:p w:rsidR="008F4B79" w:rsidRPr="004D6C12" w:rsidRDefault="008F4B79" w:rsidP="009260DE">
                <w:pPr>
                  <w:jc w:val="right"/>
                  <w:rPr>
                    <w:rFonts w:ascii="Arial" w:hAnsi="Arial" w:cs="Arial"/>
                    <w:b/>
                  </w:rPr>
                </w:pPr>
                <w:r w:rsidRPr="004D6C12">
                  <w:rPr>
                    <w:rFonts w:ascii="Arial" w:hAnsi="Arial" w:cs="Arial"/>
                    <w:b/>
                  </w:rPr>
                  <w:t>£000</w:t>
                </w:r>
              </w:p>
            </w:tc>
            <w:tc>
              <w:tcPr>
                <w:tcW w:w="3544" w:type="dxa"/>
              </w:tcPr>
              <w:p w:rsidR="008F4B79" w:rsidRPr="004D6C12" w:rsidRDefault="008F4B79" w:rsidP="009260DE">
                <w:pPr>
                  <w:rPr>
                    <w:rFonts w:ascii="Arial" w:hAnsi="Arial" w:cs="Arial"/>
                    <w:b/>
                  </w:rPr>
                </w:pPr>
                <w:r w:rsidRPr="004D6C12">
                  <w:rPr>
                    <w:rFonts w:ascii="Arial" w:hAnsi="Arial" w:cs="Arial"/>
                    <w:b/>
                  </w:rPr>
                  <w:t>Calculation</w:t>
                </w:r>
              </w:p>
            </w:tc>
          </w:tr>
          <w:tr w:rsidR="008F4B79" w:rsidTr="009260DE">
            <w:trPr>
              <w:trHeight w:val="439"/>
            </w:trPr>
            <w:tc>
              <w:tcPr>
                <w:tcW w:w="2409" w:type="dxa"/>
              </w:tcPr>
              <w:p w:rsidR="008F4B79" w:rsidRDefault="008F4B79" w:rsidP="009260DE">
                <w:pPr>
                  <w:rPr>
                    <w:rFonts w:ascii="Arial" w:hAnsi="Arial" w:cs="Arial"/>
                  </w:rPr>
                </w:pPr>
                <w:r>
                  <w:rPr>
                    <w:rFonts w:ascii="Arial" w:hAnsi="Arial" w:cs="Arial"/>
                  </w:rPr>
                  <w:t xml:space="preserve">Sales </w:t>
                </w:r>
              </w:p>
            </w:tc>
            <w:tc>
              <w:tcPr>
                <w:tcW w:w="1134" w:type="dxa"/>
              </w:tcPr>
              <w:p w:rsidR="008F4B79" w:rsidRDefault="005760E2" w:rsidP="009260DE">
                <w:pPr>
                  <w:jc w:val="right"/>
                  <w:rPr>
                    <w:rFonts w:ascii="Arial" w:hAnsi="Arial" w:cs="Arial"/>
                  </w:rPr>
                </w:pPr>
                <w:r>
                  <w:rPr>
                    <w:rFonts w:ascii="Arial" w:hAnsi="Arial" w:cs="Arial"/>
                  </w:rPr>
                  <w:t>1420</w:t>
                </w:r>
                <w:r w:rsidR="008F4B79">
                  <w:rPr>
                    <w:rFonts w:ascii="Arial" w:hAnsi="Arial" w:cs="Arial"/>
                  </w:rPr>
                  <w:t xml:space="preserve"> </w:t>
                </w:r>
              </w:p>
            </w:tc>
            <w:tc>
              <w:tcPr>
                <w:tcW w:w="3544" w:type="dxa"/>
              </w:tcPr>
              <w:p w:rsidR="008F4B79" w:rsidRDefault="008F4B79" w:rsidP="009260DE">
                <w:pPr>
                  <w:rPr>
                    <w:rFonts w:ascii="Arial" w:hAnsi="Arial" w:cs="Arial"/>
                  </w:rPr>
                </w:pPr>
                <w:r>
                  <w:rPr>
                    <w:rFonts w:ascii="Arial" w:hAnsi="Arial" w:cs="Arial"/>
                  </w:rPr>
                  <w:t xml:space="preserve"> </w:t>
                </w:r>
                <w:r w:rsidR="005760E2">
                  <w:rPr>
                    <w:rFonts w:ascii="Arial" w:hAnsi="Arial" w:cs="Arial"/>
                  </w:rPr>
                  <w:t>260+270+270+220+210+190</w:t>
                </w:r>
              </w:p>
            </w:tc>
          </w:tr>
          <w:tr w:rsidR="008F4B79" w:rsidTr="009260DE">
            <w:trPr>
              <w:trHeight w:val="414"/>
            </w:trPr>
            <w:tc>
              <w:tcPr>
                <w:tcW w:w="2409" w:type="dxa"/>
              </w:tcPr>
              <w:p w:rsidR="008F4B79" w:rsidRDefault="008F4B79" w:rsidP="009260DE">
                <w:pPr>
                  <w:rPr>
                    <w:rFonts w:ascii="Arial" w:hAnsi="Arial" w:cs="Arial"/>
                  </w:rPr>
                </w:pPr>
                <w:r>
                  <w:rPr>
                    <w:rFonts w:ascii="Arial" w:hAnsi="Arial" w:cs="Arial"/>
                  </w:rPr>
                  <w:t>Cost of goods sold</w:t>
                </w:r>
              </w:p>
            </w:tc>
            <w:tc>
              <w:tcPr>
                <w:tcW w:w="1134" w:type="dxa"/>
              </w:tcPr>
              <w:p w:rsidR="008F4B79" w:rsidRPr="00F71675" w:rsidRDefault="008F4B79" w:rsidP="009260DE">
                <w:pPr>
                  <w:jc w:val="right"/>
                  <w:rPr>
                    <w:rFonts w:ascii="Arial" w:hAnsi="Arial" w:cs="Arial"/>
                    <w:u w:val="single"/>
                  </w:rPr>
                </w:pPr>
                <w:r w:rsidRPr="00F71675">
                  <w:rPr>
                    <w:rFonts w:ascii="Arial" w:hAnsi="Arial" w:cs="Arial"/>
                    <w:u w:val="single"/>
                  </w:rPr>
                  <w:t>(</w:t>
                </w:r>
                <w:r w:rsidR="005760E2">
                  <w:rPr>
                    <w:rFonts w:ascii="Arial" w:hAnsi="Arial" w:cs="Arial"/>
                    <w:u w:val="single"/>
                  </w:rPr>
                  <w:t xml:space="preserve"> </w:t>
                </w:r>
                <w:r>
                  <w:rPr>
                    <w:rFonts w:ascii="Arial" w:hAnsi="Arial" w:cs="Arial"/>
                    <w:u w:val="single"/>
                  </w:rPr>
                  <w:t xml:space="preserve"> </w:t>
                </w:r>
                <w:r w:rsidR="005760E2">
                  <w:rPr>
                    <w:rFonts w:ascii="Arial" w:hAnsi="Arial" w:cs="Arial"/>
                    <w:u w:val="single"/>
                  </w:rPr>
                  <w:t>994</w:t>
                </w:r>
                <w:r>
                  <w:rPr>
                    <w:rFonts w:ascii="Arial" w:hAnsi="Arial" w:cs="Arial"/>
                    <w:u w:val="single"/>
                  </w:rPr>
                  <w:t xml:space="preserve">    </w:t>
                </w:r>
                <w:r w:rsidRPr="00F71675">
                  <w:rPr>
                    <w:rFonts w:ascii="Arial" w:hAnsi="Arial" w:cs="Arial"/>
                    <w:u w:val="single"/>
                  </w:rPr>
                  <w:t>)</w:t>
                </w:r>
              </w:p>
            </w:tc>
            <w:tc>
              <w:tcPr>
                <w:tcW w:w="3544" w:type="dxa"/>
              </w:tcPr>
              <w:p w:rsidR="008F4B79" w:rsidRPr="00010117" w:rsidRDefault="008F4B79" w:rsidP="009260DE">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r w:rsidR="005760E2">
                  <w:rPr>
                    <w:rFonts w:ascii="Arial" w:hAnsi="Arial" w:cs="Arial"/>
                  </w:rPr>
                  <w:t>1420x70%</w:t>
                </w:r>
              </w:p>
            </w:tc>
          </w:tr>
          <w:tr w:rsidR="008F4B79" w:rsidTr="009260DE">
            <w:trPr>
              <w:trHeight w:val="407"/>
            </w:trPr>
            <w:tc>
              <w:tcPr>
                <w:tcW w:w="2409" w:type="dxa"/>
              </w:tcPr>
              <w:p w:rsidR="008F4B79" w:rsidRDefault="008F4B79" w:rsidP="009260DE">
                <w:pPr>
                  <w:rPr>
                    <w:rFonts w:ascii="Arial" w:hAnsi="Arial" w:cs="Arial"/>
                  </w:rPr>
                </w:pPr>
                <w:r>
                  <w:rPr>
                    <w:rFonts w:ascii="Arial" w:hAnsi="Arial" w:cs="Arial"/>
                  </w:rPr>
                  <w:t>Gross profit</w:t>
                </w:r>
              </w:p>
            </w:tc>
            <w:tc>
              <w:tcPr>
                <w:tcW w:w="1134" w:type="dxa"/>
              </w:tcPr>
              <w:p w:rsidR="008F4B79" w:rsidRDefault="005760E2" w:rsidP="009260DE">
                <w:pPr>
                  <w:jc w:val="right"/>
                  <w:rPr>
                    <w:rFonts w:ascii="Arial" w:hAnsi="Arial" w:cs="Arial"/>
                  </w:rPr>
                </w:pPr>
                <w:r>
                  <w:rPr>
                    <w:rFonts w:ascii="Arial" w:hAnsi="Arial" w:cs="Arial"/>
                  </w:rPr>
                  <w:t>426</w:t>
                </w:r>
                <w:r w:rsidR="008F4B79">
                  <w:rPr>
                    <w:rFonts w:ascii="Arial" w:hAnsi="Arial" w:cs="Arial"/>
                  </w:rPr>
                  <w:t xml:space="preserve"> </w:t>
                </w:r>
              </w:p>
            </w:tc>
            <w:tc>
              <w:tcPr>
                <w:tcW w:w="3544" w:type="dxa"/>
              </w:tcPr>
              <w:p w:rsidR="008F4B79" w:rsidRDefault="008F4B79" w:rsidP="009260DE">
                <w:pPr>
                  <w:rPr>
                    <w:rFonts w:ascii="Arial" w:hAnsi="Arial" w:cs="Arial"/>
                  </w:rPr>
                </w:pPr>
                <w:r>
                  <w:rPr>
                    <w:rFonts w:ascii="Arial" w:hAnsi="Arial" w:cs="Arial"/>
                  </w:rPr>
                  <w:t xml:space="preserve">                                       </w:t>
                </w:r>
              </w:p>
            </w:tc>
          </w:tr>
          <w:tr w:rsidR="008F4B79" w:rsidTr="009260DE">
            <w:trPr>
              <w:trHeight w:val="413"/>
            </w:trPr>
            <w:tc>
              <w:tcPr>
                <w:tcW w:w="2409" w:type="dxa"/>
              </w:tcPr>
              <w:p w:rsidR="008F4B79" w:rsidRDefault="008F4B79" w:rsidP="009260DE">
                <w:pPr>
                  <w:rPr>
                    <w:rFonts w:ascii="Arial" w:hAnsi="Arial" w:cs="Arial"/>
                  </w:rPr>
                </w:pPr>
                <w:r>
                  <w:rPr>
                    <w:rFonts w:ascii="Arial" w:hAnsi="Arial" w:cs="Arial"/>
                  </w:rPr>
                  <w:t>Selling expenses</w:t>
                </w:r>
              </w:p>
            </w:tc>
            <w:tc>
              <w:tcPr>
                <w:tcW w:w="1134" w:type="dxa"/>
              </w:tcPr>
              <w:p w:rsidR="008F4B79" w:rsidRDefault="008F4B79" w:rsidP="009260DE">
                <w:pPr>
                  <w:jc w:val="right"/>
                  <w:rPr>
                    <w:rFonts w:ascii="Arial" w:hAnsi="Arial" w:cs="Arial"/>
                  </w:rPr>
                </w:pPr>
                <w:r>
                  <w:rPr>
                    <w:rFonts w:ascii="Arial" w:hAnsi="Arial" w:cs="Arial"/>
                  </w:rPr>
                  <w:t xml:space="preserve">( </w:t>
                </w:r>
                <w:r w:rsidR="000E0BA8">
                  <w:rPr>
                    <w:rFonts w:ascii="Arial" w:hAnsi="Arial" w:cs="Arial"/>
                  </w:rPr>
                  <w:t>41</w:t>
                </w:r>
                <w:r>
                  <w:rPr>
                    <w:rFonts w:ascii="Arial" w:hAnsi="Arial" w:cs="Arial"/>
                  </w:rPr>
                  <w:t xml:space="preserve">      )</w:t>
                </w:r>
              </w:p>
            </w:tc>
            <w:tc>
              <w:tcPr>
                <w:tcW w:w="3544" w:type="dxa"/>
              </w:tcPr>
              <w:p w:rsidR="008F4B79" w:rsidRDefault="008F4B79" w:rsidP="009260DE">
                <w:pPr>
                  <w:rPr>
                    <w:rFonts w:ascii="Arial" w:hAnsi="Arial" w:cs="Arial"/>
                  </w:rPr>
                </w:pPr>
                <w:r>
                  <w:rPr>
                    <w:rFonts w:ascii="Arial" w:hAnsi="Arial" w:cs="Arial"/>
                  </w:rPr>
                  <w:t xml:space="preserve"> </w:t>
                </w:r>
                <w:r w:rsidR="000E0BA8">
                  <w:rPr>
                    <w:rFonts w:ascii="Arial" w:hAnsi="Arial" w:cs="Arial"/>
                  </w:rPr>
                  <w:t>8+8+7+6+6+6</w:t>
                </w:r>
              </w:p>
            </w:tc>
          </w:tr>
          <w:tr w:rsidR="008F4B79" w:rsidTr="009260DE">
            <w:trPr>
              <w:trHeight w:val="419"/>
            </w:trPr>
            <w:tc>
              <w:tcPr>
                <w:tcW w:w="2409" w:type="dxa"/>
              </w:tcPr>
              <w:p w:rsidR="008F4B79" w:rsidRDefault="008F4B79" w:rsidP="009260DE">
                <w:pPr>
                  <w:rPr>
                    <w:rFonts w:ascii="Arial" w:hAnsi="Arial" w:cs="Arial"/>
                  </w:rPr>
                </w:pPr>
                <w:r>
                  <w:rPr>
                    <w:rFonts w:ascii="Arial" w:hAnsi="Arial" w:cs="Arial"/>
                  </w:rPr>
                  <w:t>Admin Expenses</w:t>
                </w:r>
              </w:p>
            </w:tc>
            <w:tc>
              <w:tcPr>
                <w:tcW w:w="1134" w:type="dxa"/>
              </w:tcPr>
              <w:p w:rsidR="008F4B79" w:rsidRDefault="000E0BA8" w:rsidP="009260DE">
                <w:pPr>
                  <w:jc w:val="right"/>
                  <w:rPr>
                    <w:rFonts w:ascii="Arial" w:hAnsi="Arial" w:cs="Arial"/>
                  </w:rPr>
                </w:pPr>
                <w:r>
                  <w:rPr>
                    <w:rFonts w:ascii="Arial" w:hAnsi="Arial" w:cs="Arial"/>
                  </w:rPr>
                  <w:t>(  144</w:t>
                </w:r>
                <w:r w:rsidR="008F4B79">
                  <w:rPr>
                    <w:rFonts w:ascii="Arial" w:hAnsi="Arial" w:cs="Arial"/>
                  </w:rPr>
                  <w:t xml:space="preserve">    )</w:t>
                </w:r>
              </w:p>
            </w:tc>
            <w:tc>
              <w:tcPr>
                <w:tcW w:w="3544" w:type="dxa"/>
              </w:tcPr>
              <w:p w:rsidR="008F4B79" w:rsidRDefault="008F4B79" w:rsidP="009260DE">
                <w:pPr>
                  <w:rPr>
                    <w:rFonts w:ascii="Arial" w:hAnsi="Arial" w:cs="Arial"/>
                  </w:rPr>
                </w:pPr>
                <w:r>
                  <w:rPr>
                    <w:rFonts w:ascii="Arial" w:hAnsi="Arial" w:cs="Arial"/>
                  </w:rPr>
                  <w:t xml:space="preserve"> </w:t>
                </w:r>
                <w:r w:rsidR="000E0BA8">
                  <w:rPr>
                    <w:rFonts w:ascii="Arial" w:hAnsi="Arial" w:cs="Arial"/>
                  </w:rPr>
                  <w:t>26+25+23+24+24+22</w:t>
                </w:r>
              </w:p>
            </w:tc>
          </w:tr>
          <w:tr w:rsidR="008F4B79" w:rsidTr="009260DE">
            <w:trPr>
              <w:trHeight w:val="424"/>
            </w:trPr>
            <w:tc>
              <w:tcPr>
                <w:tcW w:w="2409" w:type="dxa"/>
              </w:tcPr>
              <w:p w:rsidR="008F4B79" w:rsidRDefault="008F4B79" w:rsidP="009260DE">
                <w:pPr>
                  <w:rPr>
                    <w:rFonts w:ascii="Arial" w:hAnsi="Arial" w:cs="Arial"/>
                  </w:rPr>
                </w:pPr>
                <w:r>
                  <w:rPr>
                    <w:rFonts w:ascii="Arial" w:hAnsi="Arial" w:cs="Arial"/>
                  </w:rPr>
                  <w:t>Credit card charges</w:t>
                </w:r>
              </w:p>
            </w:tc>
            <w:tc>
              <w:tcPr>
                <w:tcW w:w="1134" w:type="dxa"/>
              </w:tcPr>
              <w:p w:rsidR="008F4B79" w:rsidRPr="00F71675" w:rsidRDefault="008F4B79" w:rsidP="000E0BA8">
                <w:pPr>
                  <w:rPr>
                    <w:rFonts w:ascii="Arial" w:hAnsi="Arial" w:cs="Arial"/>
                    <w:u w:val="single"/>
                  </w:rPr>
                </w:pPr>
                <w:r>
                  <w:rPr>
                    <w:rFonts w:ascii="Arial" w:hAnsi="Arial" w:cs="Arial"/>
                    <w:u w:val="single"/>
                  </w:rPr>
                  <w:t xml:space="preserve"> </w:t>
                </w:r>
                <w:r w:rsidR="000E0BA8">
                  <w:rPr>
                    <w:rFonts w:ascii="Arial" w:hAnsi="Arial" w:cs="Arial"/>
                    <w:u w:val="single"/>
                  </w:rPr>
                  <w:t>(25.56)</w:t>
                </w:r>
                <w:r>
                  <w:rPr>
                    <w:rFonts w:ascii="Arial" w:hAnsi="Arial" w:cs="Arial"/>
                    <w:u w:val="single"/>
                  </w:rPr>
                  <w:t xml:space="preserve">   </w:t>
                </w:r>
              </w:p>
            </w:tc>
            <w:tc>
              <w:tcPr>
                <w:tcW w:w="3544" w:type="dxa"/>
              </w:tcPr>
              <w:p w:rsidR="008F4B79" w:rsidRPr="007A65C7" w:rsidRDefault="008F4B79" w:rsidP="009260DE">
                <w:pPr>
                  <w:rPr>
                    <w:rFonts w:ascii="Arial" w:hAnsi="Arial" w:cs="Arial"/>
                  </w:rPr>
                </w:pPr>
                <w:r>
                  <w:rPr>
                    <w:rFonts w:ascii="Arial" w:hAnsi="Arial" w:cs="Arial"/>
                  </w:rPr>
                  <w:t xml:space="preserve">   </w:t>
                </w:r>
                <w:r w:rsidR="000E0BA8">
                  <w:rPr>
                    <w:rFonts w:ascii="Arial" w:hAnsi="Arial" w:cs="Arial"/>
                  </w:rPr>
                  <w:t>1420x60%x3%</w:t>
                </w:r>
                <w:r>
                  <w:rPr>
                    <w:rFonts w:ascii="Arial" w:hAnsi="Arial" w:cs="Arial"/>
                  </w:rPr>
                  <w:t xml:space="preserve">                                      </w:t>
                </w:r>
              </w:p>
            </w:tc>
          </w:tr>
          <w:tr w:rsidR="008F4B79" w:rsidTr="009260DE">
            <w:trPr>
              <w:trHeight w:val="417"/>
            </w:trPr>
            <w:tc>
              <w:tcPr>
                <w:tcW w:w="2409" w:type="dxa"/>
              </w:tcPr>
              <w:p w:rsidR="008F4B79" w:rsidRDefault="008F4B79" w:rsidP="009260DE">
                <w:pPr>
                  <w:rPr>
                    <w:rFonts w:ascii="Arial" w:hAnsi="Arial" w:cs="Arial"/>
                  </w:rPr>
                </w:pPr>
                <w:r>
                  <w:rPr>
                    <w:rFonts w:ascii="Arial" w:hAnsi="Arial" w:cs="Arial"/>
                  </w:rPr>
                  <w:t>Operating profit</w:t>
                </w:r>
              </w:p>
            </w:tc>
            <w:tc>
              <w:tcPr>
                <w:tcW w:w="1134" w:type="dxa"/>
              </w:tcPr>
              <w:p w:rsidR="008F4B79" w:rsidRDefault="000E0BA8" w:rsidP="000E0BA8">
                <w:pPr>
                  <w:jc w:val="center"/>
                  <w:rPr>
                    <w:rFonts w:ascii="Arial" w:hAnsi="Arial" w:cs="Arial"/>
                  </w:rPr>
                </w:pPr>
                <w:r>
                  <w:rPr>
                    <w:rFonts w:ascii="Arial" w:hAnsi="Arial" w:cs="Arial"/>
                  </w:rPr>
                  <w:t>215.44</w:t>
                </w:r>
                <w:r w:rsidR="008F4B79">
                  <w:rPr>
                    <w:rFonts w:ascii="Arial" w:hAnsi="Arial" w:cs="Arial"/>
                  </w:rPr>
                  <w:t xml:space="preserve"> </w:t>
                </w:r>
              </w:p>
            </w:tc>
            <w:tc>
              <w:tcPr>
                <w:tcW w:w="3544" w:type="dxa"/>
              </w:tcPr>
              <w:p w:rsidR="008F4B79" w:rsidRDefault="008F4B79" w:rsidP="009260DE">
                <w:pPr>
                  <w:rPr>
                    <w:rFonts w:ascii="Arial" w:hAnsi="Arial" w:cs="Arial"/>
                  </w:rPr>
                </w:pPr>
              </w:p>
            </w:tc>
          </w:tr>
          <w:tr w:rsidR="008F4B79" w:rsidTr="009260DE">
            <w:trPr>
              <w:trHeight w:val="409"/>
            </w:trPr>
            <w:tc>
              <w:tcPr>
                <w:tcW w:w="2409" w:type="dxa"/>
              </w:tcPr>
              <w:p w:rsidR="008F4B79" w:rsidRDefault="008F4B79" w:rsidP="009260DE">
                <w:pPr>
                  <w:rPr>
                    <w:rFonts w:ascii="Arial" w:hAnsi="Arial" w:cs="Arial"/>
                  </w:rPr>
                </w:pPr>
                <w:r>
                  <w:rPr>
                    <w:rFonts w:ascii="Arial" w:hAnsi="Arial" w:cs="Arial"/>
                  </w:rPr>
                  <w:t>Interest payable</w:t>
                </w:r>
              </w:p>
            </w:tc>
            <w:tc>
              <w:tcPr>
                <w:tcW w:w="1134" w:type="dxa"/>
              </w:tcPr>
              <w:p w:rsidR="008F4B79" w:rsidRPr="00F71675" w:rsidRDefault="000E0BA8" w:rsidP="009260DE">
                <w:pPr>
                  <w:jc w:val="right"/>
                  <w:rPr>
                    <w:rFonts w:ascii="Arial" w:hAnsi="Arial" w:cs="Arial"/>
                    <w:u w:val="single"/>
                  </w:rPr>
                </w:pPr>
                <w:r>
                  <w:rPr>
                    <w:rFonts w:ascii="Arial" w:hAnsi="Arial" w:cs="Arial"/>
                    <w:u w:val="single"/>
                  </w:rPr>
                  <w:t xml:space="preserve">  </w:t>
                </w:r>
                <w:r w:rsidR="008F4B79" w:rsidRPr="00F71675">
                  <w:rPr>
                    <w:rFonts w:ascii="Arial" w:hAnsi="Arial" w:cs="Arial"/>
                    <w:u w:val="single"/>
                  </w:rPr>
                  <w:t>(</w:t>
                </w:r>
                <w:r w:rsidR="008F4B79">
                  <w:rPr>
                    <w:rFonts w:ascii="Arial" w:hAnsi="Arial" w:cs="Arial"/>
                    <w:u w:val="single"/>
                  </w:rPr>
                  <w:t xml:space="preserve">  </w:t>
                </w:r>
                <w:r>
                  <w:rPr>
                    <w:rFonts w:ascii="Arial" w:hAnsi="Arial" w:cs="Arial"/>
                    <w:u w:val="single"/>
                  </w:rPr>
                  <w:t>8.4</w:t>
                </w:r>
                <w:r w:rsidR="008F4B79">
                  <w:rPr>
                    <w:rFonts w:ascii="Arial" w:hAnsi="Arial" w:cs="Arial"/>
                    <w:u w:val="single"/>
                  </w:rPr>
                  <w:t xml:space="preserve">   </w:t>
                </w:r>
                <w:r w:rsidR="008F4B79" w:rsidRPr="00F71675">
                  <w:rPr>
                    <w:rFonts w:ascii="Arial" w:hAnsi="Arial" w:cs="Arial"/>
                    <w:u w:val="single"/>
                  </w:rPr>
                  <w:t>)</w:t>
                </w:r>
              </w:p>
            </w:tc>
            <w:tc>
              <w:tcPr>
                <w:tcW w:w="3544" w:type="dxa"/>
              </w:tcPr>
              <w:p w:rsidR="008F4B79" w:rsidRPr="007A65C7" w:rsidRDefault="000E0BA8" w:rsidP="009260DE">
                <w:pPr>
                  <w:rPr>
                    <w:rFonts w:ascii="Arial" w:hAnsi="Arial" w:cs="Arial"/>
                  </w:rPr>
                </w:pPr>
                <w:r>
                  <w:rPr>
                    <w:rFonts w:ascii="Arial" w:hAnsi="Arial" w:cs="Arial"/>
                  </w:rPr>
                  <w:t>6monthsx7000x20%</w:t>
                </w:r>
                <w:r w:rsidR="008F4B79">
                  <w:rPr>
                    <w:rFonts w:ascii="Arial" w:hAnsi="Arial" w:cs="Arial"/>
                  </w:rPr>
                  <w:t xml:space="preserve">                                         (Note 5)</w:t>
                </w:r>
              </w:p>
            </w:tc>
          </w:tr>
          <w:tr w:rsidR="008F4B79" w:rsidTr="009260DE">
            <w:trPr>
              <w:trHeight w:val="387"/>
            </w:trPr>
            <w:tc>
              <w:tcPr>
                <w:tcW w:w="2409" w:type="dxa"/>
              </w:tcPr>
              <w:p w:rsidR="008F4B79" w:rsidRDefault="008F4B79" w:rsidP="009260DE">
                <w:pPr>
                  <w:rPr>
                    <w:rFonts w:ascii="Arial" w:hAnsi="Arial" w:cs="Arial"/>
                  </w:rPr>
                </w:pPr>
                <w:r>
                  <w:rPr>
                    <w:rFonts w:ascii="Arial" w:hAnsi="Arial" w:cs="Arial"/>
                  </w:rPr>
                  <w:t>Profit for the period</w:t>
                </w:r>
              </w:p>
            </w:tc>
            <w:tc>
              <w:tcPr>
                <w:tcW w:w="1134" w:type="dxa"/>
              </w:tcPr>
              <w:p w:rsidR="008F4B79" w:rsidRDefault="000E0BA8" w:rsidP="009260DE">
                <w:pPr>
                  <w:jc w:val="right"/>
                  <w:rPr>
                    <w:rFonts w:ascii="Arial" w:hAnsi="Arial" w:cs="Arial"/>
                    <w:u w:val="single"/>
                  </w:rPr>
                </w:pPr>
                <w:r>
                  <w:rPr>
                    <w:rFonts w:ascii="Arial" w:hAnsi="Arial" w:cs="Arial"/>
                    <w:u w:val="single"/>
                  </w:rPr>
                  <w:t>207.04</w:t>
                </w:r>
                <w:r w:rsidR="008F4B79">
                  <w:rPr>
                    <w:rFonts w:ascii="Arial" w:hAnsi="Arial" w:cs="Arial"/>
                    <w:u w:val="single"/>
                  </w:rPr>
                  <w:t xml:space="preserve"> </w:t>
                </w:r>
              </w:p>
              <w:p w:rsidR="001263A3" w:rsidRPr="00F71675" w:rsidRDefault="001263A3" w:rsidP="009260DE">
                <w:pPr>
                  <w:jc w:val="right"/>
                  <w:rPr>
                    <w:rFonts w:ascii="Arial" w:hAnsi="Arial" w:cs="Arial"/>
                    <w:u w:val="single"/>
                  </w:rPr>
                </w:pPr>
              </w:p>
            </w:tc>
            <w:tc>
              <w:tcPr>
                <w:tcW w:w="3544" w:type="dxa"/>
              </w:tcPr>
              <w:p w:rsidR="008F4B79" w:rsidRDefault="008F4B79" w:rsidP="009260DE">
                <w:pPr>
                  <w:rPr>
                    <w:rFonts w:ascii="Arial" w:hAnsi="Arial" w:cs="Arial"/>
                    <w:u w:val="single"/>
                  </w:rPr>
                </w:pPr>
              </w:p>
            </w:tc>
          </w:tr>
        </w:tbl>
        <w:p w:rsidR="00480872" w:rsidRDefault="008F4B79" w:rsidP="008F4B79">
          <w:pPr>
            <w:pStyle w:val="Heading2"/>
          </w:pPr>
          <w:r w:rsidRPr="002163E7">
            <w:rPr>
              <w:rFonts w:ascii="Arial" w:hAnsi="Arial" w:cs="Arial"/>
              <w:sz w:val="20"/>
              <w:szCs w:val="20"/>
            </w:rPr>
            <w:t xml:space="preserve"> </w:t>
          </w:r>
        </w:p>
        <w:p w:rsidR="002F25C3" w:rsidRDefault="00241DA9" w:rsidP="00B70122">
          <w:pPr>
            <w:pStyle w:val="Heading2"/>
            <w:numPr>
              <w:ilvl w:val="0"/>
              <w:numId w:val="3"/>
            </w:numPr>
          </w:pPr>
          <w:bookmarkStart w:id="6" w:name="_Toc164013198"/>
          <w:r>
            <w:t>An Analysis of the Six Months Budget Forecast</w:t>
          </w:r>
          <w:bookmarkEnd w:id="6"/>
        </w:p>
        <w:p w:rsidR="00B70122" w:rsidRPr="00B70122" w:rsidRDefault="00B70122" w:rsidP="00B70122"/>
        <w:p w:rsidR="00B70122" w:rsidRDefault="00161270" w:rsidP="00B70122">
          <w:pPr>
            <w:spacing w:after="0"/>
            <w:jc w:val="both"/>
          </w:pPr>
          <w:r>
            <w:t xml:space="preserve">     </w:t>
          </w:r>
          <w:r w:rsidR="00687C4A">
            <w:t xml:space="preserve"> Edwards had an overdraft of £25.000 at</w:t>
          </w:r>
          <w:r w:rsidR="00B70122">
            <w:t xml:space="preserve"> the beginning of June, </w:t>
          </w:r>
          <w:proofErr w:type="gramStart"/>
          <w:r w:rsidR="00B70122">
            <w:t xml:space="preserve">and </w:t>
          </w:r>
          <w:r w:rsidR="00687C4A">
            <w:t xml:space="preserve"> the</w:t>
          </w:r>
          <w:proofErr w:type="gramEnd"/>
          <w:r w:rsidR="00687C4A">
            <w:t xml:space="preserve"> bank asked for this to be eliminated by the end of November. By looking at the budget forecast, not only the overdraft is not e</w:t>
          </w:r>
          <w:r w:rsidR="003858F2">
            <w:t xml:space="preserve">liminated, </w:t>
          </w:r>
          <w:r w:rsidR="00B70122">
            <w:t xml:space="preserve">but at the end of November it has increased </w:t>
          </w:r>
          <w:proofErr w:type="gramStart"/>
          <w:r w:rsidR="00B70122">
            <w:t xml:space="preserve">to </w:t>
          </w:r>
          <w:r w:rsidR="003858F2">
            <w:t xml:space="preserve"> £</w:t>
          </w:r>
          <w:proofErr w:type="gramEnd"/>
          <w:r w:rsidR="003858F2">
            <w:t>73.000.</w:t>
          </w:r>
          <w:r w:rsidR="00B70122">
            <w:t xml:space="preserve"> The business has some options to facilitate the </w:t>
          </w:r>
          <w:r w:rsidR="00EE5BB7">
            <w:t xml:space="preserve">elimination of the </w:t>
          </w:r>
          <w:r w:rsidR="00B70122">
            <w:t>overdraft. One option would be to eliminate</w:t>
          </w:r>
          <w:r w:rsidR="005B5139">
            <w:t xml:space="preserve"> the shop refurbishments in June, July </w:t>
          </w:r>
          <w:r w:rsidR="00EE5BB7">
            <w:t>and August (a total of £78.000). By postponing or cancelling the refurbishment,</w:t>
          </w:r>
          <w:r w:rsidR="005B5139">
            <w:t xml:space="preserve"> the overdr</w:t>
          </w:r>
          <w:r w:rsidR="00EE5BB7">
            <w:t xml:space="preserve">aft could be eliminated and the company could even achieve </w:t>
          </w:r>
          <w:r w:rsidR="005B5139">
            <w:t xml:space="preserve">a </w:t>
          </w:r>
          <w:r w:rsidR="00EE5BB7">
            <w:t xml:space="preserve">positive </w:t>
          </w:r>
          <w:r w:rsidR="005B5139">
            <w:t xml:space="preserve">closing balance of £5.000. </w:t>
          </w:r>
        </w:p>
        <w:p w:rsidR="003C33C3" w:rsidRDefault="00EE5BB7" w:rsidP="00EE5BB7">
          <w:pPr>
            <w:spacing w:after="0"/>
            <w:jc w:val="both"/>
          </w:pPr>
          <w:r>
            <w:t xml:space="preserve">   </w:t>
          </w:r>
          <w:r w:rsidR="003C33C3">
            <w:t>Additionally, looking at the administration costs compared to the sales, they seem too high, especially from September to November, when camping gear sales drop. Management could loo</w:t>
          </w:r>
          <w:r w:rsidR="00775D61">
            <w:t>k at ways to reduce these co</w:t>
          </w:r>
          <w:r w:rsidR="00353EA5">
            <w:t xml:space="preserve">sts </w:t>
          </w:r>
          <w:proofErr w:type="gramStart"/>
          <w:r w:rsidR="00353EA5">
            <w:t>( renegotiate</w:t>
          </w:r>
          <w:proofErr w:type="gramEnd"/>
          <w:r w:rsidR="00353EA5">
            <w:t xml:space="preserve"> contracts</w:t>
          </w:r>
          <w:r w:rsidR="00775D61">
            <w:t>).</w:t>
          </w:r>
        </w:p>
        <w:p w:rsidR="002F25C3" w:rsidRDefault="002F25C3" w:rsidP="00353EA5">
          <w:pPr>
            <w:spacing w:after="0"/>
            <w:jc w:val="both"/>
          </w:pPr>
          <w:r>
            <w:t xml:space="preserve">      Camping gear companies in the UK</w:t>
          </w:r>
          <w:r w:rsidR="00462DF1">
            <w:t xml:space="preserve"> saw a great increase in sales in 2020, when camping chairs and tents were sold out by most suppliers</w:t>
          </w:r>
          <w:sdt>
            <w:sdtPr>
              <w:id w:val="42786052"/>
              <w:citation/>
            </w:sdtPr>
            <w:sdtContent>
              <w:fldSimple w:instr=" CITATION Smi20 \l 2057 ">
                <w:r w:rsidR="007B2D22">
                  <w:rPr>
                    <w:noProof/>
                  </w:rPr>
                  <w:t xml:space="preserve"> </w:t>
                </w:r>
                <w:r w:rsidR="007B2D22" w:rsidRPr="007B2D22">
                  <w:rPr>
                    <w:noProof/>
                  </w:rPr>
                  <w:t>(Smithers &amp; Blackall, 2020)</w:t>
                </w:r>
              </w:fldSimple>
            </w:sdtContent>
          </w:sdt>
          <w:r w:rsidR="007B2D22">
            <w:t xml:space="preserve">. In 2021, the UK-wide camping gear sales increased by 40% compared to pre-pandemic numbers </w:t>
          </w:r>
          <w:sdt>
            <w:sdtPr>
              <w:id w:val="42786140"/>
              <w:citation/>
            </w:sdtPr>
            <w:sdtContent>
              <w:fldSimple w:instr=" CITATION Cam21 \l 2057 ">
                <w:r w:rsidR="007B2D22" w:rsidRPr="007B2D22">
                  <w:rPr>
                    <w:noProof/>
                  </w:rPr>
                  <w:t>(Camping Trade World, 2021)</w:t>
                </w:r>
              </w:fldSimple>
            </w:sdtContent>
          </w:sdt>
          <w:r w:rsidR="007B2D22">
            <w:t>.</w:t>
          </w:r>
          <w:r w:rsidR="00E1229F">
            <w:t xml:space="preserve">In 2022, forecasts were showing that the camping equipment market </w:t>
          </w:r>
          <w:r w:rsidR="004143BC">
            <w:t xml:space="preserve">will witness a 7% growth between 2022 and 2028, due to better product offering and growing camping activities </w:t>
          </w:r>
          <w:sdt>
            <w:sdtPr>
              <w:id w:val="42786284"/>
              <w:citation/>
            </w:sdtPr>
            <w:sdtContent>
              <w:fldSimple w:instr=" CITATION Uni222 \l 2057 ">
                <w:r w:rsidR="004143BC" w:rsidRPr="004143BC">
                  <w:rPr>
                    <w:noProof/>
                  </w:rPr>
                  <w:t>(UnivDatos Market Insights, 2022)</w:t>
                </w:r>
              </w:fldSimple>
            </w:sdtContent>
          </w:sdt>
          <w:r w:rsidR="003924D2">
            <w:t xml:space="preserve">. In December 2023, </w:t>
          </w:r>
          <w:proofErr w:type="spellStart"/>
          <w:r w:rsidR="003924D2">
            <w:t>Statista</w:t>
          </w:r>
          <w:proofErr w:type="spellEnd"/>
          <w:r w:rsidR="003924D2">
            <w:t xml:space="preserve"> was also published an estimated annual sales growth of 7.66% between 2024 and 2028 </w:t>
          </w:r>
          <w:sdt>
            <w:sdtPr>
              <w:id w:val="42786444"/>
              <w:citation/>
            </w:sdtPr>
            <w:sdtContent>
              <w:fldSimple w:instr=" CITATION Sta233 \l 2057 ">
                <w:r w:rsidR="003924D2" w:rsidRPr="003924D2">
                  <w:rPr>
                    <w:noProof/>
                  </w:rPr>
                  <w:t>(Statista, 2023)</w:t>
                </w:r>
              </w:fldSimple>
            </w:sdtContent>
          </w:sdt>
          <w:r w:rsidR="003924D2">
            <w:t>.</w:t>
          </w:r>
          <w:r w:rsidR="00E6086E">
            <w:t xml:space="preserve"> </w:t>
          </w:r>
          <w:r w:rsidR="00BC46C9">
            <w:t>However, the competition in the camping gear stores in the UK i</w:t>
          </w:r>
          <w:r w:rsidR="009B4112">
            <w:t>s fierce and if businesses do not</w:t>
          </w:r>
          <w:r w:rsidR="00BC46C9">
            <w:t xml:space="preserve"> keep up in this highly competitive environment, they will not survive. The best example is Go Outdoors, which went into administration in 2020 as a result of COVID </w:t>
          </w:r>
          <w:sdt>
            <w:sdtPr>
              <w:id w:val="42786972"/>
              <w:citation/>
            </w:sdtPr>
            <w:sdtContent>
              <w:fldSimple w:instr=" CITATION BBC20 \l 2057 ">
                <w:r w:rsidR="00BC46C9" w:rsidRPr="00BC46C9">
                  <w:rPr>
                    <w:noProof/>
                  </w:rPr>
                  <w:t>(BBC, 2020)</w:t>
                </w:r>
              </w:fldSimple>
            </w:sdtContent>
          </w:sdt>
          <w:r w:rsidR="00BC46C9">
            <w:t xml:space="preserve"> and started closing stores in 2023 – such as the Oxford branch </w:t>
          </w:r>
          <w:sdt>
            <w:sdtPr>
              <w:id w:val="42787008"/>
              <w:citation/>
            </w:sdtPr>
            <w:sdtContent>
              <w:fldSimple w:instr=" CITATION Nor23 \l 2057 ">
                <w:r w:rsidR="00BC46C9" w:rsidRPr="00BC46C9">
                  <w:rPr>
                    <w:noProof/>
                  </w:rPr>
                  <w:t>(Norman, 2023)</w:t>
                </w:r>
              </w:fldSimple>
            </w:sdtContent>
          </w:sdt>
          <w:r w:rsidR="00BC46C9">
            <w:t>.</w:t>
          </w:r>
          <w:r w:rsidR="008E54E9">
            <w:t xml:space="preserve"> Edwards’ managers need to take all this information into consideration when calculating their budget. They need to keep trying to boost sales by attracting new customers through promotions and competitive pricing, but also they need to try and keep the loyalty of their existing customers.</w:t>
          </w:r>
          <w:r w:rsidR="006B7181">
            <w:t xml:space="preserve"> </w:t>
          </w:r>
        </w:p>
        <w:p w:rsidR="006B7181" w:rsidRDefault="00353EA5" w:rsidP="004E7DA5">
          <w:pPr>
            <w:spacing w:after="0"/>
            <w:jc w:val="both"/>
          </w:pPr>
          <w:r>
            <w:t xml:space="preserve">      </w:t>
          </w:r>
          <w:r w:rsidR="006B7181">
            <w:t xml:space="preserve"> Edwards has 15 stores. Similar to Go Outdoors, the management could look at the least productive stores and make a decision whether to keep them all open, or close a few and focus more on the online presence and ordering system. They would have to calculate all the costs involving the stor</w:t>
          </w:r>
          <w:r w:rsidR="00A54A54">
            <w:t>es – rent, utilities, wages</w:t>
          </w:r>
          <w:proofErr w:type="gramStart"/>
          <w:r w:rsidR="00A54A54">
            <w:t xml:space="preserve">, </w:t>
          </w:r>
          <w:r w:rsidR="006B7181">
            <w:t xml:space="preserve"> and</w:t>
          </w:r>
          <w:proofErr w:type="gramEnd"/>
          <w:r w:rsidR="006B7181">
            <w:t xml:space="preserve"> compare them to the online costs – more remote location where the stock is kept, less staff, but more investment in building the website and managing it, and in transport for deliveries.</w:t>
          </w:r>
        </w:p>
        <w:p w:rsidR="00634A49" w:rsidRDefault="00634A49" w:rsidP="004E7DA5">
          <w:pPr>
            <w:spacing w:after="0"/>
            <w:jc w:val="both"/>
          </w:pPr>
          <w:r>
            <w:t xml:space="preserve">      Even with all the encouraging forecasts, the camping gear industry </w:t>
          </w:r>
          <w:proofErr w:type="gramStart"/>
          <w:r>
            <w:t>is  seasonal</w:t>
          </w:r>
          <w:proofErr w:type="gramEnd"/>
          <w:r>
            <w:t xml:space="preserve"> and relies heavily on the weather and on outdoor recreation trends</w:t>
          </w:r>
          <w:sdt>
            <w:sdtPr>
              <w:id w:val="42788022"/>
              <w:citation/>
            </w:sdtPr>
            <w:sdtContent>
              <w:fldSimple w:instr=" CITATION The231 \l 2057 ">
                <w:r>
                  <w:rPr>
                    <w:noProof/>
                  </w:rPr>
                  <w:t xml:space="preserve"> </w:t>
                </w:r>
                <w:r w:rsidRPr="00634A49">
                  <w:rPr>
                    <w:noProof/>
                  </w:rPr>
                  <w:t>(The Outdoor Guide, 2023)</w:t>
                </w:r>
              </w:fldSimple>
            </w:sdtContent>
          </w:sdt>
          <w:r>
            <w:t xml:space="preserve">. This also needs to be taken into account when planning the budgets. </w:t>
          </w:r>
          <w:r w:rsidR="00FC5506">
            <w:t>Addressing all these challenges requires strategic planning, market research, effective marketing strategies and a commitment to providing high-quality products and services that meet the needs of outdoor enthusiasts in the UK.</w:t>
          </w:r>
        </w:p>
        <w:p w:rsidR="00677745" w:rsidRDefault="003C33C3" w:rsidP="00826190">
          <w:pPr>
            <w:spacing w:after="0"/>
            <w:jc w:val="both"/>
          </w:pPr>
          <w:r>
            <w:t xml:space="preserve">     </w:t>
          </w:r>
          <w:r w:rsidR="008F2433">
            <w:t xml:space="preserve">  One of the costs Edwards has is a bank loan, for which they are paying £7000 a month. One option for the company is to try and re-negotiate the terms of the loan and try and reduce the amount of interest paid (20%). </w:t>
          </w:r>
          <w:r w:rsidR="008D500A">
            <w:t>Lenders often agree to renegotiate the terms of a loan, because it can ensure that the loan is paid off by the company</w:t>
          </w:r>
          <w:sdt>
            <w:sdtPr>
              <w:id w:val="42789688"/>
              <w:citation/>
            </w:sdtPr>
            <w:sdtContent>
              <w:fldSimple w:instr=" CITATION Pap21 \l 2057 ">
                <w:r w:rsidR="008D500A">
                  <w:rPr>
                    <w:noProof/>
                  </w:rPr>
                  <w:t xml:space="preserve"> </w:t>
                </w:r>
                <w:r w:rsidR="008D500A" w:rsidRPr="008D500A">
                  <w:rPr>
                    <w:noProof/>
                  </w:rPr>
                  <w:t>(Papoutsi, 2021)</w:t>
                </w:r>
              </w:fldSimple>
            </w:sdtContent>
          </w:sdt>
          <w:r w:rsidR="008D500A">
            <w:t>.</w:t>
          </w:r>
        </w:p>
        <w:p w:rsidR="003C33C3" w:rsidRDefault="00677745" w:rsidP="00760DC9">
          <w:pPr>
            <w:spacing w:after="0"/>
            <w:jc w:val="both"/>
          </w:pPr>
          <w:r>
            <w:t xml:space="preserve">       The decisions that managers make for an organisation impact the many departments of the business such as marketing, production, purchasing, research and develop</w:t>
          </w:r>
          <w:r w:rsidR="009B4112">
            <w:t>ment, finance. If managers do not</w:t>
          </w:r>
          <w:r>
            <w:t xml:space="preserve"> have all the budgetary information available, the decisions made may not benefit the organisation (Drury, 2020). For example, Edwards’ managers may </w:t>
          </w:r>
          <w:proofErr w:type="gramStart"/>
          <w:r>
            <w:t>decide  to</w:t>
          </w:r>
          <w:proofErr w:type="gramEnd"/>
          <w:r>
            <w:t xml:space="preserve"> close some of the stores and rely more on </w:t>
          </w:r>
          <w:r w:rsidR="009B4112">
            <w:t>online orders, but if they do not</w:t>
          </w:r>
          <w:r>
            <w:t xml:space="preserve"> understand what costs the website maintenance involves, or the costs of transport and distribution, they might end up spending even more than before.</w:t>
          </w:r>
          <w:r w:rsidR="003C33C3">
            <w:t xml:space="preserve">  </w:t>
          </w:r>
        </w:p>
        <w:p w:rsidR="00826190" w:rsidRDefault="00826190" w:rsidP="00826190">
          <w:pPr>
            <w:spacing w:after="0"/>
            <w:jc w:val="both"/>
          </w:pPr>
          <w:r>
            <w:t xml:space="preserve">      </w:t>
          </w:r>
          <w:r w:rsidR="00760DC9">
            <w:t>Appropriate stock management practices are extremely important for organisations. They offer control over the stock owned by an organisation and helps management when making business decisions. They can also help businesses become more profitable by supporting managers when making decisions about what to order and when so that customer demand can be met. Too much stock reduces the cash flow, while too little stock might not satisfy customer orders. The benefits of stock management principles are: they can help save money (less stock means less inventory costs and keeping the right amount of stock prevents the products from becoming obsolete); they improve cash flow and keeps customers satisfied</w:t>
          </w:r>
          <w:sdt>
            <w:sdtPr>
              <w:id w:val="418258229"/>
              <w:citation/>
            </w:sdtPr>
            <w:sdtContent>
              <w:fldSimple w:instr=" CITATION Jen20 \l 2057 ">
                <w:r w:rsidR="00760DC9">
                  <w:rPr>
                    <w:noProof/>
                  </w:rPr>
                  <w:t xml:space="preserve"> </w:t>
                </w:r>
                <w:r w:rsidR="00760DC9" w:rsidRPr="00760DC9">
                  <w:rPr>
                    <w:noProof/>
                  </w:rPr>
                  <w:t>(Jenkins, 2020)</w:t>
                </w:r>
              </w:fldSimple>
            </w:sdtContent>
          </w:sdt>
          <w:r w:rsidR="00760DC9">
            <w:t>.</w:t>
          </w:r>
        </w:p>
        <w:p w:rsidR="00674E2A" w:rsidRDefault="00674E2A" w:rsidP="00826190">
          <w:pPr>
            <w:spacing w:after="0"/>
            <w:jc w:val="both"/>
          </w:pPr>
          <w:r>
            <w:t xml:space="preserve">      </w:t>
          </w:r>
          <w:r w:rsidR="00D035C1">
            <w:t>Edwards should adopt the following practices in order to manage the cash efficiently and ensure optimal liquidity: they should develop a cash flow forecast in order to predict the inflow and outflow of cash over a period of time and monitor it regularly; they should manage receivables and payables; they should optimise inventory levels; they should maximise the cash conversion cycle, maintain cash reserves and invest cash surplus wisely; they should also review and adjust cash management strategies</w:t>
          </w:r>
          <w:sdt>
            <w:sdtPr>
              <w:id w:val="244800541"/>
              <w:citation/>
            </w:sdtPr>
            <w:sdtContent>
              <w:fldSimple w:instr=" CITATION Seu23 \l 2057 ">
                <w:r w:rsidR="0005553C">
                  <w:rPr>
                    <w:noProof/>
                  </w:rPr>
                  <w:t xml:space="preserve"> </w:t>
                </w:r>
                <w:r w:rsidR="0005553C" w:rsidRPr="0005553C">
                  <w:rPr>
                    <w:noProof/>
                  </w:rPr>
                  <w:t>(Seurkamp, 2023)</w:t>
                </w:r>
              </w:fldSimple>
            </w:sdtContent>
          </w:sdt>
          <w:r w:rsidR="0005553C">
            <w:t>.</w:t>
          </w:r>
        </w:p>
        <w:p w:rsidR="00A81505" w:rsidRDefault="00A81505" w:rsidP="00826190">
          <w:pPr>
            <w:spacing w:after="0"/>
            <w:jc w:val="both"/>
          </w:pPr>
        </w:p>
        <w:p w:rsidR="002C50AF" w:rsidRDefault="002C50AF" w:rsidP="00826190">
          <w:pPr>
            <w:spacing w:after="0"/>
            <w:jc w:val="both"/>
          </w:pPr>
          <w:r>
            <w:t xml:space="preserve">      </w:t>
          </w:r>
        </w:p>
        <w:p w:rsidR="00505C07" w:rsidRPr="00A81505" w:rsidRDefault="00505C07" w:rsidP="00A81505">
          <w:pPr>
            <w:pStyle w:val="Heading2"/>
          </w:pPr>
          <w:bookmarkStart w:id="7" w:name="_Toc164013199"/>
          <w:proofErr w:type="gramStart"/>
          <w:r>
            <w:t>3.Budgeting</w:t>
          </w:r>
          <w:proofErr w:type="gramEnd"/>
          <w:r>
            <w:t xml:space="preserve"> and budgetary controls</w:t>
          </w:r>
          <w:bookmarkEnd w:id="7"/>
        </w:p>
        <w:p w:rsidR="001263A3" w:rsidRDefault="001263A3" w:rsidP="001263A3"/>
        <w:p w:rsidR="001263A3" w:rsidRDefault="001224E4" w:rsidP="004B55F8">
          <w:pPr>
            <w:spacing w:after="0"/>
            <w:jc w:val="both"/>
          </w:pPr>
          <w:r>
            <w:t xml:space="preserve">      </w:t>
          </w:r>
          <w:r w:rsidRPr="001224E4">
            <w:t>Budgets are detailed financial plans that are created for a determined future</w:t>
          </w:r>
          <w:r>
            <w:t xml:space="preserve"> period of time. Companies should always be aware of the revenue expected and of the expenses pending, in order to predict the future surplus or deficit</w:t>
          </w:r>
          <w:r w:rsidR="00FE5055">
            <w:t>. Budgets are useful for companies as they help managers analyse past events in order to decide future actions</w:t>
          </w:r>
          <w:r w:rsidR="00225A41">
            <w:t xml:space="preserve"> (Horner, 2020; </w:t>
          </w:r>
          <w:proofErr w:type="spellStart"/>
          <w:r w:rsidR="00225A41">
            <w:t>Otley&amp;Berry</w:t>
          </w:r>
          <w:proofErr w:type="spellEnd"/>
          <w:r w:rsidR="00225A41">
            <w:t>, 2019)</w:t>
          </w:r>
          <w:r w:rsidR="00FE5055">
            <w:t>. Budgets are presented as cash inflows and outflows, as sales revenues and expenses. All the separate budgets are then merged into a master budget which is presented as budgeted profit and cash flow statements (Drury, 2020).</w:t>
          </w:r>
        </w:p>
        <w:p w:rsidR="005A0A98" w:rsidRDefault="005A0A98" w:rsidP="004B55F8">
          <w:pPr>
            <w:spacing w:after="0"/>
            <w:jc w:val="both"/>
          </w:pPr>
          <w:r>
            <w:t xml:space="preserve">      Budgets help plan for the future by controlling the actual performance of the company. The fact that budgets are forecasts means that plans can be adjusted in order to reach the goal of the company. </w:t>
          </w:r>
          <w:r w:rsidR="003F314F">
            <w:t xml:space="preserve">Budgets are based on the following features: policies (they are based on the policies of the organisation), data (they are expressed in monetary terms), documentation (they are written down), </w:t>
          </w:r>
          <w:proofErr w:type="gramStart"/>
          <w:r w:rsidR="003F314F">
            <w:t>period</w:t>
          </w:r>
          <w:proofErr w:type="gramEnd"/>
          <w:r w:rsidR="003F314F">
            <w:t xml:space="preserve"> (they relate to a period of time) </w:t>
          </w:r>
          <w:sdt>
            <w:sdtPr>
              <w:id w:val="42796265"/>
              <w:citation/>
            </w:sdtPr>
            <w:sdtContent>
              <w:fldSimple w:instr=" CITATION Dav23 \l 2057 ">
                <w:r w:rsidR="006910A7" w:rsidRPr="006910A7">
                  <w:rPr>
                    <w:noProof/>
                  </w:rPr>
                  <w:t>(Davila, et al., 2023)</w:t>
                </w:r>
              </w:fldSimple>
            </w:sdtContent>
          </w:sdt>
          <w:r w:rsidR="006910A7">
            <w:t>.</w:t>
          </w:r>
        </w:p>
        <w:p w:rsidR="000C2EE2" w:rsidRDefault="00396F6F" w:rsidP="004B55F8">
          <w:pPr>
            <w:spacing w:after="0"/>
            <w:jc w:val="both"/>
          </w:pPr>
          <w:r>
            <w:t xml:space="preserve">      Budgetary control systems can have positive or negative influences on managers, or they could react to them with indifference. If managers react favourably, then the budgets they create are likely to be correct and relevant. However, if managers are not invested in creating accurate budgets, they might prepare budgets that are inaccurate or irrelevant. </w:t>
          </w:r>
          <w:r w:rsidR="000C2EE2">
            <w:t>Both managers and subordinates become more productive when their personal goals align with the goals of the organisation</w:t>
          </w:r>
          <w:sdt>
            <w:sdtPr>
              <w:id w:val="244805503"/>
              <w:citation/>
            </w:sdtPr>
            <w:sdtContent>
              <w:fldSimple w:instr=" CITATION Sim19 \l 2057 ">
                <w:r w:rsidR="000C2EE2">
                  <w:rPr>
                    <w:noProof/>
                  </w:rPr>
                  <w:t xml:space="preserve"> </w:t>
                </w:r>
                <w:r w:rsidR="000C2EE2" w:rsidRPr="000C2EE2">
                  <w:rPr>
                    <w:noProof/>
                  </w:rPr>
                  <w:t>(Simons, 2019)</w:t>
                </w:r>
              </w:fldSimple>
            </w:sdtContent>
          </w:sdt>
          <w:r w:rsidR="000C2EE2">
            <w:t>.</w:t>
          </w:r>
        </w:p>
        <w:p w:rsidR="00396F6F" w:rsidRDefault="007878E3" w:rsidP="004B55F8">
          <w:pPr>
            <w:spacing w:after="0"/>
            <w:jc w:val="both"/>
          </w:pPr>
          <w:r>
            <w:t xml:space="preserve">      </w:t>
          </w:r>
          <w:r w:rsidR="00B74FC3">
            <w:t>According to Drury (2020, p346), f</w:t>
          </w:r>
          <w:r w:rsidR="00396F6F">
            <w:t>or budgetary control systems to work, the following elements need to be present:</w:t>
          </w:r>
        </w:p>
        <w:p w:rsidR="00396F6F" w:rsidRDefault="00396F6F" w:rsidP="00396F6F">
          <w:pPr>
            <w:pStyle w:val="ListParagraph"/>
            <w:numPr>
              <w:ilvl w:val="0"/>
              <w:numId w:val="4"/>
            </w:numPr>
            <w:jc w:val="both"/>
          </w:pPr>
          <w:r>
            <w:t>Consultation – managers should participate in creating the budgets and when installing budgetary control systems.</w:t>
          </w:r>
        </w:p>
        <w:p w:rsidR="00396F6F" w:rsidRDefault="00396F6F" w:rsidP="00396F6F">
          <w:pPr>
            <w:pStyle w:val="ListParagraph"/>
            <w:numPr>
              <w:ilvl w:val="0"/>
              <w:numId w:val="4"/>
            </w:numPr>
            <w:jc w:val="both"/>
          </w:pPr>
          <w:r>
            <w:t>Education and training – managers should be offered the correct training so they can fully understand the importance of such control systems and the part they need to play.</w:t>
          </w:r>
        </w:p>
        <w:p w:rsidR="00396F6F" w:rsidRDefault="00396F6F" w:rsidP="00396F6F">
          <w:pPr>
            <w:pStyle w:val="ListParagraph"/>
            <w:numPr>
              <w:ilvl w:val="0"/>
              <w:numId w:val="4"/>
            </w:numPr>
            <w:jc w:val="both"/>
          </w:pPr>
          <w:r>
            <w:t>Involvement – managers should be involved in installing the control systems.</w:t>
          </w:r>
        </w:p>
        <w:p w:rsidR="00396F6F" w:rsidRDefault="00396F6F" w:rsidP="00396F6F">
          <w:pPr>
            <w:pStyle w:val="ListParagraph"/>
            <w:numPr>
              <w:ilvl w:val="0"/>
              <w:numId w:val="4"/>
            </w:numPr>
            <w:jc w:val="both"/>
          </w:pPr>
          <w:r>
            <w:t>Independence – managers should be given the responsibility of creating their own budgets instead of having them imposed to them.</w:t>
          </w:r>
        </w:p>
        <w:p w:rsidR="00396F6F" w:rsidRDefault="00396F6F" w:rsidP="004B55F8">
          <w:pPr>
            <w:pStyle w:val="ListParagraph"/>
            <w:numPr>
              <w:ilvl w:val="0"/>
              <w:numId w:val="4"/>
            </w:numPr>
            <w:spacing w:after="0"/>
            <w:jc w:val="both"/>
          </w:pPr>
          <w:r>
            <w:t>Non-disciplinary – budgetary control systems should not be used as a means to discipline managers for any variances, unless the variances are caused by negligence. These systems should be used to analyse why varian</w:t>
          </w:r>
          <w:r w:rsidR="006910A7">
            <w:t>ces happened in the f</w:t>
          </w:r>
          <w:r w:rsidR="00B74FC3">
            <w:t>irst place.</w:t>
          </w:r>
        </w:p>
        <w:p w:rsidR="007C5B8C" w:rsidRDefault="007C5B8C" w:rsidP="004B55F8">
          <w:pPr>
            <w:spacing w:after="0"/>
            <w:jc w:val="both"/>
          </w:pPr>
          <w:r>
            <w:t xml:space="preserve">      When introducing budgetary control systems, managers need to take into consideration the different behaviours that people in the organisation might exhibit:</w:t>
          </w:r>
        </w:p>
        <w:p w:rsidR="007C5B8C" w:rsidRDefault="007C5B8C" w:rsidP="007C5B8C">
          <w:pPr>
            <w:pStyle w:val="ListParagraph"/>
            <w:numPr>
              <w:ilvl w:val="0"/>
              <w:numId w:val="4"/>
            </w:numPr>
            <w:jc w:val="both"/>
          </w:pPr>
          <w:r>
            <w:t xml:space="preserve">Resistance to change – employees might fear the new measures and might not understand how they could affect their jobs. They might also feel like they are under scrutiny and that they are given too much responsibility. Managers must communicate and explain the changes to the </w:t>
          </w:r>
          <w:proofErr w:type="gramStart"/>
          <w:r>
            <w:t>staff,</w:t>
          </w:r>
          <w:proofErr w:type="gramEnd"/>
          <w:r>
            <w:t xml:space="preserve"> they must provide training and involve the employees in the development and implementation</w:t>
          </w:r>
          <w:r w:rsidR="00EB3E25">
            <w:t xml:space="preserve"> process</w:t>
          </w:r>
          <w:sdt>
            <w:sdtPr>
              <w:id w:val="136159891"/>
              <w:citation/>
            </w:sdtPr>
            <w:sdtContent>
              <w:fldSimple w:instr=" CITATION Law23 \l 2057 ">
                <w:r w:rsidR="00EB3E25">
                  <w:rPr>
                    <w:noProof/>
                  </w:rPr>
                  <w:t xml:space="preserve"> </w:t>
                </w:r>
                <w:r w:rsidR="00EB3E25" w:rsidRPr="00EB3E25">
                  <w:rPr>
                    <w:noProof/>
                  </w:rPr>
                  <w:t>(Lawrence, 2023)</w:t>
                </w:r>
              </w:fldSimple>
            </w:sdtContent>
          </w:sdt>
          <w:r w:rsidR="00EB3E25">
            <w:t>.</w:t>
          </w:r>
        </w:p>
        <w:p w:rsidR="0095068B" w:rsidRDefault="007C5B8C" w:rsidP="007C5B8C">
          <w:pPr>
            <w:pStyle w:val="ListParagraph"/>
            <w:numPr>
              <w:ilvl w:val="0"/>
              <w:numId w:val="4"/>
            </w:numPr>
            <w:jc w:val="both"/>
          </w:pPr>
          <w:r>
            <w:t>Gaming and manipulation – if employees don’t understand the need for the new control systems or how they work, they might try to manipulate the data in order to make it look like the targets have been reached or to obtain a favourable performance review. This could undermine the integrity of the budgeting process and distort financial reports. Management need to keep a careful eye on all employees without micromanaging, in order to prevent this damaging behaviour and to promote transp</w:t>
          </w:r>
          <w:r w:rsidR="00602085">
            <w:t>arency and accountability</w:t>
          </w:r>
          <w:sdt>
            <w:sdtPr>
              <w:id w:val="136159931"/>
              <w:citation/>
            </w:sdtPr>
            <w:sdtContent>
              <w:fldSimple w:instr=" CITATION Wal13 \l 2057 ">
                <w:r w:rsidR="00602085">
                  <w:rPr>
                    <w:noProof/>
                  </w:rPr>
                  <w:t xml:space="preserve"> </w:t>
                </w:r>
                <w:r w:rsidR="00602085" w:rsidRPr="00602085">
                  <w:rPr>
                    <w:noProof/>
                  </w:rPr>
                  <w:t>(Walker &amp; Fleischman, 2013)</w:t>
                </w:r>
              </w:fldSimple>
            </w:sdtContent>
          </w:sdt>
          <w:r w:rsidR="00602085">
            <w:t>.</w:t>
          </w:r>
        </w:p>
        <w:p w:rsidR="00F16C1A" w:rsidRDefault="0095068B" w:rsidP="004B55F8">
          <w:pPr>
            <w:pStyle w:val="ListParagraph"/>
            <w:numPr>
              <w:ilvl w:val="0"/>
              <w:numId w:val="4"/>
            </w:numPr>
            <w:spacing w:after="0"/>
            <w:jc w:val="both"/>
          </w:pPr>
          <w:r>
            <w:t xml:space="preserve">Motivation and performance – budgetary control systems can influence the motivation and performance of employees. The targets set must be achievable while still aligned with organisational goals and linked to performance </w:t>
          </w:r>
          <w:r w:rsidR="00F16C1A">
            <w:t>incentives. Feedback, incentives and recognition along with opportunities for skill development can increase emp</w:t>
          </w:r>
          <w:r w:rsidR="00800358">
            <w:t>loyee motivation and engagement</w:t>
          </w:r>
          <w:sdt>
            <w:sdtPr>
              <w:id w:val="136159973"/>
              <w:citation/>
            </w:sdtPr>
            <w:sdtContent>
              <w:fldSimple w:instr=" CITATION Han18 \l 2057 ">
                <w:r w:rsidR="00800358">
                  <w:rPr>
                    <w:noProof/>
                  </w:rPr>
                  <w:t xml:space="preserve"> </w:t>
                </w:r>
                <w:r w:rsidR="00800358" w:rsidRPr="00800358">
                  <w:rPr>
                    <w:noProof/>
                  </w:rPr>
                  <w:t>(Handoyo, 2018)</w:t>
                </w:r>
              </w:fldSimple>
            </w:sdtContent>
          </w:sdt>
          <w:r w:rsidR="00800358">
            <w:t>.</w:t>
          </w:r>
        </w:p>
        <w:p w:rsidR="007C5B8C" w:rsidRDefault="00F16C1A" w:rsidP="004B55F8">
          <w:pPr>
            <w:pStyle w:val="ListParagraph"/>
            <w:numPr>
              <w:ilvl w:val="0"/>
              <w:numId w:val="4"/>
            </w:numPr>
            <w:spacing w:after="0"/>
            <w:jc w:val="both"/>
          </w:pPr>
          <w:r>
            <w:t xml:space="preserve">Information sharing and collaboration – in order to have effective budgetary controls, all departments within an organisation need to share information accurately and in a timely manner, otherwise collaboration can be hindered. Management should encourage a culture of openness and collaboration. Building </w:t>
          </w:r>
          <w:proofErr w:type="gramStart"/>
          <w:r>
            <w:t>trust  and</w:t>
          </w:r>
          <w:proofErr w:type="gramEnd"/>
          <w:r>
            <w:t xml:space="preserve"> a sense of responsibility c</w:t>
          </w:r>
          <w:r w:rsidR="00785853">
            <w:t>an help achieve budgetary goals</w:t>
          </w:r>
          <w:sdt>
            <w:sdtPr>
              <w:id w:val="136160039"/>
              <w:citation/>
            </w:sdtPr>
            <w:sdtContent>
              <w:fldSimple w:instr=" CITATION Mun06 \l 2057 ">
                <w:r w:rsidR="00785853">
                  <w:rPr>
                    <w:noProof/>
                  </w:rPr>
                  <w:t xml:space="preserve"> </w:t>
                </w:r>
                <w:r w:rsidR="00785853" w:rsidRPr="00785853">
                  <w:rPr>
                    <w:noProof/>
                  </w:rPr>
                  <w:t>(Munoz, et al., 2006)</w:t>
                </w:r>
              </w:fldSimple>
            </w:sdtContent>
          </w:sdt>
          <w:r w:rsidR="00785853">
            <w:t>.</w:t>
          </w:r>
        </w:p>
        <w:p w:rsidR="00F71171" w:rsidRDefault="001F05CF" w:rsidP="004B55F8">
          <w:pPr>
            <w:spacing w:after="0"/>
            <w:jc w:val="both"/>
          </w:pPr>
          <w:r>
            <w:t xml:space="preserve">      </w:t>
          </w:r>
          <w:r w:rsidR="00E8316E">
            <w:t>According to Marr (2012), managers must be aware of the vital key performance indicators in their organisations, which are vital for understanding if their business is on the right path towards success, or not. The right set of KPI’s can emphasize the areas that need attention in order to reach the company goals. Without them, managers would be making decisions blind and not understanding the critical KPI’s can cause anxiety and can hold people back.</w:t>
          </w:r>
        </w:p>
        <w:p w:rsidR="009D7ECC" w:rsidRDefault="009D7ECC" w:rsidP="00F71171">
          <w:pPr>
            <w:jc w:val="both"/>
          </w:pPr>
          <w:r>
            <w:t xml:space="preserve">      Another vital piece of information that managers should master</w:t>
          </w:r>
          <w:r w:rsidR="00886914">
            <w:t xml:space="preserve"> is business ratios</w:t>
          </w:r>
          <w:r w:rsidR="0071756C">
            <w:t>. Business rations provide the targets and set the standards inside an organisation and are helpful for managers when deciding long-term or short-term strategies.</w:t>
          </w:r>
          <w:r w:rsidR="006F7DAE">
            <w:t xml:space="preserve"> In the very competitive and constantly changing environment that we live in, business ratios keep managers informed on the most important aspects that need to be addressed inside a business. </w:t>
          </w:r>
          <w:r w:rsidR="00EE49D1">
            <w:t>Training the managers of all different departments to understand business ratios will lead to the different departments working better together</w:t>
          </w:r>
          <w:sdt>
            <w:sdtPr>
              <w:id w:val="136158352"/>
              <w:citation/>
            </w:sdtPr>
            <w:sdtContent>
              <w:fldSimple w:instr=" CITATION Wal08 \l 2057 ">
                <w:r w:rsidR="00C460C3">
                  <w:rPr>
                    <w:noProof/>
                  </w:rPr>
                  <w:t xml:space="preserve"> </w:t>
                </w:r>
                <w:r w:rsidR="00C460C3" w:rsidRPr="00C460C3">
                  <w:rPr>
                    <w:noProof/>
                  </w:rPr>
                  <w:t>(Walsh, 2008)</w:t>
                </w:r>
              </w:fldSimple>
            </w:sdtContent>
          </w:sdt>
          <w:r w:rsidR="00C460C3">
            <w:t>.</w:t>
          </w:r>
        </w:p>
        <w:p w:rsidR="007C5B8C" w:rsidRDefault="007C5B8C" w:rsidP="00F71171">
          <w:pPr>
            <w:jc w:val="both"/>
          </w:pPr>
          <w:r>
            <w:t xml:space="preserve">      </w:t>
          </w:r>
        </w:p>
        <w:p w:rsidR="00396F6F" w:rsidRPr="001224E4" w:rsidRDefault="00396F6F" w:rsidP="001263A3">
          <w:pPr>
            <w:jc w:val="both"/>
          </w:pPr>
        </w:p>
        <w:p w:rsidR="001F05CF" w:rsidRDefault="001F05CF" w:rsidP="001F05CF">
          <w:pPr>
            <w:pStyle w:val="Heading2"/>
          </w:pPr>
          <w:r>
            <w:t xml:space="preserve">      </w:t>
          </w:r>
          <w:bookmarkStart w:id="8" w:name="_Toc164013200"/>
          <w:proofErr w:type="gramStart"/>
          <w:r w:rsidR="00867B59">
            <w:t>4.E</w:t>
          </w:r>
          <w:r>
            <w:t>valuation</w:t>
          </w:r>
          <w:proofErr w:type="gramEnd"/>
          <w:r>
            <w:t xml:space="preserve"> of traditional approaches to budgeting</w:t>
          </w:r>
          <w:bookmarkEnd w:id="8"/>
        </w:p>
        <w:p w:rsidR="00833214" w:rsidRDefault="00833214" w:rsidP="00833214"/>
        <w:p w:rsidR="00D26043" w:rsidRDefault="00833214" w:rsidP="004B55F8">
          <w:pPr>
            <w:spacing w:after="0"/>
            <w:jc w:val="both"/>
          </w:pPr>
          <w:r>
            <w:t xml:space="preserve">      Changes are constantly taking place in this competitive business environment, including economic conditions, customer needs and desires, competitors. The management accounting information system should be flexible enough in order to provide whatever data is necessary for decision making in any organisation</w:t>
          </w:r>
          <w:r w:rsidR="00D26043">
            <w:t>. The changes appeared in the past three decades: intensified competition led to lower prices, higher quality and more choices, new technologies</w:t>
          </w:r>
          <w:sdt>
            <w:sdtPr>
              <w:id w:val="136161427"/>
              <w:citation/>
            </w:sdtPr>
            <w:sdtContent>
              <w:fldSimple w:instr=" CITATION Sea19 \l 2057 ">
                <w:r w:rsidR="00A855BE">
                  <w:rPr>
                    <w:noProof/>
                  </w:rPr>
                  <w:t xml:space="preserve"> </w:t>
                </w:r>
                <w:r w:rsidR="00A855BE" w:rsidRPr="00A855BE">
                  <w:rPr>
                    <w:noProof/>
                  </w:rPr>
                  <w:t>(Seal, et al., 2019)</w:t>
                </w:r>
              </w:fldSimple>
            </w:sdtContent>
          </w:sdt>
          <w:r w:rsidR="00A855BE">
            <w:t>.</w:t>
          </w:r>
          <w:r w:rsidR="00D26043">
            <w:t xml:space="preserve"> </w:t>
          </w:r>
          <w:r w:rsidR="00F0181F">
            <w:t xml:space="preserve">Other changes that have occurred </w:t>
          </w:r>
          <w:proofErr w:type="gramStart"/>
          <w:r w:rsidR="00F0181F">
            <w:t>are :</w:t>
          </w:r>
          <w:proofErr w:type="gramEnd"/>
          <w:r w:rsidR="00F0181F">
            <w:t xml:space="preserve"> the growth of the service sector, the emergence of new industries, the growth of e-commerce, product innovation, the growth of outsourcing. All these changes pose huge challenges for the management accountant </w:t>
          </w:r>
          <w:sdt>
            <w:sdtPr>
              <w:id w:val="136161835"/>
              <w:citation/>
            </w:sdtPr>
            <w:sdtContent>
              <w:fldSimple w:instr=" CITATION Atr21 \l 2057 ">
                <w:r w:rsidR="00F0181F" w:rsidRPr="00F0181F">
                  <w:rPr>
                    <w:noProof/>
                  </w:rPr>
                  <w:t>(Atrill &amp; McLaney, 2021)</w:t>
                </w:r>
              </w:fldSimple>
            </w:sdtContent>
          </w:sdt>
          <w:r w:rsidR="00F0181F">
            <w:t xml:space="preserve">. </w:t>
          </w:r>
          <w:r w:rsidR="00D26043">
            <w:t>Several approaches have been developed to assist organisations with these new challenges:</w:t>
          </w:r>
          <w:r w:rsidR="004B55F8">
            <w:t xml:space="preserve"> </w:t>
          </w:r>
          <w:r w:rsidR="00D26043">
            <w:t>just in time (JIT)</w:t>
          </w:r>
          <w:r w:rsidR="004B55F8">
            <w:t xml:space="preserve">, </w:t>
          </w:r>
          <w:r w:rsidR="00D26043">
            <w:t>total quality management (TQM)</w:t>
          </w:r>
          <w:r w:rsidR="004B55F8">
            <w:t xml:space="preserve">, </w:t>
          </w:r>
          <w:r w:rsidR="00D26043">
            <w:t>the theory of constraints (TOC)</w:t>
          </w:r>
          <w:r w:rsidR="00F0181F">
            <w:t xml:space="preserve"> (Seal et al, 2019).</w:t>
          </w:r>
        </w:p>
        <w:p w:rsidR="009260DE" w:rsidRDefault="00D52715" w:rsidP="004B55F8">
          <w:pPr>
            <w:spacing w:after="0"/>
            <w:jc w:val="both"/>
          </w:pPr>
          <w:r>
            <w:t xml:space="preserve">      </w:t>
          </w:r>
          <w:r w:rsidR="009930EC">
            <w:t>While continual budgeting encourages managers to plan ahead, there has been criticism around the danger of budgeting becoming a mec</w:t>
          </w:r>
          <w:r w:rsidR="004B55F8">
            <w:t>hanical exercise. Managers do not</w:t>
          </w:r>
          <w:r w:rsidR="009930EC">
            <w:t xml:space="preserve"> have the time to spare each month in order to create and analyse budgets. Some believe that many of the problems can be solved by better budgeting systems such as activity-based budgeting and zero-based budgeting, while others believe that a more radical solution is needed (</w:t>
          </w:r>
          <w:proofErr w:type="spellStart"/>
          <w:r w:rsidR="009930EC">
            <w:t>Atrill</w:t>
          </w:r>
          <w:proofErr w:type="spellEnd"/>
          <w:r w:rsidR="009930EC">
            <w:t xml:space="preserve"> &amp; </w:t>
          </w:r>
          <w:proofErr w:type="spellStart"/>
          <w:r w:rsidR="009930EC">
            <w:t>McLaney</w:t>
          </w:r>
          <w:proofErr w:type="spellEnd"/>
          <w:r w:rsidR="009930EC">
            <w:t>, 2021).</w:t>
          </w:r>
        </w:p>
        <w:p w:rsidR="00BC5F4F" w:rsidRDefault="00BC5F4F" w:rsidP="004B55F8">
          <w:pPr>
            <w:spacing w:after="0"/>
            <w:jc w:val="both"/>
          </w:pPr>
          <w:r>
            <w:t xml:space="preserve">      One of the traditional budgeting systems is the incremental budgeting. This is a system which creates the new budget by changing the current budget slightly. The new budget can be higher or lower than the original one and the previous budget will be used as a starting point for the following year. Large organisations may benefit from this type of budgeting </w:t>
          </w:r>
          <w:proofErr w:type="gramStart"/>
          <w:r>
            <w:t>system,</w:t>
          </w:r>
          <w:proofErr w:type="gramEnd"/>
          <w:r>
            <w:t xml:space="preserve"> because they generally have funds allocated and can handle minor fluctuations. The advantages of this type of budgeting type are: it is easy to use, it doesn’t require complicated calculations; continued funding is guaranteed; the budget is stable, as every department has the same amount allocated; changes are seen after implementation. The criticism of this type of budgeting system is related to overspending, as </w:t>
          </w:r>
          <w:r w:rsidR="00BF6DB8">
            <w:t>funds are available for the managers to use. Another criticism is that this budgeting system can lead to building lower revenue growth with higher expense growth. The estimated budget could also be different from the actual budget. It can also promote a non-innovative mindset, by being overly focused on cutting costs</w:t>
          </w:r>
          <w:sdt>
            <w:sdtPr>
              <w:id w:val="144180799"/>
              <w:citation/>
            </w:sdtPr>
            <w:sdtContent>
              <w:fldSimple w:instr=" CITATION ACC241 \l 2057 ">
                <w:r w:rsidR="004E5D32">
                  <w:rPr>
                    <w:noProof/>
                  </w:rPr>
                  <w:t xml:space="preserve"> </w:t>
                </w:r>
                <w:r w:rsidR="004E5D32" w:rsidRPr="004E5D32">
                  <w:rPr>
                    <w:noProof/>
                  </w:rPr>
                  <w:t>(ACCA Global, 2024)</w:t>
                </w:r>
              </w:fldSimple>
            </w:sdtContent>
          </w:sdt>
          <w:r w:rsidR="004E5D32">
            <w:t>.</w:t>
          </w:r>
        </w:p>
        <w:p w:rsidR="00B8201B" w:rsidRDefault="00B8201B" w:rsidP="004B55F8">
          <w:pPr>
            <w:spacing w:after="0"/>
            <w:jc w:val="both"/>
          </w:pPr>
          <w:r>
            <w:t xml:space="preserve">     The zero-based budgeting appeared in the 1960’s. With this type of budgeting, the budgeting process starts from zero, unlike the incremental budgeting which uses as a base the previous year’s budget.  This type of budget tries to allocate resources to the parts of the business that need them most. Managers constantly need to justify their activity and decisions and if they cannot do this, they do not receive an allocation. There are many benefits of the zero-based budgeting: since every year the budget starts from zero, all the activities are analysed and the ones that are wasteful are removed. It also encourages managers to be critical and constantly ask questions regarding the benefits of making certain decisions and can increase employee motivation. It also takes into consideration any changes that businesses go through. The drawbacks of this system are: managers might not be skilled enough in order to make the correct decisions, and training can be costly. This particular system is not appropriate for large businesses with a multitude of activities, as it creates large amounts of paperwork that would not be managed easily.  It is also more difficult to implement such a system, as it involves ranking </w:t>
          </w:r>
          <w:r w:rsidR="0089435C">
            <w:t xml:space="preserve">possibly thousands of </w:t>
          </w:r>
          <w:r>
            <w:t xml:space="preserve">decision </w:t>
          </w:r>
          <w:r w:rsidR="0089435C">
            <w:t xml:space="preserve">packages – which is not realistic, as managers are known to not have a lot of spare time. Another drawback is that this system does not offer much reaction time to managers if changes occur in the business throughout the year </w:t>
          </w:r>
          <w:r w:rsidR="00D01899">
            <w:t>(British Business Bank, 2024; Deloitte, 2024).</w:t>
          </w:r>
        </w:p>
        <w:p w:rsidR="00F92923" w:rsidRDefault="00F92923" w:rsidP="004B55F8">
          <w:pPr>
            <w:spacing w:after="0"/>
            <w:jc w:val="both"/>
          </w:pPr>
          <w:r>
            <w:t xml:space="preserve">      An</w:t>
          </w:r>
          <w:r w:rsidR="00134E51">
            <w:t>other</w:t>
          </w:r>
          <w:r>
            <w:t xml:space="preserve"> alternative to the traditional budgeting systems is the ‘Beyond Conventional Budgeting’. With this new system, rolling budgets and KPI’s such as market share, customer satisfaction and innovations are emphasized. This model promotes a more participative approach to managing the businesses as opposed to the traditional hierarchical structure. It also encourages a more open attitude among employees and the rewards are linked to targets based on improvement instead of meeting the budget. While the traditional model has fixed targets, the ‘Beyond Conventional Budgeting’ promotes stretch targets that can be adapted</w:t>
          </w:r>
          <w:sdt>
            <w:sdtPr>
              <w:id w:val="136163802"/>
              <w:citation/>
            </w:sdtPr>
            <w:sdtContent>
              <w:fldSimple w:instr=" CITATION ACC24 \l 2057 ">
                <w:r w:rsidR="007674D4">
                  <w:rPr>
                    <w:noProof/>
                  </w:rPr>
                  <w:t xml:space="preserve"> </w:t>
                </w:r>
                <w:r w:rsidR="007674D4" w:rsidRPr="007674D4">
                  <w:rPr>
                    <w:noProof/>
                  </w:rPr>
                  <w:t>(ACCA Global, 2024)</w:t>
                </w:r>
              </w:fldSimple>
            </w:sdtContent>
          </w:sdt>
          <w:r w:rsidR="007674D4">
            <w:t>.</w:t>
          </w:r>
          <w:r w:rsidR="00134E51">
            <w:t xml:space="preserve"> The advantages of this type of budgeting system are: flexibility and responsiveness to changes, which can help </w:t>
          </w:r>
          <w:proofErr w:type="gramStart"/>
          <w:r w:rsidR="00134E51">
            <w:t>organisations</w:t>
          </w:r>
          <w:proofErr w:type="gramEnd"/>
          <w:r w:rsidR="00134E51">
            <w:t xml:space="preserve"> adapt quickly to the evolving market conditions and customer needs. It focuses on strategic objectives and long term goals and offers enhanced accountability, which can lead to increased ownership of performance targets and greater motivation to achieve results</w:t>
          </w:r>
          <w:r w:rsidR="002F3376">
            <w:t>. It also improves decision making. Some of the disadvantages are: the lack of predictability, resistance to change from the employees, complexity and difficulty in performance evaluation</w:t>
          </w:r>
          <w:sdt>
            <w:sdtPr>
              <w:id w:val="144188457"/>
              <w:citation/>
            </w:sdtPr>
            <w:sdtContent>
              <w:fldSimple w:instr=" CITATION Sta21 \l 2057 ">
                <w:r w:rsidR="00CF178B">
                  <w:rPr>
                    <w:noProof/>
                  </w:rPr>
                  <w:t xml:space="preserve"> </w:t>
                </w:r>
                <w:r w:rsidR="00CF178B" w:rsidRPr="00CF178B">
                  <w:rPr>
                    <w:noProof/>
                  </w:rPr>
                  <w:t>(Stange, et al., 2021)</w:t>
                </w:r>
              </w:fldSimple>
            </w:sdtContent>
          </w:sdt>
          <w:r w:rsidR="00CF178B">
            <w:t>.</w:t>
          </w:r>
        </w:p>
        <w:p w:rsidR="005D76A8" w:rsidRDefault="005D76A8" w:rsidP="004B55F8">
          <w:pPr>
            <w:spacing w:after="0"/>
            <w:jc w:val="both"/>
          </w:pPr>
          <w:r>
            <w:t xml:space="preserve">      Budgetary systems, while essential for financial planning and control, also present various challenges associated with budgetary systems: uncertainty and inaccuracy (budgets are based on forecasts and assumptions about future revenues, expenses, market conditions); they are time consuming for management; they can be rigid and inflexible; they focus on short term results; complexity and overhead; budgetary slack. Addressing these challenges requires organisations to adopt a more dynamic, adaptive approach to budgeting that embraces flexibility, transparency and alignment with strategic goals. By leveraging technology, fostering collaboration and promoting a culture of continuous improvement, organisations can enhance the effectiveness of their budgetary systems and achieve better financial outcomes</w:t>
          </w:r>
          <w:sdt>
            <w:sdtPr>
              <w:id w:val="244803061"/>
              <w:citation/>
            </w:sdtPr>
            <w:sdtContent>
              <w:fldSimple w:instr=" CITATION Mal18 \l 2057 ">
                <w:r w:rsidR="00F11866">
                  <w:rPr>
                    <w:noProof/>
                  </w:rPr>
                  <w:t xml:space="preserve"> </w:t>
                </w:r>
                <w:r w:rsidR="00F11866" w:rsidRPr="00F11866">
                  <w:rPr>
                    <w:noProof/>
                  </w:rPr>
                  <w:t>(Malina, 2018)</w:t>
                </w:r>
              </w:fldSimple>
            </w:sdtContent>
          </w:sdt>
          <w:r w:rsidR="00F11866">
            <w:t>.</w:t>
          </w:r>
        </w:p>
        <w:p w:rsidR="004B55F8" w:rsidRPr="00833214" w:rsidRDefault="004B55F8" w:rsidP="00833214">
          <w:pPr>
            <w:jc w:val="both"/>
          </w:pPr>
          <w:r>
            <w:t xml:space="preserve">      </w:t>
          </w:r>
        </w:p>
        <w:p w:rsidR="00480872" w:rsidRDefault="00480872" w:rsidP="00AA2A91">
          <w:pPr>
            <w:pStyle w:val="Heading1"/>
          </w:pPr>
        </w:p>
        <w:p w:rsidR="00480872" w:rsidRDefault="00480872" w:rsidP="00AA2A91">
          <w:pPr>
            <w:pStyle w:val="Heading1"/>
          </w:pPr>
        </w:p>
        <w:p w:rsidR="00480872" w:rsidRDefault="00480872" w:rsidP="00AA2A91">
          <w:pPr>
            <w:pStyle w:val="Heading1"/>
          </w:pPr>
        </w:p>
        <w:p w:rsidR="00480872" w:rsidRDefault="00480872" w:rsidP="00AA2A91">
          <w:pPr>
            <w:pStyle w:val="Heading1"/>
          </w:pPr>
        </w:p>
        <w:p w:rsidR="00FC3D16" w:rsidRDefault="00FC3D16">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br w:type="page"/>
          </w:r>
        </w:p>
        <w:p w:rsidR="00AA2A91" w:rsidRPr="00FC3D16" w:rsidRDefault="00AA2A91" w:rsidP="00FC3D16">
          <w:pPr>
            <w:pStyle w:val="Heading1"/>
          </w:pPr>
          <w:bookmarkStart w:id="9" w:name="_Toc164013201"/>
          <w:r>
            <w:t>Conclusion</w:t>
          </w:r>
          <w:bookmarkEnd w:id="9"/>
          <w:r w:rsidR="00D854A5">
            <w:t xml:space="preserve"> </w:t>
          </w:r>
        </w:p>
        <w:p w:rsidR="00AB5B8A" w:rsidRDefault="00AB5B8A" w:rsidP="00AB5B8A"/>
        <w:p w:rsidR="00AB5B8A" w:rsidRPr="00AB5B8A" w:rsidRDefault="00AB5B8A" w:rsidP="007A05E5">
          <w:pPr>
            <w:spacing w:after="0"/>
            <w:jc w:val="both"/>
          </w:pPr>
          <w:r>
            <w:t xml:space="preserve">      Budgetary systems are indispensable tools for organisations seeking to achieve financial discipline, strategic alignment performance improvement, and informed decision-making. By integrating budgeting processes into their overall management practices, organisations can enhance their ability to plan, allocate resources, monitor performance and ultimately achieve their desired outcomes</w:t>
          </w:r>
          <w:sdt>
            <w:sdtPr>
              <w:id w:val="144189424"/>
              <w:citation/>
            </w:sdtPr>
            <w:sdtContent>
              <w:fldSimple w:instr=" CITATION Jay23 \l 2057 ">
                <w:r w:rsidR="00ED3903">
                  <w:rPr>
                    <w:noProof/>
                  </w:rPr>
                  <w:t xml:space="preserve"> </w:t>
                </w:r>
                <w:r w:rsidR="00ED3903" w:rsidRPr="00ED3903">
                  <w:rPr>
                    <w:noProof/>
                  </w:rPr>
                  <w:t>(Jayalakshmi, et al., 2023)</w:t>
                </w:r>
              </w:fldSimple>
            </w:sdtContent>
          </w:sdt>
          <w:r w:rsidR="00ED3903">
            <w:t>.</w:t>
          </w:r>
        </w:p>
        <w:p w:rsidR="000631D4" w:rsidRDefault="000631D4" w:rsidP="007A05E5">
          <w:pPr>
            <w:spacing w:after="0"/>
            <w:jc w:val="both"/>
          </w:pPr>
          <w:r>
            <w:t xml:space="preserve">     </w:t>
          </w:r>
          <w:r w:rsidR="00662AD6">
            <w:t xml:space="preserve"> T</w:t>
          </w:r>
          <w:r>
            <w:t>he traditional budgeting systems have been heavily criticised</w:t>
          </w:r>
          <w:r w:rsidR="00662AD6">
            <w:t xml:space="preserve"> because they encourage rigid planning and incremental thinking (a ‘last year plus x’ approach), it is time consuming for managers and it ignores key drivers like innovation, developing new products and markets (Drury, 2020). Traditional budgeting systems cannot deal with rapid change, they encourage a ‘top-down’ management style, protect rather than lower costs and they </w:t>
          </w:r>
          <w:r>
            <w:t>promote ‘sharp’ practice among managers (lower sales targets in order to hit targets)</w:t>
          </w:r>
          <w:sdt>
            <w:sdtPr>
              <w:id w:val="136163360"/>
              <w:citation/>
            </w:sdtPr>
            <w:sdtContent>
              <w:fldSimple w:instr=" CITATION Liy21 \l 2057 ">
                <w:r>
                  <w:rPr>
                    <w:noProof/>
                  </w:rPr>
                  <w:t xml:space="preserve"> </w:t>
                </w:r>
                <w:r w:rsidRPr="0013023D">
                  <w:rPr>
                    <w:noProof/>
                  </w:rPr>
                  <w:t>(Liyanage, 2021)</w:t>
                </w:r>
              </w:fldSimple>
            </w:sdtContent>
          </w:sdt>
          <w:r>
            <w:t>.</w:t>
          </w:r>
          <w:r w:rsidR="00FC2772">
            <w:t xml:space="preserve"> The criticism of the traditional budgeting systems started in the 1990’s because of the following reasons: business numbers do not stop at the end of the year, annual budgets can become irrelevant or out of date even three months after they are created and they can promote gaming targets. Because of all these reasons, organisations started to employ alternative systems, such as the ‘beyond budgeting’ system</w:t>
          </w:r>
          <w:r w:rsidR="00AD70F2">
            <w:t xml:space="preserve"> (Richard, 2023).</w:t>
          </w:r>
        </w:p>
        <w:p w:rsidR="007A05E5" w:rsidRDefault="007A05E5" w:rsidP="007A05E5">
          <w:pPr>
            <w:spacing w:after="0"/>
            <w:jc w:val="both"/>
          </w:pPr>
          <w:r>
            <w:t xml:space="preserve">       Budgeting systems are critical parts of the finance function of organisations. When combined with more flexible and new techniques</w:t>
          </w:r>
          <w:r w:rsidR="00BF0DAF">
            <w:t xml:space="preserve">, organisations can ensure that their cash and investments are managed correctly and they can prevent the collapse of businesses during financial crisis </w:t>
          </w:r>
          <w:sdt>
            <w:sdtPr>
              <w:id w:val="244797951"/>
              <w:citation/>
            </w:sdtPr>
            <w:sdtContent>
              <w:fldSimple w:instr=" CITATION Sea18 \l 2057 ">
                <w:r w:rsidR="00042E43" w:rsidRPr="00042E43">
                  <w:rPr>
                    <w:noProof/>
                  </w:rPr>
                  <w:t>(Seal, et al., 2018)</w:t>
                </w:r>
              </w:fldSimple>
            </w:sdtContent>
          </w:sdt>
          <w:r w:rsidR="002E7122">
            <w:t>.</w:t>
          </w:r>
        </w:p>
        <w:p w:rsidR="008E7AA4" w:rsidRDefault="008E7AA4" w:rsidP="007A05E5">
          <w:pPr>
            <w:spacing w:after="0"/>
            <w:jc w:val="both"/>
          </w:pPr>
          <w:r>
            <w:t xml:space="preserve">      The Edwards case analysis proves the efficiency of the budgetary systems. The six months forecast will help management make significant decisions in order to ensure the profitability of the organisation. The cash budget and the stock budget are useful tools in reviewing the co</w:t>
          </w:r>
          <w:r w:rsidR="00934CFF">
            <w:t>sts,</w:t>
          </w:r>
          <w:r>
            <w:t xml:space="preserve"> stock levels and the level of expe</w:t>
          </w:r>
          <w:r w:rsidR="00934CFF">
            <w:t>nses. B</w:t>
          </w:r>
          <w:r>
            <w:t xml:space="preserve">ased on these results, </w:t>
          </w:r>
          <w:r w:rsidR="00934CFF">
            <w:t xml:space="preserve">management can make changes </w:t>
          </w:r>
          <w:r w:rsidR="0031226E">
            <w:t>in order to achieve the company’s goals, which are to eliminate the overdraft</w:t>
          </w:r>
          <w:r w:rsidR="00934CFF">
            <w:t xml:space="preserve"> by November and increase profitability.</w:t>
          </w:r>
        </w:p>
        <w:p w:rsidR="007A05E5" w:rsidRDefault="007A05E5" w:rsidP="000631D4">
          <w:pPr>
            <w:jc w:val="both"/>
          </w:pPr>
          <w:r>
            <w:t xml:space="preserve">      </w:t>
          </w:r>
        </w:p>
        <w:p w:rsidR="00B52199" w:rsidRDefault="00B52199" w:rsidP="000631D4">
          <w:pPr>
            <w:jc w:val="both"/>
          </w:pPr>
        </w:p>
        <w:p w:rsidR="00B52199" w:rsidRDefault="00B52199" w:rsidP="000631D4">
          <w:pPr>
            <w:jc w:val="both"/>
          </w:pPr>
        </w:p>
        <w:p w:rsidR="00B52199" w:rsidRDefault="00B52199">
          <w:pPr>
            <w:rPr>
              <w:rFonts w:asciiTheme="majorHAnsi" w:eastAsiaTheme="majorEastAsia" w:hAnsiTheme="majorHAnsi" w:cstheme="majorBidi"/>
              <w:color w:val="2E74B5" w:themeColor="accent1" w:themeShade="BF"/>
              <w:sz w:val="32"/>
              <w:szCs w:val="32"/>
            </w:rPr>
          </w:pPr>
          <w:r>
            <w:br w:type="page"/>
          </w:r>
        </w:p>
        <w:p w:rsidR="00B52199" w:rsidRPr="00AA2A91" w:rsidRDefault="00B52199" w:rsidP="00B52199">
          <w:pPr>
            <w:pStyle w:val="Heading1"/>
          </w:pPr>
          <w:bookmarkStart w:id="10" w:name="_Toc164013202"/>
          <w:r>
            <w:t>Bibliography</w:t>
          </w:r>
          <w:bookmarkEnd w:id="10"/>
        </w:p>
        <w:p w:rsidR="00AA2A91" w:rsidRDefault="00AA2A91" w:rsidP="00AA2A91"/>
        <w:p w:rsidR="00DC106F" w:rsidRDefault="00DC106F" w:rsidP="00AA2A91">
          <w:r>
            <w:t xml:space="preserve">      </w:t>
          </w:r>
        </w:p>
        <w:p w:rsidR="00DC106F" w:rsidRDefault="00DC106F" w:rsidP="00DC106F">
          <w:pPr>
            <w:pStyle w:val="Bibliography"/>
            <w:rPr>
              <w:noProof/>
            </w:rPr>
          </w:pPr>
          <w:r>
            <w:fldChar w:fldCharType="begin"/>
          </w:r>
          <w:r>
            <w:instrText xml:space="preserve"> BIBLIOGRAPHY  \l 2057 </w:instrText>
          </w:r>
          <w:r>
            <w:fldChar w:fldCharType="separate"/>
          </w:r>
          <w:r w:rsidR="005579C8">
            <w:rPr>
              <w:noProof/>
            </w:rPr>
            <w:t>ACCA Global (2024),</w:t>
          </w:r>
          <w:r>
            <w:rPr>
              <w:noProof/>
            </w:rPr>
            <w:t xml:space="preserve"> </w:t>
          </w:r>
          <w:r w:rsidR="005579C8">
            <w:rPr>
              <w:i/>
              <w:iCs/>
              <w:noProof/>
            </w:rPr>
            <w:t>Beyond budgeting,</w:t>
          </w:r>
          <w:r>
            <w:rPr>
              <w:i/>
              <w:iCs/>
              <w:noProof/>
            </w:rPr>
            <w:t xml:space="preserve"> </w:t>
          </w:r>
          <w:r>
            <w:rPr>
              <w:noProof/>
            </w:rPr>
            <w:t xml:space="preserve">[Online] </w:t>
          </w:r>
          <w:r>
            <w:rPr>
              <w:noProof/>
            </w:rPr>
            <w:br/>
            <w:t xml:space="preserve">Available at: </w:t>
          </w:r>
          <w:r>
            <w:rPr>
              <w:noProof/>
              <w:u w:val="single"/>
            </w:rPr>
            <w:t>https://www.accaglobal.com</w:t>
          </w:r>
          <w:r w:rsidR="005579C8">
            <w:rPr>
              <w:noProof/>
            </w:rPr>
            <w:br/>
            <w:t>[Accessed 03 April 2024]</w:t>
          </w:r>
        </w:p>
        <w:p w:rsidR="00DC106F" w:rsidRDefault="005579C8" w:rsidP="00DC106F">
          <w:pPr>
            <w:pStyle w:val="Bibliography"/>
            <w:rPr>
              <w:noProof/>
            </w:rPr>
          </w:pPr>
          <w:r>
            <w:rPr>
              <w:noProof/>
            </w:rPr>
            <w:t>ACCA Global</w:t>
          </w:r>
          <w:r w:rsidR="00DC106F">
            <w:rPr>
              <w:noProof/>
            </w:rPr>
            <w:t xml:space="preserve"> </w:t>
          </w:r>
          <w:r>
            <w:rPr>
              <w:noProof/>
            </w:rPr>
            <w:t>(2024),</w:t>
          </w:r>
          <w:r w:rsidR="00DC106F">
            <w:rPr>
              <w:noProof/>
            </w:rPr>
            <w:t xml:space="preserve"> </w:t>
          </w:r>
          <w:r w:rsidR="00DC106F">
            <w:rPr>
              <w:i/>
              <w:iCs/>
              <w:noProof/>
            </w:rPr>
            <w:t>Comparing budgeting</w:t>
          </w:r>
          <w:r>
            <w:rPr>
              <w:i/>
              <w:iCs/>
              <w:noProof/>
            </w:rPr>
            <w:t xml:space="preserve"> techniques (Incremental v ZBB),</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https://www.accaglobal.com</w:t>
          </w:r>
          <w:r w:rsidR="00DC106F">
            <w:rPr>
              <w:noProof/>
            </w:rPr>
            <w:br/>
            <w:t xml:space="preserve">[Accessed 8 April </w:t>
          </w:r>
          <w:r>
            <w:rPr>
              <w:noProof/>
            </w:rPr>
            <w:t>2024]</w:t>
          </w:r>
        </w:p>
        <w:p w:rsidR="00DC106F" w:rsidRDefault="005579C8" w:rsidP="00DC106F">
          <w:pPr>
            <w:pStyle w:val="Bibliography"/>
            <w:rPr>
              <w:noProof/>
            </w:rPr>
          </w:pPr>
          <w:r>
            <w:rPr>
              <w:noProof/>
            </w:rPr>
            <w:t>Atrill, P. and McLaney, E.</w:t>
          </w:r>
          <w:r w:rsidR="00DC106F">
            <w:rPr>
              <w:noProof/>
            </w:rPr>
            <w:t xml:space="preserve"> </w:t>
          </w:r>
          <w:r>
            <w:rPr>
              <w:noProof/>
            </w:rPr>
            <w:t>(2021),</w:t>
          </w:r>
          <w:r w:rsidR="00DC106F">
            <w:rPr>
              <w:noProof/>
            </w:rPr>
            <w:t xml:space="preserve"> </w:t>
          </w:r>
          <w:r w:rsidR="00DC106F">
            <w:rPr>
              <w:i/>
              <w:iCs/>
              <w:noProof/>
            </w:rPr>
            <w:t>Management</w:t>
          </w:r>
          <w:r>
            <w:rPr>
              <w:i/>
              <w:iCs/>
              <w:noProof/>
            </w:rPr>
            <w:t xml:space="preserve"> Accounting for Decision Makers</w:t>
          </w:r>
          <w:r w:rsidR="00DC106F">
            <w:rPr>
              <w:i/>
              <w:iCs/>
              <w:noProof/>
            </w:rPr>
            <w:t xml:space="preserve"> </w:t>
          </w:r>
          <w:r>
            <w:rPr>
              <w:iCs/>
              <w:noProof/>
            </w:rPr>
            <w:t>(</w:t>
          </w:r>
          <w:r w:rsidR="00DC106F">
            <w:rPr>
              <w:noProof/>
            </w:rPr>
            <w:t>Tenth Edition</w:t>
          </w:r>
          <w:r>
            <w:rPr>
              <w:noProof/>
            </w:rPr>
            <w:t>),Harlow: Pearson Education Ltd</w:t>
          </w:r>
        </w:p>
        <w:p w:rsidR="00DC106F" w:rsidRDefault="005579C8" w:rsidP="00DC106F">
          <w:pPr>
            <w:pStyle w:val="Bibliography"/>
            <w:rPr>
              <w:noProof/>
            </w:rPr>
          </w:pPr>
          <w:r>
            <w:rPr>
              <w:noProof/>
            </w:rPr>
            <w:t>BBC</w:t>
          </w:r>
          <w:r w:rsidR="00DC106F">
            <w:rPr>
              <w:noProof/>
            </w:rPr>
            <w:t xml:space="preserve"> </w:t>
          </w:r>
          <w:r>
            <w:rPr>
              <w:noProof/>
            </w:rPr>
            <w:t>(</w:t>
          </w:r>
          <w:r w:rsidR="00DC106F">
            <w:rPr>
              <w:noProof/>
            </w:rPr>
            <w:t>2020</w:t>
          </w:r>
          <w:r>
            <w:rPr>
              <w:noProof/>
            </w:rPr>
            <w:t>),</w:t>
          </w:r>
          <w:r w:rsidR="00DC106F">
            <w:rPr>
              <w:noProof/>
            </w:rPr>
            <w:t xml:space="preserve"> </w:t>
          </w:r>
          <w:r w:rsidR="00DC106F">
            <w:rPr>
              <w:i/>
              <w:iCs/>
              <w:noProof/>
            </w:rPr>
            <w:t>Coronavirus: Go Outdoor</w:t>
          </w:r>
          <w:r>
            <w:rPr>
              <w:i/>
              <w:iCs/>
              <w:noProof/>
            </w:rPr>
            <w:t>s set to call in administrators</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https://www.bbc.co.uk</w:t>
          </w:r>
          <w:r w:rsidR="00DC106F">
            <w:rPr>
              <w:noProof/>
            </w:rPr>
            <w:br/>
            <w:t>[Accessed 01</w:t>
          </w:r>
          <w:r>
            <w:rPr>
              <w:noProof/>
            </w:rPr>
            <w:t xml:space="preserve"> April 2024]</w:t>
          </w:r>
        </w:p>
        <w:p w:rsidR="00DC106F" w:rsidRDefault="005579C8" w:rsidP="00DC106F">
          <w:pPr>
            <w:pStyle w:val="Bibliography"/>
            <w:rPr>
              <w:noProof/>
            </w:rPr>
          </w:pPr>
          <w:r>
            <w:rPr>
              <w:noProof/>
            </w:rPr>
            <w:t>Bhimani, A.</w:t>
          </w:r>
          <w:r w:rsidR="00DC106F">
            <w:rPr>
              <w:noProof/>
            </w:rPr>
            <w:t xml:space="preserve"> </w:t>
          </w:r>
          <w:r>
            <w:rPr>
              <w:noProof/>
            </w:rPr>
            <w:t>(Ed) (2006),</w:t>
          </w:r>
          <w:r w:rsidR="00DC106F">
            <w:rPr>
              <w:noProof/>
            </w:rPr>
            <w:t xml:space="preserve"> </w:t>
          </w:r>
          <w:r w:rsidR="00DC106F">
            <w:rPr>
              <w:i/>
              <w:iCs/>
              <w:noProof/>
            </w:rPr>
            <w:t xml:space="preserve">Contemporary </w:t>
          </w:r>
          <w:r>
            <w:rPr>
              <w:i/>
              <w:iCs/>
              <w:noProof/>
            </w:rPr>
            <w:t>issues in management accounting</w:t>
          </w:r>
          <w:r>
            <w:rPr>
              <w:iCs/>
              <w:noProof/>
            </w:rPr>
            <w:t>,</w:t>
          </w:r>
          <w:r w:rsidR="00DC106F">
            <w:rPr>
              <w:i/>
              <w:iCs/>
              <w:noProof/>
            </w:rPr>
            <w:t xml:space="preserve"> </w:t>
          </w:r>
          <w:r>
            <w:rPr>
              <w:noProof/>
            </w:rPr>
            <w:t>Oxford: Oxford University Press</w:t>
          </w:r>
        </w:p>
        <w:p w:rsidR="00DC106F" w:rsidRDefault="005579C8" w:rsidP="00DC106F">
          <w:pPr>
            <w:pStyle w:val="Bibliography"/>
            <w:rPr>
              <w:noProof/>
            </w:rPr>
          </w:pPr>
          <w:r>
            <w:rPr>
              <w:noProof/>
            </w:rPr>
            <w:t>British Business Bank</w:t>
          </w:r>
          <w:r w:rsidR="00DC106F">
            <w:rPr>
              <w:noProof/>
            </w:rPr>
            <w:t xml:space="preserve"> </w:t>
          </w:r>
          <w:r>
            <w:rPr>
              <w:noProof/>
            </w:rPr>
            <w:t>(</w:t>
          </w:r>
          <w:r w:rsidR="00DC106F">
            <w:rPr>
              <w:noProof/>
            </w:rPr>
            <w:t>2024</w:t>
          </w:r>
          <w:r>
            <w:rPr>
              <w:noProof/>
            </w:rPr>
            <w:t>),</w:t>
          </w:r>
          <w:r w:rsidR="00DC106F">
            <w:rPr>
              <w:noProof/>
            </w:rPr>
            <w:t xml:space="preserve"> </w:t>
          </w:r>
          <w:r>
            <w:rPr>
              <w:i/>
              <w:iCs/>
              <w:noProof/>
            </w:rPr>
            <w:t>Zero-based budgeting</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https://www.british-business-bank.co.uk</w:t>
          </w:r>
          <w:r>
            <w:rPr>
              <w:noProof/>
            </w:rPr>
            <w:br/>
            <w:t>[Accessed 8 April 2024]</w:t>
          </w:r>
        </w:p>
        <w:p w:rsidR="00DC106F" w:rsidRDefault="00DC106F" w:rsidP="00DC106F">
          <w:pPr>
            <w:pStyle w:val="Bibliography"/>
            <w:rPr>
              <w:noProof/>
            </w:rPr>
          </w:pPr>
          <w:r>
            <w:rPr>
              <w:noProof/>
            </w:rPr>
            <w:t>Camp</w:t>
          </w:r>
          <w:r w:rsidR="005579C8">
            <w:rPr>
              <w:noProof/>
            </w:rPr>
            <w:t>ing Trade World</w:t>
          </w:r>
          <w:r>
            <w:rPr>
              <w:noProof/>
            </w:rPr>
            <w:t xml:space="preserve"> </w:t>
          </w:r>
          <w:r w:rsidR="005579C8">
            <w:rPr>
              <w:noProof/>
            </w:rPr>
            <w:t>(</w:t>
          </w:r>
          <w:r>
            <w:rPr>
              <w:noProof/>
            </w:rPr>
            <w:t>2021</w:t>
          </w:r>
          <w:r w:rsidR="005579C8">
            <w:rPr>
              <w:noProof/>
            </w:rPr>
            <w:t>),</w:t>
          </w:r>
          <w:r>
            <w:rPr>
              <w:noProof/>
            </w:rPr>
            <w:t xml:space="preserve"> </w:t>
          </w:r>
          <w:r>
            <w:rPr>
              <w:i/>
              <w:iCs/>
              <w:noProof/>
            </w:rPr>
            <w:t>Camping buying trend</w:t>
          </w:r>
          <w:r w:rsidR="005579C8">
            <w:rPr>
              <w:i/>
              <w:iCs/>
              <w:noProof/>
            </w:rPr>
            <w:t>s revealed by major UK retailer</w:t>
          </w:r>
          <w:r w:rsidR="005579C8">
            <w:rPr>
              <w:iCs/>
              <w:noProof/>
            </w:rPr>
            <w:t>,</w:t>
          </w:r>
          <w:r>
            <w:rPr>
              <w:i/>
              <w:iCs/>
              <w:noProof/>
            </w:rPr>
            <w:t xml:space="preserve"> </w:t>
          </w:r>
          <w:r>
            <w:rPr>
              <w:noProof/>
            </w:rPr>
            <w:t xml:space="preserve">[Online] </w:t>
          </w:r>
          <w:r>
            <w:rPr>
              <w:noProof/>
            </w:rPr>
            <w:br/>
            <w:t xml:space="preserve">Available at: </w:t>
          </w:r>
          <w:r>
            <w:rPr>
              <w:noProof/>
              <w:u w:val="single"/>
            </w:rPr>
            <w:t>https://www.campingtradeworld.com</w:t>
          </w:r>
          <w:r w:rsidR="005579C8">
            <w:rPr>
              <w:noProof/>
            </w:rPr>
            <w:br/>
            <w:t>[Accessed 01 April 2024]</w:t>
          </w:r>
        </w:p>
        <w:p w:rsidR="00DC106F" w:rsidRDefault="006861C8" w:rsidP="00DC106F">
          <w:pPr>
            <w:pStyle w:val="Bibliography"/>
            <w:rPr>
              <w:noProof/>
            </w:rPr>
          </w:pPr>
          <w:r>
            <w:rPr>
              <w:noProof/>
            </w:rPr>
            <w:t>Davila, A., Derchi, G., Oyon, D., Schnegg, M.</w:t>
          </w:r>
          <w:r w:rsidR="00DC106F">
            <w:rPr>
              <w:noProof/>
            </w:rPr>
            <w:t xml:space="preserve"> </w:t>
          </w:r>
          <w:r>
            <w:rPr>
              <w:noProof/>
            </w:rPr>
            <w:t>(</w:t>
          </w:r>
          <w:r w:rsidR="00DC106F">
            <w:rPr>
              <w:noProof/>
            </w:rPr>
            <w:t>2023</w:t>
          </w:r>
          <w:r>
            <w:rPr>
              <w:noProof/>
            </w:rPr>
            <w:t>),</w:t>
          </w:r>
          <w:r w:rsidR="00DC106F">
            <w:rPr>
              <w:noProof/>
            </w:rPr>
            <w:t xml:space="preserve"> External complexity and the design of management control systems: a case study. </w:t>
          </w:r>
          <w:r w:rsidR="00DC106F">
            <w:rPr>
              <w:i/>
              <w:iCs/>
              <w:noProof/>
            </w:rPr>
            <w:t xml:space="preserve">Management Accounting Research, </w:t>
          </w:r>
          <w:r>
            <w:rPr>
              <w:noProof/>
            </w:rPr>
            <w:t>4(1), p. 100875</w:t>
          </w:r>
        </w:p>
        <w:p w:rsidR="00DC106F" w:rsidRDefault="006861C8" w:rsidP="00DC106F">
          <w:pPr>
            <w:pStyle w:val="Bibliography"/>
            <w:rPr>
              <w:noProof/>
            </w:rPr>
          </w:pPr>
          <w:r>
            <w:rPr>
              <w:noProof/>
            </w:rPr>
            <w:t>Deloitte</w:t>
          </w:r>
          <w:r w:rsidR="00DC106F">
            <w:rPr>
              <w:noProof/>
            </w:rPr>
            <w:t xml:space="preserve"> </w:t>
          </w:r>
          <w:r>
            <w:rPr>
              <w:noProof/>
            </w:rPr>
            <w:t>(</w:t>
          </w:r>
          <w:r w:rsidR="00DC106F">
            <w:rPr>
              <w:noProof/>
            </w:rPr>
            <w:t>2024</w:t>
          </w:r>
          <w:r>
            <w:rPr>
              <w:noProof/>
            </w:rPr>
            <w:t>),</w:t>
          </w:r>
          <w:r w:rsidR="00DC106F">
            <w:rPr>
              <w:noProof/>
            </w:rPr>
            <w:t xml:space="preserve"> </w:t>
          </w:r>
          <w:r>
            <w:rPr>
              <w:i/>
              <w:iCs/>
              <w:noProof/>
            </w:rPr>
            <w:t>Zero-based budgeting</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https://www2.deloitte.com</w:t>
          </w:r>
          <w:r>
            <w:rPr>
              <w:noProof/>
            </w:rPr>
            <w:br/>
            <w:t>[Accessed 9 April 2024]</w:t>
          </w:r>
        </w:p>
        <w:p w:rsidR="00DC106F" w:rsidRDefault="00163645" w:rsidP="00DC106F">
          <w:pPr>
            <w:pStyle w:val="Bibliography"/>
            <w:rPr>
              <w:noProof/>
            </w:rPr>
          </w:pPr>
          <w:r>
            <w:rPr>
              <w:noProof/>
            </w:rPr>
            <w:t>Drury, C.</w:t>
          </w:r>
          <w:r w:rsidR="00DC106F">
            <w:rPr>
              <w:noProof/>
            </w:rPr>
            <w:t xml:space="preserve"> </w:t>
          </w:r>
          <w:r>
            <w:rPr>
              <w:noProof/>
            </w:rPr>
            <w:t>(</w:t>
          </w:r>
          <w:r w:rsidR="00DC106F">
            <w:rPr>
              <w:noProof/>
            </w:rPr>
            <w:t>2021</w:t>
          </w:r>
          <w:r>
            <w:rPr>
              <w:noProof/>
            </w:rPr>
            <w:t>),</w:t>
          </w:r>
          <w:r w:rsidR="00DC106F">
            <w:rPr>
              <w:noProof/>
            </w:rPr>
            <w:t xml:space="preserve"> </w:t>
          </w:r>
          <w:r>
            <w:rPr>
              <w:i/>
              <w:iCs/>
              <w:noProof/>
            </w:rPr>
            <w:t>Management and cost accounting</w:t>
          </w:r>
          <w:r>
            <w:rPr>
              <w:iCs/>
              <w:noProof/>
            </w:rPr>
            <w:t>,</w:t>
          </w:r>
          <w:r w:rsidR="00DC106F">
            <w:rPr>
              <w:i/>
              <w:iCs/>
              <w:noProof/>
            </w:rPr>
            <w:t xml:space="preserve"> </w:t>
          </w:r>
          <w:r>
            <w:rPr>
              <w:noProof/>
            </w:rPr>
            <w:t>(Eleventh Edition), Australia: Cengage</w:t>
          </w:r>
        </w:p>
        <w:p w:rsidR="00DC106F" w:rsidRDefault="00163645" w:rsidP="00DC106F">
          <w:pPr>
            <w:pStyle w:val="Bibliography"/>
            <w:rPr>
              <w:noProof/>
            </w:rPr>
          </w:pPr>
          <w:r>
            <w:rPr>
              <w:noProof/>
            </w:rPr>
            <w:t>Dyson, J. R.</w:t>
          </w:r>
          <w:r w:rsidR="00DC106F">
            <w:rPr>
              <w:noProof/>
            </w:rPr>
            <w:t xml:space="preserve"> </w:t>
          </w:r>
          <w:r>
            <w:rPr>
              <w:noProof/>
            </w:rPr>
            <w:t>(</w:t>
          </w:r>
          <w:r w:rsidR="00DC106F">
            <w:rPr>
              <w:noProof/>
            </w:rPr>
            <w:t>2020</w:t>
          </w:r>
          <w:r>
            <w:rPr>
              <w:noProof/>
            </w:rPr>
            <w:t>),</w:t>
          </w:r>
          <w:r w:rsidR="00DC106F">
            <w:rPr>
              <w:noProof/>
            </w:rPr>
            <w:t xml:space="preserve"> </w:t>
          </w:r>
          <w:r w:rsidR="00DC106F">
            <w:rPr>
              <w:i/>
              <w:iCs/>
              <w:noProof/>
            </w:rPr>
            <w:t>Account</w:t>
          </w:r>
          <w:r>
            <w:rPr>
              <w:i/>
              <w:iCs/>
              <w:noProof/>
            </w:rPr>
            <w:t>ing for non-accounting students</w:t>
          </w:r>
          <w:r>
            <w:rPr>
              <w:iCs/>
              <w:noProof/>
            </w:rPr>
            <w:t>,</w:t>
          </w:r>
          <w:r w:rsidR="00DC106F">
            <w:rPr>
              <w:i/>
              <w:iCs/>
              <w:noProof/>
            </w:rPr>
            <w:t xml:space="preserve"> </w:t>
          </w:r>
          <w:r>
            <w:rPr>
              <w:noProof/>
            </w:rPr>
            <w:t>(Tenth Edition), Harlow: Pearson</w:t>
          </w:r>
        </w:p>
        <w:p w:rsidR="00DC106F" w:rsidRDefault="00D217A0" w:rsidP="00DC106F">
          <w:pPr>
            <w:pStyle w:val="Bibliography"/>
            <w:rPr>
              <w:noProof/>
            </w:rPr>
          </w:pPr>
          <w:r>
            <w:rPr>
              <w:noProof/>
            </w:rPr>
            <w:t>Hadid, W. and Al-Sayed, M.</w:t>
          </w:r>
          <w:r w:rsidR="00DC106F">
            <w:rPr>
              <w:noProof/>
            </w:rPr>
            <w:t xml:space="preserve"> </w:t>
          </w:r>
          <w:r>
            <w:rPr>
              <w:noProof/>
            </w:rPr>
            <w:t>(</w:t>
          </w:r>
          <w:r w:rsidR="00DC106F">
            <w:rPr>
              <w:noProof/>
            </w:rPr>
            <w:t>2021</w:t>
          </w:r>
          <w:r>
            <w:rPr>
              <w:noProof/>
            </w:rPr>
            <w:t>),</w:t>
          </w:r>
          <w:r w:rsidR="00DC106F">
            <w:rPr>
              <w:noProof/>
            </w:rPr>
            <w:t xml:space="preserve"> Management accountants and strategic management accounting: The role of organizational culture and information systems. </w:t>
          </w:r>
          <w:r w:rsidR="00DC106F">
            <w:rPr>
              <w:i/>
              <w:iCs/>
              <w:noProof/>
            </w:rPr>
            <w:t xml:space="preserve">Management Accounting Research, </w:t>
          </w:r>
          <w:r>
            <w:rPr>
              <w:noProof/>
            </w:rPr>
            <w:t>50(1), p. 100725</w:t>
          </w:r>
        </w:p>
        <w:p w:rsidR="00DC106F" w:rsidRDefault="00753C13" w:rsidP="00DC106F">
          <w:pPr>
            <w:pStyle w:val="Bibliography"/>
            <w:rPr>
              <w:noProof/>
            </w:rPr>
          </w:pPr>
          <w:r>
            <w:rPr>
              <w:noProof/>
            </w:rPr>
            <w:t>Handoyo, S.</w:t>
          </w:r>
          <w:r w:rsidR="00DC106F">
            <w:rPr>
              <w:noProof/>
            </w:rPr>
            <w:t xml:space="preserve"> </w:t>
          </w:r>
          <w:r>
            <w:rPr>
              <w:noProof/>
            </w:rPr>
            <w:t>(</w:t>
          </w:r>
          <w:r w:rsidR="00DC106F">
            <w:rPr>
              <w:noProof/>
            </w:rPr>
            <w:t>2018</w:t>
          </w:r>
          <w:r>
            <w:rPr>
              <w:noProof/>
            </w:rPr>
            <w:t>),</w:t>
          </w:r>
          <w:r w:rsidR="00DC106F">
            <w:rPr>
              <w:noProof/>
            </w:rPr>
            <w:t xml:space="preserve"> Study Motivation, Academic Performance and Commitment Career in Accounting Profession. </w:t>
          </w:r>
          <w:r w:rsidR="00DC106F">
            <w:rPr>
              <w:i/>
              <w:iCs/>
              <w:noProof/>
            </w:rPr>
            <w:t xml:space="preserve">Journal of Education and Learning, </w:t>
          </w:r>
          <w:r>
            <w:rPr>
              <w:noProof/>
            </w:rPr>
            <w:t>12(3), pp. 366-375</w:t>
          </w:r>
        </w:p>
        <w:p w:rsidR="00DC106F" w:rsidRDefault="00753C13" w:rsidP="00DC106F">
          <w:pPr>
            <w:pStyle w:val="Bibliography"/>
            <w:rPr>
              <w:noProof/>
            </w:rPr>
          </w:pPr>
          <w:r>
            <w:rPr>
              <w:noProof/>
            </w:rPr>
            <w:t>Horner, D.</w:t>
          </w:r>
          <w:r w:rsidR="00DC106F">
            <w:rPr>
              <w:noProof/>
            </w:rPr>
            <w:t xml:space="preserve"> </w:t>
          </w:r>
          <w:r>
            <w:rPr>
              <w:noProof/>
            </w:rPr>
            <w:t>(</w:t>
          </w:r>
          <w:r w:rsidR="00DC106F">
            <w:rPr>
              <w:noProof/>
            </w:rPr>
            <w:t>2020</w:t>
          </w:r>
          <w:r>
            <w:rPr>
              <w:noProof/>
            </w:rPr>
            <w:t>),</w:t>
          </w:r>
          <w:r w:rsidR="00DC106F">
            <w:rPr>
              <w:noProof/>
            </w:rPr>
            <w:t xml:space="preserve"> </w:t>
          </w:r>
          <w:r w:rsidR="00DC106F">
            <w:rPr>
              <w:i/>
              <w:iCs/>
              <w:noProof/>
            </w:rPr>
            <w:t>Ac</w:t>
          </w:r>
          <w:r>
            <w:rPr>
              <w:i/>
              <w:iCs/>
              <w:noProof/>
            </w:rPr>
            <w:t>counting for Non Accountants</w:t>
          </w:r>
          <w:r>
            <w:rPr>
              <w:iCs/>
              <w:noProof/>
            </w:rPr>
            <w:t>,</w:t>
          </w:r>
          <w:r w:rsidR="00DC106F">
            <w:rPr>
              <w:i/>
              <w:iCs/>
              <w:noProof/>
            </w:rPr>
            <w:t xml:space="preserve"> </w:t>
          </w:r>
          <w:r>
            <w:rPr>
              <w:noProof/>
            </w:rPr>
            <w:t>(Twelfth Edition), London: Kogan Press</w:t>
          </w:r>
        </w:p>
        <w:p w:rsidR="00DC106F" w:rsidRDefault="00FB75D0" w:rsidP="00DC106F">
          <w:pPr>
            <w:pStyle w:val="Bibliography"/>
            <w:rPr>
              <w:noProof/>
            </w:rPr>
          </w:pPr>
          <w:r>
            <w:rPr>
              <w:noProof/>
            </w:rPr>
            <w:t>Jayalakshmi, M.; Shetty, J.H.;Poornima, H. K.; Sumithra, N.P.; Chintan, R.V.; Shedthi, A.</w:t>
          </w:r>
          <w:r w:rsidR="00DC106F">
            <w:rPr>
              <w:noProof/>
            </w:rPr>
            <w:t xml:space="preserve"> </w:t>
          </w:r>
          <w:r w:rsidR="00F8165B">
            <w:rPr>
              <w:noProof/>
            </w:rPr>
            <w:t>(</w:t>
          </w:r>
          <w:r w:rsidR="00DC106F">
            <w:rPr>
              <w:noProof/>
            </w:rPr>
            <w:t>2023</w:t>
          </w:r>
          <w:r w:rsidR="00F8165B">
            <w:rPr>
              <w:noProof/>
            </w:rPr>
            <w:t>),</w:t>
          </w:r>
          <w:r w:rsidR="00DC106F">
            <w:rPr>
              <w:noProof/>
            </w:rPr>
            <w:t xml:space="preserve"> Impact of the Budgetary Control on Organisation Performance. </w:t>
          </w:r>
          <w:r w:rsidR="00DC106F">
            <w:rPr>
              <w:i/>
              <w:iCs/>
              <w:noProof/>
            </w:rPr>
            <w:t xml:space="preserve">Journal of Survey in Fisheries Science, </w:t>
          </w:r>
          <w:r w:rsidR="00F8165B">
            <w:rPr>
              <w:noProof/>
            </w:rPr>
            <w:t>10(3), pp. 1664-1670</w:t>
          </w:r>
        </w:p>
        <w:p w:rsidR="00DC106F" w:rsidRDefault="00D711FC" w:rsidP="00DC106F">
          <w:pPr>
            <w:pStyle w:val="Bibliography"/>
            <w:rPr>
              <w:noProof/>
            </w:rPr>
          </w:pPr>
          <w:r>
            <w:rPr>
              <w:noProof/>
            </w:rPr>
            <w:t>Jenkins, A.</w:t>
          </w:r>
          <w:r w:rsidR="00DC106F">
            <w:rPr>
              <w:noProof/>
            </w:rPr>
            <w:t xml:space="preserve"> </w:t>
          </w:r>
          <w:r>
            <w:rPr>
              <w:noProof/>
            </w:rPr>
            <w:t>(</w:t>
          </w:r>
          <w:r w:rsidR="00DC106F">
            <w:rPr>
              <w:noProof/>
            </w:rPr>
            <w:t>2020</w:t>
          </w:r>
          <w:r>
            <w:rPr>
              <w:noProof/>
            </w:rPr>
            <w:t>),</w:t>
          </w:r>
          <w:r w:rsidR="00DC106F">
            <w:rPr>
              <w:noProof/>
            </w:rPr>
            <w:t xml:space="preserve"> </w:t>
          </w:r>
          <w:r w:rsidR="00DC106F">
            <w:rPr>
              <w:i/>
              <w:iCs/>
              <w:noProof/>
            </w:rPr>
            <w:t>What is Inventory Management?</w:t>
          </w:r>
          <w:r>
            <w:rPr>
              <w:i/>
              <w:iCs/>
              <w:noProof/>
            </w:rPr>
            <w:t xml:space="preserve"> Benefits, Types and Techniques</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https://www.netsuite.com</w:t>
          </w:r>
          <w:r>
            <w:rPr>
              <w:noProof/>
            </w:rPr>
            <w:br/>
            <w:t>[Accessed 09 April 2024]</w:t>
          </w:r>
        </w:p>
        <w:p w:rsidR="00DC106F" w:rsidRDefault="00065754" w:rsidP="00DC106F">
          <w:pPr>
            <w:pStyle w:val="Bibliography"/>
            <w:rPr>
              <w:noProof/>
            </w:rPr>
          </w:pPr>
          <w:r>
            <w:rPr>
              <w:noProof/>
            </w:rPr>
            <w:t>Lawrence, P. R.</w:t>
          </w:r>
          <w:r w:rsidR="00DC106F">
            <w:rPr>
              <w:noProof/>
            </w:rPr>
            <w:t xml:space="preserve"> </w:t>
          </w:r>
          <w:r>
            <w:rPr>
              <w:noProof/>
            </w:rPr>
            <w:t>(</w:t>
          </w:r>
          <w:r w:rsidR="00DC106F">
            <w:rPr>
              <w:noProof/>
            </w:rPr>
            <w:t>2023</w:t>
          </w:r>
          <w:r>
            <w:rPr>
              <w:noProof/>
            </w:rPr>
            <w:t>),</w:t>
          </w:r>
          <w:r w:rsidR="00DC106F">
            <w:rPr>
              <w:noProof/>
            </w:rPr>
            <w:t xml:space="preserve"> </w:t>
          </w:r>
          <w:r w:rsidR="00DC106F">
            <w:rPr>
              <w:i/>
              <w:iCs/>
              <w:noProof/>
            </w:rPr>
            <w:t>How to</w:t>
          </w:r>
          <w:r>
            <w:rPr>
              <w:i/>
              <w:iCs/>
              <w:noProof/>
            </w:rPr>
            <w:t xml:space="preserve"> Deal with Resistance to Change</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https://www.hbr.org</w:t>
          </w:r>
          <w:r>
            <w:rPr>
              <w:noProof/>
            </w:rPr>
            <w:br/>
            <w:t>[Accessed 02 April 2024]</w:t>
          </w:r>
        </w:p>
        <w:p w:rsidR="00DC106F" w:rsidRDefault="00065754" w:rsidP="00DC106F">
          <w:pPr>
            <w:pStyle w:val="Bibliography"/>
            <w:rPr>
              <w:noProof/>
            </w:rPr>
          </w:pPr>
          <w:r>
            <w:rPr>
              <w:noProof/>
            </w:rPr>
            <w:t>Liyanage, T.</w:t>
          </w:r>
          <w:r w:rsidR="00DC106F">
            <w:rPr>
              <w:noProof/>
            </w:rPr>
            <w:t xml:space="preserve"> </w:t>
          </w:r>
          <w:r>
            <w:rPr>
              <w:noProof/>
            </w:rPr>
            <w:t>(</w:t>
          </w:r>
          <w:r w:rsidR="00DC106F">
            <w:rPr>
              <w:noProof/>
            </w:rPr>
            <w:t>2021</w:t>
          </w:r>
          <w:r>
            <w:rPr>
              <w:noProof/>
            </w:rPr>
            <w:t>),</w:t>
          </w:r>
          <w:r w:rsidR="00DC106F">
            <w:rPr>
              <w:noProof/>
            </w:rPr>
            <w:t xml:space="preserve"> </w:t>
          </w:r>
          <w:r w:rsidR="00DC106F">
            <w:rPr>
              <w:i/>
              <w:iCs/>
              <w:noProof/>
            </w:rPr>
            <w:t>From 'Traditional' Budgeting to 'Better' Budgeting: Navigating t</w:t>
          </w:r>
          <w:r>
            <w:rPr>
              <w:i/>
              <w:iCs/>
              <w:noProof/>
            </w:rPr>
            <w:t>hrough 'Stability' and 'Change'</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https://academia.edu</w:t>
          </w:r>
          <w:r>
            <w:rPr>
              <w:noProof/>
            </w:rPr>
            <w:br/>
            <w:t>[Accessed 02 April 2024]</w:t>
          </w:r>
        </w:p>
        <w:p w:rsidR="00DC106F" w:rsidRDefault="00042876" w:rsidP="00DC106F">
          <w:pPr>
            <w:pStyle w:val="Bibliography"/>
            <w:rPr>
              <w:noProof/>
            </w:rPr>
          </w:pPr>
          <w:r>
            <w:rPr>
              <w:noProof/>
            </w:rPr>
            <w:t xml:space="preserve">Malina, M. A. </w:t>
          </w:r>
          <w:r w:rsidR="00DC106F">
            <w:rPr>
              <w:noProof/>
            </w:rPr>
            <w:t xml:space="preserve"> </w:t>
          </w:r>
          <w:r>
            <w:rPr>
              <w:noProof/>
            </w:rPr>
            <w:t>(</w:t>
          </w:r>
          <w:r w:rsidR="00DC106F">
            <w:rPr>
              <w:noProof/>
            </w:rPr>
            <w:t>2018</w:t>
          </w:r>
          <w:r>
            <w:rPr>
              <w:noProof/>
            </w:rPr>
            <w:t>),</w:t>
          </w:r>
          <w:r w:rsidR="00DC106F">
            <w:rPr>
              <w:noProof/>
            </w:rPr>
            <w:t xml:space="preserve"> </w:t>
          </w:r>
          <w:r w:rsidR="00DC106F">
            <w:rPr>
              <w:i/>
              <w:iCs/>
              <w:noProof/>
            </w:rPr>
            <w:t>Ad</w:t>
          </w:r>
          <w:r>
            <w:rPr>
              <w:i/>
              <w:iCs/>
              <w:noProof/>
            </w:rPr>
            <w:t>vances in management accounting,</w:t>
          </w:r>
          <w:r w:rsidR="00DC106F">
            <w:rPr>
              <w:i/>
              <w:iCs/>
              <w:noProof/>
            </w:rPr>
            <w:t xml:space="preserve"> </w:t>
          </w:r>
          <w:r w:rsidR="00DC106F">
            <w:rPr>
              <w:noProof/>
            </w:rPr>
            <w:t>Vol. 30 e</w:t>
          </w:r>
          <w:r>
            <w:rPr>
              <w:noProof/>
            </w:rPr>
            <w:t>d. Bingley: Emerald Publishing</w:t>
          </w:r>
        </w:p>
        <w:p w:rsidR="00DC106F" w:rsidRDefault="00042876" w:rsidP="00DC106F">
          <w:pPr>
            <w:pStyle w:val="Bibliography"/>
            <w:rPr>
              <w:noProof/>
            </w:rPr>
          </w:pPr>
          <w:r>
            <w:rPr>
              <w:noProof/>
            </w:rPr>
            <w:t>Marr, B.</w:t>
          </w:r>
          <w:r w:rsidR="00DC106F">
            <w:rPr>
              <w:noProof/>
            </w:rPr>
            <w:t xml:space="preserve"> </w:t>
          </w:r>
          <w:r>
            <w:rPr>
              <w:noProof/>
            </w:rPr>
            <w:t>(</w:t>
          </w:r>
          <w:r w:rsidR="00DC106F">
            <w:rPr>
              <w:noProof/>
            </w:rPr>
            <w:t>2012</w:t>
          </w:r>
          <w:r>
            <w:rPr>
              <w:noProof/>
            </w:rPr>
            <w:t>),</w:t>
          </w:r>
          <w:r w:rsidR="00DC106F">
            <w:rPr>
              <w:noProof/>
            </w:rPr>
            <w:t xml:space="preserve"> </w:t>
          </w:r>
          <w:r w:rsidR="00DC106F">
            <w:rPr>
              <w:i/>
              <w:iCs/>
              <w:noProof/>
            </w:rPr>
            <w:t>Key performance indicators: the 75 measu</w:t>
          </w:r>
          <w:r>
            <w:rPr>
              <w:i/>
              <w:iCs/>
              <w:noProof/>
            </w:rPr>
            <w:t>res every manager needs to know</w:t>
          </w:r>
          <w:r>
            <w:rPr>
              <w:iCs/>
              <w:noProof/>
            </w:rPr>
            <w:t>,</w:t>
          </w:r>
          <w:r w:rsidR="00DC106F">
            <w:rPr>
              <w:i/>
              <w:iCs/>
              <w:noProof/>
            </w:rPr>
            <w:t xml:space="preserve"> </w:t>
          </w:r>
          <w:r>
            <w:rPr>
              <w:iCs/>
              <w:noProof/>
            </w:rPr>
            <w:t>(</w:t>
          </w:r>
          <w:r>
            <w:rPr>
              <w:noProof/>
            </w:rPr>
            <w:t>First Edition), Harlow: Pearson</w:t>
          </w:r>
        </w:p>
        <w:p w:rsidR="00DC106F" w:rsidRDefault="00F674FA" w:rsidP="00DC106F">
          <w:pPr>
            <w:pStyle w:val="Bibliography"/>
            <w:rPr>
              <w:noProof/>
            </w:rPr>
          </w:pPr>
          <w:r>
            <w:rPr>
              <w:noProof/>
            </w:rPr>
            <w:t>Mazikana, A. T.</w:t>
          </w:r>
          <w:r w:rsidR="00DC106F">
            <w:rPr>
              <w:noProof/>
            </w:rPr>
            <w:t xml:space="preserve"> </w:t>
          </w:r>
          <w:r>
            <w:rPr>
              <w:noProof/>
            </w:rPr>
            <w:t>(</w:t>
          </w:r>
          <w:r w:rsidR="00DC106F">
            <w:rPr>
              <w:noProof/>
            </w:rPr>
            <w:t>2019</w:t>
          </w:r>
          <w:r>
            <w:rPr>
              <w:noProof/>
            </w:rPr>
            <w:t>),</w:t>
          </w:r>
          <w:r w:rsidR="00DC106F">
            <w:rPr>
              <w:noProof/>
            </w:rPr>
            <w:t xml:space="preserve"> </w:t>
          </w:r>
          <w:r w:rsidR="00DC106F">
            <w:rPr>
              <w:i/>
              <w:iCs/>
              <w:noProof/>
            </w:rPr>
            <w:t>The Effect of Budgetary Controls on the</w:t>
          </w:r>
          <w:r>
            <w:rPr>
              <w:i/>
              <w:iCs/>
              <w:noProof/>
            </w:rPr>
            <w:t xml:space="preserve"> Performance of an Organisation,</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https://www.papers.ssrn.com</w:t>
          </w:r>
          <w:r>
            <w:rPr>
              <w:noProof/>
            </w:rPr>
            <w:br/>
            <w:t>[Accessed 9 April 2024]</w:t>
          </w:r>
        </w:p>
        <w:p w:rsidR="00DC106F" w:rsidRDefault="00E30E21" w:rsidP="00DC106F">
          <w:pPr>
            <w:pStyle w:val="Bibliography"/>
            <w:rPr>
              <w:noProof/>
            </w:rPr>
          </w:pPr>
          <w:r>
            <w:rPr>
              <w:noProof/>
            </w:rPr>
            <w:t>Munoz, S., Ho, J. and Chow, C.</w:t>
          </w:r>
          <w:r w:rsidR="00DC106F">
            <w:rPr>
              <w:noProof/>
            </w:rPr>
            <w:t xml:space="preserve"> </w:t>
          </w:r>
          <w:r>
            <w:rPr>
              <w:noProof/>
            </w:rPr>
            <w:t>(</w:t>
          </w:r>
          <w:r w:rsidR="00DC106F">
            <w:rPr>
              <w:noProof/>
            </w:rPr>
            <w:t>2006</w:t>
          </w:r>
          <w:r>
            <w:rPr>
              <w:noProof/>
            </w:rPr>
            <w:t>),</w:t>
          </w:r>
          <w:r w:rsidR="00DC106F">
            <w:rPr>
              <w:noProof/>
            </w:rPr>
            <w:t xml:space="preserve"> Enhancing Knowledge Sharing in Public Accounting Firms. </w:t>
          </w:r>
          <w:r w:rsidR="00DC106F">
            <w:rPr>
              <w:i/>
              <w:iCs/>
              <w:noProof/>
            </w:rPr>
            <w:t xml:space="preserve">Accounting Horizons, </w:t>
          </w:r>
          <w:r>
            <w:rPr>
              <w:noProof/>
            </w:rPr>
            <w:t>20(2), pp. 133-135</w:t>
          </w:r>
        </w:p>
        <w:p w:rsidR="00DC106F" w:rsidRDefault="00877F1E" w:rsidP="00DC106F">
          <w:pPr>
            <w:pStyle w:val="Bibliography"/>
            <w:rPr>
              <w:noProof/>
            </w:rPr>
          </w:pPr>
          <w:r>
            <w:rPr>
              <w:noProof/>
            </w:rPr>
            <w:t>Norman, M.</w:t>
          </w:r>
          <w:r w:rsidR="00DC106F">
            <w:rPr>
              <w:noProof/>
            </w:rPr>
            <w:t xml:space="preserve"> </w:t>
          </w:r>
          <w:r>
            <w:rPr>
              <w:noProof/>
            </w:rPr>
            <w:t>(</w:t>
          </w:r>
          <w:r w:rsidR="00DC106F">
            <w:rPr>
              <w:noProof/>
            </w:rPr>
            <w:t>2023</w:t>
          </w:r>
          <w:r>
            <w:rPr>
              <w:noProof/>
            </w:rPr>
            <w:t>)</w:t>
          </w:r>
          <w:r w:rsidR="00DC106F">
            <w:rPr>
              <w:noProof/>
            </w:rPr>
            <w:t xml:space="preserve"> </w:t>
          </w:r>
          <w:r w:rsidR="00DC106F">
            <w:rPr>
              <w:i/>
              <w:iCs/>
              <w:noProof/>
            </w:rPr>
            <w:t>Go Outdoors Oxford will permanent</w:t>
          </w:r>
          <w:r>
            <w:rPr>
              <w:i/>
              <w:iCs/>
              <w:noProof/>
            </w:rPr>
            <w:t>ly close its doors</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https://www.oxfordmail.co.uk</w:t>
          </w:r>
          <w:r>
            <w:rPr>
              <w:noProof/>
            </w:rPr>
            <w:br/>
            <w:t>[Accessed 01 April 2024]</w:t>
          </w:r>
        </w:p>
        <w:p w:rsidR="00DC106F" w:rsidRDefault="00877F1E" w:rsidP="00DC106F">
          <w:pPr>
            <w:pStyle w:val="Bibliography"/>
            <w:rPr>
              <w:noProof/>
            </w:rPr>
          </w:pPr>
          <w:r>
            <w:rPr>
              <w:noProof/>
            </w:rPr>
            <w:t>Otley, D. T. and Berry, A. J.</w:t>
          </w:r>
          <w:r w:rsidR="00DC106F">
            <w:rPr>
              <w:noProof/>
            </w:rPr>
            <w:t xml:space="preserve"> </w:t>
          </w:r>
          <w:r>
            <w:rPr>
              <w:noProof/>
            </w:rPr>
            <w:t>(</w:t>
          </w:r>
          <w:r w:rsidR="00DC106F">
            <w:rPr>
              <w:noProof/>
            </w:rPr>
            <w:t>2019</w:t>
          </w:r>
          <w:r>
            <w:rPr>
              <w:noProof/>
            </w:rPr>
            <w:t>),</w:t>
          </w:r>
          <w:r w:rsidR="00DC106F">
            <w:rPr>
              <w:noProof/>
            </w:rPr>
            <w:t xml:space="preserve"> Control, organisation and accounting. In: </w:t>
          </w:r>
          <w:r>
            <w:rPr>
              <w:i/>
              <w:iCs/>
              <w:noProof/>
            </w:rPr>
            <w:t>Management Control Therapy</w:t>
          </w:r>
          <w:r>
            <w:rPr>
              <w:iCs/>
              <w:noProof/>
            </w:rPr>
            <w:t>,</w:t>
          </w:r>
          <w:r w:rsidR="00DC106F">
            <w:rPr>
              <w:i/>
              <w:iCs/>
              <w:noProof/>
            </w:rPr>
            <w:t xml:space="preserve"> </w:t>
          </w:r>
          <w:r>
            <w:rPr>
              <w:noProof/>
            </w:rPr>
            <w:t>Routledge, pp. 101-114</w:t>
          </w:r>
        </w:p>
        <w:p w:rsidR="00DC106F" w:rsidRDefault="0086230B" w:rsidP="00DC106F">
          <w:pPr>
            <w:pStyle w:val="Bibliography"/>
            <w:rPr>
              <w:noProof/>
            </w:rPr>
          </w:pPr>
          <w:r>
            <w:rPr>
              <w:noProof/>
            </w:rPr>
            <w:t>Papoutsi, M. (</w:t>
          </w:r>
          <w:r w:rsidR="00DC106F">
            <w:rPr>
              <w:noProof/>
            </w:rPr>
            <w:t>2021</w:t>
          </w:r>
          <w:r>
            <w:rPr>
              <w:noProof/>
            </w:rPr>
            <w:t>),</w:t>
          </w:r>
          <w:r w:rsidR="00DC106F">
            <w:rPr>
              <w:noProof/>
            </w:rPr>
            <w:t xml:space="preserve"> </w:t>
          </w:r>
          <w:r w:rsidR="00DC106F">
            <w:rPr>
              <w:i/>
              <w:iCs/>
              <w:noProof/>
            </w:rPr>
            <w:t>Lending relationships in loan renegotiation</w:t>
          </w:r>
          <w:r>
            <w:rPr>
              <w:i/>
              <w:iCs/>
              <w:noProof/>
            </w:rPr>
            <w:t>: evidence from corporate loans,</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https://www.ecb.europa.eu</w:t>
          </w:r>
          <w:r>
            <w:rPr>
              <w:noProof/>
            </w:rPr>
            <w:br/>
            <w:t>[Accessed 01 April 2024]</w:t>
          </w:r>
        </w:p>
        <w:p w:rsidR="00DC106F" w:rsidRDefault="00467E96" w:rsidP="00DC106F">
          <w:pPr>
            <w:pStyle w:val="Bibliography"/>
            <w:rPr>
              <w:noProof/>
            </w:rPr>
          </w:pPr>
          <w:r>
            <w:rPr>
              <w:noProof/>
            </w:rPr>
            <w:t>Richard, J.</w:t>
          </w:r>
          <w:r w:rsidR="00DC106F">
            <w:rPr>
              <w:noProof/>
            </w:rPr>
            <w:t xml:space="preserve"> </w:t>
          </w:r>
          <w:r>
            <w:rPr>
              <w:noProof/>
            </w:rPr>
            <w:t>(</w:t>
          </w:r>
          <w:r w:rsidR="00DC106F">
            <w:rPr>
              <w:noProof/>
            </w:rPr>
            <w:t>2023</w:t>
          </w:r>
          <w:r>
            <w:rPr>
              <w:noProof/>
            </w:rPr>
            <w:t>),</w:t>
          </w:r>
          <w:r w:rsidR="00DC106F">
            <w:rPr>
              <w:noProof/>
            </w:rPr>
            <w:t xml:space="preserve"> </w:t>
          </w:r>
          <w:r w:rsidR="00DC106F">
            <w:rPr>
              <w:i/>
              <w:iCs/>
              <w:noProof/>
            </w:rPr>
            <w:t>The History of Budgeting: When did it Sta</w:t>
          </w:r>
          <w:r>
            <w:rPr>
              <w:i/>
              <w:iCs/>
              <w:noProof/>
            </w:rPr>
            <w:t>rt and the Evolution Oveer Time,</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https://www.solving-finance.com</w:t>
          </w:r>
          <w:r>
            <w:rPr>
              <w:noProof/>
            </w:rPr>
            <w:br/>
            <w:t>[Accessed 10 April 2024]</w:t>
          </w:r>
        </w:p>
        <w:p w:rsidR="00DC106F" w:rsidRDefault="00DC106F" w:rsidP="00DC106F">
          <w:pPr>
            <w:pStyle w:val="Bibliography"/>
            <w:rPr>
              <w:noProof/>
            </w:rPr>
          </w:pPr>
          <w:r>
            <w:rPr>
              <w:noProof/>
            </w:rPr>
            <w:t xml:space="preserve">Seal, W. </w:t>
          </w:r>
          <w:r w:rsidR="00B243CC">
            <w:rPr>
              <w:noProof/>
            </w:rPr>
            <w:t>B., Rohde, C., Garrison, R. H. and Noreen, E. W.</w:t>
          </w:r>
          <w:r>
            <w:rPr>
              <w:noProof/>
            </w:rPr>
            <w:t xml:space="preserve"> </w:t>
          </w:r>
          <w:r w:rsidR="00B243CC">
            <w:rPr>
              <w:noProof/>
            </w:rPr>
            <w:t>(</w:t>
          </w:r>
          <w:r>
            <w:rPr>
              <w:noProof/>
            </w:rPr>
            <w:t>2019</w:t>
          </w:r>
          <w:r w:rsidR="00B243CC">
            <w:rPr>
              <w:noProof/>
            </w:rPr>
            <w:t>),</w:t>
          </w:r>
          <w:r>
            <w:rPr>
              <w:noProof/>
            </w:rPr>
            <w:t xml:space="preserve"> </w:t>
          </w:r>
          <w:r w:rsidR="00B243CC">
            <w:rPr>
              <w:i/>
              <w:iCs/>
              <w:noProof/>
            </w:rPr>
            <w:t>Management accounting</w:t>
          </w:r>
          <w:r w:rsidR="00B243CC">
            <w:rPr>
              <w:iCs/>
              <w:noProof/>
            </w:rPr>
            <w:t>,</w:t>
          </w:r>
          <w:r>
            <w:rPr>
              <w:i/>
              <w:iCs/>
              <w:noProof/>
            </w:rPr>
            <w:t xml:space="preserve"> </w:t>
          </w:r>
          <w:r w:rsidR="00B243CC">
            <w:rPr>
              <w:iCs/>
              <w:noProof/>
            </w:rPr>
            <w:t>(</w:t>
          </w:r>
          <w:r>
            <w:rPr>
              <w:noProof/>
            </w:rPr>
            <w:t>Sixth Edition</w:t>
          </w:r>
          <w:r w:rsidR="00B243CC">
            <w:rPr>
              <w:noProof/>
            </w:rPr>
            <w:t>), London: McGraw-Hill Education</w:t>
          </w:r>
        </w:p>
        <w:p w:rsidR="00DC106F" w:rsidRDefault="00471CFA" w:rsidP="00DC106F">
          <w:pPr>
            <w:pStyle w:val="Bibliography"/>
            <w:rPr>
              <w:noProof/>
            </w:rPr>
          </w:pPr>
          <w:r>
            <w:rPr>
              <w:noProof/>
            </w:rPr>
            <w:t>Seurkamp, D.</w:t>
          </w:r>
          <w:r w:rsidR="00DC106F">
            <w:rPr>
              <w:noProof/>
            </w:rPr>
            <w:t xml:space="preserve"> </w:t>
          </w:r>
          <w:r>
            <w:rPr>
              <w:noProof/>
            </w:rPr>
            <w:t>(</w:t>
          </w:r>
          <w:r w:rsidR="00DC106F">
            <w:rPr>
              <w:noProof/>
            </w:rPr>
            <w:t>2023</w:t>
          </w:r>
          <w:r>
            <w:rPr>
              <w:noProof/>
            </w:rPr>
            <w:t>),</w:t>
          </w:r>
          <w:r w:rsidR="00DC106F">
            <w:rPr>
              <w:noProof/>
            </w:rPr>
            <w:t xml:space="preserve"> </w:t>
          </w:r>
          <w:r w:rsidR="00DC106F">
            <w:rPr>
              <w:i/>
              <w:iCs/>
              <w:noProof/>
            </w:rPr>
            <w:t>Bes</w:t>
          </w:r>
          <w:r>
            <w:rPr>
              <w:i/>
              <w:iCs/>
              <w:noProof/>
            </w:rPr>
            <w:t>t Practices for Cash Management</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https://www.forbes.com</w:t>
          </w:r>
          <w:r>
            <w:rPr>
              <w:noProof/>
            </w:rPr>
            <w:br/>
            <w:t>[Accessed 10 April 2024]</w:t>
          </w:r>
        </w:p>
        <w:p w:rsidR="00DC106F" w:rsidRDefault="00521CF2" w:rsidP="00DC106F">
          <w:pPr>
            <w:pStyle w:val="Bibliography"/>
            <w:rPr>
              <w:noProof/>
            </w:rPr>
          </w:pPr>
          <w:r>
            <w:rPr>
              <w:noProof/>
            </w:rPr>
            <w:t>Simons, R.</w:t>
          </w:r>
          <w:r w:rsidR="00DC106F">
            <w:rPr>
              <w:noProof/>
            </w:rPr>
            <w:t xml:space="preserve"> </w:t>
          </w:r>
          <w:r>
            <w:rPr>
              <w:noProof/>
            </w:rPr>
            <w:t>(</w:t>
          </w:r>
          <w:r w:rsidR="00DC106F">
            <w:rPr>
              <w:noProof/>
            </w:rPr>
            <w:t>2019</w:t>
          </w:r>
          <w:r>
            <w:rPr>
              <w:noProof/>
            </w:rPr>
            <w:t>),</w:t>
          </w:r>
          <w:r w:rsidR="00DC106F">
            <w:rPr>
              <w:noProof/>
            </w:rPr>
            <w:t xml:space="preserve"> The role of management control systems in creating competitive advantage: new perspectives. In: </w:t>
          </w:r>
          <w:r w:rsidR="00DC106F">
            <w:rPr>
              <w:i/>
              <w:iCs/>
              <w:noProof/>
            </w:rPr>
            <w:t xml:space="preserve">Management Control Theory. </w:t>
          </w:r>
          <w:r>
            <w:rPr>
              <w:noProof/>
            </w:rPr>
            <w:t>s.l.:Routledge, pp. 173-194</w:t>
          </w:r>
        </w:p>
        <w:p w:rsidR="00DC106F" w:rsidRDefault="00521CF2" w:rsidP="00DC106F">
          <w:pPr>
            <w:pStyle w:val="Bibliography"/>
            <w:rPr>
              <w:noProof/>
            </w:rPr>
          </w:pPr>
          <w:r>
            <w:rPr>
              <w:noProof/>
            </w:rPr>
            <w:t>Smithers, R. and Blackall, M.</w:t>
          </w:r>
          <w:r w:rsidR="00DC106F">
            <w:rPr>
              <w:noProof/>
            </w:rPr>
            <w:t xml:space="preserve"> </w:t>
          </w:r>
          <w:r>
            <w:rPr>
              <w:noProof/>
            </w:rPr>
            <w:t>(</w:t>
          </w:r>
          <w:r w:rsidR="00DC106F">
            <w:rPr>
              <w:noProof/>
            </w:rPr>
            <w:t>2020</w:t>
          </w:r>
          <w:r>
            <w:rPr>
              <w:noProof/>
            </w:rPr>
            <w:t>),</w:t>
          </w:r>
          <w:r w:rsidR="00DC106F">
            <w:rPr>
              <w:noProof/>
            </w:rPr>
            <w:t xml:space="preserve"> </w:t>
          </w:r>
          <w:r w:rsidR="00DC106F">
            <w:rPr>
              <w:i/>
              <w:iCs/>
              <w:noProof/>
            </w:rPr>
            <w:t>UK staycation b</w:t>
          </w:r>
          <w:r>
            <w:rPr>
              <w:i/>
              <w:iCs/>
              <w:noProof/>
            </w:rPr>
            <w:t>oom lifts sales of camping gear,</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https://www.theguardian.com</w:t>
          </w:r>
          <w:r>
            <w:rPr>
              <w:noProof/>
            </w:rPr>
            <w:br/>
            <w:t>[Accessed 01 April 2024]</w:t>
          </w:r>
        </w:p>
        <w:p w:rsidR="00DC106F" w:rsidRDefault="00521CF2" w:rsidP="00DC106F">
          <w:pPr>
            <w:pStyle w:val="Bibliography"/>
            <w:rPr>
              <w:noProof/>
            </w:rPr>
          </w:pPr>
          <w:r>
            <w:rPr>
              <w:noProof/>
            </w:rPr>
            <w:t>Stange, S., Bogsnes, B. and Sheth, H.</w:t>
          </w:r>
          <w:r w:rsidR="00DC106F">
            <w:rPr>
              <w:noProof/>
            </w:rPr>
            <w:t xml:space="preserve"> </w:t>
          </w:r>
          <w:r>
            <w:rPr>
              <w:noProof/>
            </w:rPr>
            <w:t>(</w:t>
          </w:r>
          <w:r w:rsidR="00DC106F">
            <w:rPr>
              <w:noProof/>
            </w:rPr>
            <w:t>2021</w:t>
          </w:r>
          <w:r>
            <w:rPr>
              <w:noProof/>
            </w:rPr>
            <w:t>),</w:t>
          </w:r>
          <w:r w:rsidR="00DC106F">
            <w:rPr>
              <w:noProof/>
            </w:rPr>
            <w:t xml:space="preserve"> </w:t>
          </w:r>
          <w:r>
            <w:rPr>
              <w:i/>
              <w:iCs/>
              <w:noProof/>
            </w:rPr>
            <w:t>Going Beyond Budgeting,</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https://www.bcg.com</w:t>
          </w:r>
          <w:r>
            <w:rPr>
              <w:noProof/>
            </w:rPr>
            <w:br/>
            <w:t>[Accessed 8 April 2024]</w:t>
          </w:r>
        </w:p>
        <w:p w:rsidR="00DC106F" w:rsidRDefault="004A3110" w:rsidP="00DC106F">
          <w:pPr>
            <w:pStyle w:val="Bibliography"/>
            <w:rPr>
              <w:noProof/>
            </w:rPr>
          </w:pPr>
          <w:r>
            <w:rPr>
              <w:noProof/>
            </w:rPr>
            <w:t>Statista</w:t>
          </w:r>
          <w:r w:rsidR="00DC106F">
            <w:rPr>
              <w:noProof/>
            </w:rPr>
            <w:t xml:space="preserve"> </w:t>
          </w:r>
          <w:r>
            <w:rPr>
              <w:noProof/>
            </w:rPr>
            <w:t>(</w:t>
          </w:r>
          <w:r w:rsidR="00DC106F">
            <w:rPr>
              <w:noProof/>
            </w:rPr>
            <w:t>2023</w:t>
          </w:r>
          <w:r>
            <w:rPr>
              <w:noProof/>
            </w:rPr>
            <w:t>),</w:t>
          </w:r>
          <w:r w:rsidR="00DC106F">
            <w:rPr>
              <w:noProof/>
            </w:rPr>
            <w:t xml:space="preserve"> </w:t>
          </w:r>
          <w:r>
            <w:rPr>
              <w:i/>
              <w:iCs/>
              <w:noProof/>
            </w:rPr>
            <w:t>Camping-United Kingdom</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https://www.statista.com</w:t>
          </w:r>
          <w:r w:rsidR="00DC106F">
            <w:rPr>
              <w:noProof/>
            </w:rPr>
            <w:br/>
          </w:r>
          <w:r>
            <w:rPr>
              <w:noProof/>
            </w:rPr>
            <w:t>[Accessed 01 April 2024]</w:t>
          </w:r>
        </w:p>
        <w:p w:rsidR="00DC106F" w:rsidRDefault="004A3110" w:rsidP="00DC106F">
          <w:pPr>
            <w:pStyle w:val="Bibliography"/>
            <w:rPr>
              <w:noProof/>
            </w:rPr>
          </w:pPr>
          <w:r>
            <w:rPr>
              <w:noProof/>
            </w:rPr>
            <w:t>The Outdoor Guide</w:t>
          </w:r>
          <w:r w:rsidR="00DC106F">
            <w:rPr>
              <w:noProof/>
            </w:rPr>
            <w:t xml:space="preserve"> </w:t>
          </w:r>
          <w:r>
            <w:rPr>
              <w:noProof/>
            </w:rPr>
            <w:t>(2023),</w:t>
          </w:r>
          <w:r w:rsidR="00DC106F">
            <w:rPr>
              <w:noProof/>
            </w:rPr>
            <w:t xml:space="preserve"> </w:t>
          </w:r>
          <w:r w:rsidR="00DC106F">
            <w:rPr>
              <w:i/>
              <w:iCs/>
              <w:noProof/>
            </w:rPr>
            <w:t>The Hist</w:t>
          </w:r>
          <w:r>
            <w:rPr>
              <w:i/>
              <w:iCs/>
              <w:noProof/>
            </w:rPr>
            <w:t>ory of Camping and Outdoor Gear</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https://www.the outdoorguide.co.uk</w:t>
          </w:r>
          <w:r>
            <w:rPr>
              <w:noProof/>
            </w:rPr>
            <w:br/>
            <w:t>[Accessed 01 April 2024]</w:t>
          </w:r>
        </w:p>
        <w:p w:rsidR="00DC106F" w:rsidRDefault="00FC0870" w:rsidP="00DC106F">
          <w:pPr>
            <w:pStyle w:val="Bibliography"/>
            <w:rPr>
              <w:noProof/>
            </w:rPr>
          </w:pPr>
          <w:r>
            <w:rPr>
              <w:noProof/>
            </w:rPr>
            <w:t>UnivDatos Market Insights</w:t>
          </w:r>
          <w:r w:rsidR="00DC106F">
            <w:rPr>
              <w:noProof/>
            </w:rPr>
            <w:t xml:space="preserve"> </w:t>
          </w:r>
          <w:r>
            <w:rPr>
              <w:noProof/>
            </w:rPr>
            <w:t>(</w:t>
          </w:r>
          <w:r w:rsidR="00DC106F">
            <w:rPr>
              <w:noProof/>
            </w:rPr>
            <w:t>2022</w:t>
          </w:r>
          <w:r>
            <w:rPr>
              <w:noProof/>
            </w:rPr>
            <w:t>)</w:t>
          </w:r>
          <w:r w:rsidR="00DC106F">
            <w:rPr>
              <w:noProof/>
            </w:rPr>
            <w:t xml:space="preserve"> </w:t>
          </w:r>
          <w:r w:rsidR="00DC106F">
            <w:rPr>
              <w:i/>
              <w:iCs/>
              <w:noProof/>
            </w:rPr>
            <w:t>Camping Equipment Market to Witness CAGR of 7%</w:t>
          </w:r>
          <w:r>
            <w:rPr>
              <w:i/>
              <w:iCs/>
              <w:noProof/>
            </w:rPr>
            <w:t xml:space="preserve"> (2022-2028)</w:t>
          </w:r>
          <w:r>
            <w:rPr>
              <w:iCs/>
              <w:noProof/>
            </w:rPr>
            <w:t>,</w:t>
          </w:r>
          <w:r w:rsidR="00DC106F">
            <w:rPr>
              <w:i/>
              <w:iCs/>
              <w:noProof/>
            </w:rPr>
            <w:t xml:space="preserve"> </w:t>
          </w:r>
          <w:r w:rsidR="00DC106F">
            <w:rPr>
              <w:noProof/>
            </w:rPr>
            <w:t xml:space="preserve">[Online] </w:t>
          </w:r>
          <w:r w:rsidR="00DC106F">
            <w:rPr>
              <w:noProof/>
            </w:rPr>
            <w:br/>
            <w:t xml:space="preserve">Available at: </w:t>
          </w:r>
          <w:r w:rsidR="00DC106F">
            <w:rPr>
              <w:noProof/>
              <w:u w:val="single"/>
            </w:rPr>
            <w:t>https://www.PRNewswire</w:t>
          </w:r>
          <w:r>
            <w:rPr>
              <w:noProof/>
            </w:rPr>
            <w:br/>
            <w:t>[Accessed 01 April 2024]</w:t>
          </w:r>
        </w:p>
        <w:p w:rsidR="00DC106F" w:rsidRDefault="00FC0870" w:rsidP="00DC106F">
          <w:pPr>
            <w:pStyle w:val="Bibliography"/>
            <w:rPr>
              <w:noProof/>
            </w:rPr>
          </w:pPr>
          <w:r>
            <w:rPr>
              <w:noProof/>
            </w:rPr>
            <w:t>Walker, K. B. and Fleischman, G. M.</w:t>
          </w:r>
          <w:r w:rsidR="00DC106F">
            <w:rPr>
              <w:noProof/>
            </w:rPr>
            <w:t xml:space="preserve"> </w:t>
          </w:r>
          <w:r>
            <w:rPr>
              <w:noProof/>
            </w:rPr>
            <w:t>(2013),</w:t>
          </w:r>
          <w:r w:rsidR="00DC106F">
            <w:rPr>
              <w:noProof/>
            </w:rPr>
            <w:t xml:space="preserve"> Toeing the Line: The Ethics of Manipulating Budgets and Earnings. </w:t>
          </w:r>
          <w:r w:rsidR="00DC106F">
            <w:rPr>
              <w:i/>
              <w:iCs/>
              <w:noProof/>
            </w:rPr>
            <w:t xml:space="preserve">Management Accounting, </w:t>
          </w:r>
          <w:r>
            <w:rPr>
              <w:noProof/>
            </w:rPr>
            <w:t>14(3), pp. 1-8</w:t>
          </w:r>
        </w:p>
        <w:p w:rsidR="00DC106F" w:rsidRDefault="00FC0870" w:rsidP="00DC106F">
          <w:pPr>
            <w:pStyle w:val="Bibliography"/>
            <w:rPr>
              <w:noProof/>
            </w:rPr>
          </w:pPr>
          <w:r>
            <w:rPr>
              <w:noProof/>
            </w:rPr>
            <w:t>Walsh, C.</w:t>
          </w:r>
          <w:r w:rsidR="00DC106F">
            <w:rPr>
              <w:noProof/>
            </w:rPr>
            <w:t xml:space="preserve"> </w:t>
          </w:r>
          <w:r>
            <w:rPr>
              <w:noProof/>
            </w:rPr>
            <w:t>(</w:t>
          </w:r>
          <w:r w:rsidR="00DC106F">
            <w:rPr>
              <w:noProof/>
            </w:rPr>
            <w:t>2008</w:t>
          </w:r>
          <w:r>
            <w:rPr>
              <w:noProof/>
            </w:rPr>
            <w:t>),</w:t>
          </w:r>
          <w:r w:rsidR="00DC106F">
            <w:rPr>
              <w:noProof/>
            </w:rPr>
            <w:t xml:space="preserve"> </w:t>
          </w:r>
          <w:r w:rsidR="00DC106F">
            <w:rPr>
              <w:i/>
              <w:iCs/>
              <w:noProof/>
            </w:rPr>
            <w:t>Key management ratios: 100+ r</w:t>
          </w:r>
          <w:r>
            <w:rPr>
              <w:i/>
              <w:iCs/>
              <w:noProof/>
            </w:rPr>
            <w:t>atios every manager should know</w:t>
          </w:r>
          <w:r>
            <w:rPr>
              <w:iCs/>
              <w:noProof/>
            </w:rPr>
            <w:t>,</w:t>
          </w:r>
          <w:r w:rsidR="00DC106F">
            <w:rPr>
              <w:i/>
              <w:iCs/>
              <w:noProof/>
            </w:rPr>
            <w:t xml:space="preserve"> </w:t>
          </w:r>
          <w:r>
            <w:rPr>
              <w:iCs/>
              <w:noProof/>
            </w:rPr>
            <w:t>(</w:t>
          </w:r>
          <w:r w:rsidR="00DC106F">
            <w:rPr>
              <w:noProof/>
            </w:rPr>
            <w:t>Fourth Edition</w:t>
          </w:r>
          <w:r>
            <w:rPr>
              <w:noProof/>
            </w:rPr>
            <w:t>), Harlow: FT Prentis Hall</w:t>
          </w:r>
        </w:p>
        <w:p w:rsidR="00DC106F" w:rsidRDefault="00FC0870" w:rsidP="00DC106F">
          <w:pPr>
            <w:pStyle w:val="Bibliography"/>
            <w:rPr>
              <w:noProof/>
            </w:rPr>
          </w:pPr>
          <w:r>
            <w:rPr>
              <w:noProof/>
            </w:rPr>
            <w:t>Walsh, C.</w:t>
          </w:r>
          <w:r w:rsidR="00DC106F">
            <w:rPr>
              <w:noProof/>
            </w:rPr>
            <w:t xml:space="preserve"> </w:t>
          </w:r>
          <w:r>
            <w:rPr>
              <w:noProof/>
            </w:rPr>
            <w:t>(2009),</w:t>
          </w:r>
          <w:r w:rsidR="00DC106F">
            <w:rPr>
              <w:noProof/>
            </w:rPr>
            <w:t xml:space="preserve"> </w:t>
          </w:r>
          <w:r>
            <w:rPr>
              <w:i/>
              <w:iCs/>
              <w:noProof/>
            </w:rPr>
            <w:t>Key Management Ratios</w:t>
          </w:r>
          <w:r>
            <w:rPr>
              <w:iCs/>
              <w:noProof/>
            </w:rPr>
            <w:t>,</w:t>
          </w:r>
          <w:r w:rsidR="00DC106F">
            <w:rPr>
              <w:i/>
              <w:iCs/>
              <w:noProof/>
            </w:rPr>
            <w:t xml:space="preserve"> </w:t>
          </w:r>
          <w:r w:rsidR="00DC106F">
            <w:rPr>
              <w:noProof/>
            </w:rPr>
            <w:t>Ha</w:t>
          </w:r>
          <w:r>
            <w:rPr>
              <w:noProof/>
            </w:rPr>
            <w:t>rlow: Pearson Education Limited</w:t>
          </w:r>
        </w:p>
        <w:p w:rsidR="00DC106F" w:rsidRDefault="00DC106F" w:rsidP="00DC106F">
          <w:r>
            <w:fldChar w:fldCharType="end"/>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F95AA8" w:rsidRDefault="00F95AA8">
          <w:r>
            <w:br w:type="page"/>
          </w:r>
        </w:p>
        <w:p w:rsidR="00AA2A91" w:rsidRDefault="00AE4623" w:rsidP="00AE4623">
          <w:pPr>
            <w:pStyle w:val="Heading1"/>
          </w:pPr>
          <w:bookmarkStart w:id="11" w:name="_Toc164013203"/>
          <w:r>
            <w:t>Appendix 1</w:t>
          </w:r>
          <w:bookmarkEnd w:id="11"/>
        </w:p>
        <w:p w:rsidR="00AE4623" w:rsidRDefault="00AE4623" w:rsidP="00AE4623"/>
        <w:p w:rsidR="00AE4623" w:rsidRDefault="00AE4623" w:rsidP="00AE4623">
          <w:r w:rsidRPr="00F42BDF">
            <w:rPr>
              <w:b/>
            </w:rPr>
            <w:t>Cost of stock sold calculations</w:t>
          </w:r>
          <w:r>
            <w:t>:</w:t>
          </w:r>
          <w:r w:rsidR="00327B8F">
            <w:t xml:space="preserve"> cost of stock sold =70%</w:t>
          </w:r>
        </w:p>
        <w:p w:rsidR="00AE4623" w:rsidRDefault="00AE4623" w:rsidP="00AE4623">
          <w:r>
            <w:t xml:space="preserve">June: 260 x 70% = </w:t>
          </w:r>
          <w:r>
            <w:rPr>
              <w:u w:val="single"/>
            </w:rPr>
            <w:t>182</w:t>
          </w:r>
          <w:r>
            <w:t xml:space="preserve">                      July: 270 x 70% = </w:t>
          </w:r>
          <w:r w:rsidRPr="00AE4623">
            <w:rPr>
              <w:u w:val="single"/>
            </w:rPr>
            <w:t>189</w:t>
          </w:r>
          <w:r>
            <w:t xml:space="preserve">                           August: 270 x 70% = </w:t>
          </w:r>
          <w:r w:rsidRPr="00AE4623">
            <w:rPr>
              <w:u w:val="single"/>
            </w:rPr>
            <w:t>189</w:t>
          </w:r>
        </w:p>
        <w:p w:rsidR="00AE4623" w:rsidRDefault="00AE4623" w:rsidP="00AE4623">
          <w:pPr>
            <w:rPr>
              <w:u w:val="single"/>
            </w:rPr>
          </w:pPr>
          <w:r>
            <w:t xml:space="preserve">September: 220 x 70% = </w:t>
          </w:r>
          <w:r w:rsidRPr="00AE4623">
            <w:rPr>
              <w:u w:val="single"/>
            </w:rPr>
            <w:t>154</w:t>
          </w:r>
          <w:r>
            <w:t xml:space="preserve">          October: 210 x 70% = </w:t>
          </w:r>
          <w:r w:rsidRPr="00AE4623">
            <w:rPr>
              <w:u w:val="single"/>
            </w:rPr>
            <w:t>147</w:t>
          </w:r>
          <w:r>
            <w:t xml:space="preserve">                    November: 190 x 70% = </w:t>
          </w:r>
          <w:r w:rsidRPr="00AE4623">
            <w:rPr>
              <w:u w:val="single"/>
            </w:rPr>
            <w:t>133</w:t>
          </w:r>
        </w:p>
        <w:p w:rsidR="00F42BDF" w:rsidRPr="00AE4623" w:rsidRDefault="00F42BDF" w:rsidP="00AE4623"/>
        <w:p w:rsidR="00AE4623" w:rsidRPr="00AE4623" w:rsidRDefault="00AE4623" w:rsidP="00AE4623"/>
        <w:p w:rsidR="00AE4623" w:rsidRDefault="00AE4623" w:rsidP="00AE4623">
          <w:r w:rsidRPr="00F42BDF">
            <w:rPr>
              <w:b/>
            </w:rPr>
            <w:t>Cash receipts calculations</w:t>
          </w:r>
          <w:r>
            <w:t>:</w:t>
          </w:r>
          <w:r w:rsidR="00327B8F">
            <w:t xml:space="preserve"> 60% of customers pay with a credit card, with a 3% charge.</w:t>
          </w:r>
        </w:p>
        <w:p w:rsidR="00F42BDF" w:rsidRDefault="00F42BDF" w:rsidP="00AE4623">
          <w:r>
            <w:t xml:space="preserve">June: 260 x 0.6 x 3% = 4.68 = </w:t>
          </w:r>
          <w:r w:rsidRPr="009127E5">
            <w:rPr>
              <w:b/>
            </w:rPr>
            <w:t>5</w:t>
          </w:r>
        </w:p>
        <w:p w:rsidR="00F42BDF" w:rsidRDefault="00F42BDF" w:rsidP="00AE4623">
          <w:r>
            <w:t xml:space="preserve">July: 270 x 0.6 x 3% = 4.86 = </w:t>
          </w:r>
          <w:r w:rsidRPr="009127E5">
            <w:rPr>
              <w:b/>
            </w:rPr>
            <w:t>5</w:t>
          </w:r>
        </w:p>
        <w:p w:rsidR="00F42BDF" w:rsidRDefault="00F42BDF" w:rsidP="00AE4623">
          <w:r>
            <w:t xml:space="preserve">August: 270 x 0.6 x 3% = 4.86 = </w:t>
          </w:r>
          <w:r w:rsidRPr="009127E5">
            <w:rPr>
              <w:b/>
            </w:rPr>
            <w:t>5</w:t>
          </w:r>
        </w:p>
        <w:p w:rsidR="00F42BDF" w:rsidRDefault="00F42BDF" w:rsidP="00AE4623">
          <w:r>
            <w:t xml:space="preserve">September: </w:t>
          </w:r>
          <w:r w:rsidR="009127E5">
            <w:t xml:space="preserve">220 x 0.6 x 3% = 3.96 = </w:t>
          </w:r>
          <w:r w:rsidR="009127E5" w:rsidRPr="009127E5">
            <w:rPr>
              <w:b/>
            </w:rPr>
            <w:t>4</w:t>
          </w:r>
        </w:p>
        <w:p w:rsidR="009127E5" w:rsidRDefault="009127E5" w:rsidP="00AE4623">
          <w:r>
            <w:t xml:space="preserve">October: 210 x 0.6 x 3% = 3.78 = </w:t>
          </w:r>
          <w:r w:rsidRPr="009127E5">
            <w:rPr>
              <w:b/>
            </w:rPr>
            <w:t>4</w:t>
          </w:r>
        </w:p>
        <w:p w:rsidR="009127E5" w:rsidRPr="00AE4623" w:rsidRDefault="009127E5" w:rsidP="00AE4623">
          <w:r>
            <w:t xml:space="preserve">November: 190 x 0.6 x 3% = 3.42 = </w:t>
          </w:r>
          <w:r w:rsidRPr="009127E5">
            <w:rPr>
              <w:b/>
            </w:rPr>
            <w:t>3</w:t>
          </w:r>
        </w:p>
        <w:p w:rsidR="00AE4623" w:rsidRDefault="00AE4623">
          <w:pPr>
            <w:rPr>
              <w:rFonts w:asciiTheme="majorHAnsi" w:eastAsiaTheme="majorEastAsia" w:hAnsiTheme="majorHAnsi" w:cstheme="majorBidi"/>
              <w:color w:val="2E74B5" w:themeColor="accent1" w:themeShade="BF"/>
              <w:sz w:val="32"/>
              <w:szCs w:val="32"/>
            </w:rPr>
          </w:pPr>
          <w:r>
            <w:br w:type="page"/>
          </w:r>
        </w:p>
        <w:p w:rsidR="004A11F6" w:rsidRPr="007D1947" w:rsidRDefault="004A11F6" w:rsidP="007D1947"/>
        <w:p w:rsidR="00CA09F3" w:rsidRDefault="00170F72"/>
      </w:sdtContent>
    </w:sdt>
    <w:sectPr w:rsidR="00CA09F3" w:rsidSect="007A5DF9">
      <w:pgSz w:w="11906" w:h="16838"/>
      <w:pgMar w:top="1440" w:right="1080" w:bottom="1440" w:left="1080" w:header="0"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046D" w:rsidRDefault="004D046D" w:rsidP="00AE4623">
      <w:pPr>
        <w:spacing w:after="0" w:line="240" w:lineRule="auto"/>
      </w:pPr>
      <w:r>
        <w:separator/>
      </w:r>
    </w:p>
  </w:endnote>
  <w:endnote w:type="continuationSeparator" w:id="0">
    <w:p w:rsidR="004D046D" w:rsidRDefault="004D046D" w:rsidP="00AE46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046D" w:rsidRDefault="004D046D" w:rsidP="00AE4623">
      <w:pPr>
        <w:spacing w:after="0" w:line="240" w:lineRule="auto"/>
      </w:pPr>
      <w:r>
        <w:separator/>
      </w:r>
    </w:p>
  </w:footnote>
  <w:footnote w:type="continuationSeparator" w:id="0">
    <w:p w:rsidR="004D046D" w:rsidRDefault="004D046D" w:rsidP="00AE46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C6DC1"/>
    <w:multiLevelType w:val="hybridMultilevel"/>
    <w:tmpl w:val="26525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9D1481F"/>
    <w:multiLevelType w:val="hybridMultilevel"/>
    <w:tmpl w:val="06C65C4E"/>
    <w:lvl w:ilvl="0" w:tplc="3F74BDC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E252A4"/>
    <w:multiLevelType w:val="hybridMultilevel"/>
    <w:tmpl w:val="4AC4A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rsids>
    <w:rsidRoot w:val="007D1947"/>
    <w:rsid w:val="00021021"/>
    <w:rsid w:val="00042876"/>
    <w:rsid w:val="00042E43"/>
    <w:rsid w:val="000514DC"/>
    <w:rsid w:val="0005553C"/>
    <w:rsid w:val="000631D4"/>
    <w:rsid w:val="00065754"/>
    <w:rsid w:val="00084E65"/>
    <w:rsid w:val="000B5F16"/>
    <w:rsid w:val="000C2EE2"/>
    <w:rsid w:val="000D6D47"/>
    <w:rsid w:val="000E0BA8"/>
    <w:rsid w:val="000E33D3"/>
    <w:rsid w:val="00107936"/>
    <w:rsid w:val="00115B96"/>
    <w:rsid w:val="00120C1C"/>
    <w:rsid w:val="001224E4"/>
    <w:rsid w:val="001263A3"/>
    <w:rsid w:val="0013023D"/>
    <w:rsid w:val="00131FA8"/>
    <w:rsid w:val="00134E51"/>
    <w:rsid w:val="00146F31"/>
    <w:rsid w:val="00161270"/>
    <w:rsid w:val="00163645"/>
    <w:rsid w:val="00170F72"/>
    <w:rsid w:val="001B2029"/>
    <w:rsid w:val="001F05CF"/>
    <w:rsid w:val="00225A41"/>
    <w:rsid w:val="0023314B"/>
    <w:rsid w:val="00234552"/>
    <w:rsid w:val="0023641D"/>
    <w:rsid w:val="00241DA9"/>
    <w:rsid w:val="00292ADA"/>
    <w:rsid w:val="002C50AF"/>
    <w:rsid w:val="002E7122"/>
    <w:rsid w:val="002F25C3"/>
    <w:rsid w:val="002F3376"/>
    <w:rsid w:val="0031226E"/>
    <w:rsid w:val="00324CCD"/>
    <w:rsid w:val="00327B8F"/>
    <w:rsid w:val="003444C4"/>
    <w:rsid w:val="00353EA5"/>
    <w:rsid w:val="00354093"/>
    <w:rsid w:val="003858F2"/>
    <w:rsid w:val="003918F8"/>
    <w:rsid w:val="003924D2"/>
    <w:rsid w:val="003946AF"/>
    <w:rsid w:val="00396F6F"/>
    <w:rsid w:val="003C33C3"/>
    <w:rsid w:val="003D4D06"/>
    <w:rsid w:val="003E2D70"/>
    <w:rsid w:val="003F2167"/>
    <w:rsid w:val="003F314F"/>
    <w:rsid w:val="004143BC"/>
    <w:rsid w:val="00417F3E"/>
    <w:rsid w:val="00423D04"/>
    <w:rsid w:val="004446FB"/>
    <w:rsid w:val="00462DF1"/>
    <w:rsid w:val="00467E96"/>
    <w:rsid w:val="00471CFA"/>
    <w:rsid w:val="00480872"/>
    <w:rsid w:val="004A11F6"/>
    <w:rsid w:val="004A15DD"/>
    <w:rsid w:val="004A3110"/>
    <w:rsid w:val="004B55F8"/>
    <w:rsid w:val="004B79BE"/>
    <w:rsid w:val="004C1776"/>
    <w:rsid w:val="004D046D"/>
    <w:rsid w:val="004D519C"/>
    <w:rsid w:val="004E5D32"/>
    <w:rsid w:val="004E7DA5"/>
    <w:rsid w:val="00505C07"/>
    <w:rsid w:val="00520743"/>
    <w:rsid w:val="00521CF2"/>
    <w:rsid w:val="00521F1C"/>
    <w:rsid w:val="00530657"/>
    <w:rsid w:val="00552198"/>
    <w:rsid w:val="005579C8"/>
    <w:rsid w:val="00570C36"/>
    <w:rsid w:val="005760E2"/>
    <w:rsid w:val="005A0A98"/>
    <w:rsid w:val="005A2196"/>
    <w:rsid w:val="005B5139"/>
    <w:rsid w:val="005D76A8"/>
    <w:rsid w:val="005E1865"/>
    <w:rsid w:val="005E4900"/>
    <w:rsid w:val="005F3737"/>
    <w:rsid w:val="005F67E7"/>
    <w:rsid w:val="005F7369"/>
    <w:rsid w:val="00602085"/>
    <w:rsid w:val="00634A49"/>
    <w:rsid w:val="006368CE"/>
    <w:rsid w:val="00647B4B"/>
    <w:rsid w:val="00662AD6"/>
    <w:rsid w:val="00674E2A"/>
    <w:rsid w:val="00677745"/>
    <w:rsid w:val="006861C8"/>
    <w:rsid w:val="00687C4A"/>
    <w:rsid w:val="006910A7"/>
    <w:rsid w:val="006B7181"/>
    <w:rsid w:val="006E7EE0"/>
    <w:rsid w:val="006F7DAE"/>
    <w:rsid w:val="00705E2D"/>
    <w:rsid w:val="007119F9"/>
    <w:rsid w:val="00711E42"/>
    <w:rsid w:val="00715735"/>
    <w:rsid w:val="0071756C"/>
    <w:rsid w:val="00720EE2"/>
    <w:rsid w:val="00731443"/>
    <w:rsid w:val="00753C13"/>
    <w:rsid w:val="00760DC9"/>
    <w:rsid w:val="007674D4"/>
    <w:rsid w:val="00775D61"/>
    <w:rsid w:val="00785853"/>
    <w:rsid w:val="007878E3"/>
    <w:rsid w:val="007A05E5"/>
    <w:rsid w:val="007A4FE6"/>
    <w:rsid w:val="007A5DF9"/>
    <w:rsid w:val="007B2D22"/>
    <w:rsid w:val="007C5B8C"/>
    <w:rsid w:val="007D1947"/>
    <w:rsid w:val="00800358"/>
    <w:rsid w:val="00807766"/>
    <w:rsid w:val="00826190"/>
    <w:rsid w:val="00833214"/>
    <w:rsid w:val="00836F5B"/>
    <w:rsid w:val="00846BE3"/>
    <w:rsid w:val="0086198B"/>
    <w:rsid w:val="0086230B"/>
    <w:rsid w:val="00867B59"/>
    <w:rsid w:val="00877F1E"/>
    <w:rsid w:val="00886914"/>
    <w:rsid w:val="0089435C"/>
    <w:rsid w:val="008955AC"/>
    <w:rsid w:val="008D106A"/>
    <w:rsid w:val="008D500A"/>
    <w:rsid w:val="008E54E9"/>
    <w:rsid w:val="008E7AA4"/>
    <w:rsid w:val="008F2433"/>
    <w:rsid w:val="008F4809"/>
    <w:rsid w:val="008F4B79"/>
    <w:rsid w:val="009127E5"/>
    <w:rsid w:val="00922832"/>
    <w:rsid w:val="009260DE"/>
    <w:rsid w:val="00931CAA"/>
    <w:rsid w:val="00934CFF"/>
    <w:rsid w:val="0095068B"/>
    <w:rsid w:val="00991D3C"/>
    <w:rsid w:val="009930EC"/>
    <w:rsid w:val="009B4112"/>
    <w:rsid w:val="009D7ECC"/>
    <w:rsid w:val="009E19C5"/>
    <w:rsid w:val="009F7016"/>
    <w:rsid w:val="00A12B58"/>
    <w:rsid w:val="00A425B4"/>
    <w:rsid w:val="00A54A54"/>
    <w:rsid w:val="00A81505"/>
    <w:rsid w:val="00A855BE"/>
    <w:rsid w:val="00AA2A91"/>
    <w:rsid w:val="00AB5B8A"/>
    <w:rsid w:val="00AD70F2"/>
    <w:rsid w:val="00AE4623"/>
    <w:rsid w:val="00B243CC"/>
    <w:rsid w:val="00B327A6"/>
    <w:rsid w:val="00B421DF"/>
    <w:rsid w:val="00B46036"/>
    <w:rsid w:val="00B52199"/>
    <w:rsid w:val="00B70122"/>
    <w:rsid w:val="00B72849"/>
    <w:rsid w:val="00B74FC3"/>
    <w:rsid w:val="00B810EC"/>
    <w:rsid w:val="00B8201B"/>
    <w:rsid w:val="00BC46C9"/>
    <w:rsid w:val="00BC5F4F"/>
    <w:rsid w:val="00BE21F7"/>
    <w:rsid w:val="00BE6676"/>
    <w:rsid w:val="00BF0DAF"/>
    <w:rsid w:val="00BF6DB8"/>
    <w:rsid w:val="00C1702F"/>
    <w:rsid w:val="00C33042"/>
    <w:rsid w:val="00C460C3"/>
    <w:rsid w:val="00CA09F3"/>
    <w:rsid w:val="00CF178B"/>
    <w:rsid w:val="00D01899"/>
    <w:rsid w:val="00D035C1"/>
    <w:rsid w:val="00D217A0"/>
    <w:rsid w:val="00D26043"/>
    <w:rsid w:val="00D52715"/>
    <w:rsid w:val="00D53704"/>
    <w:rsid w:val="00D56B18"/>
    <w:rsid w:val="00D6346E"/>
    <w:rsid w:val="00D711FC"/>
    <w:rsid w:val="00D854A5"/>
    <w:rsid w:val="00DB133A"/>
    <w:rsid w:val="00DB21C5"/>
    <w:rsid w:val="00DC0DAD"/>
    <w:rsid w:val="00DC106F"/>
    <w:rsid w:val="00E1229F"/>
    <w:rsid w:val="00E17A62"/>
    <w:rsid w:val="00E30E21"/>
    <w:rsid w:val="00E41A73"/>
    <w:rsid w:val="00E53189"/>
    <w:rsid w:val="00E6086E"/>
    <w:rsid w:val="00E7324D"/>
    <w:rsid w:val="00E8316E"/>
    <w:rsid w:val="00E85A0B"/>
    <w:rsid w:val="00E91050"/>
    <w:rsid w:val="00EA2F9B"/>
    <w:rsid w:val="00EB01B8"/>
    <w:rsid w:val="00EB3E25"/>
    <w:rsid w:val="00EB7756"/>
    <w:rsid w:val="00ED2AC5"/>
    <w:rsid w:val="00ED3903"/>
    <w:rsid w:val="00EE49D1"/>
    <w:rsid w:val="00EE5BB7"/>
    <w:rsid w:val="00F0181F"/>
    <w:rsid w:val="00F11866"/>
    <w:rsid w:val="00F16C1A"/>
    <w:rsid w:val="00F42BDF"/>
    <w:rsid w:val="00F57DEB"/>
    <w:rsid w:val="00F674FA"/>
    <w:rsid w:val="00F71171"/>
    <w:rsid w:val="00F8165B"/>
    <w:rsid w:val="00F821EC"/>
    <w:rsid w:val="00F8303A"/>
    <w:rsid w:val="00F92923"/>
    <w:rsid w:val="00F95AA8"/>
    <w:rsid w:val="00FB208E"/>
    <w:rsid w:val="00FB75D0"/>
    <w:rsid w:val="00FB79A7"/>
    <w:rsid w:val="00FC0870"/>
    <w:rsid w:val="00FC1396"/>
    <w:rsid w:val="00FC2772"/>
    <w:rsid w:val="00FC3D16"/>
    <w:rsid w:val="00FC5506"/>
    <w:rsid w:val="00FC5E1A"/>
    <w:rsid w:val="00FE50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676"/>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F4B79"/>
    <w:pPr>
      <w:spacing w:after="200" w:line="276" w:lineRule="auto"/>
      <w:ind w:left="720"/>
      <w:contextualSpacing/>
    </w:pPr>
  </w:style>
  <w:style w:type="paragraph" w:styleId="BalloonText">
    <w:name w:val="Balloon Text"/>
    <w:basedOn w:val="Normal"/>
    <w:link w:val="BalloonTextChar"/>
    <w:uiPriority w:val="99"/>
    <w:semiHidden/>
    <w:unhideWhenUsed/>
    <w:rsid w:val="007314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443"/>
    <w:rPr>
      <w:rFonts w:ascii="Tahoma" w:hAnsi="Tahoma" w:cs="Tahoma"/>
      <w:sz w:val="16"/>
      <w:szCs w:val="16"/>
    </w:rPr>
  </w:style>
  <w:style w:type="paragraph" w:styleId="Header">
    <w:name w:val="header"/>
    <w:basedOn w:val="Normal"/>
    <w:link w:val="HeaderChar"/>
    <w:uiPriority w:val="99"/>
    <w:semiHidden/>
    <w:unhideWhenUsed/>
    <w:rsid w:val="00AE462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E4623"/>
  </w:style>
  <w:style w:type="paragraph" w:styleId="Footer">
    <w:name w:val="footer"/>
    <w:basedOn w:val="Normal"/>
    <w:link w:val="FooterChar"/>
    <w:uiPriority w:val="99"/>
    <w:unhideWhenUsed/>
    <w:rsid w:val="00AE46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623"/>
  </w:style>
  <w:style w:type="paragraph" w:styleId="Bibliography">
    <w:name w:val="Bibliography"/>
    <w:basedOn w:val="Normal"/>
    <w:next w:val="Normal"/>
    <w:uiPriority w:val="37"/>
    <w:unhideWhenUsed/>
    <w:rsid w:val="00DC106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Version="6">
  <b:Source>
    <b:Tag>Smi20</b:Tag>
    <b:SourceType>InternetSite</b:SourceType>
    <b:Guid>{6FFA4E63-28E4-4F50-97FD-26146B679106}</b:Guid>
    <b:LCID>0</b:LCID>
    <b:Author>
      <b:Author>
        <b:NameList>
          <b:Person>
            <b:Last>Smithers</b:Last>
            <b:First>Rebecca</b:First>
          </b:Person>
          <b:Person>
            <b:Last>Blackall</b:Last>
            <b:First>Molly</b:First>
          </b:Person>
        </b:NameList>
      </b:Author>
    </b:Author>
    <b:Title>UK staycation boom lifts sales of camping gear</b:Title>
    <b:Year>2020</b:Year>
    <b:YearAccessed>2024</b:YearAccessed>
    <b:MonthAccessed>April</b:MonthAccessed>
    <b:DayAccessed>01</b:DayAccessed>
    <b:URL>https://www.theguardian.com</b:URL>
    <b:RefOrder>5</b:RefOrder>
  </b:Source>
  <b:Source>
    <b:Tag>Cam21</b:Tag>
    <b:SourceType>InternetSite</b:SourceType>
    <b:Guid>{227E7BFD-780B-46D5-8307-82535E6005CD}</b:Guid>
    <b:LCID>0</b:LCID>
    <b:Author>
      <b:Author>
        <b:Corporate>Camping Trade World</b:Corporate>
      </b:Author>
    </b:Author>
    <b:Title>Camping buying trends revealed by major UK retailer</b:Title>
    <b:Year>2021</b:Year>
    <b:YearAccessed>2024</b:YearAccessed>
    <b:MonthAccessed>April</b:MonthAccessed>
    <b:DayAccessed>01</b:DayAccessed>
    <b:URL>https://www.campingtradeworld.com</b:URL>
    <b:RefOrder>6</b:RefOrder>
  </b:Source>
  <b:Source>
    <b:Tag>Uni222</b:Tag>
    <b:SourceType>InternetSite</b:SourceType>
    <b:Guid>{1D0BCDDF-9C3C-4906-8211-B3754863E518}</b:Guid>
    <b:LCID>0</b:LCID>
    <b:Author>
      <b:Author>
        <b:Corporate>UnivDatos Market Insights</b:Corporate>
      </b:Author>
    </b:Author>
    <b:Title>Camping Equipment Market to Witness CAGR of 7% (2022-2028)</b:Title>
    <b:Year>2022</b:Year>
    <b:YearAccessed>2024</b:YearAccessed>
    <b:MonthAccessed>April</b:MonthAccessed>
    <b:DayAccessed>01</b:DayAccessed>
    <b:URL>https://www.PRNewswire</b:URL>
    <b:RefOrder>7</b:RefOrder>
  </b:Source>
  <b:Source>
    <b:Tag>Sta233</b:Tag>
    <b:SourceType>InternetSite</b:SourceType>
    <b:Guid>{716D5CFE-DB2F-4531-B0E5-67D12C6A3331}</b:Guid>
    <b:LCID>0</b:LCID>
    <b:Author>
      <b:Author>
        <b:Corporate>Statista</b:Corporate>
      </b:Author>
    </b:Author>
    <b:Title>Camping-United Kingdom</b:Title>
    <b:Year>2023</b:Year>
    <b:YearAccessed>2024</b:YearAccessed>
    <b:MonthAccessed>April</b:MonthAccessed>
    <b:DayAccessed>01</b:DayAccessed>
    <b:URL>https://www.statista.com</b:URL>
    <b:RefOrder>8</b:RefOrder>
  </b:Source>
  <b:Source>
    <b:Tag>BBC20</b:Tag>
    <b:SourceType>InternetSite</b:SourceType>
    <b:Guid>{55408A76-C1DA-4FB1-8433-ECAD89D12A57}</b:Guid>
    <b:LCID>0</b:LCID>
    <b:Author>
      <b:Author>
        <b:Corporate>BBC</b:Corporate>
      </b:Author>
    </b:Author>
    <b:Title>Coronavirus: Go Outdoors set to call in administrators</b:Title>
    <b:Year>2020</b:Year>
    <b:YearAccessed>2024</b:YearAccessed>
    <b:MonthAccessed>April</b:MonthAccessed>
    <b:DayAccessed>01</b:DayAccessed>
    <b:URL>https://www.bbc.co.uk</b:URL>
    <b:RefOrder>9</b:RefOrder>
  </b:Source>
  <b:Source>
    <b:Tag>Nor23</b:Tag>
    <b:SourceType>InternetSite</b:SourceType>
    <b:Guid>{159668B8-BED1-43EE-A778-8466101CC58F}</b:Guid>
    <b:LCID>0</b:LCID>
    <b:Author>
      <b:Author>
        <b:NameList>
          <b:Person>
            <b:Last>Norman</b:Last>
            <b:First>Matthew</b:First>
          </b:Person>
        </b:NameList>
      </b:Author>
    </b:Author>
    <b:Title>Go Outdoors Oxford will permanently close its doors</b:Title>
    <b:Year>2023</b:Year>
    <b:YearAccessed>2024</b:YearAccessed>
    <b:MonthAccessed>April</b:MonthAccessed>
    <b:DayAccessed>01</b:DayAccessed>
    <b:URL>https://www.oxfordmail.co.uk</b:URL>
    <b:RefOrder>10</b:RefOrder>
  </b:Source>
  <b:Source>
    <b:Tag>The231</b:Tag>
    <b:SourceType>InternetSite</b:SourceType>
    <b:Guid>{26FC99F0-F1CB-4154-816D-97097B68837D}</b:Guid>
    <b:LCID>0</b:LCID>
    <b:Author>
      <b:Author>
        <b:Corporate>The Outdoor Guide</b:Corporate>
      </b:Author>
    </b:Author>
    <b:Title>The History of Camping and Outdoor Gear</b:Title>
    <b:Year>2023</b:Year>
    <b:YearAccessed>2024</b:YearAccessed>
    <b:MonthAccessed>April</b:MonthAccessed>
    <b:DayAccessed>01</b:DayAccessed>
    <b:URL>https://www.the outdoorguide.co.uk</b:URL>
    <b:RefOrder>11</b:RefOrder>
  </b:Source>
  <b:Source>
    <b:Tag>Pap21</b:Tag>
    <b:SourceType>InternetSite</b:SourceType>
    <b:Guid>{3749972F-9B94-4FE6-9B3C-47B46092420B}</b:Guid>
    <b:LCID>0</b:LCID>
    <b:Author>
      <b:Author>
        <b:NameList>
          <b:Person>
            <b:Last>Papoutsi</b:Last>
            <b:First>Melina</b:First>
          </b:Person>
        </b:NameList>
      </b:Author>
    </b:Author>
    <b:Title>Lending relationships in loan renegotiation: evidence from corporate loans</b:Title>
    <b:Year>2021</b:Year>
    <b:YearAccessed>2024</b:YearAccessed>
    <b:MonthAccessed>April</b:MonthAccessed>
    <b:DayAccessed>01</b:DayAccessed>
    <b:URL>https://www.ecb.europa.eu</b:URL>
    <b:RefOrder>12</b:RefOrder>
  </b:Source>
  <b:Source>
    <b:Tag>Dru21</b:Tag>
    <b:SourceType>Book</b:SourceType>
    <b:Guid>{CB135118-9CCA-48B8-9B6F-D418F1C80003}</b:Guid>
    <b:LCID>0</b:LCID>
    <b:Author>
      <b:Author>
        <b:NameList>
          <b:Person>
            <b:Last>Drury</b:Last>
            <b:First>Colin</b:First>
          </b:Person>
        </b:NameList>
      </b:Author>
    </b:Author>
    <b:Title>Management and cost accounting</b:Title>
    <b:Year>2021</b:Year>
    <b:City>Australia</b:City>
    <b:Publisher>Cengage</b:Publisher>
    <b:Edition>11'th Edition</b:Edition>
    <b:RefOrder>31</b:RefOrder>
  </b:Source>
  <b:Source>
    <b:Tag>Dys20</b:Tag>
    <b:SourceType>Book</b:SourceType>
    <b:Guid>{CAA2A7CC-FD59-48F7-ADBC-FD77DAEEDE39}</b:Guid>
    <b:LCID>0</b:LCID>
    <b:Author>
      <b:Author>
        <b:NameList>
          <b:Person>
            <b:Last>Dyson</b:Last>
            <b:First>J.</b:First>
            <b:Middle>R.</b:Middle>
          </b:Person>
        </b:NameList>
      </b:Author>
    </b:Author>
    <b:Title>Accounting for non-accounting students</b:Title>
    <b:Year>2020</b:Year>
    <b:City>Harlow</b:City>
    <b:Publisher>Pearson</b:Publisher>
    <b:Edition>10'th Edition</b:Edition>
    <b:RefOrder>32</b:RefOrder>
  </b:Source>
  <b:Source>
    <b:Tag>Had21</b:Tag>
    <b:SourceType>JournalArticle</b:SourceType>
    <b:Guid>{632335BE-88FF-413C-A13B-5DDA93EFA659}</b:Guid>
    <b:LCID>0</b:LCID>
    <b:Author>
      <b:Author>
        <b:NameList>
          <b:Person>
            <b:Last>Hadid</b:Last>
            <b:First>Wael</b:First>
          </b:Person>
          <b:Person>
            <b:Last>Al-Sayed</b:Last>
            <b:First>Mahmoud</b:First>
          </b:Person>
        </b:NameList>
      </b:Author>
    </b:Author>
    <b:Title>Management accountants and strategic management accounting: The role of organizational culture and information systems</b:Title>
    <b:Year>2021</b:Year>
    <b:JournalName>Management Accounting Research</b:JournalName>
    <b:Pages>100725</b:Pages>
    <b:Volume>50</b:Volume>
    <b:Issue>1</b:Issue>
    <b:RefOrder>1</b:RefOrder>
  </b:Source>
  <b:Source>
    <b:Tag>Hor20</b:Tag>
    <b:SourceType>Book</b:SourceType>
    <b:Guid>{F146E44B-B6A3-40DF-86CD-8F184A70438B}</b:Guid>
    <b:LCID>0</b:LCID>
    <b:Author>
      <b:Author>
        <b:NameList>
          <b:Person>
            <b:Last>Horner</b:Last>
            <b:First>D</b:First>
          </b:Person>
        </b:NameList>
      </b:Author>
    </b:Author>
    <b:Title>Accounting for Non Accountants</b:Title>
    <b:Year>2020</b:Year>
    <b:City>London</b:City>
    <b:Publisher>Kogan Press</b:Publisher>
    <b:Edition>Twelfth Edition</b:Edition>
    <b:RefOrder>33</b:RefOrder>
  </b:Source>
  <b:Source>
    <b:Tag>Wal09</b:Tag>
    <b:SourceType>Book</b:SourceType>
    <b:Guid>{B9889D35-F074-4319-9B32-EFA9A4C4FB7A}</b:Guid>
    <b:LCID>0</b:LCID>
    <b:Author>
      <b:Author>
        <b:NameList>
          <b:Person>
            <b:Last>Walsh</b:Last>
            <b:First>C</b:First>
          </b:Person>
        </b:NameList>
      </b:Author>
    </b:Author>
    <b:Title>Key Management Ratios</b:Title>
    <b:Year>2009</b:Year>
    <b:City>Harlow</b:City>
    <b:Publisher>Pearson Education Limited</b:Publisher>
    <b:RefOrder>34</b:RefOrder>
  </b:Source>
  <b:Source>
    <b:Tag>Dav23</b:Tag>
    <b:SourceType>JournalArticle</b:SourceType>
    <b:Guid>{D9C8E08D-EF1F-49BB-9E62-7E8CF7B2FC74}</b:Guid>
    <b:LCID>0</b:LCID>
    <b:Author>
      <b:Author>
        <b:NameList>
          <b:Person>
            <b:Last>Davila</b:Last>
            <b:First>Antonio</b:First>
          </b:Person>
          <b:Person>
            <b:Last>Derchi</b:Last>
            <b:First>Giovanni-Battista</b:First>
          </b:Person>
          <b:Person>
            <b:Last>Oyon</b:Last>
            <b:First>Daniel</b:First>
          </b:Person>
          <b:Person>
            <b:Last>Schnegg</b:Last>
            <b:First>Mael</b:First>
          </b:Person>
        </b:NameList>
      </b:Author>
    </b:Author>
    <b:Title>External complexity and the design of management control systems: a case study</b:Title>
    <b:Year>2023</b:Year>
    <b:Pages>100875</b:Pages>
    <b:JournalName>Management Accounting Research</b:JournalName>
    <b:Volume>4</b:Volume>
    <b:Issue>1</b:Issue>
    <b:RefOrder>15</b:RefOrder>
  </b:Source>
  <b:Source>
    <b:Tag>Mar121</b:Tag>
    <b:SourceType>Book</b:SourceType>
    <b:Guid>{C831E07E-17BD-4D02-96A2-0BF85052EBEC}</b:Guid>
    <b:LCID>0</b:LCID>
    <b:Author>
      <b:Author>
        <b:NameList>
          <b:Person>
            <b:Last>Marr</b:Last>
            <b:First>Bernard</b:First>
          </b:Person>
        </b:NameList>
      </b:Author>
    </b:Author>
    <b:Title>Key performance indicators: the 75 measures every manager needs to know</b:Title>
    <b:Year>2012</b:Year>
    <b:City>Harlow</b:City>
    <b:Publisher>Pearson</b:Publisher>
    <b:Edition>First Edition</b:Edition>
    <b:RefOrder>35</b:RefOrder>
  </b:Source>
  <b:Source>
    <b:Tag>Wal08</b:Tag>
    <b:SourceType>Book</b:SourceType>
    <b:Guid>{05A91FD8-8DC5-4381-8B85-6CD0CDDBB202}</b:Guid>
    <b:LCID>0</b:LCID>
    <b:Author>
      <b:Author>
        <b:NameList>
          <b:Person>
            <b:Last>Walsh</b:Last>
            <b:First>Ciaran</b:First>
          </b:Person>
        </b:NameList>
      </b:Author>
    </b:Author>
    <b:Title>Key management ratios: 100+ ratios every manager should know</b:Title>
    <b:Year>2008</b:Year>
    <b:City>Harlow</b:City>
    <b:Publisher>FT Prentis Hall</b:Publisher>
    <b:Edition>Fourth Edition</b:Edition>
    <b:RefOrder>21</b:RefOrder>
  </b:Source>
  <b:Source>
    <b:Tag>Law23</b:Tag>
    <b:SourceType>InternetSite</b:SourceType>
    <b:Guid>{CF727757-26A8-40A9-8609-3B538B4DF4D5}</b:Guid>
    <b:LCID>0</b:LCID>
    <b:Author>
      <b:Author>
        <b:NameList>
          <b:Person>
            <b:Last>Lawrence</b:Last>
            <b:First>Paul</b:First>
            <b:Middle>R.</b:Middle>
          </b:Person>
        </b:NameList>
      </b:Author>
    </b:Author>
    <b:Title>How to Deal with Resistance to Change</b:Title>
    <b:Year>2023</b:Year>
    <b:YearAccessed>2024</b:YearAccessed>
    <b:MonthAccessed>April</b:MonthAccessed>
    <b:DayAccessed>02</b:DayAccessed>
    <b:URL>https://www.hbr.org</b:URL>
    <b:RefOrder>17</b:RefOrder>
  </b:Source>
  <b:Source>
    <b:Tag>Wal13</b:Tag>
    <b:SourceType>JournalArticle</b:SourceType>
    <b:Guid>{E2982106-1614-4C16-A784-0B250C98284B}</b:Guid>
    <b:LCID>0</b:LCID>
    <b:Author>
      <b:Author>
        <b:NameList>
          <b:Person>
            <b:Last>Walker</b:Last>
            <b:First>Kenton</b:First>
            <b:Middle>B</b:Middle>
          </b:Person>
          <b:Person>
            <b:Last>Fleischman</b:Last>
            <b:First>Gary</b:First>
            <b:Middle>M</b:Middle>
          </b:Person>
        </b:NameList>
      </b:Author>
    </b:Author>
    <b:Title>Toeing the Line: The Ethics of Manipulating Budgets and Earnings</b:Title>
    <b:Year>2013</b:Year>
    <b:JournalName>Management Accounting</b:JournalName>
    <b:Pages>1-8</b:Pages>
    <b:Volume>14</b:Volume>
    <b:Issue>3</b:Issue>
    <b:RefOrder>18</b:RefOrder>
  </b:Source>
  <b:Source>
    <b:Tag>Han18</b:Tag>
    <b:SourceType>JournalArticle</b:SourceType>
    <b:Guid>{812EC1F9-C7D1-4F79-9B17-0C0A4B40F03C}</b:Guid>
    <b:LCID>0</b:LCID>
    <b:Author>
      <b:Author>
        <b:NameList>
          <b:Person>
            <b:Last>Handoyo</b:Last>
            <b:First>Sofik</b:First>
          </b:Person>
        </b:NameList>
      </b:Author>
    </b:Author>
    <b:Title>Study Motivation, Academic Performance and Commitment Career in Accounting Profession</b:Title>
    <b:JournalName>Journal of Education and Learning</b:JournalName>
    <b:Year>2018</b:Year>
    <b:Pages>366-375</b:Pages>
    <b:Volume>12</b:Volume>
    <b:Issue>3</b:Issue>
    <b:RefOrder>19</b:RefOrder>
  </b:Source>
  <b:Source>
    <b:Tag>Mun06</b:Tag>
    <b:SourceType>JournalArticle</b:SourceType>
    <b:Guid>{7E6687D2-7C04-4001-85D5-16E9953940D4}</b:Guid>
    <b:LCID>0</b:LCID>
    <b:Author>
      <b:Author>
        <b:NameList>
          <b:Person>
            <b:Last>Munoz</b:Last>
            <b:First>Sandra</b:First>
          </b:Person>
          <b:Person>
            <b:Last>Ho</b:Last>
            <b:First>Joanna</b:First>
          </b:Person>
          <b:Person>
            <b:Last>Chow</b:Last>
            <b:First>Chee</b:First>
          </b:Person>
        </b:NameList>
      </b:Author>
    </b:Author>
    <b:Title>Enhancing Knowledge Sharing in Public Accounting Firms</b:Title>
    <b:JournalName>Accounting Horizons</b:JournalName>
    <b:Year>2006</b:Year>
    <b:Pages>133-135</b:Pages>
    <b:Volume>20</b:Volume>
    <b:Issue>2</b:Issue>
    <b:RefOrder>20</b:RefOrder>
  </b:Source>
  <b:Source>
    <b:Tag>Sea19</b:Tag>
    <b:SourceType>Book</b:SourceType>
    <b:Guid>{CB352F5D-43C4-4FFD-A398-94E4D318FF64}</b:Guid>
    <b:LCID>0</b:LCID>
    <b:Author>
      <b:Author>
        <b:NameList>
          <b:Person>
            <b:Last>Seal</b:Last>
            <b:First>W.</b:First>
            <b:Middle>B.</b:Middle>
          </b:Person>
          <b:Person>
            <b:Last>Rohde</b:Last>
            <b:First>Carsten</b:First>
          </b:Person>
          <b:Person>
            <b:Last>Garrison</b:Last>
            <b:First>Ray</b:First>
            <b:Middle>H.</b:Middle>
          </b:Person>
          <b:Person>
            <b:Last>Noreen</b:Last>
            <b:First>Eric</b:First>
            <b:Middle>W.</b:Middle>
          </b:Person>
        </b:NameList>
      </b:Author>
    </b:Author>
    <b:Title>Management accounting</b:Title>
    <b:Year>2019</b:Year>
    <b:City>London</b:City>
    <b:Publisher>McGraw-Hill Education</b:Publisher>
    <b:Edition>Sixth Edition</b:Edition>
    <b:RefOrder>22</b:RefOrder>
  </b:Source>
  <b:Source>
    <b:Tag>Atr21</b:Tag>
    <b:SourceType>Book</b:SourceType>
    <b:Guid>{66436BE2-B3B1-4433-A7DA-5CAF8AD6FB8E}</b:Guid>
    <b:LCID>0</b:LCID>
    <b:Author>
      <b:Author>
        <b:NameList>
          <b:Person>
            <b:Last>Atrill</b:Last>
            <b:First>Peter</b:First>
          </b:Person>
          <b:Person>
            <b:Last>McLaney</b:Last>
            <b:First>Eddie</b:First>
          </b:Person>
        </b:NameList>
      </b:Author>
    </b:Author>
    <b:Title>Management Accounting for Decision Makers</b:Title>
    <b:Year>2021</b:Year>
    <b:City>Harlow</b:City>
    <b:Publisher>Pearson Education Ltd</b:Publisher>
    <b:Edition>Tenth Edition</b:Edition>
    <b:RefOrder>23</b:RefOrder>
  </b:Source>
  <b:Source>
    <b:Tag>Liy21</b:Tag>
    <b:SourceType>InternetSite</b:SourceType>
    <b:Guid>{017C0990-0238-45DC-9E45-9D32462DA0A0}</b:Guid>
    <b:LCID>0</b:LCID>
    <b:Author>
      <b:Author>
        <b:NameList>
          <b:Person>
            <b:Last>Liyanage</b:Last>
            <b:First>Thisali</b:First>
          </b:Person>
        </b:NameList>
      </b:Author>
    </b:Author>
    <b:Title>From 'Traditional' Budgeting to 'Better' Budgeting: Navigating through 'Stability' and 'Change'</b:Title>
    <b:Year>2021</b:Year>
    <b:YearAccessed>2024</b:YearAccessed>
    <b:MonthAccessed>April</b:MonthAccessed>
    <b:DayAccessed>02</b:DayAccessed>
    <b:URL>https://academia.edu</b:URL>
    <b:RefOrder>29</b:RefOrder>
  </b:Source>
  <b:Source>
    <b:Tag>ACC24</b:Tag>
    <b:SourceType>InternetSite</b:SourceType>
    <b:Guid>{38841905-87A0-4467-9ED2-ECC51871595C}</b:Guid>
    <b:LCID>0</b:LCID>
    <b:Author>
      <b:Author>
        <b:Corporate>ACCA Global</b:Corporate>
      </b:Author>
    </b:Author>
    <b:Title>Beyond budgeting</b:Title>
    <b:Year>2024</b:Year>
    <b:YearAccessed>2024</b:YearAccessed>
    <b:MonthAccessed>April</b:MonthAccessed>
    <b:DayAccessed>03</b:DayAccessed>
    <b:URL>https://www.accaglobal.com</b:URL>
    <b:RefOrder>25</b:RefOrder>
  </b:Source>
  <b:Source>
    <b:Tag>Jen20</b:Tag>
    <b:SourceType>InternetSite</b:SourceType>
    <b:Guid>{76C080A8-4348-4C39-A01A-B28B6B233DBE}</b:Guid>
    <b:LCID>0</b:LCID>
    <b:Author>
      <b:Author>
        <b:NameList>
          <b:Person>
            <b:Last>Jenkins</b:Last>
            <b:First>Abby</b:First>
          </b:Person>
        </b:NameList>
      </b:Author>
    </b:Author>
    <b:Title>What is Inventory Management? Benefits, Types and Techniques</b:Title>
    <b:Year>2020</b:Year>
    <b:YearAccessed>2024</b:YearAccessed>
    <b:MonthAccessed>April</b:MonthAccessed>
    <b:DayAccessed>09</b:DayAccessed>
    <b:URL>https://www.netsuite.com</b:URL>
    <b:RefOrder>13</b:RefOrder>
  </b:Source>
  <b:Source>
    <b:Tag>ACC241</b:Tag>
    <b:SourceType>InternetSite</b:SourceType>
    <b:Guid>{6B619D39-55DF-46EE-B93A-0DFF6A9055C8}</b:Guid>
    <b:LCID>0</b:LCID>
    <b:Author>
      <b:Author>
        <b:Corporate>ACCA Global</b:Corporate>
      </b:Author>
    </b:Author>
    <b:Title>Comparing budgeting techniques (Incremental v ZBB)</b:Title>
    <b:Year>2024</b:Year>
    <b:YearAccessed>2024</b:YearAccessed>
    <b:MonthAccessed>April</b:MonthAccessed>
    <b:DayAccessed>8</b:DayAccessed>
    <b:URL>https://www.accaglobal.com</b:URL>
    <b:RefOrder>24</b:RefOrder>
  </b:Source>
  <b:Source>
    <b:Tag>Bri24</b:Tag>
    <b:SourceType>InternetSite</b:SourceType>
    <b:Guid>{32337F81-9E23-408C-AA9B-8E900245E638}</b:Guid>
    <b:LCID>0</b:LCID>
    <b:Author>
      <b:Author>
        <b:Corporate>British Business Bank</b:Corporate>
      </b:Author>
    </b:Author>
    <b:Title>Zero-based budgeting</b:Title>
    <b:Year>2024</b:Year>
    <b:YearAccessed>2024</b:YearAccessed>
    <b:MonthAccessed>April</b:MonthAccessed>
    <b:DayAccessed>8</b:DayAccessed>
    <b:URL>https://www.british-business-bank.co.uk</b:URL>
    <b:RefOrder>36</b:RefOrder>
  </b:Source>
  <b:Source>
    <b:Tag>Del24</b:Tag>
    <b:SourceType>InternetSite</b:SourceType>
    <b:Guid>{1B075201-7992-4508-A616-99E4CD7D8744}</b:Guid>
    <b:LCID>0</b:LCID>
    <b:Author>
      <b:Author>
        <b:Corporate>Deloitte</b:Corporate>
      </b:Author>
    </b:Author>
    <b:Title>Zero-based budgeting</b:Title>
    <b:Year>2024</b:Year>
    <b:YearAccessed>2024</b:YearAccessed>
    <b:MonthAccessed>April</b:MonthAccessed>
    <b:DayAccessed>9</b:DayAccessed>
    <b:URL>https://www2.deloitte.com</b:URL>
    <b:RefOrder>37</b:RefOrder>
  </b:Source>
  <b:Source>
    <b:Tag>Sta21</b:Tag>
    <b:SourceType>InternetSite</b:SourceType>
    <b:Guid>{FE59CB5E-A466-4549-AA5A-E2491B90911A}</b:Guid>
    <b:LCID>0</b:LCID>
    <b:Author>
      <b:Author>
        <b:NameList>
          <b:Person>
            <b:Last>Stange</b:Last>
            <b:First>Sebastian</b:First>
          </b:Person>
          <b:Person>
            <b:Last>Bogsnes</b:Last>
            <b:First>Bjarte</b:First>
          </b:Person>
          <b:Person>
            <b:Last>Sheth</b:Last>
            <b:First>Hardik</b:First>
          </b:Person>
        </b:NameList>
      </b:Author>
    </b:Author>
    <b:Title>Going Beyond Budgeting</b:Title>
    <b:Year>2021</b:Year>
    <b:YearAccessed>2024</b:YearAccessed>
    <b:MonthAccessed>April</b:MonthAccessed>
    <b:DayAccessed>8</b:DayAccessed>
    <b:URL>https://www.bcg.com</b:URL>
    <b:RefOrder>26</b:RefOrder>
  </b:Source>
  <b:Source>
    <b:Tag>Maz19</b:Tag>
    <b:SourceType>InternetSite</b:SourceType>
    <b:Guid>{711A64D0-9083-48EE-807F-289CF818AC7D}</b:Guid>
    <b:LCID>0</b:LCID>
    <b:Author>
      <b:Author>
        <b:NameList>
          <b:Person>
            <b:Last>Mazikana</b:Last>
            <b:First>Anthony</b:First>
            <b:Middle>Tapiwa</b:Middle>
          </b:Person>
        </b:NameList>
      </b:Author>
    </b:Author>
    <b:Title>The Effect of Budgetary Controls on the Performance of an Organisation</b:Title>
    <b:Year>2019</b:Year>
    <b:YearAccessed>2024</b:YearAccessed>
    <b:MonthAccessed>April</b:MonthAccessed>
    <b:DayAccessed>9</b:DayAccessed>
    <b:URL>https://www.papers.ssrn.com</b:URL>
    <b:RefOrder>3</b:RefOrder>
  </b:Source>
  <b:Source>
    <b:Tag>Jay23</b:Tag>
    <b:SourceType>JournalArticle</b:SourceType>
    <b:Guid>{06CADFA3-CD9E-41E0-9598-EE4619F77CE6}</b:Guid>
    <b:LCID>0</b:LCID>
    <b:Author>
      <b:Author>
        <b:NameList>
          <b:Person>
            <b:Last>Jayalakshmi</b:Last>
            <b:First>M</b:First>
          </b:Person>
          <b:Person>
            <b:Last>Shetty</b:Last>
            <b:First>Jyoti</b:First>
            <b:Middle>Harsha</b:Middle>
          </b:Person>
          <b:Person>
            <b:Last>Poornima</b:Last>
            <b:First>H</b:First>
            <b:Middle>K</b:Middle>
          </b:Person>
          <b:Person>
            <b:Last>Sumithra</b:Last>
            <b:First>N</b:First>
            <b:Middle>P</b:Middle>
          </b:Person>
          <b:Person>
            <b:Last>Chintan</b:Last>
            <b:First>Raj</b:First>
            <b:Middle>Vernekar</b:Middle>
          </b:Person>
          <b:Person>
            <b:Last>Shedthi</b:Last>
            <b:First>Ashwini</b:First>
          </b:Person>
        </b:NameList>
      </b:Author>
    </b:Author>
    <b:Title>Impact of the Budgetary Control on Organisation Performance</b:Title>
    <b:Year>2023</b:Year>
    <b:JournalName>Journal of Survey in Fisheries Science</b:JournalName>
    <b:Pages>1664-1670</b:Pages>
    <b:Volume>10</b:Volume>
    <b:Issue>3</b:Issue>
    <b:RefOrder>28</b:RefOrder>
  </b:Source>
  <b:Source>
    <b:Tag>Bhi06</b:Tag>
    <b:SourceType>Book</b:SourceType>
    <b:Guid>{E54000F7-EFFC-4B57-ADC2-AA9893F0CBA0}</b:Guid>
    <b:LCID>0</b:LCID>
    <b:Author>
      <b:Author>
        <b:NameList>
          <b:Person>
            <b:Last>Bhimani</b:Last>
            <b:First>Alnoor</b:First>
          </b:Person>
        </b:NameList>
      </b:Author>
    </b:Author>
    <b:Title>Contemporary issues in management accounting</b:Title>
    <b:Year>2006</b:Year>
    <b:City>Oxford</b:City>
    <b:Publisher>Oxford University Press</b:Publisher>
    <b:RefOrder>2</b:RefOrder>
  </b:Source>
  <b:Source>
    <b:Tag>Ric23</b:Tag>
    <b:SourceType>InternetSite</b:SourceType>
    <b:Guid>{BFDA5CDE-B2DB-4D49-86E8-E6AE89E5E76A}</b:Guid>
    <b:LCID>0</b:LCID>
    <b:Author>
      <b:Author>
        <b:NameList>
          <b:Person>
            <b:Last>Richard</b:Last>
            <b:First>James</b:First>
          </b:Person>
        </b:NameList>
      </b:Author>
    </b:Author>
    <b:Title>The History of Budgeting: When did it Start and the Evolution Oveer Time</b:Title>
    <b:Year>2023</b:Year>
    <b:YearAccessed>2024</b:YearAccessed>
    <b:MonthAccessed>April</b:MonthAccessed>
    <b:DayAccessed>10</b:DayAccessed>
    <b:URL>https://www.solving-finance.com</b:URL>
    <b:RefOrder>4</b:RefOrder>
  </b:Source>
  <b:Source>
    <b:Tag>Sea18</b:Tag>
    <b:SourceType>Book</b:SourceType>
    <b:Guid>{594DE3D0-4D06-46EB-B203-62E38FE7922A}</b:Guid>
    <b:LCID>0</b:LCID>
    <b:Author>
      <b:Author>
        <b:NameList>
          <b:Person>
            <b:Last>Seal</b:Last>
            <b:First>Will</b:First>
          </b:Person>
          <b:Person>
            <b:Last>Rhode</b:Last>
            <b:First>Carsten</b:First>
          </b:Person>
          <b:Person>
            <b:Last>Garrison</b:Last>
            <b:First>Ray</b:First>
            <b:Middle>H</b:Middle>
          </b:Person>
          <b:Person>
            <b:Last>Noreen</b:Last>
            <b:First>Eric</b:First>
            <b:Middle>W</b:Middle>
          </b:Person>
        </b:NameList>
      </b:Author>
    </b:Author>
    <b:Title>Management Accounting</b:Title>
    <b:Year>2018</b:Year>
    <b:City>London</b:City>
    <b:Publisher>McGraw-Hill Education</b:Publisher>
    <b:Edition>Sixth Edition</b:Edition>
    <b:RefOrder>30</b:RefOrder>
  </b:Source>
  <b:Source>
    <b:Tag>Seu23</b:Tag>
    <b:SourceType>InternetSite</b:SourceType>
    <b:Guid>{594CE293-48BF-413E-97D0-5BE2852EC748}</b:Guid>
    <b:LCID>0</b:LCID>
    <b:Author>
      <b:Author>
        <b:NameList>
          <b:Person>
            <b:Last>Seurkamp</b:Last>
            <b:First>Danielle</b:First>
          </b:Person>
        </b:NameList>
      </b:Author>
    </b:Author>
    <b:Title>Best Practices for Cash Management</b:Title>
    <b:Year>2023</b:Year>
    <b:YearAccessed>2024</b:YearAccessed>
    <b:MonthAccessed>April</b:MonthAccessed>
    <b:DayAccessed>10</b:DayAccessed>
    <b:URL>https://www.forbes.com</b:URL>
    <b:RefOrder>14</b:RefOrder>
  </b:Source>
  <b:Source>
    <b:Tag>Mal18</b:Tag>
    <b:SourceType>Book</b:SourceType>
    <b:Guid>{637E390D-2B21-4867-B987-5D8C639312F2}</b:Guid>
    <b:LCID>0</b:LCID>
    <b:Author>
      <b:Author>
        <b:NameList>
          <b:Person>
            <b:Last>Malina</b:Last>
            <b:First>M.</b:First>
            <b:Middle>A. (ed)</b:Middle>
          </b:Person>
        </b:NameList>
      </b:Author>
    </b:Author>
    <b:Title>Advances in management accounting</b:Title>
    <b:Year>2018</b:Year>
    <b:City>Bingley</b:City>
    <b:Publisher>Emerald Publishing</b:Publisher>
    <b:Edition>Vol. 30</b:Edition>
    <b:RefOrder>27</b:RefOrder>
  </b:Source>
  <b:Source>
    <b:Tag>Sim19</b:Tag>
    <b:SourceType>BookSection</b:SourceType>
    <b:Guid>{39C10986-6DB9-4DC5-9A9B-1A030B99F952}</b:Guid>
    <b:LCID>0</b:LCID>
    <b:Author>
      <b:Author>
        <b:NameList>
          <b:Person>
            <b:Last>Simons</b:Last>
            <b:First>R.</b:First>
          </b:Person>
        </b:NameList>
      </b:Author>
    </b:Author>
    <b:Title>The role of management control systems in creating competitive advantage: new perspectives</b:Title>
    <b:Year>2019</b:Year>
    <b:Publisher>Routledge</b:Publisher>
    <b:BookTitle>Management Control Theory</b:BookTitle>
    <b:Pages>173-194</b:Pages>
    <b:RefOrder>16</b:RefOrder>
  </b:Source>
  <b:Source>
    <b:Tag>Otl19</b:Tag>
    <b:SourceType>BookSection</b:SourceType>
    <b:Guid>{8D352AE9-FB78-46BB-A8CD-31505CA9F6C4}</b:Guid>
    <b:LCID>0</b:LCID>
    <b:Author>
      <b:Author>
        <b:NameList>
          <b:Person>
            <b:Last>Otley</b:Last>
            <b:First>D</b:First>
            <b:Middle>T</b:Middle>
          </b:Person>
          <b:Person>
            <b:Last>Berry</b:Last>
            <b:First>A</b:First>
            <b:Middle>J</b:Middle>
          </b:Person>
        </b:NameList>
      </b:Author>
    </b:Author>
    <b:Title>Control, organisation and accounting</b:Title>
    <b:BookTitle>Management Control Therapy</b:BookTitle>
    <b:Year>2019</b:Year>
    <b:Pages>101-114</b:Pages>
    <b:Publisher>Routledge</b:Publisher>
    <b:RefOrder>38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208876-9D44-41B6-A5A7-29F4A71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9632</TotalTime>
  <Pages>16</Pages>
  <Words>4926</Words>
  <Characters>28080</Characters>
  <Application>Microsoft Office Word</Application>
  <DocSecurity>0</DocSecurity>
  <Lines>234</Lines>
  <Paragraphs>65</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budgeting principles and approaches - edwards</vt:lpstr>
      <vt:lpstr>Executive Summary</vt:lpstr>
      <vt:lpstr/>
      <vt:lpstr>Introduction</vt:lpstr>
      <vt:lpstr/>
      <vt:lpstr>Main Findings</vt:lpstr>
      <vt:lpstr>    </vt:lpstr>
      <vt:lpstr>    Edwards’ Six Months Budget Forecast</vt:lpstr>
      <vt:lpstr>    </vt:lpstr>
      <vt:lpstr>    An Analysis of the Six Months Budget Forecast</vt:lpstr>
      <vt:lpstr>    3.Budgeting and budgetary controls</vt:lpstr>
      <vt:lpstr>    4.Evaluation of traditional approaches to budgeting</vt:lpstr>
      <vt:lpstr/>
      <vt:lpstr/>
      <vt:lpstr/>
      <vt:lpstr/>
      <vt:lpstr>Conclusion </vt:lpstr>
      <vt:lpstr>Bibliography</vt:lpstr>
      <vt:lpstr>Appendix 1</vt:lpstr>
    </vt:vector>
  </TitlesOfParts>
  <Company>University of Wales Trinity Saint David</Company>
  <LinksUpToDate>false</LinksUpToDate>
  <CharactersWithSpaces>32941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 - edwards</dc:title>
  <dc:subject>Irina Kitley 2219546 </dc:subject>
  <dc:creator>Marie Pitson</dc:creator>
  <cp:lastModifiedBy>irina ramniceanu</cp:lastModifiedBy>
  <cp:revision>267</cp:revision>
  <cp:lastPrinted>2024-04-02T19:09:00Z</cp:lastPrinted>
  <dcterms:created xsi:type="dcterms:W3CDTF">2024-04-01T21:48:00Z</dcterms:created>
  <dcterms:modified xsi:type="dcterms:W3CDTF">2024-04-14T17:53:00Z</dcterms:modified>
</cp:coreProperties>
</file>