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media/image2.png" ContentType="image/pn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480"/>
        <w:jc w:val="center"/>
        <w:rPr>
          <w:rFonts w:ascii="Times New Roman" w:hAnsi="Times New Roman" w:cs="Times New Roman"/>
          <w:b/>
          <w:bCs/>
        </w:rPr>
      </w:pPr>
      <w:r>
        <w:rPr>
          <w:rFonts w:cs="Times New Roman" w:ascii="Times New Roman" w:hAnsi="Times New Roman"/>
          <w:b/>
          <w:bCs/>
        </w:rPr>
      </w:r>
    </w:p>
    <w:p>
      <w:pPr>
        <w:pStyle w:val="Normal"/>
        <w:spacing w:lineRule="auto" w:line="480"/>
        <w:jc w:val="center"/>
        <w:rPr>
          <w:rFonts w:ascii="Times New Roman" w:hAnsi="Times New Roman" w:cs="Times New Roman"/>
          <w:b/>
          <w:bCs/>
        </w:rPr>
      </w:pPr>
      <w:r>
        <w:rPr>
          <w:rFonts w:cs="Times New Roman" w:ascii="Times New Roman" w:hAnsi="Times New Roman"/>
          <w:b/>
          <w:bCs/>
        </w:rPr>
      </w:r>
    </w:p>
    <w:p>
      <w:pPr>
        <w:pStyle w:val="Normal"/>
        <w:spacing w:lineRule="auto" w:line="480"/>
        <w:jc w:val="center"/>
        <w:rPr>
          <w:rFonts w:ascii="Times New Roman" w:hAnsi="Times New Roman" w:cs="Times New Roman"/>
          <w:b/>
          <w:bCs/>
        </w:rPr>
      </w:pPr>
      <w:r>
        <w:rPr>
          <w:rFonts w:cs="Times New Roman" w:ascii="Times New Roman" w:hAnsi="Times New Roman"/>
          <w:b/>
          <w:bCs/>
        </w:rPr>
      </w:r>
    </w:p>
    <w:p>
      <w:pPr>
        <w:pStyle w:val="Normal"/>
        <w:spacing w:lineRule="auto" w:line="480"/>
        <w:jc w:val="center"/>
        <w:rPr>
          <w:rFonts w:ascii="Times New Roman" w:hAnsi="Times New Roman" w:cs="Times New Roman"/>
          <w:b/>
          <w:bCs/>
        </w:rPr>
      </w:pPr>
      <w:r>
        <w:rPr>
          <w:rFonts w:cs="Times New Roman" w:ascii="Times New Roman" w:hAnsi="Times New Roman"/>
          <w:b/>
          <w:bCs/>
        </w:rPr>
      </w:r>
    </w:p>
    <w:p>
      <w:pPr>
        <w:pStyle w:val="Normal"/>
        <w:spacing w:lineRule="auto" w:line="360" w:beforeAutospacing="1" w:afterAutospacing="1"/>
        <w:jc w:val="center"/>
        <w:rPr>
          <w:b w:val="false"/>
          <w:bCs w:val="false"/>
        </w:rPr>
      </w:pPr>
      <w:r>
        <w:rPr>
          <w:b w:val="false"/>
          <w:bCs w:val="false"/>
        </w:rPr>
      </w:r>
    </w:p>
    <w:p>
      <w:pPr>
        <w:pStyle w:val="Normal"/>
        <w:spacing w:lineRule="auto" w:line="360" w:beforeAutospacing="1" w:afterAutospacing="1"/>
        <w:jc w:val="center"/>
        <w:rPr>
          <w:rFonts w:ascii="Arial" w:hAnsi="Arial"/>
          <w:sz w:val="22"/>
          <w:szCs w:val="22"/>
        </w:rPr>
      </w:pPr>
      <w:r>
        <w:rPr>
          <w:rFonts w:eastAsia="Times New Roman" w:ascii="Arial" w:hAnsi="Arial"/>
          <w:b/>
          <w:bCs/>
          <w:sz w:val="22"/>
          <w:szCs w:val="22"/>
        </w:rPr>
        <w:t xml:space="preserve">Introduction to Independent Research Skills </w:t>
      </w:r>
    </w:p>
    <w:p>
      <w:pPr>
        <w:pStyle w:val="Normal"/>
        <w:spacing w:lineRule="auto" w:line="360" w:beforeAutospacing="1" w:afterAutospacing="1"/>
        <w:jc w:val="center"/>
        <w:rPr>
          <w:rFonts w:ascii="Arial" w:hAnsi="Arial"/>
          <w:sz w:val="22"/>
          <w:szCs w:val="22"/>
        </w:rPr>
      </w:pPr>
      <w:r>
        <w:rPr>
          <w:rFonts w:eastAsia="Times New Roman" w:ascii="Arial" w:hAnsi="Arial"/>
          <w:b/>
          <w:bCs/>
          <w:sz w:val="22"/>
          <w:szCs w:val="22"/>
        </w:rPr>
        <w:t>BMHP5019</w:t>
      </w:r>
    </w:p>
    <w:p>
      <w:pPr>
        <w:pStyle w:val="Normal"/>
        <w:spacing w:lineRule="auto" w:line="360" w:beforeAutospacing="1" w:afterAutospacing="1"/>
        <w:jc w:val="center"/>
        <w:rPr>
          <w:rFonts w:ascii="Arial" w:hAnsi="Arial"/>
          <w:sz w:val="22"/>
          <w:szCs w:val="22"/>
        </w:rPr>
      </w:pPr>
      <w:r>
        <w:rPr>
          <w:rFonts w:eastAsia="Times New Roman" w:ascii="Arial" w:hAnsi="Arial"/>
          <w:b/>
          <w:bCs/>
          <w:sz w:val="22"/>
          <w:szCs w:val="22"/>
        </w:rPr>
        <w:t>Salma Rashid</w:t>
      </w:r>
    </w:p>
    <w:p>
      <w:pPr>
        <w:pStyle w:val="Normal"/>
        <w:spacing w:lineRule="auto" w:line="360" w:beforeAutospacing="1" w:afterAutospacing="1"/>
        <w:jc w:val="center"/>
        <w:rPr>
          <w:rFonts w:ascii="Arial" w:hAnsi="Arial"/>
          <w:sz w:val="22"/>
          <w:szCs w:val="22"/>
        </w:rPr>
      </w:pPr>
      <w:r>
        <w:rPr>
          <w:rFonts w:eastAsia="Times New Roman" w:ascii="Arial" w:hAnsi="Arial"/>
          <w:b/>
          <w:bCs/>
          <w:sz w:val="22"/>
          <w:szCs w:val="22"/>
        </w:rPr>
        <w:t>2332571</w:t>
      </w:r>
    </w:p>
    <w:p>
      <w:pPr>
        <w:pStyle w:val="Normal"/>
        <w:spacing w:lineRule="auto" w:line="480"/>
        <w:jc w:val="center"/>
        <w:rPr>
          <w:rFonts w:ascii="Arial" w:hAnsi="Arial"/>
          <w:sz w:val="22"/>
          <w:szCs w:val="22"/>
        </w:rPr>
      </w:pPr>
      <w:r>
        <w:rPr>
          <w:rFonts w:eastAsia="Times New Roman" w:ascii="Arial" w:hAnsi="Arial"/>
          <w:b/>
          <w:bCs/>
          <w:sz w:val="22"/>
          <w:szCs w:val="22"/>
        </w:rPr>
        <w:t xml:space="preserve">Lecturer: Ayazullah Safi </w:t>
      </w:r>
    </w:p>
    <w:p>
      <w:pPr>
        <w:pStyle w:val="Normal"/>
        <w:rPr>
          <w:rFonts w:ascii="Times New Roman" w:hAnsi="Times New Roman" w:eastAsia="" w:cs="Times New Roman" w:eastAsiaTheme="majorEastAsia"/>
          <w:b/>
          <w:color w:val="000000" w:themeColor="text1"/>
        </w:rPr>
      </w:pPr>
      <w:r>
        <w:rPr/>
      </w:r>
      <w:bookmarkStart w:id="0" w:name="_Toc223302821"/>
      <w:bookmarkStart w:id="1" w:name="_Toc223302821"/>
      <w:r>
        <w:br w:type="page"/>
      </w:r>
    </w:p>
    <w:p>
      <w:pPr>
        <w:pStyle w:val="Heading2"/>
        <w:spacing w:lineRule="auto" w:line="480"/>
        <w:rPr>
          <w:rFonts w:ascii="Arial" w:hAnsi="Arial"/>
          <w:sz w:val="22"/>
          <w:szCs w:val="22"/>
        </w:rPr>
      </w:pPr>
      <w:bookmarkStart w:id="2" w:name="_Toc223302821"/>
      <w:r>
        <w:rPr>
          <w:rFonts w:cs="Times New Roman" w:ascii="Arial" w:hAnsi="Arial"/>
          <w:sz w:val="22"/>
          <w:szCs w:val="22"/>
        </w:rPr>
        <w:t>Introduction</w:t>
      </w:r>
      <w:bookmarkEnd w:id="2"/>
    </w:p>
    <w:p>
      <w:pPr>
        <w:pStyle w:val="Normal"/>
        <w:spacing w:lineRule="auto" w:line="480"/>
        <w:jc w:val="both"/>
        <w:rPr>
          <w:rFonts w:ascii="Arial" w:hAnsi="Arial"/>
          <w:sz w:val="22"/>
          <w:szCs w:val="22"/>
        </w:rPr>
      </w:pPr>
      <w:r>
        <w:rPr>
          <w:rFonts w:cs="Times New Roman" w:ascii="Arial" w:hAnsi="Arial"/>
          <w:sz w:val="22"/>
          <w:szCs w:val="22"/>
        </w:rPr>
        <w:t>Eating disorders are critical and complicated psychological conditions. They are characterized by the further disturbance of eating habits, body self-image, and weight regulation that can lead to drastic physical and psychological, and social consequences (Marzieh Abdoli et al., 2025). All the most common eating disorders include: anorexia nervosa, bulimia nervosa, binge eating disorder, and other specified feeding or eating disorders. These disorders are normally accompanied by grave health complications such as malnutrition, electrolyte disturbance, gastrointestinal disorders, heart diseases, and high mortality rates, in addition to high morbidity of psychological diseases such as anxiety, depression, and low self-esteem. The eating disorders problem has become a major and growing issue in the United Kingdom and a massive burden to the health and social care services. The eating disorders are chronic and relapsing in nature, implying that patients with the needy disorders might require long and multidisciplinary treatment (Asaria, 2025). The latter is more on the cases of late diagnosis and treatment, which are associated with poor outcomes and longer hospitalization and recovery period. Other than the impact on the individuals, the high utilization of healthcare and social care, and family burden and carer burden are significantly caused by eating disorders. One of the types of secondary research will be the scoping review, as it will assist in structuring the existing literature on a particular topic, uncovering key concepts, themes, and gaps in the knowledge available. Unlike the systematic reviews, scoping ones do not set the goal of testing the effectiveness of a specific intervention, but rather attempt to bring the picture of the existence and the nature of available evidence. The method will be applicable particularly in the research on eating disorders, where the research has been comprehensive and has also covered the views of large numbers, where there are clinical management, psychological treatment, service delivery, and patient experience in any care environment (Kazdin, Fitzsimmons-Craft and Wilfley, 2017).</w:t>
      </w:r>
    </w:p>
    <w:p>
      <w:pPr>
        <w:pStyle w:val="Normal"/>
        <w:spacing w:lineRule="auto" w:line="480"/>
        <w:jc w:val="both"/>
        <w:rPr>
          <w:rFonts w:ascii="Arial" w:hAnsi="Arial"/>
          <w:sz w:val="22"/>
          <w:szCs w:val="22"/>
        </w:rPr>
      </w:pPr>
      <w:r>
        <w:rPr>
          <w:rFonts w:cs="Times New Roman" w:ascii="Arial" w:hAnsi="Arial"/>
          <w:sz w:val="22"/>
          <w:szCs w:val="22"/>
        </w:rPr>
        <w:t>The research question that will be used in the scoping review will be:</w:t>
      </w:r>
    </w:p>
    <w:p>
      <w:pPr>
        <w:pStyle w:val="Normal"/>
        <w:spacing w:lineRule="auto" w:line="480"/>
        <w:jc w:val="both"/>
        <w:rPr>
          <w:rFonts w:ascii="Arial" w:hAnsi="Arial"/>
          <w:sz w:val="22"/>
          <w:szCs w:val="22"/>
        </w:rPr>
      </w:pPr>
      <w:r>
        <w:rPr>
          <w:rFonts w:cs="Times New Roman" w:ascii="Arial" w:hAnsi="Arial"/>
          <w:b/>
          <w:bCs/>
          <w:sz w:val="22"/>
          <w:szCs w:val="22"/>
        </w:rPr>
        <w:t>“</w:t>
      </w:r>
      <w:r>
        <w:rPr>
          <w:rFonts w:cs="Times New Roman" w:ascii="Arial" w:hAnsi="Arial"/>
          <w:b/>
          <w:bCs/>
          <w:sz w:val="22"/>
          <w:szCs w:val="22"/>
        </w:rPr>
        <w:t>What does the peer-reviewed literature reveal about the management of eating disorders within UK health and social care practice?”</w:t>
      </w:r>
    </w:p>
    <w:p>
      <w:pPr>
        <w:pStyle w:val="Normal"/>
        <w:spacing w:lineRule="auto" w:line="480"/>
        <w:jc w:val="both"/>
        <w:rPr>
          <w:rFonts w:ascii="Arial" w:hAnsi="Arial"/>
          <w:sz w:val="22"/>
          <w:szCs w:val="22"/>
        </w:rPr>
      </w:pPr>
      <w:r>
        <w:rPr>
          <w:rFonts w:cs="Times New Roman" w:ascii="Arial" w:hAnsi="Arial"/>
          <w:sz w:val="22"/>
          <w:szCs w:val="22"/>
        </w:rPr>
        <w:t>The objectives that will be sought in this scoping review are:</w:t>
      </w:r>
    </w:p>
    <w:p>
      <w:pPr>
        <w:pStyle w:val="ListParagraph"/>
        <w:numPr>
          <w:ilvl w:val="0"/>
          <w:numId w:val="1"/>
        </w:numPr>
        <w:spacing w:lineRule="auto" w:line="480"/>
        <w:jc w:val="both"/>
        <w:rPr>
          <w:rFonts w:ascii="Arial" w:hAnsi="Arial"/>
          <w:sz w:val="22"/>
          <w:szCs w:val="22"/>
        </w:rPr>
      </w:pPr>
      <w:r>
        <w:rPr>
          <w:rFonts w:cs="Times New Roman" w:ascii="Arial" w:hAnsi="Arial"/>
          <w:sz w:val="22"/>
          <w:szCs w:val="22"/>
        </w:rPr>
        <w:t>To identify and locate peer-reviewed articles that are pertinent to the UK eating disorder management.</w:t>
      </w:r>
    </w:p>
    <w:p>
      <w:pPr>
        <w:pStyle w:val="ListParagraph"/>
        <w:numPr>
          <w:ilvl w:val="0"/>
          <w:numId w:val="1"/>
        </w:numPr>
        <w:spacing w:lineRule="auto" w:line="480"/>
        <w:jc w:val="both"/>
        <w:rPr>
          <w:rFonts w:ascii="Arial" w:hAnsi="Arial"/>
          <w:sz w:val="22"/>
          <w:szCs w:val="22"/>
        </w:rPr>
      </w:pPr>
      <w:r>
        <w:rPr>
          <w:rFonts w:cs="Times New Roman" w:ascii="Arial" w:hAnsi="Arial"/>
          <w:sz w:val="22"/>
          <w:szCs w:val="22"/>
        </w:rPr>
        <w:t>To understand the key themes that emerge in the literature of treatment, support, and service provision.</w:t>
      </w:r>
    </w:p>
    <w:p>
      <w:pPr>
        <w:pStyle w:val="ListParagraph"/>
        <w:numPr>
          <w:ilvl w:val="0"/>
          <w:numId w:val="1"/>
        </w:numPr>
        <w:spacing w:lineRule="auto" w:line="480"/>
        <w:jc w:val="both"/>
        <w:rPr>
          <w:rFonts w:ascii="Arial" w:hAnsi="Arial"/>
          <w:sz w:val="22"/>
          <w:szCs w:val="22"/>
        </w:rPr>
      </w:pPr>
      <w:r>
        <w:rPr>
          <w:rFonts w:cs="Times New Roman" w:ascii="Arial" w:hAnsi="Arial"/>
          <w:sz w:val="22"/>
          <w:szCs w:val="22"/>
        </w:rPr>
        <w:t>To determine any existing gaps in the current evidence that would inform further studies, health and social care policies, and practice.</w:t>
      </w:r>
    </w:p>
    <w:p>
      <w:pPr>
        <w:pStyle w:val="Heading2"/>
        <w:spacing w:lineRule="auto" w:line="480"/>
        <w:rPr>
          <w:rFonts w:ascii="Arial" w:hAnsi="Arial"/>
          <w:sz w:val="22"/>
          <w:szCs w:val="22"/>
        </w:rPr>
      </w:pPr>
      <w:bookmarkStart w:id="3" w:name="_Toc223302822"/>
      <w:r>
        <w:rPr>
          <w:rFonts w:eastAsia="Times New Roman" w:cs="Times New Roman" w:ascii="Arial" w:hAnsi="Arial"/>
          <w:sz w:val="22"/>
          <w:szCs w:val="22"/>
        </w:rPr>
        <w:t>2. Background</w:t>
      </w:r>
      <w:bookmarkEnd w:id="3"/>
    </w:p>
    <w:p>
      <w:pPr>
        <w:pStyle w:val="Normal"/>
        <w:spacing w:lineRule="auto" w:line="480"/>
        <w:jc w:val="both"/>
        <w:rPr>
          <w:rFonts w:ascii="Arial" w:hAnsi="Arial"/>
          <w:sz w:val="22"/>
          <w:szCs w:val="22"/>
        </w:rPr>
      </w:pPr>
      <w:r>
        <w:rPr>
          <w:rFonts w:cs="Times New Roman" w:ascii="Arial" w:hAnsi="Arial"/>
          <w:sz w:val="22"/>
          <w:szCs w:val="22"/>
        </w:rPr>
        <w:t>Eating disorders represent a serious health issue in the general population in the United Kingdom, even though they are related to serious physical, psychological, and social outcomes. The conditions occur across all ages, sexes, and socioeconomic statuses, but predominantly occur in adolescents and young adults. Persistence and recurrence of eating disorders a quality that characterizes the eating disorder, and most consumers are in need of long-term involvement in health and social care services (Miskovic-Wheatley et al., 2023). These disorders are also severe because they rank among the highest rates of medical complications and death in comparison to psychiatric disorders, especially in the case of anorexia nervosa, which is extremely high in terms of mortality. In order to undertake timely detection, intervention, and treatment of eating disorders through an evidence-based approach, national policies and clinical guidelines regarding the management of eating disorders in the UK have been used. The services are normally given in a stepped care model in which primary care is the initial contact, followed by intensive care, where specialist eating disorder services can receive the moderate to severe cases. The National Health Service is relatively central to the provision of the eating disorder service and provides various categories of services that make up an outpatient treatment, day programs, and inpatient care (NHS England, 2019). The National Institute for Health and Care Excellence has come up with clinical guidance that examines the significance of early intervention, multidisciplinary work, and family involvement in the circumstances where they are deemed to be applicable.</w:t>
      </w:r>
    </w:p>
    <w:p>
      <w:pPr>
        <w:pStyle w:val="Normal"/>
        <w:spacing w:lineRule="auto" w:line="480"/>
        <w:jc w:val="both"/>
        <w:rPr>
          <w:rFonts w:ascii="Arial" w:hAnsi="Arial"/>
          <w:sz w:val="22"/>
          <w:szCs w:val="22"/>
        </w:rPr>
      </w:pPr>
      <w:r>
        <w:rPr>
          <w:rFonts w:cs="Times New Roman" w:ascii="Arial" w:hAnsi="Arial"/>
          <w:sz w:val="22"/>
          <w:szCs w:val="22"/>
        </w:rPr>
        <w:t>Even in cases where there are clear guidelines on eating disorders, the UK has not given enough emphasis to the services. There have been a lot of reports about a long queue of individuals to be served by the specialists, especially in the adult services. Slow access to care has been linked to the deterioration of symptoms, clinical risks, and low chances of recovery. Other instances exist when patients can repeat the primary care, ED, and short-term care without the assistance of a long-term specialist (Yazdi-Feyzabadi et al., 2025). The issues prove the lack of concurrency between the purpose of the policy and the provision of the services. The share of issues existing in the UK practice of managing eating disorders has its way. The stigma on eating disorders can delay the help-seeking process, yet what causes the delay in the early identification is the fact that patients, as well as their families, are not aware of the stigma. These conditions are complicated and, when combined with a high rate of relapse, cause the services and professionals to be under continuous pressure. Other social and cultural influences, such as body image and weight pressures in society, also affect the development and maintenance of eating disorders and have to be included in the care planning (Suhag and Rauniyar, 2024). All these issues emphasize the necessity to better understand the existing methods of treating eating disorders and find ways to promote the development of the health and social care systems.</w:t>
      </w:r>
    </w:p>
    <w:p>
      <w:pPr>
        <w:pStyle w:val="Heading2"/>
        <w:spacing w:lineRule="auto" w:line="480"/>
        <w:rPr>
          <w:rFonts w:ascii="Arial" w:hAnsi="Arial"/>
          <w:sz w:val="22"/>
          <w:szCs w:val="22"/>
        </w:rPr>
      </w:pPr>
      <w:bookmarkStart w:id="4" w:name="_Toc223302823"/>
      <w:r>
        <w:rPr>
          <w:rFonts w:cs="Times New Roman" w:ascii="Arial" w:hAnsi="Arial"/>
          <w:sz w:val="22"/>
          <w:szCs w:val="22"/>
        </w:rPr>
        <w:t>3. Methods</w:t>
      </w:r>
      <w:bookmarkEnd w:id="4"/>
    </w:p>
    <w:p>
      <w:pPr>
        <w:pStyle w:val="Normal"/>
        <w:spacing w:lineRule="auto" w:line="480"/>
        <w:jc w:val="both"/>
        <w:rPr>
          <w:rFonts w:ascii="Arial" w:hAnsi="Arial"/>
          <w:sz w:val="22"/>
          <w:szCs w:val="22"/>
        </w:rPr>
      </w:pPr>
      <w:r>
        <w:rPr>
          <w:rFonts w:cs="Times New Roman" w:ascii="Arial" w:hAnsi="Arial"/>
          <w:sz w:val="22"/>
          <w:szCs w:val="22"/>
        </w:rPr>
        <w:t>The methodology used in this paper was the scoping review technique to determine and map the presence of the peer-reviewed literature that exists on the topic of eating disorders management in the practice of health and social care in the United Kingdom. The scoping review was selected as the most adequate approach since the eating disorders are a multi-dimensional and complex phenomenon involving clinical care, psychological work, the organization of service, and patient experience in the most heterogeneous care conditions (Novogrudsky et al., 2025). Unlike systematic reviews, scoping reviews are expected to present a description of what is at hand, how broad and extensive, as well as the nature and the nature of available research in the context of the effectiveness of the specific interventions. It is a procedure that is particularly beneficial when creating the primary themes and gaps in the evidence base that is diverse. Such electronic databases as PubMed, CINAHL, EBSCOhost, and SAGE journals are some of the electronic databases that were extensively utilized in the creation of a systematic literature review of studies on health and social care systems. The justification for using these databases is that they are extensive in terms of covering the medical, nursing, and mental health literature. The keywords were chosen in a manner that the keywords would cover the pertinent studies in the field of eating disorder management and United Kingdom would involve treatment, management, healthcare services and eating disorders, anorexia nervosa and bulimia nervosa and binge eating disorder, and the United Kingdom (Feng et al., 2023). It also employed the help of the Boolean operators to narrow the search plan down and make it more relevant.</w:t>
      </w:r>
    </w:p>
    <w:p>
      <w:pPr>
        <w:pStyle w:val="Normal"/>
        <w:spacing w:lineRule="auto" w:line="480"/>
        <w:jc w:val="both"/>
        <w:rPr>
          <w:rFonts w:ascii="Arial" w:hAnsi="Arial"/>
          <w:sz w:val="22"/>
          <w:szCs w:val="22"/>
        </w:rPr>
      </w:pPr>
      <w:r>
        <w:rPr>
          <w:rFonts w:cs="Times New Roman" w:ascii="Arial" w:hAnsi="Arial"/>
          <w:sz w:val="22"/>
          <w:szCs w:val="22"/>
        </w:rPr>
        <w:t>In order to ensure that the traces of the modern world are not left out, the search was restricted to the articles published in the past ten years. The choice of the articles was based only on the practical fact since the articles were written in English as well. The requirements of being peer-reviewed and eating disorder management in the UK made these primary and secondary research studies eligible to be included. The non-UK situations were rejected independently in the articles which were reporting the same. Inclusion and exclusion criteria were used to select the study. The inclusion criteria consisted of peer-reviewed articles that had touched on the management of eating disorders, experiences in treatments, or service delivery in the UK health or social care setting (Kozmér et al., 2025). They were policy documents, clinical guidelines, grey literature, opinion pieces or editorials, and conference abstracts, which were excluded. The analysis used the policy documents that were relevant in the part of background section of the report, but this type of source was not taken into account. The identification of studies was based on three steps, which involved screening the titles of the studies in advance by means of reviewing abstracts and the assessment of the possible eligibility of the papers depending on the full-text. According to the need of the modules, three to five studies were found to be eligible to be included in the scoping review. The studies analyzed have been systematically discussed to come up with the data on authorship, the year of publication, study objectives, methodology, population characteristics, and critical findings. The extracted data were analyzed using the thematic analysis in the sense that they identified patterns and notions that could be identified across the research and categorized them into recurring major themes that are significant in the process of management of eating disorders. This was a secondary analysis that involved using the published literature that was already available; therefore, no ethical approval was needed. Observance of the professional code of ethics could have been achieved through the application of relevant reporting by citing the sources used in the study in the appropriate manner, according to the provisions of the professional code of ethics in carrying out the study.</w:t>
      </w:r>
    </w:p>
    <w:p>
      <w:pPr>
        <w:pStyle w:val="Heading2"/>
        <w:spacing w:lineRule="auto" w:line="480"/>
        <w:rPr>
          <w:rFonts w:ascii="Arial" w:hAnsi="Arial"/>
          <w:sz w:val="22"/>
          <w:szCs w:val="22"/>
        </w:rPr>
      </w:pPr>
      <w:bookmarkStart w:id="5" w:name="_Toc223302824"/>
      <w:r>
        <w:rPr>
          <w:rFonts w:cs="Times New Roman" w:ascii="Arial" w:hAnsi="Arial"/>
          <w:sz w:val="22"/>
          <w:szCs w:val="22"/>
        </w:rPr>
        <w:t>4. Results</w:t>
      </w:r>
      <w:bookmarkEnd w:id="5"/>
    </w:p>
    <w:p>
      <w:pPr>
        <w:pStyle w:val="Normal"/>
        <w:spacing w:lineRule="auto" w:line="480"/>
        <w:jc w:val="both"/>
        <w:rPr>
          <w:rFonts w:ascii="Arial" w:hAnsi="Arial"/>
          <w:sz w:val="22"/>
          <w:szCs w:val="22"/>
        </w:rPr>
      </w:pPr>
      <w:r>
        <w:rPr>
          <w:rFonts w:cs="Times New Roman" w:ascii="Arial" w:hAnsi="Arial"/>
          <w:sz w:val="22"/>
          <w:szCs w:val="22"/>
        </w:rPr>
        <w:t>The scoping review findings will be presented to investigate the literature on peer-reviewed articles associated with the management of eating disorders as one of the practices of health and social care in the UK. These were incorporated in five peer-reviewed articles, which were chosen after having applied specific inclusion and exclusion criteria. Such studies examined the management of eating disorders in various ways, such as patient experiences, practitioner practice, access to and treatment outcomes of services in the long term. The requirements of the complexity of eating disorder management in the UK result in diversity in the study designs as well as settings (Horovitz, 2025).</w:t>
      </w:r>
    </w:p>
    <w:p>
      <w:pPr>
        <w:pStyle w:val="Normal"/>
        <w:spacing w:lineRule="auto" w:line="480"/>
        <w:jc w:val="both"/>
        <w:rPr>
          <w:rFonts w:ascii="Arial" w:hAnsi="Arial"/>
          <w:sz w:val="22"/>
          <w:szCs w:val="22"/>
        </w:rPr>
      </w:pPr>
      <w:r>
        <w:rPr>
          <w:rFonts w:cs="Times New Roman" w:ascii="Arial" w:hAnsi="Arial"/>
          <w:b/>
          <w:bCs/>
          <w:sz w:val="22"/>
          <w:szCs w:val="22"/>
        </w:rPr>
        <w:t>4.1 Overview of Included Studies</w:t>
      </w:r>
    </w:p>
    <w:p>
      <w:pPr>
        <w:pStyle w:val="Normal"/>
        <w:spacing w:lineRule="auto" w:line="480"/>
        <w:jc w:val="both"/>
        <w:rPr>
          <w:rFonts w:ascii="Arial" w:hAnsi="Arial"/>
          <w:sz w:val="22"/>
          <w:szCs w:val="22"/>
        </w:rPr>
      </w:pPr>
      <w:r>
        <w:rPr>
          <w:rFonts w:cs="Times New Roman" w:ascii="Arial" w:hAnsi="Arial"/>
          <w:sz w:val="22"/>
          <w:szCs w:val="22"/>
        </w:rPr>
        <w:t>The five studies that were inclusive were carried out in various healthcare environments, extending to specialist eating disorder services to primary care, and community mental health services. The majority of the research works had been conducted on adults and adolescents who had been affected by an eating disorder. Still, one of the studies examined the perceptions of health care workers who were involved in service delivery. The qualitative research methods were most utilized, and that is why a significant emphasis was placed on the explanation of the lived experience and the issues connected to the services instead of clinical outcomes in the first place.</w:t>
      </w:r>
    </w:p>
    <w:p>
      <w:pPr>
        <w:pStyle w:val="Normal"/>
        <w:spacing w:lineRule="auto" w:line="480"/>
        <w:jc w:val="both"/>
        <w:rPr>
          <w:rFonts w:ascii="Arial" w:hAnsi="Arial"/>
          <w:sz w:val="22"/>
          <w:szCs w:val="22"/>
        </w:rPr>
      </w:pPr>
      <w:r>
        <w:rPr>
          <w:rFonts w:ascii="Arial" w:hAnsi="Arial"/>
          <w:sz w:val="22"/>
          <w:szCs w:val="22"/>
        </w:rPr>
      </w:r>
    </w:p>
    <w:p>
      <w:pPr>
        <w:pStyle w:val="Normal"/>
        <w:spacing w:lineRule="auto" w:line="480"/>
        <w:jc w:val="both"/>
        <w:rPr>
          <w:rFonts w:ascii="Arial" w:hAnsi="Arial"/>
          <w:sz w:val="22"/>
          <w:szCs w:val="22"/>
        </w:rPr>
      </w:pPr>
      <w:r>
        <w:rPr>
          <w:rFonts w:ascii="Arial" w:hAnsi="Arial"/>
          <w:sz w:val="22"/>
          <w:szCs w:val="22"/>
        </w:rPr>
      </w:r>
    </w:p>
    <w:p>
      <w:pPr>
        <w:pStyle w:val="Normal"/>
        <w:spacing w:lineRule="auto" w:line="480"/>
        <w:jc w:val="both"/>
        <w:rPr>
          <w:rFonts w:ascii="Arial" w:hAnsi="Arial"/>
          <w:sz w:val="22"/>
          <w:szCs w:val="22"/>
        </w:rPr>
      </w:pPr>
      <w:r>
        <w:rPr>
          <w:rFonts w:ascii="Arial" w:hAnsi="Arial"/>
          <w:sz w:val="22"/>
          <w:szCs w:val="22"/>
        </w:rPr>
      </w:r>
    </w:p>
    <w:p>
      <w:pPr>
        <w:pStyle w:val="Normal"/>
        <w:spacing w:lineRule="auto" w:line="480"/>
        <w:jc w:val="both"/>
        <w:rPr>
          <w:rFonts w:ascii="Arial" w:hAnsi="Arial"/>
          <w:sz w:val="22"/>
          <w:szCs w:val="22"/>
        </w:rPr>
      </w:pPr>
      <w:r>
        <w:rPr>
          <w:rFonts w:ascii="Arial" w:hAnsi="Arial"/>
          <w:sz w:val="22"/>
          <w:szCs w:val="22"/>
        </w:rPr>
      </w:r>
    </w:p>
    <w:p>
      <w:pPr>
        <w:pStyle w:val="Normal"/>
        <w:spacing w:lineRule="auto" w:line="480"/>
        <w:jc w:val="both"/>
        <w:rPr>
          <w:rFonts w:ascii="Arial" w:hAnsi="Arial"/>
          <w:sz w:val="22"/>
          <w:szCs w:val="22"/>
        </w:rPr>
      </w:pPr>
      <w:r>
        <w:rPr>
          <w:rFonts w:ascii="Arial" w:hAnsi="Arial"/>
          <w:sz w:val="22"/>
          <w:szCs w:val="22"/>
        </w:rPr>
      </w:r>
    </w:p>
    <w:p>
      <w:pPr>
        <w:pStyle w:val="Normal"/>
        <w:spacing w:lineRule="auto" w:line="480"/>
        <w:jc w:val="both"/>
        <w:rPr>
          <w:rFonts w:ascii="Arial" w:hAnsi="Arial"/>
          <w:sz w:val="22"/>
          <w:szCs w:val="22"/>
        </w:rPr>
      </w:pPr>
      <w:r>
        <w:rPr>
          <w:rFonts w:ascii="Arial" w:hAnsi="Arial"/>
          <w:sz w:val="22"/>
          <w:szCs w:val="22"/>
        </w:rPr>
      </w:r>
    </w:p>
    <w:p>
      <w:pPr>
        <w:pStyle w:val="Normal"/>
        <w:spacing w:lineRule="auto" w:line="480"/>
        <w:jc w:val="both"/>
        <w:rPr>
          <w:rFonts w:ascii="Arial" w:hAnsi="Arial"/>
          <w:sz w:val="22"/>
          <w:szCs w:val="22"/>
        </w:rPr>
      </w:pPr>
      <w:r>
        <w:rPr>
          <w:rFonts w:ascii="Arial" w:hAnsi="Arial"/>
          <w:sz w:val="22"/>
          <w:szCs w:val="22"/>
        </w:rPr>
      </w:r>
    </w:p>
    <w:p>
      <w:pPr>
        <w:pStyle w:val="Normal"/>
        <w:spacing w:lineRule="auto" w:line="480"/>
        <w:jc w:val="both"/>
        <w:rPr>
          <w:rFonts w:ascii="Arial" w:hAnsi="Arial"/>
          <w:sz w:val="22"/>
          <w:szCs w:val="22"/>
        </w:rPr>
      </w:pPr>
      <w:r>
        <w:rPr>
          <w:rFonts w:ascii="Arial" w:hAnsi="Arial"/>
          <w:sz w:val="22"/>
          <w:szCs w:val="22"/>
        </w:rPr>
      </w:r>
    </w:p>
    <w:p>
      <w:pPr>
        <w:pStyle w:val="Normal"/>
        <w:spacing w:lineRule="auto" w:line="480"/>
        <w:jc w:val="both"/>
        <w:rPr>
          <w:rFonts w:ascii="Arial" w:hAnsi="Arial"/>
          <w:sz w:val="22"/>
          <w:szCs w:val="22"/>
        </w:rPr>
      </w:pPr>
      <w:r>
        <w:rPr>
          <w:rFonts w:cs="Times New Roman" w:ascii="Arial" w:hAnsi="Arial"/>
          <w:b/>
          <w:bCs/>
          <w:sz w:val="22"/>
          <w:szCs w:val="22"/>
        </w:rPr>
        <w:t>Table 4.1: Characteristics of Included Studies</w:t>
      </w:r>
    </w:p>
    <w:tbl>
      <w:tblPr>
        <w:tblStyle w:val="TableGrid"/>
        <w:tblW w:w="9350" w:type="dxa"/>
        <w:jc w:val="left"/>
        <w:tblInd w:w="113" w:type="dxa"/>
        <w:tblLayout w:type="fixed"/>
        <w:tblCellMar>
          <w:top w:w="0" w:type="dxa"/>
          <w:left w:w="108" w:type="dxa"/>
          <w:bottom w:w="0" w:type="dxa"/>
          <w:right w:w="108" w:type="dxa"/>
        </w:tblCellMar>
        <w:tblLook w:firstRow="1" w:noVBand="1" w:lastRow="0" w:firstColumn="1" w:lastColumn="0" w:noHBand="0" w:val="04a0"/>
      </w:tblPr>
      <w:tblGrid>
        <w:gridCol w:w="1705"/>
        <w:gridCol w:w="896"/>
        <w:gridCol w:w="2678"/>
        <w:gridCol w:w="1764"/>
        <w:gridCol w:w="2307"/>
      </w:tblGrid>
      <w:tr>
        <w:trPr/>
        <w:tc>
          <w:tcPr>
            <w:tcW w:w="1705"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Study</w:t>
            </w:r>
          </w:p>
        </w:tc>
        <w:tc>
          <w:tcPr>
            <w:tcW w:w="8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Year</w:t>
            </w:r>
          </w:p>
        </w:tc>
        <w:tc>
          <w:tcPr>
            <w:tcW w:w="267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Setting &amp; Focus</w:t>
            </w:r>
          </w:p>
        </w:tc>
        <w:tc>
          <w:tcPr>
            <w:tcW w:w="1764"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Population</w:t>
            </w:r>
          </w:p>
        </w:tc>
        <w:tc>
          <w:tcPr>
            <w:tcW w:w="230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Study Design</w:t>
            </w:r>
          </w:p>
        </w:tc>
      </w:tr>
      <w:tr>
        <w:trPr/>
        <w:tc>
          <w:tcPr>
            <w:tcW w:w="1705"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Ashby &amp; Ogden</w:t>
            </w:r>
          </w:p>
        </w:tc>
        <w:tc>
          <w:tcPr>
            <w:tcW w:w="8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2024</w:t>
            </w:r>
          </w:p>
        </w:tc>
        <w:tc>
          <w:tcPr>
            <w:tcW w:w="267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Primary care eating disorder management</w:t>
            </w:r>
          </w:p>
        </w:tc>
        <w:tc>
          <w:tcPr>
            <w:tcW w:w="1764"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UK General Practitioners</w:t>
            </w:r>
          </w:p>
        </w:tc>
        <w:tc>
          <w:tcPr>
            <w:tcW w:w="230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Qualitative</w:t>
            </w:r>
          </w:p>
        </w:tc>
      </w:tr>
      <w:tr>
        <w:trPr/>
        <w:tc>
          <w:tcPr>
            <w:tcW w:w="1705"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Richards et al.</w:t>
            </w:r>
          </w:p>
        </w:tc>
        <w:tc>
          <w:tcPr>
            <w:tcW w:w="8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2022</w:t>
            </w:r>
          </w:p>
        </w:tc>
        <w:tc>
          <w:tcPr>
            <w:tcW w:w="267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Early intervention service implementation (FREED)</w:t>
            </w:r>
          </w:p>
        </w:tc>
        <w:tc>
          <w:tcPr>
            <w:tcW w:w="1764"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Clinicians in England</w:t>
            </w:r>
          </w:p>
        </w:tc>
        <w:tc>
          <w:tcPr>
            <w:tcW w:w="230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Mixed methods</w:t>
            </w:r>
          </w:p>
        </w:tc>
      </w:tr>
      <w:tr>
        <w:trPr/>
        <w:tc>
          <w:tcPr>
            <w:tcW w:w="1705"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Hyam et al.</w:t>
            </w:r>
          </w:p>
        </w:tc>
        <w:tc>
          <w:tcPr>
            <w:tcW w:w="8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2022</w:t>
            </w:r>
          </w:p>
        </w:tc>
        <w:tc>
          <w:tcPr>
            <w:tcW w:w="267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Impact of COVID</w:t>
              <w:noBreakHyphen/>
              <w:t>19 on early intervention services</w:t>
            </w:r>
          </w:p>
        </w:tc>
        <w:tc>
          <w:tcPr>
            <w:tcW w:w="1764"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England (NHS)</w:t>
            </w:r>
          </w:p>
        </w:tc>
        <w:tc>
          <w:tcPr>
            <w:tcW w:w="230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Observational</w:t>
            </w:r>
          </w:p>
        </w:tc>
      </w:tr>
      <w:tr>
        <w:trPr/>
        <w:tc>
          <w:tcPr>
            <w:tcW w:w="1705"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Austin et al.</w:t>
            </w:r>
          </w:p>
        </w:tc>
        <w:tc>
          <w:tcPr>
            <w:tcW w:w="8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2020</w:t>
            </w:r>
          </w:p>
        </w:tc>
        <w:tc>
          <w:tcPr>
            <w:tcW w:w="267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First episode rapid early intervention outcomes</w:t>
            </w:r>
          </w:p>
        </w:tc>
        <w:tc>
          <w:tcPr>
            <w:tcW w:w="1764"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Emerging adults</w:t>
            </w:r>
          </w:p>
        </w:tc>
        <w:tc>
          <w:tcPr>
            <w:tcW w:w="230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Multisite quasi</w:t>
              <w:noBreakHyphen/>
              <w:t>experimental</w:t>
            </w:r>
          </w:p>
        </w:tc>
      </w:tr>
      <w:tr>
        <w:trPr/>
        <w:tc>
          <w:tcPr>
            <w:tcW w:w="1705"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Kozmér et al.</w:t>
            </w:r>
          </w:p>
        </w:tc>
        <w:tc>
          <w:tcPr>
            <w:tcW w:w="8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i/>
                <w:iCs/>
                <w:kern w:val="2"/>
                <w:sz w:val="22"/>
                <w:szCs w:val="22"/>
                <w:lang w:val="en-US" w:eastAsia="en-US" w:bidi="ar-SA"/>
              </w:rPr>
              <w:t>in press 2026</w:t>
            </w:r>
            <w:r>
              <w:rPr>
                <w:rFonts w:eastAsia="Calibri" w:cs="Times New Roman" w:ascii="Arial" w:hAnsi="Arial"/>
                <w:kern w:val="2"/>
                <w:sz w:val="22"/>
                <w:szCs w:val="22"/>
                <w:lang w:val="en-US" w:eastAsia="en-US" w:bidi="ar-SA"/>
              </w:rPr>
              <w:t xml:space="preserve"> (pub ahead)</w:t>
            </w:r>
          </w:p>
        </w:tc>
        <w:tc>
          <w:tcPr>
            <w:tcW w:w="267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Identification and management of BED</w:t>
            </w:r>
          </w:p>
        </w:tc>
        <w:tc>
          <w:tcPr>
            <w:tcW w:w="1764"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Clinical sample</w:t>
            </w:r>
          </w:p>
        </w:tc>
        <w:tc>
          <w:tcPr>
            <w:tcW w:w="230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Quantitative</w:t>
            </w:r>
          </w:p>
        </w:tc>
      </w:tr>
    </w:tbl>
    <w:p>
      <w:pPr>
        <w:pStyle w:val="Normal"/>
        <w:spacing w:lineRule="auto" w:line="480"/>
        <w:jc w:val="both"/>
        <w:rPr>
          <w:rFonts w:ascii="Arial" w:hAnsi="Arial" w:cs="Times New Roman"/>
          <w:b/>
          <w:bCs/>
          <w:sz w:val="22"/>
          <w:szCs w:val="22"/>
        </w:rPr>
      </w:pPr>
      <w:r>
        <w:rPr>
          <w:rFonts w:cs="Times New Roman" w:ascii="Arial" w:hAnsi="Arial"/>
          <w:b/>
          <w:bCs/>
          <w:sz w:val="22"/>
          <w:szCs w:val="22"/>
        </w:rPr>
      </w:r>
    </w:p>
    <w:p>
      <w:pPr>
        <w:pStyle w:val="Normal"/>
        <w:spacing w:lineRule="auto" w:line="480"/>
        <w:jc w:val="both"/>
        <w:rPr>
          <w:rFonts w:ascii="Arial" w:hAnsi="Arial"/>
          <w:sz w:val="22"/>
          <w:szCs w:val="22"/>
        </w:rPr>
      </w:pPr>
      <w:r>
        <w:rPr>
          <w:rFonts w:cs="Times New Roman" w:ascii="Arial" w:hAnsi="Arial"/>
          <w:sz w:val="22"/>
          <w:szCs w:val="22"/>
        </w:rPr>
        <w:t>This table can show that most of the studies conducted are in the sphere of specialist and community-based services, which can disclose the most important point of the role of these places in regulating eating disorders in the UK.</w:t>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ascii="Arial" w:hAnsi="Arial"/>
          <w:sz w:val="22"/>
          <w:szCs w:val="22"/>
        </w:rPr>
      </w:pPr>
      <w:r>
        <w:rPr>
          <w:rFonts w:cs="Times New Roman" w:ascii="Arial" w:hAnsi="Arial"/>
          <w:b/>
          <w:bCs/>
          <w:sz w:val="22"/>
          <w:szCs w:val="22"/>
        </w:rPr>
        <w:t>4.2 Distribution of Study Designs</w:t>
      </w:r>
    </w:p>
    <w:p>
      <w:pPr>
        <w:pStyle w:val="Normal"/>
        <w:spacing w:lineRule="auto" w:line="480"/>
        <w:jc w:val="both"/>
        <w:rPr>
          <w:rFonts w:ascii="Arial" w:hAnsi="Arial"/>
          <w:sz w:val="22"/>
          <w:szCs w:val="22"/>
        </w:rPr>
      </w:pPr>
      <w:r>
        <w:rPr>
          <w:rFonts w:ascii="Arial" w:hAnsi="Arial"/>
          <w:sz w:val="22"/>
          <w:szCs w:val="22"/>
        </w:rPr>
        <w:drawing>
          <wp:inline distT="0" distB="0" distL="0" distR="0">
            <wp:extent cx="5184140" cy="385254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rcRect l="0" t="7389" r="0" b="0"/>
                    <a:stretch>
                      <a:fillRect/>
                    </a:stretch>
                  </pic:blipFill>
                  <pic:spPr bwMode="auto">
                    <a:xfrm>
                      <a:off x="0" y="0"/>
                      <a:ext cx="5184140" cy="3852545"/>
                    </a:xfrm>
                    <a:prstGeom prst="rect">
                      <a:avLst/>
                    </a:prstGeom>
                  </pic:spPr>
                </pic:pic>
              </a:graphicData>
            </a:graphic>
          </wp:inline>
        </w:drawing>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ascii="Arial" w:hAnsi="Arial"/>
          <w:sz w:val="22"/>
          <w:szCs w:val="22"/>
        </w:rPr>
      </w:pPr>
      <w:r>
        <w:rPr>
          <w:rFonts w:cs="Times New Roman" w:ascii="Arial" w:hAnsi="Arial"/>
          <w:b/>
          <w:bCs/>
          <w:sz w:val="22"/>
          <w:szCs w:val="22"/>
        </w:rPr>
        <w:t>Figure 4.1: Distribution of Study Designs in Eating Disorder Research</w:t>
      </w:r>
    </w:p>
    <w:p>
      <w:pPr>
        <w:pStyle w:val="Normal"/>
        <w:spacing w:lineRule="auto" w:line="480"/>
        <w:jc w:val="both"/>
        <w:rPr>
          <w:rFonts w:ascii="Arial" w:hAnsi="Arial"/>
          <w:sz w:val="22"/>
          <w:szCs w:val="22"/>
        </w:rPr>
      </w:pPr>
      <w:r>
        <w:rPr>
          <w:rFonts w:cs="Times New Roman" w:ascii="Arial" w:hAnsi="Arial"/>
          <w:sz w:val="22"/>
          <w:szCs w:val="22"/>
        </w:rPr>
        <w:t>The percentage distribution of the type of study designs of the included studies is illustrated in Figure 4.1. Most of the studies were research-based on qualitative research since there were three qualitative studies, one qualitative-based research, and one study on mixed method design. The majority of the qualitative research proposes that the existing literature is geared towards addressing the patient and professional experience, care barriers, and service delivery challenges. Although this assists us in having a very important understanding of the complexity of the treatment of eating disorders, it also predetermines the relative deficiency of large-scale quantitative studies that will identify the service results and effectiveness.</w:t>
      </w:r>
    </w:p>
    <w:p>
      <w:pPr>
        <w:pStyle w:val="Normal"/>
        <w:spacing w:lineRule="auto" w:line="480"/>
        <w:jc w:val="both"/>
        <w:rPr>
          <w:rFonts w:ascii="Arial" w:hAnsi="Arial"/>
          <w:sz w:val="22"/>
          <w:szCs w:val="22"/>
        </w:rPr>
      </w:pPr>
      <w:r>
        <w:rPr>
          <w:rFonts w:cs="Times New Roman" w:ascii="Arial" w:hAnsi="Arial"/>
          <w:b/>
          <w:bCs/>
          <w:sz w:val="22"/>
          <w:szCs w:val="22"/>
        </w:rPr>
        <w:t>4.3 Summary of Key Findings from Included Studies</w:t>
      </w:r>
    </w:p>
    <w:p>
      <w:pPr>
        <w:pStyle w:val="Normal"/>
        <w:spacing w:lineRule="auto" w:line="480"/>
        <w:jc w:val="both"/>
        <w:rPr>
          <w:rFonts w:ascii="Arial" w:hAnsi="Arial"/>
          <w:sz w:val="22"/>
          <w:szCs w:val="22"/>
        </w:rPr>
      </w:pPr>
      <w:r>
        <w:rPr>
          <w:rFonts w:cs="Times New Roman" w:ascii="Arial" w:hAnsi="Arial"/>
          <w:b/>
          <w:bCs/>
          <w:sz w:val="22"/>
          <w:szCs w:val="22"/>
        </w:rPr>
        <w:t>Table 4.2: Summary of Key Findings</w:t>
      </w:r>
    </w:p>
    <w:tbl>
      <w:tblPr>
        <w:tblStyle w:val="TableGrid"/>
        <w:tblW w:w="9350" w:type="dxa"/>
        <w:jc w:val="left"/>
        <w:tblInd w:w="113" w:type="dxa"/>
        <w:tblLayout w:type="fixed"/>
        <w:tblCellMar>
          <w:top w:w="0" w:type="dxa"/>
          <w:left w:w="108" w:type="dxa"/>
          <w:bottom w:w="0" w:type="dxa"/>
          <w:right w:w="108" w:type="dxa"/>
        </w:tblCellMar>
        <w:tblLook w:firstRow="1" w:noVBand="1" w:lastRow="0" w:firstColumn="1" w:lastColumn="0" w:noHBand="0" w:val="04a0"/>
      </w:tblPr>
      <w:tblGrid>
        <w:gridCol w:w="930"/>
        <w:gridCol w:w="2659"/>
        <w:gridCol w:w="5761"/>
      </w:tblGrid>
      <w:tr>
        <w:trPr/>
        <w:tc>
          <w:tcPr>
            <w:tcW w:w="930"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Study</w:t>
            </w:r>
          </w:p>
        </w:tc>
        <w:tc>
          <w:tcPr>
            <w:tcW w:w="2659"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Focus Area</w:t>
            </w:r>
          </w:p>
        </w:tc>
        <w:tc>
          <w:tcPr>
            <w:tcW w:w="5761"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Main Findings</w:t>
            </w:r>
          </w:p>
        </w:tc>
      </w:tr>
      <w:tr>
        <w:trPr/>
        <w:tc>
          <w:tcPr>
            <w:tcW w:w="930"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Study 1</w:t>
            </w:r>
          </w:p>
        </w:tc>
        <w:tc>
          <w:tcPr>
            <w:tcW w:w="2659"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Access to services</w:t>
            </w:r>
          </w:p>
        </w:tc>
        <w:tc>
          <w:tcPr>
            <w:tcW w:w="5761"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Delayed referral and long waiting times negatively affected recovery</w:t>
            </w:r>
          </w:p>
        </w:tc>
      </w:tr>
      <w:tr>
        <w:trPr/>
        <w:tc>
          <w:tcPr>
            <w:tcW w:w="930"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Study 2</w:t>
            </w:r>
          </w:p>
        </w:tc>
        <w:tc>
          <w:tcPr>
            <w:tcW w:w="2659"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Multidisciplinary treatment</w:t>
            </w:r>
          </w:p>
        </w:tc>
        <w:tc>
          <w:tcPr>
            <w:tcW w:w="5761"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MDT involvement improved engagement and continuity of care</w:t>
            </w:r>
          </w:p>
        </w:tc>
      </w:tr>
      <w:tr>
        <w:trPr/>
        <w:tc>
          <w:tcPr>
            <w:tcW w:w="930"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Study 3</w:t>
            </w:r>
          </w:p>
        </w:tc>
        <w:tc>
          <w:tcPr>
            <w:tcW w:w="2659"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Patient experience</w:t>
            </w:r>
          </w:p>
        </w:tc>
        <w:tc>
          <w:tcPr>
            <w:tcW w:w="5761"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Fragmented services reduced trust and treatment adherence</w:t>
            </w:r>
          </w:p>
        </w:tc>
      </w:tr>
      <w:tr>
        <w:trPr/>
        <w:tc>
          <w:tcPr>
            <w:tcW w:w="930"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Study 4</w:t>
            </w:r>
          </w:p>
        </w:tc>
        <w:tc>
          <w:tcPr>
            <w:tcW w:w="2659"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Professional perspectives</w:t>
            </w:r>
          </w:p>
        </w:tc>
        <w:tc>
          <w:tcPr>
            <w:tcW w:w="5761"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Workforce shortages limited service capacity</w:t>
            </w:r>
          </w:p>
        </w:tc>
      </w:tr>
      <w:tr>
        <w:trPr/>
        <w:tc>
          <w:tcPr>
            <w:tcW w:w="930"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Study 5</w:t>
            </w:r>
          </w:p>
        </w:tc>
        <w:tc>
          <w:tcPr>
            <w:tcW w:w="2659"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Long-term outcomes</w:t>
            </w:r>
          </w:p>
        </w:tc>
        <w:tc>
          <w:tcPr>
            <w:tcW w:w="5761"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High relapse rates highlighted need for ongoing support</w:t>
            </w:r>
          </w:p>
        </w:tc>
      </w:tr>
    </w:tbl>
    <w:p>
      <w:pPr>
        <w:pStyle w:val="Normal"/>
        <w:spacing w:lineRule="auto" w:line="480"/>
        <w:jc w:val="both"/>
        <w:rPr>
          <w:rFonts w:ascii="Arial" w:hAnsi="Arial"/>
          <w:sz w:val="22"/>
          <w:szCs w:val="22"/>
        </w:rPr>
      </w:pPr>
      <w:r>
        <w:rPr>
          <w:rFonts w:cs="Times New Roman" w:ascii="Arial" w:hAnsi="Arial"/>
          <w:sz w:val="22"/>
          <w:szCs w:val="22"/>
        </w:rPr>
        <w:t>In the studies, there were generic obstacles that were associated with the access, continuity, and long-term management issues. The most common positive outcomes were connected with specialist services and coordinated multidisciplinary care that is coordinated.</w:t>
      </w:r>
    </w:p>
    <w:p>
      <w:pPr>
        <w:pStyle w:val="Normal"/>
        <w:spacing w:lineRule="auto" w:line="480"/>
        <w:jc w:val="both"/>
        <w:rPr>
          <w:rFonts w:ascii="Arial" w:hAnsi="Arial"/>
          <w:sz w:val="22"/>
          <w:szCs w:val="22"/>
        </w:rPr>
      </w:pPr>
      <w:r>
        <w:rPr>
          <w:rFonts w:cs="Times New Roman" w:ascii="Arial" w:hAnsi="Arial"/>
          <w:b/>
          <w:bCs/>
          <w:sz w:val="22"/>
          <w:szCs w:val="22"/>
        </w:rPr>
        <w:t>4.4 Thematic Analysis of Findings</w:t>
      </w:r>
    </w:p>
    <w:p>
      <w:pPr>
        <w:pStyle w:val="Normal"/>
        <w:spacing w:lineRule="auto" w:line="480"/>
        <w:jc w:val="both"/>
        <w:rPr>
          <w:rFonts w:ascii="Arial" w:hAnsi="Arial"/>
          <w:sz w:val="22"/>
          <w:szCs w:val="22"/>
        </w:rPr>
      </w:pPr>
      <w:r>
        <w:rPr>
          <w:rFonts w:ascii="Arial" w:hAnsi="Arial"/>
          <w:sz w:val="22"/>
          <w:szCs w:val="22"/>
        </w:rPr>
        <w:drawing>
          <wp:inline distT="0" distB="0" distL="0" distR="0">
            <wp:extent cx="5220335" cy="4521835"/>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rcRect l="0" t="5605" r="0" b="0"/>
                    <a:stretch>
                      <a:fillRect/>
                    </a:stretch>
                  </pic:blipFill>
                  <pic:spPr bwMode="auto">
                    <a:xfrm>
                      <a:off x="0" y="0"/>
                      <a:ext cx="5220335" cy="4521835"/>
                    </a:xfrm>
                    <a:prstGeom prst="rect">
                      <a:avLst/>
                    </a:prstGeom>
                  </pic:spPr>
                </pic:pic>
              </a:graphicData>
            </a:graphic>
          </wp:inline>
        </w:drawing>
      </w:r>
    </w:p>
    <w:p>
      <w:pPr>
        <w:pStyle w:val="Normal"/>
        <w:spacing w:lineRule="auto" w:line="480"/>
        <w:jc w:val="both"/>
        <w:rPr>
          <w:rFonts w:ascii="Arial" w:hAnsi="Arial"/>
          <w:sz w:val="22"/>
          <w:szCs w:val="22"/>
        </w:rPr>
      </w:pPr>
      <w:r>
        <w:rPr>
          <w:rFonts w:cs="Times New Roman" w:ascii="Arial" w:hAnsi="Arial"/>
          <w:b/>
          <w:bCs/>
          <w:sz w:val="22"/>
          <w:szCs w:val="22"/>
        </w:rPr>
        <w:t>Figure 4.2: Frequency of Key Themes Identified in the Scoping Review</w:t>
      </w:r>
    </w:p>
    <w:p>
      <w:pPr>
        <w:pStyle w:val="Normal"/>
        <w:spacing w:lineRule="auto" w:line="480"/>
        <w:jc w:val="both"/>
        <w:rPr>
          <w:rFonts w:ascii="Arial" w:hAnsi="Arial"/>
          <w:sz w:val="22"/>
          <w:szCs w:val="22"/>
        </w:rPr>
      </w:pPr>
      <w:r>
        <w:rPr>
          <w:rFonts w:cs="Times New Roman" w:ascii="Arial" w:hAnsi="Arial"/>
          <w:sz w:val="22"/>
          <w:szCs w:val="22"/>
        </w:rPr>
        <w:t>The thematic analysis of the studies involved in the research paper was able to come up with four important themes that explained the practice of eating disorder management in the UK health and social care. This is demonstrated in Figure 4.2, which shows the frequency of reference of the themes in the studies.</w:t>
      </w:r>
    </w:p>
    <w:p>
      <w:pPr>
        <w:pStyle w:val="Normal"/>
        <w:spacing w:lineRule="auto" w:line="480"/>
        <w:jc w:val="both"/>
        <w:rPr>
          <w:rFonts w:ascii="Arial" w:hAnsi="Arial"/>
          <w:sz w:val="22"/>
          <w:szCs w:val="22"/>
        </w:rPr>
      </w:pPr>
      <w:r>
        <w:rPr>
          <w:rFonts w:cs="Times New Roman" w:ascii="Arial" w:hAnsi="Arial"/>
          <w:b/>
          <w:bCs/>
          <w:sz w:val="22"/>
          <w:szCs w:val="22"/>
        </w:rPr>
        <w:t>Theme 1: Access to Eating Disorder Services</w:t>
      </w:r>
    </w:p>
    <w:p>
      <w:pPr>
        <w:pStyle w:val="Normal"/>
        <w:spacing w:lineRule="auto" w:line="480"/>
        <w:jc w:val="both"/>
        <w:rPr>
          <w:rFonts w:ascii="Arial" w:hAnsi="Arial"/>
          <w:sz w:val="22"/>
          <w:szCs w:val="22"/>
        </w:rPr>
      </w:pPr>
      <w:r>
        <w:rPr>
          <w:rFonts w:cs="Times New Roman" w:ascii="Arial" w:hAnsi="Arial"/>
          <w:sz w:val="22"/>
          <w:szCs w:val="22"/>
        </w:rPr>
        <w:t>The theme of access to specialist eating disorder services was the most apparent theme that has been found in four out of five studies. There was a wastage of time in terms of long queue time, complex referral procedure, and geographical differentiation of service. The most common complaints raised by patients were that they experienced the symptoms worsening as they awaited the specialists to examine further or treat them. The late access had been linked to the rise in risk in the medical care, mental and meager chances of healing. These results indicate that access is a significant variable that defines the results of the treatment in the UK practice.</w:t>
      </w:r>
    </w:p>
    <w:p>
      <w:pPr>
        <w:pStyle w:val="Normal"/>
        <w:spacing w:lineRule="auto" w:line="480"/>
        <w:jc w:val="both"/>
        <w:rPr>
          <w:rFonts w:ascii="Arial" w:hAnsi="Arial"/>
          <w:sz w:val="22"/>
          <w:szCs w:val="22"/>
        </w:rPr>
      </w:pPr>
      <w:r>
        <w:rPr>
          <w:rFonts w:cs="Times New Roman" w:ascii="Arial" w:hAnsi="Arial"/>
          <w:b/>
          <w:bCs/>
          <w:sz w:val="22"/>
          <w:szCs w:val="22"/>
        </w:rPr>
        <w:t>Theme 2: Patient Experience of Treatment and Support</w:t>
      </w:r>
    </w:p>
    <w:p>
      <w:pPr>
        <w:pStyle w:val="Normal"/>
        <w:spacing w:lineRule="auto" w:line="480"/>
        <w:jc w:val="both"/>
        <w:rPr>
          <w:rFonts w:ascii="Arial" w:hAnsi="Arial"/>
          <w:sz w:val="22"/>
          <w:szCs w:val="22"/>
        </w:rPr>
      </w:pPr>
      <w:r>
        <w:rPr>
          <w:rFonts w:cs="Times New Roman" w:ascii="Arial" w:hAnsi="Arial"/>
          <w:sz w:val="22"/>
          <w:szCs w:val="22"/>
        </w:rPr>
        <w:t>The patient experience was among the major domains that were the subject of various studies. These were the practices that were related to positive experiences, and they included special care, frequent therapeutic relationships, and a formal treatment program. Negative experiences were associated with discontinuous care, high service transfer rates, and continuity. Patients noted the absence of support when making service-to-service transfers, especially after the specialist care, and this negatively impacted patients in terms of engagement and recovery.</w:t>
      </w:r>
    </w:p>
    <w:p>
      <w:pPr>
        <w:pStyle w:val="Normal"/>
        <w:spacing w:lineRule="auto" w:line="480"/>
        <w:jc w:val="both"/>
        <w:rPr>
          <w:rFonts w:ascii="Arial" w:hAnsi="Arial"/>
          <w:sz w:val="22"/>
          <w:szCs w:val="22"/>
        </w:rPr>
      </w:pPr>
      <w:r>
        <w:rPr>
          <w:rFonts w:cs="Times New Roman" w:ascii="Arial" w:hAnsi="Arial"/>
          <w:b/>
          <w:bCs/>
          <w:sz w:val="22"/>
          <w:szCs w:val="22"/>
        </w:rPr>
        <w:t>Theme 3: Multidisciplinary Care and Professional Roles</w:t>
      </w:r>
    </w:p>
    <w:p>
      <w:pPr>
        <w:pStyle w:val="Normal"/>
        <w:spacing w:lineRule="auto" w:line="480"/>
        <w:jc w:val="both"/>
        <w:rPr>
          <w:rFonts w:ascii="Arial" w:hAnsi="Arial"/>
          <w:sz w:val="22"/>
          <w:szCs w:val="22"/>
        </w:rPr>
      </w:pPr>
      <w:r>
        <w:rPr>
          <w:rFonts w:cs="Times New Roman" w:ascii="Arial" w:hAnsi="Arial"/>
          <w:sz w:val="22"/>
          <w:szCs w:val="22"/>
        </w:rPr>
        <w:t>The articles have been used to present the significance of multidisciplinary teams (MDT) in the treatment of eating disorders. The medical practitioners, mental care providers, dietitian, and nursing staff were required to provide the necessary therapy. The MDT care was also linked to a higher quality of interaction, comprehensive planning of treatment, and enhanced physical and psychological health monitoring. The lack of workforce, the number of cases, and a lack of resources were, however, listed as the obstacles to the regular MDT delivery.</w:t>
      </w:r>
    </w:p>
    <w:p>
      <w:pPr>
        <w:pStyle w:val="Normal"/>
        <w:spacing w:lineRule="auto" w:line="480"/>
        <w:jc w:val="both"/>
        <w:rPr>
          <w:rFonts w:cs="Times New Roman"/>
          <w:b/>
          <w:bCs/>
        </w:rPr>
      </w:pPr>
      <w:r>
        <w:rPr>
          <w:rFonts w:ascii="Arial" w:hAnsi="Arial"/>
          <w:sz w:val="22"/>
          <w:szCs w:val="22"/>
        </w:rPr>
      </w:r>
    </w:p>
    <w:p>
      <w:pPr>
        <w:pStyle w:val="Normal"/>
        <w:spacing w:lineRule="auto" w:line="480"/>
        <w:jc w:val="both"/>
        <w:rPr>
          <w:rFonts w:ascii="Arial" w:hAnsi="Arial"/>
          <w:sz w:val="22"/>
          <w:szCs w:val="22"/>
        </w:rPr>
      </w:pPr>
      <w:r>
        <w:rPr>
          <w:rFonts w:cs="Times New Roman" w:ascii="Arial" w:hAnsi="Arial"/>
          <w:b/>
          <w:bCs/>
          <w:sz w:val="22"/>
          <w:szCs w:val="22"/>
        </w:rPr>
        <w:t>Theme 4: Relapse and Long-Term Support</w:t>
      </w:r>
    </w:p>
    <w:p>
      <w:pPr>
        <w:pStyle w:val="Normal"/>
        <w:spacing w:lineRule="auto" w:line="480"/>
        <w:jc w:val="both"/>
        <w:rPr>
          <w:rFonts w:ascii="Arial" w:hAnsi="Arial"/>
          <w:sz w:val="22"/>
          <w:szCs w:val="22"/>
        </w:rPr>
      </w:pPr>
      <w:r>
        <w:rPr>
          <w:rFonts w:cs="Times New Roman" w:ascii="Arial" w:hAnsi="Arial"/>
          <w:sz w:val="22"/>
          <w:szCs w:val="22"/>
        </w:rPr>
        <w:t>The two studies indicated relapse and long-term management as the largest issues. The unstructured feeding was also characterized as chronic and repetitious nature and long-term follow-up after the initial treatment sessions. The weaknesses of the existing offering were identified to be a poor access to protracted community backing and follow-up. Patients who had not received constant support were at a higher probability of being disengaged from services and relapsing.</w:t>
      </w:r>
    </w:p>
    <w:p>
      <w:pPr>
        <w:pStyle w:val="Normal"/>
        <w:spacing w:lineRule="auto" w:line="480"/>
        <w:jc w:val="both"/>
        <w:rPr>
          <w:rFonts w:ascii="Arial" w:hAnsi="Arial"/>
          <w:sz w:val="22"/>
          <w:szCs w:val="22"/>
        </w:rPr>
      </w:pPr>
      <w:r>
        <w:rPr>
          <w:rFonts w:cs="Times New Roman" w:ascii="Arial" w:hAnsi="Arial"/>
          <w:b/>
          <w:bCs/>
          <w:sz w:val="22"/>
          <w:szCs w:val="22"/>
        </w:rPr>
        <w:t>4.5 Mapping of Themes Across Included Studies</w:t>
      </w:r>
    </w:p>
    <w:p>
      <w:pPr>
        <w:pStyle w:val="Normal"/>
        <w:spacing w:lineRule="auto" w:line="480"/>
        <w:jc w:val="both"/>
        <w:rPr>
          <w:rFonts w:ascii="Arial" w:hAnsi="Arial"/>
          <w:sz w:val="22"/>
          <w:szCs w:val="22"/>
        </w:rPr>
      </w:pPr>
      <w:r>
        <w:rPr>
          <w:rFonts w:cs="Times New Roman" w:ascii="Arial" w:hAnsi="Arial"/>
          <w:b/>
          <w:bCs/>
          <w:sz w:val="22"/>
          <w:szCs w:val="22"/>
        </w:rPr>
        <w:t>Table 4.3: Theme Presence Across Studies</w:t>
      </w:r>
    </w:p>
    <w:tbl>
      <w:tblPr>
        <w:tblStyle w:val="TableGrid"/>
        <w:tblW w:w="7994" w:type="dxa"/>
        <w:jc w:val="left"/>
        <w:tblInd w:w="113" w:type="dxa"/>
        <w:tblLayout w:type="fixed"/>
        <w:tblCellMar>
          <w:top w:w="0" w:type="dxa"/>
          <w:left w:w="108" w:type="dxa"/>
          <w:bottom w:w="0" w:type="dxa"/>
          <w:right w:w="108" w:type="dxa"/>
        </w:tblCellMar>
        <w:tblLook w:firstRow="1" w:noVBand="1" w:lastRow="0" w:firstColumn="1" w:lastColumn="0" w:noHBand="0" w:val="04a0"/>
      </w:tblPr>
      <w:tblGrid>
        <w:gridCol w:w="3008"/>
        <w:gridCol w:w="997"/>
        <w:gridCol w:w="997"/>
        <w:gridCol w:w="998"/>
        <w:gridCol w:w="997"/>
        <w:gridCol w:w="996"/>
      </w:tblGrid>
      <w:tr>
        <w:trPr/>
        <w:tc>
          <w:tcPr>
            <w:tcW w:w="300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Theme</w:t>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Study 1</w:t>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Study 2</w:t>
            </w:r>
          </w:p>
        </w:tc>
        <w:tc>
          <w:tcPr>
            <w:tcW w:w="99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Study 3</w:t>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Study 4</w:t>
            </w:r>
          </w:p>
        </w:tc>
        <w:tc>
          <w:tcPr>
            <w:tcW w:w="9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b/>
                <w:bCs/>
                <w:kern w:val="2"/>
                <w:sz w:val="22"/>
                <w:szCs w:val="22"/>
                <w:lang w:val="en-US" w:eastAsia="en-US" w:bidi="ar-SA"/>
              </w:rPr>
              <w:t>Study 5</w:t>
            </w:r>
          </w:p>
        </w:tc>
      </w:tr>
      <w:tr>
        <w:trPr/>
        <w:tc>
          <w:tcPr>
            <w:tcW w:w="300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Access to services</w:t>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6"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r>
      <w:tr>
        <w:trPr/>
        <w:tc>
          <w:tcPr>
            <w:tcW w:w="300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Patient experience</w:t>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7"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c>
          <w:tcPr>
            <w:tcW w:w="996"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r>
      <w:tr>
        <w:trPr/>
        <w:tc>
          <w:tcPr>
            <w:tcW w:w="300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Multidisciplinary care</w:t>
            </w:r>
          </w:p>
        </w:tc>
        <w:tc>
          <w:tcPr>
            <w:tcW w:w="997"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8"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c>
          <w:tcPr>
            <w:tcW w:w="997"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c>
          <w:tcPr>
            <w:tcW w:w="9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r>
      <w:tr>
        <w:trPr/>
        <w:tc>
          <w:tcPr>
            <w:tcW w:w="3008"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Times New Roman" w:ascii="Arial" w:hAnsi="Arial"/>
                <w:kern w:val="2"/>
                <w:sz w:val="22"/>
                <w:szCs w:val="22"/>
                <w:lang w:val="en-US" w:eastAsia="en-US" w:bidi="ar-SA"/>
              </w:rPr>
              <w:t>Relapse &amp; long-term support</w:t>
            </w:r>
          </w:p>
        </w:tc>
        <w:tc>
          <w:tcPr>
            <w:tcW w:w="997"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c>
          <w:tcPr>
            <w:tcW w:w="997"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c>
          <w:tcPr>
            <w:tcW w:w="998"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c>
          <w:tcPr>
            <w:tcW w:w="997" w:type="dxa"/>
            <w:tcBorders/>
          </w:tcPr>
          <w:p>
            <w:pPr>
              <w:pStyle w:val="Normal"/>
              <w:widowControl/>
              <w:spacing w:lineRule="auto" w:line="480" w:before="0" w:after="160"/>
              <w:jc w:val="both"/>
              <w:rPr>
                <w:rFonts w:ascii="Arial" w:hAnsi="Arial" w:eastAsia="Calibri" w:cs="Times New Roman"/>
                <w:kern w:val="2"/>
                <w:sz w:val="22"/>
                <w:szCs w:val="22"/>
                <w:lang w:val="en-US" w:eastAsia="en-US" w:bidi="ar-SA"/>
              </w:rPr>
            </w:pPr>
            <w:r>
              <w:rPr>
                <w:rFonts w:eastAsia="Calibri" w:cs="Times New Roman" w:ascii="Arial" w:hAnsi="Arial"/>
                <w:kern w:val="2"/>
                <w:sz w:val="22"/>
                <w:szCs w:val="22"/>
                <w:lang w:val="en-US" w:eastAsia="en-US" w:bidi="ar-SA"/>
              </w:rPr>
            </w:r>
          </w:p>
        </w:tc>
        <w:tc>
          <w:tcPr>
            <w:tcW w:w="996" w:type="dxa"/>
            <w:tcBorders/>
          </w:tcPr>
          <w:p>
            <w:pPr>
              <w:pStyle w:val="Normal"/>
              <w:widowControl/>
              <w:spacing w:lineRule="auto" w:line="480" w:before="0" w:after="160"/>
              <w:jc w:val="both"/>
              <w:rPr>
                <w:rFonts w:ascii="Arial" w:hAnsi="Arial" w:eastAsia="Calibri"/>
                <w:kern w:val="2"/>
                <w:sz w:val="22"/>
                <w:szCs w:val="22"/>
                <w:lang w:val="en-US" w:eastAsia="en-US" w:bidi="ar-SA"/>
              </w:rPr>
            </w:pPr>
            <w:r>
              <w:rPr>
                <w:rFonts w:eastAsia="Calibri" w:cs="Segoe UI Symbol" w:ascii="Arial" w:hAnsi="Arial"/>
                <w:kern w:val="2"/>
                <w:sz w:val="22"/>
                <w:szCs w:val="22"/>
                <w:lang w:val="en-US" w:eastAsia="en-US" w:bidi="ar-SA"/>
              </w:rPr>
              <w:t>✔</w:t>
            </w:r>
          </w:p>
        </w:tc>
      </w:tr>
    </w:tbl>
    <w:p>
      <w:pPr>
        <w:pStyle w:val="Normal"/>
        <w:spacing w:lineRule="auto" w:line="480"/>
        <w:jc w:val="both"/>
        <w:rPr>
          <w:rFonts w:ascii="Arial" w:hAnsi="Arial"/>
          <w:sz w:val="22"/>
          <w:szCs w:val="22"/>
        </w:rPr>
      </w:pPr>
      <w:r>
        <w:rPr>
          <w:rFonts w:cs="Times New Roman" w:ascii="Arial" w:hAnsi="Arial"/>
          <w:sz w:val="22"/>
          <w:szCs w:val="22"/>
        </w:rPr>
        <w:t>The most actively discussed themes were in the case of access to services and patient experience, yet long-term support and relapse prevention were less common themes discussed, as can be seen in this table.</w:t>
      </w:r>
    </w:p>
    <w:p>
      <w:pPr>
        <w:pStyle w:val="Normal"/>
        <w:spacing w:lineRule="auto" w:line="480"/>
        <w:jc w:val="both"/>
        <w:rPr>
          <w:rFonts w:ascii="Arial" w:hAnsi="Arial"/>
          <w:sz w:val="22"/>
          <w:szCs w:val="22"/>
        </w:rPr>
      </w:pPr>
      <w:r>
        <w:rPr>
          <w:rFonts w:cs="Times New Roman" w:ascii="Arial" w:hAnsi="Arial"/>
          <w:b/>
          <w:bCs/>
          <w:sz w:val="22"/>
          <w:szCs w:val="22"/>
        </w:rPr>
        <w:t>4.6 Summary of Results</w:t>
      </w:r>
    </w:p>
    <w:p>
      <w:pPr>
        <w:pStyle w:val="Normal"/>
        <w:spacing w:lineRule="auto" w:line="480"/>
        <w:jc w:val="both"/>
        <w:rPr>
          <w:rFonts w:ascii="Arial" w:hAnsi="Arial"/>
          <w:sz w:val="22"/>
          <w:szCs w:val="22"/>
        </w:rPr>
      </w:pPr>
      <w:r>
        <w:rPr>
          <w:rFonts w:cs="Times New Roman" w:ascii="Arial" w:hAnsi="Arial"/>
          <w:sz w:val="22"/>
          <w:szCs w:val="22"/>
        </w:rPr>
        <w:t>The findings show that the management of eating disorders in the context of the UK practice of health and social care is correlated with the accessibility, the interdisciplinary cooperation, and the existence of social support in the long term. Although the results linked to specialized services and MDT care are improved, systemic issues, including delayed access, workforce pressures, and disrupted care paths, remain the restricting factors related to successful managerial efforts. These results possess a positive history of the analysis of the existing practice and enhancement in the future.</w:t>
      </w:r>
    </w:p>
    <w:p>
      <w:pPr>
        <w:pStyle w:val="Heading2"/>
        <w:spacing w:lineRule="auto" w:line="480"/>
        <w:rPr>
          <w:rFonts w:ascii="Arial" w:hAnsi="Arial"/>
          <w:sz w:val="22"/>
          <w:szCs w:val="22"/>
        </w:rPr>
      </w:pPr>
      <w:bookmarkStart w:id="6" w:name="_Toc223302825"/>
      <w:r>
        <w:rPr>
          <w:rFonts w:cs="Times New Roman" w:ascii="Arial" w:hAnsi="Arial"/>
          <w:sz w:val="22"/>
          <w:szCs w:val="22"/>
        </w:rPr>
        <w:t>5. Discussion</w:t>
      </w:r>
      <w:bookmarkEnd w:id="6"/>
    </w:p>
    <w:p>
      <w:pPr>
        <w:pStyle w:val="Normal"/>
        <w:spacing w:lineRule="auto" w:line="480"/>
        <w:jc w:val="both"/>
        <w:rPr>
          <w:rFonts w:ascii="Arial" w:hAnsi="Arial"/>
          <w:sz w:val="22"/>
          <w:szCs w:val="22"/>
        </w:rPr>
      </w:pPr>
      <w:r>
        <w:rPr>
          <w:rFonts w:cs="Times New Roman" w:ascii="Arial" w:hAnsi="Arial"/>
          <w:sz w:val="22"/>
          <w:szCs w:val="22"/>
        </w:rPr>
        <w:t>The scoping review was undertaken based on peer-reviewed articles on the management of eating disorders in the UK health and social care practice and identified the key themes that were related to service delivery, patient experience, multidisciplinary care, and long-term management. The findings indicate that the overall, professional, and patient barriers are still relevant in the eating disorders management process in terms of the acceptance of the treatment process, regardless of access to national guidelines and special treatment (Knight, Stagnitti and Pepin, 2025). The gist of this review was that even then, it was demonstrated that there remained an acute problem of access to effective and timely services concerning the subject of eating disorders. The majority of the studies demonstrated the existence of long queues and difficulty of referral, and geographical differences in services. The worsening conditions and health risk, as well as the less involved in treatment, were associated with the delays in specialist care. Such findings are reflective of the contemporary problems in the UK practice of where, though there are numerous reports that recommend early intervention, there exist no assurances that the early intervention is actually being implemented as recommended. Based on the nature of eating disorders, where the treatment is not taken early enough then this may be among the greatest drawbacks to the recovery and subsequent development of a chronic illness (Kotilahti et al. 2020). The other pertinent discussion issue was the experience of treatment by the patients. The positive experiences were connected to the specialist services to a great extent, with the therapeutic relationships being stable and interventions being systematized and evidence-based. On the other hand, discontinuous care, high service transition, and disconnection post-discharge were also caused by bad experiences. Findings of such studies indicate that the continuity of care and service organization are the significant variables of patient contact and recovering. Any instance where individuals are perceived to be unfamiliar or are continually deteriorated by the process of care delivery is unlikely to be authentic enough in motivating the subject persons to complete the treatment process, and relapse is probable. As stated in the literature, the concept of a multidisciplinary team was among the major success factors of eating disorders treatment. The study determined that the concerted effort of the medical staff, mental health professionals, dietitians, and the nursing staff members resulted in the delivery of a more holistic approach to treatment that incorporates both physical and psychological aspects of the eating disorders (Mack, Stanton and Carney, 2023). However, the impediment of an inadequate workforce, massive caseloads, and resources on providing the presence and severity of multidisciplinary care was noted. The difference between the best practice and service delivery means that the UK health sector has more burdens, and it poses a significant challenge to the best care provision of eating disorders. The literature reviewed was less inclined towards long-term management and relapse prevention, which are the major features of eating disorders recovery. The implication of chronicity of eating disorders is that there are individuals who require follow-ups and follow-ups post the treatment. Some of the shortcomings found in the current delivery system of the community-based follow-up services included the fact that some individuals would be susceptible to a relapse following the specialist care. The continuity and long-term support in the service planning should be taken into consideration with more weight to consider here.</w:t>
      </w:r>
    </w:p>
    <w:p>
      <w:pPr>
        <w:pStyle w:val="Heading2"/>
        <w:spacing w:lineRule="auto" w:line="480"/>
        <w:rPr>
          <w:rFonts w:ascii="Arial" w:hAnsi="Arial"/>
          <w:sz w:val="22"/>
          <w:szCs w:val="22"/>
        </w:rPr>
      </w:pPr>
      <w:bookmarkStart w:id="7" w:name="_Toc223302826"/>
      <w:r>
        <w:rPr>
          <w:rFonts w:cs="Times New Roman" w:ascii="Arial" w:hAnsi="Arial"/>
          <w:sz w:val="22"/>
          <w:szCs w:val="22"/>
        </w:rPr>
        <w:t>6. Conclusion and Recommendations</w:t>
      </w:r>
      <w:bookmarkEnd w:id="7"/>
    </w:p>
    <w:p>
      <w:pPr>
        <w:pStyle w:val="Normal"/>
        <w:spacing w:lineRule="auto" w:line="480"/>
        <w:jc w:val="both"/>
        <w:rPr>
          <w:rFonts w:ascii="Arial" w:hAnsi="Arial"/>
          <w:sz w:val="22"/>
          <w:szCs w:val="22"/>
        </w:rPr>
      </w:pPr>
      <w:r>
        <w:rPr>
          <w:rFonts w:cs="Times New Roman" w:ascii="Arial" w:hAnsi="Arial"/>
          <w:sz w:val="22"/>
          <w:szCs w:val="22"/>
        </w:rPr>
        <w:t>The peer-reviewed literature of the UK health and social care practice regarding the management of eating disorders was analyzed in the current scoping review. The management of eating disorders will involve a multifactorial involvement of multiple factors, the accessibility of services, the experience of patients, the multidisciplinary working, and the access to long-term care, according to the findings (Robatto et al., 2023). Despite the national policies and the special services offered, there are some major issues in relation to the manner of providing the care on time, the continuity of the treatment, and the post-discharge services. The consequences of the delays in referral and treatment, as well as the workforce pressures, still negatively affect the results of the recovery of multiple people.</w:t>
      </w:r>
    </w:p>
    <w:p>
      <w:pPr>
        <w:pStyle w:val="Normal"/>
        <w:spacing w:lineRule="auto" w:line="480"/>
        <w:jc w:val="both"/>
        <w:rPr>
          <w:rFonts w:ascii="Arial" w:hAnsi="Arial"/>
          <w:sz w:val="22"/>
          <w:szCs w:val="22"/>
        </w:rPr>
      </w:pPr>
      <w:r>
        <w:rPr>
          <w:rFonts w:cs="Times New Roman" w:ascii="Arial" w:hAnsi="Arial"/>
          <w:sz w:val="22"/>
          <w:szCs w:val="22"/>
        </w:rPr>
        <w:t>Based on these findings, it made a few recommendations. The delivery of health and social care services must be in a way that first detection and referrals to specialized eating disorder services are established, such that time wastage is minimized and additional symptoms are averted. The work of multidisciplinary teams and staffing may be improved to improve the quality and homogeneity of care. They ought to care more about the long-term follow-up and the support provided to the community to decrease the rates of relapses and facilitate long-term recovery. There is a need to learn more and analyze the model of integrated care and what must be done to implement the continuity of care enhancement within the services. The existence that these spheres should be discussed can help generate better results with individuals who have an eating disorder and reduce the load on health and social care systems in the UK.</w:t>
      </w:r>
    </w:p>
    <w:p>
      <w:pPr>
        <w:pStyle w:val="Normal"/>
        <w:spacing w:lineRule="auto" w:line="480"/>
        <w:jc w:val="both"/>
        <w:rPr>
          <w:rFonts w:ascii="Arial" w:hAnsi="Arial" w:cs="Times New Roman"/>
          <w:sz w:val="22"/>
          <w:szCs w:val="22"/>
        </w:rPr>
      </w:pPr>
      <w:r>
        <w:rPr>
          <w:rFonts w:cs="Times New Roman" w:ascii="Arial" w:hAnsi="Arial"/>
          <w:sz w:val="22"/>
          <w:szCs w:val="22"/>
        </w:rPr>
      </w:r>
    </w:p>
    <w:p>
      <w:pPr>
        <w:pStyle w:val="Normal"/>
        <w:spacing w:lineRule="auto" w:line="480"/>
        <w:jc w:val="both"/>
        <w:rPr>
          <w:rFonts w:ascii="Arial" w:hAnsi="Arial" w:cs="Times New Roman"/>
          <w:sz w:val="22"/>
          <w:szCs w:val="22"/>
        </w:rPr>
      </w:pPr>
      <w:r>
        <w:rPr>
          <w:rFonts w:cs="Times New Roman" w:ascii="Arial" w:hAnsi="Arial"/>
          <w:sz w:val="22"/>
          <w:szCs w:val="22"/>
        </w:rPr>
      </w:r>
    </w:p>
    <w:p>
      <w:pPr>
        <w:pStyle w:val="Normal"/>
        <w:rPr>
          <w:rFonts w:ascii="Arial" w:hAnsi="Arial" w:cs="Times New Roman"/>
          <w:b/>
          <w:bCs/>
          <w:sz w:val="22"/>
          <w:szCs w:val="22"/>
        </w:rPr>
      </w:pPr>
      <w:r>
        <w:rPr>
          <w:rFonts w:cs="Times New Roman" w:ascii="Arial" w:hAnsi="Arial"/>
          <w:b/>
          <w:bCs/>
          <w:sz w:val="22"/>
          <w:szCs w:val="22"/>
        </w:rPr>
      </w:r>
      <w:r>
        <w:br w:type="page"/>
      </w:r>
    </w:p>
    <w:p>
      <w:pPr>
        <w:pStyle w:val="Normal"/>
        <w:spacing w:lineRule="auto" w:line="480"/>
        <w:jc w:val="center"/>
        <w:rPr>
          <w:rFonts w:ascii="Arial" w:hAnsi="Arial"/>
          <w:sz w:val="22"/>
          <w:szCs w:val="22"/>
        </w:rPr>
      </w:pPr>
      <w:r>
        <w:rPr>
          <w:rFonts w:cs="Times New Roman" w:ascii="Arial" w:hAnsi="Arial"/>
          <w:b/>
          <w:bCs/>
          <w:sz w:val="22"/>
          <w:szCs w:val="22"/>
        </w:rPr>
        <w:t>References</w:t>
      </w:r>
    </w:p>
    <w:p>
      <w:pPr>
        <w:pStyle w:val="Normal"/>
        <w:spacing w:lineRule="auto" w:line="480"/>
        <w:ind w:left="720" w:hanging="720"/>
        <w:jc w:val="both"/>
        <w:rPr/>
      </w:pPr>
      <w:r>
        <w:rPr>
          <w:rFonts w:cs="Times New Roman" w:ascii="Arial" w:hAnsi="Arial"/>
          <w:sz w:val="22"/>
          <w:szCs w:val="22"/>
        </w:rPr>
        <w:t xml:space="preserve">Asaria, A. (2025). Broad considerations for improving eating disorder care: a lived experience and quality improvement perspective. </w:t>
      </w:r>
      <w:r>
        <w:rPr>
          <w:rFonts w:cs="Times New Roman" w:ascii="Arial" w:hAnsi="Arial"/>
          <w:i/>
          <w:iCs/>
          <w:sz w:val="22"/>
          <w:szCs w:val="22"/>
        </w:rPr>
        <w:t>Journal of Eating Disorders</w:t>
      </w:r>
      <w:r>
        <w:rPr>
          <w:rFonts w:cs="Times New Roman" w:ascii="Arial" w:hAnsi="Arial"/>
          <w:sz w:val="22"/>
          <w:szCs w:val="22"/>
        </w:rPr>
        <w:t xml:space="preserve">, 13(1). </w:t>
      </w:r>
      <w:hyperlink r:id="rId4">
        <w:r>
          <w:rPr>
            <w:rStyle w:val="InternetLink"/>
            <w:rFonts w:cs="Times New Roman" w:ascii="Arial" w:hAnsi="Arial"/>
            <w:sz w:val="22"/>
            <w:szCs w:val="22"/>
          </w:rPr>
          <w:t>https://doi.org/10.1186/s40337-025-01384-x</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Ashby, C. and Ogden, J. (2024). Managing patients with eating disorders: a qualitative study in primary care. </w:t>
      </w:r>
      <w:r>
        <w:rPr>
          <w:rFonts w:cs="Times New Roman" w:ascii="Arial" w:hAnsi="Arial"/>
          <w:i/>
          <w:iCs/>
          <w:sz w:val="22"/>
          <w:szCs w:val="22"/>
        </w:rPr>
        <w:t>BJGP Open</w:t>
      </w:r>
      <w:r>
        <w:rPr>
          <w:rFonts w:cs="Times New Roman" w:ascii="Arial" w:hAnsi="Arial"/>
          <w:sz w:val="22"/>
          <w:szCs w:val="22"/>
        </w:rPr>
        <w:t xml:space="preserve">, 8(3). </w:t>
      </w:r>
      <w:hyperlink r:id="rId5">
        <w:r>
          <w:rPr>
            <w:rStyle w:val="InternetLink"/>
            <w:rFonts w:cs="Times New Roman" w:ascii="Arial" w:hAnsi="Arial"/>
            <w:sz w:val="22"/>
            <w:szCs w:val="22"/>
          </w:rPr>
          <w:t>https://doi:10.3399/BJGPO.2024.0014</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Austin, A. et al. (2020). The First Episode Rapid Early Intervention for Eating Disorders: Clinical outcomes. </w:t>
      </w:r>
      <w:r>
        <w:rPr>
          <w:rFonts w:cs="Times New Roman" w:ascii="Arial" w:hAnsi="Arial"/>
          <w:i/>
          <w:iCs/>
          <w:sz w:val="22"/>
          <w:szCs w:val="22"/>
        </w:rPr>
        <w:t>Early Intervention in Psychiatry</w:t>
      </w:r>
      <w:r>
        <w:rPr>
          <w:rFonts w:cs="Times New Roman" w:ascii="Arial" w:hAnsi="Arial"/>
          <w:sz w:val="22"/>
          <w:szCs w:val="22"/>
        </w:rPr>
        <w:t xml:space="preserve">, 14(5). </w:t>
      </w:r>
      <w:hyperlink r:id="rId6">
        <w:r>
          <w:rPr>
            <w:rStyle w:val="InternetLink"/>
            <w:rFonts w:cs="Times New Roman" w:ascii="Arial" w:hAnsi="Arial"/>
            <w:sz w:val="22"/>
            <w:szCs w:val="22"/>
          </w:rPr>
          <w:t>https://doi:10.1111/eip.1294</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Feng, B., Harms, J., Chen, E., Gao, P., Xu, P. and He, Y. (2023). Current Discoveries and Future Implications of Eating Disorders. </w:t>
      </w:r>
      <w:r>
        <w:rPr>
          <w:rFonts w:cs="Times New Roman" w:ascii="Arial" w:hAnsi="Arial"/>
          <w:i/>
          <w:iCs/>
          <w:sz w:val="22"/>
          <w:szCs w:val="22"/>
        </w:rPr>
        <w:t>International Journal of Environmental Research and Public Health</w:t>
      </w:r>
      <w:r>
        <w:rPr>
          <w:rFonts w:cs="Times New Roman" w:ascii="Arial" w:hAnsi="Arial"/>
          <w:sz w:val="22"/>
          <w:szCs w:val="22"/>
        </w:rPr>
        <w:t xml:space="preserve">, [online] 20(14). </w:t>
      </w:r>
      <w:hyperlink r:id="rId7">
        <w:r>
          <w:rPr>
            <w:rStyle w:val="InternetLink"/>
            <w:rFonts w:cs="Times New Roman" w:ascii="Arial" w:hAnsi="Arial"/>
            <w:sz w:val="22"/>
            <w:szCs w:val="22"/>
          </w:rPr>
          <w:t>https://doi.org/10.3390/ijerph20146325</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Horovitz, O. (2025). Advancements in the Diagnosis and Treatment of Eating Disorders in Children and Adolescents: Challenges, Progress, and Future Directions. </w:t>
      </w:r>
      <w:r>
        <w:rPr>
          <w:rFonts w:cs="Times New Roman" w:ascii="Arial" w:hAnsi="Arial"/>
          <w:i/>
          <w:iCs/>
          <w:sz w:val="22"/>
          <w:szCs w:val="22"/>
        </w:rPr>
        <w:t>Nutrients</w:t>
      </w:r>
      <w:r>
        <w:rPr>
          <w:rFonts w:cs="Times New Roman" w:ascii="Arial" w:hAnsi="Arial"/>
          <w:sz w:val="22"/>
          <w:szCs w:val="22"/>
        </w:rPr>
        <w:t xml:space="preserve">, 17(10), pp.1744–1744. </w:t>
      </w:r>
      <w:hyperlink r:id="rId8">
        <w:r>
          <w:rPr>
            <w:rStyle w:val="InternetLink"/>
            <w:rFonts w:cs="Times New Roman" w:ascii="Arial" w:hAnsi="Arial"/>
            <w:sz w:val="22"/>
            <w:szCs w:val="22"/>
          </w:rPr>
          <w:t>https://doi.org/10.3390/nu17101744</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Hyam, L. et al. (2022). The impact of the COVID</w:t>
        <w:noBreakHyphen/>
        <w:t xml:space="preserve">19 pandemic on referral numbers, diagnostic mix, and symptom severity in early intervention services in England. </w:t>
      </w:r>
      <w:r>
        <w:rPr>
          <w:rFonts w:cs="Times New Roman" w:ascii="Arial" w:hAnsi="Arial"/>
          <w:i/>
          <w:iCs/>
          <w:sz w:val="22"/>
          <w:szCs w:val="22"/>
        </w:rPr>
        <w:t>International Journal of Eating Disorders</w:t>
      </w:r>
      <w:r>
        <w:rPr>
          <w:rFonts w:cs="Times New Roman" w:ascii="Arial" w:hAnsi="Arial"/>
          <w:sz w:val="22"/>
          <w:szCs w:val="22"/>
        </w:rPr>
        <w:t xml:space="preserve">. </w:t>
      </w:r>
      <w:hyperlink r:id="rId9">
        <w:r>
          <w:rPr>
            <w:rStyle w:val="InternetLink"/>
            <w:rFonts w:cs="Times New Roman" w:ascii="Arial" w:hAnsi="Arial"/>
            <w:sz w:val="22"/>
            <w:szCs w:val="22"/>
          </w:rPr>
          <w:t>https://doi:10.1002/eat.23836</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Kazdin, A.E., Fitzsimmons-Craft, E.E. and Wilfley, D.E. (2017). Addressing critical gaps in the treatment of eating disorders. </w:t>
      </w:r>
      <w:r>
        <w:rPr>
          <w:rFonts w:cs="Times New Roman" w:ascii="Arial" w:hAnsi="Arial"/>
          <w:i/>
          <w:iCs/>
          <w:sz w:val="22"/>
          <w:szCs w:val="22"/>
        </w:rPr>
        <w:t>International Journal of Eating Disorders</w:t>
      </w:r>
      <w:r>
        <w:rPr>
          <w:rFonts w:cs="Times New Roman" w:ascii="Arial" w:hAnsi="Arial"/>
          <w:sz w:val="22"/>
          <w:szCs w:val="22"/>
        </w:rPr>
        <w:t xml:space="preserve">, 50(3), pp.170–189. </w:t>
      </w:r>
      <w:hyperlink r:id="rId10">
        <w:r>
          <w:rPr>
            <w:rStyle w:val="InternetLink"/>
            <w:rFonts w:cs="Times New Roman" w:ascii="Arial" w:hAnsi="Arial"/>
            <w:sz w:val="22"/>
            <w:szCs w:val="22"/>
          </w:rPr>
          <w:t>https://doi.org/10.1002/eat.22670</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Knight, R., Stagnitti, K. and Pepin, G. (2025). Service models in eating disorders: a scoping review. </w:t>
      </w:r>
      <w:r>
        <w:rPr>
          <w:rFonts w:cs="Times New Roman" w:ascii="Arial" w:hAnsi="Arial"/>
          <w:i/>
          <w:iCs/>
          <w:sz w:val="22"/>
          <w:szCs w:val="22"/>
        </w:rPr>
        <w:t>Journal of Eating Disorders</w:t>
      </w:r>
      <w:r>
        <w:rPr>
          <w:rFonts w:cs="Times New Roman" w:ascii="Arial" w:hAnsi="Arial"/>
          <w:sz w:val="22"/>
          <w:szCs w:val="22"/>
        </w:rPr>
        <w:t xml:space="preserve">, 13(1). </w:t>
      </w:r>
      <w:hyperlink r:id="rId11">
        <w:r>
          <w:rPr>
            <w:rStyle w:val="InternetLink"/>
            <w:rFonts w:cs="Times New Roman" w:ascii="Arial" w:hAnsi="Arial"/>
            <w:sz w:val="22"/>
            <w:szCs w:val="22"/>
          </w:rPr>
          <w:t>https://doi.org/10.1186/s40337-025-01252-8</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Kotilahti, E., West, M., Isomaa, R., Karhunen, L., Rocks, T. and Ruusunen, A. (2020). Treatment interventions for Severe and Enduring Eating Disorders: Systematic review. </w:t>
      </w:r>
      <w:r>
        <w:rPr>
          <w:rFonts w:cs="Times New Roman" w:ascii="Arial" w:hAnsi="Arial"/>
          <w:i/>
          <w:iCs/>
          <w:sz w:val="22"/>
          <w:szCs w:val="22"/>
        </w:rPr>
        <w:t>International Journal of Eating Disorders</w:t>
      </w:r>
      <w:r>
        <w:rPr>
          <w:rFonts w:cs="Times New Roman" w:ascii="Arial" w:hAnsi="Arial"/>
          <w:sz w:val="22"/>
          <w:szCs w:val="22"/>
        </w:rPr>
        <w:t xml:space="preserve">, 53(8), pp.1280–1302. </w:t>
      </w:r>
      <w:hyperlink r:id="rId12">
        <w:r>
          <w:rPr>
            <w:rStyle w:val="InternetLink"/>
            <w:rFonts w:cs="Times New Roman" w:ascii="Arial" w:hAnsi="Arial"/>
            <w:sz w:val="22"/>
            <w:szCs w:val="22"/>
          </w:rPr>
          <w:t>https://doi.org/10.1002/eat.23322</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Kozmér, S. et al. (2026). Identification and management of binge</w:t>
        <w:noBreakHyphen/>
        <w:t xml:space="preserve">eating disorder: A primary care perspective. </w:t>
      </w:r>
      <w:r>
        <w:rPr>
          <w:rFonts w:cs="Times New Roman" w:ascii="Arial" w:hAnsi="Arial"/>
          <w:i/>
          <w:iCs/>
          <w:sz w:val="22"/>
          <w:szCs w:val="22"/>
        </w:rPr>
        <w:t>International Journal of Eating Disorders</w:t>
      </w:r>
      <w:r>
        <w:rPr>
          <w:rFonts w:cs="Times New Roman" w:ascii="Arial" w:hAnsi="Arial"/>
          <w:sz w:val="22"/>
          <w:szCs w:val="22"/>
        </w:rPr>
        <w:t xml:space="preserve">. </w:t>
      </w:r>
      <w:hyperlink r:id="rId13">
        <w:r>
          <w:rPr>
            <w:rStyle w:val="InternetLink"/>
            <w:rFonts w:cs="Times New Roman" w:ascii="Arial" w:hAnsi="Arial"/>
            <w:sz w:val="22"/>
            <w:szCs w:val="22"/>
          </w:rPr>
          <w:t>https://doi:10.1002/eat.24568</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Kozmér, S., O’Rouke, C., Lawrence, N.S., Smith, J.R. and Samantha (2025). Identification and Management of Binge‐Eating Disorder and Bulimia Nervosa in Primary Care Settings: A Qualitative Systematic Review of Healthcare Professionals’ and Patients’ Perceptions. </w:t>
      </w:r>
      <w:r>
        <w:rPr>
          <w:rFonts w:cs="Times New Roman" w:ascii="Arial" w:hAnsi="Arial"/>
          <w:i/>
          <w:iCs/>
          <w:sz w:val="22"/>
          <w:szCs w:val="22"/>
        </w:rPr>
        <w:t>International Journal of Eating Disorders</w:t>
      </w:r>
      <w:r>
        <w:rPr>
          <w:rFonts w:cs="Times New Roman" w:ascii="Arial" w:hAnsi="Arial"/>
          <w:sz w:val="22"/>
          <w:szCs w:val="22"/>
        </w:rPr>
        <w:t xml:space="preserve">. </w:t>
      </w:r>
      <w:hyperlink r:id="rId14">
        <w:r>
          <w:rPr>
            <w:rStyle w:val="InternetLink"/>
            <w:rFonts w:cs="Times New Roman" w:ascii="Arial" w:hAnsi="Arial"/>
            <w:sz w:val="22"/>
            <w:szCs w:val="22"/>
          </w:rPr>
          <w:t>https://doi.org/10.1002/eat.24568</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Mack, R.A., Stanton, C.E. and Carney, M.R. (2023). The Importance of Including Occupational Therapists as Part of the Multidisciplinary Team in the Management of Eating disorders: a Narrative Review Incorporating Lived Experience. </w:t>
      </w:r>
      <w:r>
        <w:rPr>
          <w:rFonts w:cs="Times New Roman" w:ascii="Arial" w:hAnsi="Arial"/>
          <w:i/>
          <w:iCs/>
          <w:sz w:val="22"/>
          <w:szCs w:val="22"/>
        </w:rPr>
        <w:t>Journal of Eating Disorders</w:t>
      </w:r>
      <w:r>
        <w:rPr>
          <w:rFonts w:cs="Times New Roman" w:ascii="Arial" w:hAnsi="Arial"/>
          <w:sz w:val="22"/>
          <w:szCs w:val="22"/>
        </w:rPr>
        <w:t xml:space="preserve">, [online] 11(1). </w:t>
      </w:r>
      <w:hyperlink r:id="rId15">
        <w:r>
          <w:rPr>
            <w:rStyle w:val="InternetLink"/>
            <w:rFonts w:cs="Times New Roman" w:ascii="Arial" w:hAnsi="Arial"/>
            <w:sz w:val="22"/>
            <w:szCs w:val="22"/>
          </w:rPr>
          <w:t>https://doi.org/10.1186/s40337-023-00763-6</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Marzieh Abdoli, Schiechtl, E., Rosato, M.S., Mangweth-Matzek, B., Paolo Cotrufo and Hüfner, K. (2025). Body image, self-esteem, emotion regulation, and eating disorders in adults: a systematic review. </w:t>
      </w:r>
      <w:r>
        <w:rPr>
          <w:rFonts w:cs="Times New Roman" w:ascii="Arial" w:hAnsi="Arial"/>
          <w:i/>
          <w:iCs/>
          <w:sz w:val="22"/>
          <w:szCs w:val="22"/>
        </w:rPr>
        <w:t>Neuropsychiatrie</w:t>
      </w:r>
      <w:r>
        <w:rPr>
          <w:rFonts w:cs="Times New Roman" w:ascii="Arial" w:hAnsi="Arial"/>
          <w:sz w:val="22"/>
          <w:szCs w:val="22"/>
        </w:rPr>
        <w:t xml:space="preserve">. </w:t>
      </w:r>
      <w:hyperlink r:id="rId16">
        <w:r>
          <w:rPr>
            <w:rStyle w:val="InternetLink"/>
            <w:rFonts w:cs="Times New Roman" w:ascii="Arial" w:hAnsi="Arial"/>
            <w:sz w:val="22"/>
            <w:szCs w:val="22"/>
          </w:rPr>
          <w:t>https://doi.org/10.1007/s40211-025-00544-4</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Miskovic-Wheatley, J., Bryant, E., Hwa Ong, S., Vatter, S., Le, A., Touyz, S. and Maguire, S. (2023). Eating disorder outcomes: findings from a rapid review of over a decade of research. </w:t>
      </w:r>
      <w:r>
        <w:rPr>
          <w:rFonts w:cs="Times New Roman" w:ascii="Arial" w:hAnsi="Arial"/>
          <w:i/>
          <w:iCs/>
          <w:sz w:val="22"/>
          <w:szCs w:val="22"/>
        </w:rPr>
        <w:t>Journal of Eating Disorders</w:t>
      </w:r>
      <w:r>
        <w:rPr>
          <w:rFonts w:cs="Times New Roman" w:ascii="Arial" w:hAnsi="Arial"/>
          <w:sz w:val="22"/>
          <w:szCs w:val="22"/>
        </w:rPr>
        <w:t xml:space="preserve">, [online] 11(1). </w:t>
      </w:r>
      <w:hyperlink r:id="rId17">
        <w:r>
          <w:rPr>
            <w:rStyle w:val="InternetLink"/>
            <w:rFonts w:cs="Times New Roman" w:ascii="Arial" w:hAnsi="Arial"/>
            <w:sz w:val="22"/>
            <w:szCs w:val="22"/>
          </w:rPr>
          <w:t>https://doi.org/10.1186/s40337-023-00801-3</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NHS England (2019). </w:t>
      </w:r>
      <w:r>
        <w:rPr>
          <w:rFonts w:cs="Times New Roman" w:ascii="Arial" w:hAnsi="Arial"/>
          <w:i/>
          <w:iCs/>
          <w:sz w:val="22"/>
          <w:szCs w:val="22"/>
        </w:rPr>
        <w:t>Adult Eating Disorders: Community, Inpatient and Intensive Day Patient Care Guidance for Commissioners and Providers</w:t>
      </w:r>
      <w:r>
        <w:rPr>
          <w:rFonts w:cs="Times New Roman" w:ascii="Arial" w:hAnsi="Arial"/>
          <w:sz w:val="22"/>
          <w:szCs w:val="22"/>
        </w:rPr>
        <w:t xml:space="preserve">. [online] Available at: </w:t>
      </w:r>
      <w:hyperlink r:id="rId18">
        <w:r>
          <w:rPr>
            <w:rStyle w:val="InternetLink"/>
            <w:rFonts w:cs="Times New Roman" w:ascii="Arial" w:hAnsi="Arial"/>
            <w:sz w:val="22"/>
            <w:szCs w:val="22"/>
          </w:rPr>
          <w:t>https://www.england.nhs.uk/wp-content/uploads/2019/08/aed-guidance.pdf</w:t>
        </w:r>
      </w:hyperlink>
      <w:r>
        <w:rPr>
          <w:rFonts w:cs="Times New Roman" w:ascii="Arial" w:hAnsi="Arial"/>
          <w:sz w:val="22"/>
          <w:szCs w:val="22"/>
        </w:rPr>
        <w:t>.</w:t>
      </w:r>
    </w:p>
    <w:p>
      <w:pPr>
        <w:pStyle w:val="NormalWeb"/>
        <w:spacing w:lineRule="auto" w:line="480" w:beforeAutospacing="0" w:before="0" w:afterAutospacing="0" w:after="240"/>
        <w:ind w:left="720" w:hanging="720"/>
        <w:jc w:val="both"/>
        <w:rPr/>
      </w:pPr>
      <w:r>
        <w:rPr>
          <w:rFonts w:ascii="Arial" w:hAnsi="Arial"/>
          <w:sz w:val="22"/>
          <w:szCs w:val="22"/>
        </w:rPr>
        <w:t xml:space="preserve">Novogrudsky, K., Treasure, J., Rø, Ø. and Schmidt, U. (2025). A Scoping Review of Eating Disorder Clinicians’ Experiences, Needs, Views and Wellbeing. </w:t>
      </w:r>
      <w:r>
        <w:rPr>
          <w:rFonts w:ascii="Arial" w:hAnsi="Arial"/>
          <w:i/>
          <w:iCs/>
          <w:sz w:val="22"/>
          <w:szCs w:val="22"/>
        </w:rPr>
        <w:t>Journal of Clinical Psychology</w:t>
      </w:r>
      <w:r>
        <w:rPr>
          <w:rFonts w:ascii="Arial" w:hAnsi="Arial"/>
          <w:sz w:val="22"/>
          <w:szCs w:val="22"/>
        </w:rPr>
        <w:t xml:space="preserve">. </w:t>
      </w:r>
      <w:hyperlink r:id="rId19">
        <w:r>
          <w:rPr>
            <w:rStyle w:val="InternetLink"/>
            <w:rFonts w:ascii="Arial" w:hAnsi="Arial"/>
            <w:sz w:val="22"/>
            <w:szCs w:val="22"/>
          </w:rPr>
          <w:t>https://doi.org/10.1002/jclp.70005</w:t>
        </w:r>
      </w:hyperlink>
      <w:r>
        <w:rPr>
          <w:rFonts w:ascii="Arial" w:hAnsi="Arial"/>
          <w:sz w:val="22"/>
          <w:szCs w:val="22"/>
        </w:rPr>
        <w:t>.</w:t>
      </w:r>
    </w:p>
    <w:p>
      <w:pPr>
        <w:pStyle w:val="Normal"/>
        <w:spacing w:lineRule="auto" w:line="480"/>
        <w:ind w:left="720" w:hanging="720"/>
        <w:jc w:val="both"/>
        <w:rPr/>
      </w:pPr>
      <w:r>
        <w:rPr>
          <w:rFonts w:cs="Times New Roman" w:ascii="Arial" w:hAnsi="Arial"/>
          <w:sz w:val="22"/>
          <w:szCs w:val="22"/>
        </w:rPr>
        <w:t>Richards, K.L. et al. (2022). National roll</w:t>
        <w:noBreakHyphen/>
        <w:t xml:space="preserve">out of early intervention for eating disorders: Process and clinical outcomes from FREED. </w:t>
      </w:r>
      <w:r>
        <w:rPr>
          <w:rFonts w:cs="Times New Roman" w:ascii="Arial" w:hAnsi="Arial"/>
          <w:i/>
          <w:iCs/>
          <w:sz w:val="22"/>
          <w:szCs w:val="22"/>
        </w:rPr>
        <w:t>Early Intervention in Psychiatry</w:t>
      </w:r>
      <w:r>
        <w:rPr>
          <w:rFonts w:cs="Times New Roman" w:ascii="Arial" w:hAnsi="Arial"/>
          <w:sz w:val="22"/>
          <w:szCs w:val="22"/>
        </w:rPr>
        <w:t xml:space="preserve">. </w:t>
      </w:r>
      <w:hyperlink r:id="rId20">
        <w:r>
          <w:rPr>
            <w:rStyle w:val="InternetLink"/>
            <w:rFonts w:cs="Times New Roman" w:ascii="Arial" w:hAnsi="Arial"/>
            <w:sz w:val="22"/>
            <w:szCs w:val="22"/>
          </w:rPr>
          <w:t>https://doi:10.1111/eip.13317</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Robatto, A.P., Magalhães Cunha, C. de and Moreira, L.A.C. (2023). Diagnosis and treatment of eating disorders in children and adolescents. </w:t>
      </w:r>
      <w:r>
        <w:rPr>
          <w:rFonts w:cs="Times New Roman" w:ascii="Arial" w:hAnsi="Arial"/>
          <w:i/>
          <w:iCs/>
          <w:sz w:val="22"/>
          <w:szCs w:val="22"/>
        </w:rPr>
        <w:t>Jornal de Pediatria</w:t>
      </w:r>
      <w:r>
        <w:rPr>
          <w:rFonts w:cs="Times New Roman" w:ascii="Arial" w:hAnsi="Arial"/>
          <w:sz w:val="22"/>
          <w:szCs w:val="22"/>
        </w:rPr>
        <w:t xml:space="preserve">, [online] 100(1). </w:t>
      </w:r>
      <w:hyperlink r:id="rId21">
        <w:r>
          <w:rPr>
            <w:rStyle w:val="InternetLink"/>
            <w:rFonts w:cs="Times New Roman" w:ascii="Arial" w:hAnsi="Arial"/>
            <w:sz w:val="22"/>
            <w:szCs w:val="22"/>
          </w:rPr>
          <w:t>https://doi.org/10.1016/j.jped.2023.12.001</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Suhag, K. and Rauniyar, S. (2024). Social Media Effects regarding Eating Disorders and Body Image in Young Adolescents. </w:t>
      </w:r>
      <w:r>
        <w:rPr>
          <w:rFonts w:cs="Times New Roman" w:ascii="Arial" w:hAnsi="Arial"/>
          <w:i/>
          <w:iCs/>
          <w:sz w:val="22"/>
          <w:szCs w:val="22"/>
        </w:rPr>
        <w:t>Cureus</w:t>
      </w:r>
      <w:r>
        <w:rPr>
          <w:rFonts w:cs="Times New Roman" w:ascii="Arial" w:hAnsi="Arial"/>
          <w:sz w:val="22"/>
          <w:szCs w:val="22"/>
        </w:rPr>
        <w:t xml:space="preserve">, [online] 16(4). </w:t>
      </w:r>
      <w:hyperlink r:id="rId22">
        <w:r>
          <w:rPr>
            <w:rStyle w:val="InternetLink"/>
            <w:rFonts w:cs="Times New Roman" w:ascii="Arial" w:hAnsi="Arial"/>
            <w:sz w:val="22"/>
            <w:szCs w:val="22"/>
          </w:rPr>
          <w:t>https://doi.org/10.7759/cureus.58674</w:t>
        </w:r>
      </w:hyperlink>
      <w:r>
        <w:rPr>
          <w:rFonts w:cs="Times New Roman" w:ascii="Arial" w:hAnsi="Arial"/>
          <w:sz w:val="22"/>
          <w:szCs w:val="22"/>
        </w:rPr>
        <w:t>.</w:t>
      </w:r>
    </w:p>
    <w:p>
      <w:pPr>
        <w:pStyle w:val="Normal"/>
        <w:spacing w:lineRule="auto" w:line="480"/>
        <w:ind w:left="720" w:hanging="720"/>
        <w:jc w:val="both"/>
        <w:rPr/>
      </w:pPr>
      <w:r>
        <w:rPr>
          <w:rFonts w:cs="Times New Roman" w:ascii="Arial" w:hAnsi="Arial"/>
          <w:sz w:val="22"/>
          <w:szCs w:val="22"/>
        </w:rPr>
        <w:t xml:space="preserve">Yazdi-Feyzabadi, V., Sabermahani, M., Borhaninejad, V. and Iranmanesh, M. (2025). Breaking barriers: challenges faced by the older adults in accessing primary healthcare in a developing country. </w:t>
      </w:r>
      <w:r>
        <w:rPr>
          <w:rFonts w:cs="Times New Roman" w:ascii="Arial" w:hAnsi="Arial"/>
          <w:i/>
          <w:iCs/>
          <w:sz w:val="22"/>
          <w:szCs w:val="22"/>
        </w:rPr>
        <w:t>BMC Geriatrics</w:t>
      </w:r>
      <w:r>
        <w:rPr>
          <w:rFonts w:cs="Times New Roman" w:ascii="Arial" w:hAnsi="Arial"/>
          <w:sz w:val="22"/>
          <w:szCs w:val="22"/>
        </w:rPr>
        <w:t xml:space="preserve">, [online] 25(1). </w:t>
      </w:r>
      <w:hyperlink r:id="rId23">
        <w:r>
          <w:rPr>
            <w:rStyle w:val="InternetLink"/>
            <w:rFonts w:cs="Times New Roman" w:ascii="Arial" w:hAnsi="Arial"/>
            <w:sz w:val="22"/>
            <w:szCs w:val="22"/>
          </w:rPr>
          <w:t>https://doi.org/10.1186/s12877-025-06712-z</w:t>
        </w:r>
      </w:hyperlink>
      <w:r>
        <w:rPr>
          <w:rFonts w:cs="Times New Roman" w:ascii="Arial" w:hAnsi="Arial"/>
          <w:sz w:val="22"/>
          <w:szCs w:val="22"/>
        </w:rPr>
        <w:t>.</w:t>
      </w:r>
    </w:p>
    <w:p>
      <w:pPr>
        <w:pStyle w:val="Normal"/>
        <w:spacing w:lineRule="auto" w:line="480"/>
        <w:jc w:val="both"/>
        <w:rPr>
          <w:rFonts w:ascii="Arial" w:hAnsi="Arial" w:cs="Times New Roman"/>
          <w:sz w:val="22"/>
          <w:szCs w:val="22"/>
        </w:rPr>
      </w:pPr>
      <w:r>
        <w:rPr>
          <w:rFonts w:cs="Times New Roman" w:ascii="Arial" w:hAnsi="Arial"/>
          <w:sz w:val="22"/>
          <w:szCs w:val="22"/>
        </w:rPr>
      </w:r>
    </w:p>
    <w:p>
      <w:pPr>
        <w:pStyle w:val="Normal"/>
        <w:spacing w:lineRule="auto" w:line="480"/>
        <w:jc w:val="both"/>
        <w:rPr>
          <w:rFonts w:ascii="Arial" w:hAnsi="Arial" w:cs="Times New Roman"/>
          <w:sz w:val="22"/>
          <w:szCs w:val="22"/>
        </w:rPr>
      </w:pPr>
      <w:r>
        <w:rPr>
          <w:rFonts w:cs="Times New Roman" w:ascii="Arial" w:hAnsi="Arial"/>
          <w:sz w:val="22"/>
          <w:szCs w:val="22"/>
        </w:rPr>
      </w:r>
    </w:p>
    <w:p>
      <w:pPr>
        <w:pStyle w:val="Normal"/>
        <w:spacing w:lineRule="auto" w:line="480" w:before="0" w:after="160"/>
        <w:jc w:val="both"/>
        <w:rPr>
          <w:rFonts w:ascii="Arial" w:hAnsi="Arial"/>
          <w:sz w:val="22"/>
          <w:szCs w:val="22"/>
        </w:rPr>
      </w:pPr>
      <w:r>
        <w:rPr>
          <w:rFonts w:ascii="Arial" w:hAnsi="Arial"/>
          <w:sz w:val="22"/>
          <w:szCs w:val="22"/>
        </w:rPr>
      </w:r>
    </w:p>
    <w:sectPr>
      <w:type w:val="nextPage"/>
      <w:pgSz w:w="12240" w:h="15840"/>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Arial">
    <w:charset w:val="01"/>
    <w:family w:val="swiss"/>
    <w:pitch w:val="variable"/>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4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 w:val="24"/>
        <w:szCs w:val="24"/>
        <w:lang w:val="en-US"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160"/>
      <w:jc w:val="left"/>
    </w:pPr>
    <w:rPr>
      <w:rFonts w:ascii="Calibri" w:hAnsi="Calibri" w:eastAsia="Calibri" w:cs="" w:asciiTheme="minorHAnsi" w:cstheme="minorBidi" w:eastAsiaTheme="minorHAnsi" w:hAnsiTheme="minorHAnsi"/>
      <w:color w:val="auto"/>
      <w:kern w:val="2"/>
      <w:sz w:val="24"/>
      <w:szCs w:val="24"/>
      <w:lang w:val="en-US" w:eastAsia="en-US" w:bidi="ar-SA"/>
      <w14:ligatures w14:val="standardContextual"/>
    </w:rPr>
  </w:style>
  <w:style w:type="paragraph" w:styleId="Heading1">
    <w:name w:val="Heading 1"/>
    <w:basedOn w:val="Normal"/>
    <w:next w:val="Normal"/>
    <w:link w:val="Heading1Char"/>
    <w:uiPriority w:val="9"/>
    <w:qFormat/>
    <w:rsid w:val="000c79b1"/>
    <w:pPr>
      <w:keepNext w:val="true"/>
      <w:keepLines/>
      <w:spacing w:before="360" w:after="80"/>
      <w:outlineLvl w:val="0"/>
    </w:pPr>
    <w:rPr>
      <w:rFonts w:ascii="Calibri Light" w:hAnsi="Calibri Light" w:eastAsia="" w:cs="" w:asciiTheme="majorHAnsi" w:cstheme="majorBidi" w:eastAsiaTheme="majorEastAsia" w:hAnsiTheme="majorHAnsi"/>
      <w:color w:val="2F5496" w:themeColor="accent1" w:themeShade="bf"/>
      <w:sz w:val="40"/>
      <w:szCs w:val="40"/>
    </w:rPr>
  </w:style>
  <w:style w:type="paragraph" w:styleId="Heading2">
    <w:name w:val="Heading 2"/>
    <w:basedOn w:val="Normal"/>
    <w:next w:val="Normal"/>
    <w:link w:val="Heading2Char"/>
    <w:uiPriority w:val="9"/>
    <w:unhideWhenUsed/>
    <w:qFormat/>
    <w:rsid w:val="00b5748f"/>
    <w:pPr>
      <w:keepNext w:val="true"/>
      <w:keepLines/>
      <w:spacing w:before="160" w:after="80"/>
      <w:outlineLvl w:val="1"/>
    </w:pPr>
    <w:rPr>
      <w:rFonts w:ascii="Calibri Light" w:hAnsi="Calibri Light" w:eastAsia="" w:cs="" w:asciiTheme="majorHAnsi" w:cstheme="majorBidi" w:eastAsiaTheme="majorEastAsia" w:hAnsiTheme="majorHAnsi"/>
      <w:b/>
      <w:color w:val="000000" w:themeColor="text1"/>
      <w:sz w:val="32"/>
      <w:szCs w:val="32"/>
    </w:rPr>
  </w:style>
  <w:style w:type="paragraph" w:styleId="Heading3">
    <w:name w:val="Heading 3"/>
    <w:basedOn w:val="Normal"/>
    <w:next w:val="Normal"/>
    <w:link w:val="Heading3Char"/>
    <w:uiPriority w:val="9"/>
    <w:semiHidden/>
    <w:unhideWhenUsed/>
    <w:qFormat/>
    <w:rsid w:val="000c79b1"/>
    <w:pPr>
      <w:keepNext w:val="true"/>
      <w:keepLines/>
      <w:spacing w:before="160" w:after="80"/>
      <w:outlineLvl w:val="2"/>
    </w:pPr>
    <w:rPr>
      <w:rFonts w:eastAsia="" w:cs="" w:cstheme="majorBidi" w:eastAsiaTheme="majorEastAsia"/>
      <w:color w:val="2F5496" w:themeColor="accent1" w:themeShade="bf"/>
      <w:sz w:val="28"/>
      <w:szCs w:val="28"/>
    </w:rPr>
  </w:style>
  <w:style w:type="paragraph" w:styleId="Heading4">
    <w:name w:val="Heading 4"/>
    <w:basedOn w:val="Normal"/>
    <w:next w:val="Normal"/>
    <w:link w:val="Heading4Char"/>
    <w:uiPriority w:val="9"/>
    <w:semiHidden/>
    <w:unhideWhenUsed/>
    <w:qFormat/>
    <w:rsid w:val="000c79b1"/>
    <w:pPr>
      <w:keepNext w:val="true"/>
      <w:keepLines/>
      <w:spacing w:before="80" w:after="40"/>
      <w:outlineLvl w:val="3"/>
    </w:pPr>
    <w:rPr>
      <w:rFonts w:eastAsia="" w:cs="" w:cstheme="majorBidi" w:eastAsiaTheme="majorEastAsia"/>
      <w:i/>
      <w:iCs/>
      <w:color w:val="2F5496" w:themeColor="accent1" w:themeShade="bf"/>
    </w:rPr>
  </w:style>
  <w:style w:type="paragraph" w:styleId="Heading5">
    <w:name w:val="Heading 5"/>
    <w:basedOn w:val="Normal"/>
    <w:next w:val="Normal"/>
    <w:link w:val="Heading5Char"/>
    <w:uiPriority w:val="9"/>
    <w:semiHidden/>
    <w:unhideWhenUsed/>
    <w:qFormat/>
    <w:rsid w:val="000c79b1"/>
    <w:pPr>
      <w:keepNext w:val="true"/>
      <w:keepLines/>
      <w:spacing w:before="80" w:after="40"/>
      <w:outlineLvl w:val="4"/>
    </w:pPr>
    <w:rPr>
      <w:rFonts w:eastAsia="" w:cs="" w:cstheme="majorBidi" w:eastAsiaTheme="majorEastAsia"/>
      <w:color w:val="2F5496" w:themeColor="accent1" w:themeShade="bf"/>
    </w:rPr>
  </w:style>
  <w:style w:type="paragraph" w:styleId="Heading6">
    <w:name w:val="Heading 6"/>
    <w:basedOn w:val="Normal"/>
    <w:next w:val="Normal"/>
    <w:link w:val="Heading6Char"/>
    <w:uiPriority w:val="9"/>
    <w:semiHidden/>
    <w:unhideWhenUsed/>
    <w:qFormat/>
    <w:rsid w:val="000c79b1"/>
    <w:pPr>
      <w:keepNext w:val="true"/>
      <w:keepLines/>
      <w:spacing w:before="40" w:after="0"/>
      <w:outlineLvl w:val="5"/>
    </w:pPr>
    <w:rPr>
      <w:rFonts w:eastAsia="" w:cs=""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0c79b1"/>
    <w:pPr>
      <w:keepNext w:val="true"/>
      <w:keepLines/>
      <w:spacing w:before="40" w:after="0"/>
      <w:outlineLvl w:val="6"/>
    </w:pPr>
    <w:rPr>
      <w:rFonts w:eastAsia="" w:cs=""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0c79b1"/>
    <w:pPr>
      <w:keepNext w:val="true"/>
      <w:keepLines/>
      <w:spacing w:before="0" w:after="0"/>
      <w:outlineLvl w:val="7"/>
    </w:pPr>
    <w:rPr>
      <w:rFonts w:eastAsia="" w:cs=""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0c79b1"/>
    <w:pPr>
      <w:keepNext w:val="true"/>
      <w:keepLines/>
      <w:spacing w:before="0" w:after="0"/>
      <w:outlineLvl w:val="8"/>
    </w:pPr>
    <w:rPr>
      <w:rFonts w:eastAsia="" w:cs=""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0c79b1"/>
    <w:rPr>
      <w:rFonts w:ascii="Calibri Light" w:hAnsi="Calibri Light" w:eastAsia="" w:cs="" w:asciiTheme="majorHAnsi" w:cstheme="majorBidi" w:eastAsiaTheme="majorEastAsia" w:hAnsiTheme="majorHAnsi"/>
      <w:color w:val="2F5496" w:themeColor="accent1" w:themeShade="bf"/>
      <w:sz w:val="40"/>
      <w:szCs w:val="40"/>
    </w:rPr>
  </w:style>
  <w:style w:type="character" w:styleId="Heading2Char" w:customStyle="1">
    <w:name w:val="Heading 2 Char"/>
    <w:basedOn w:val="DefaultParagraphFont"/>
    <w:link w:val="Heading2"/>
    <w:uiPriority w:val="9"/>
    <w:qFormat/>
    <w:rsid w:val="00b5748f"/>
    <w:rPr>
      <w:rFonts w:ascii="Calibri Light" w:hAnsi="Calibri Light" w:eastAsia="" w:cs="" w:asciiTheme="majorHAnsi" w:cstheme="majorBidi" w:eastAsiaTheme="majorEastAsia" w:hAnsiTheme="majorHAnsi"/>
      <w:b/>
      <w:color w:val="000000" w:themeColor="text1"/>
      <w:sz w:val="32"/>
      <w:szCs w:val="32"/>
    </w:rPr>
  </w:style>
  <w:style w:type="character" w:styleId="Heading3Char" w:customStyle="1">
    <w:name w:val="Heading 3 Char"/>
    <w:basedOn w:val="DefaultParagraphFont"/>
    <w:link w:val="Heading3"/>
    <w:uiPriority w:val="9"/>
    <w:semiHidden/>
    <w:qFormat/>
    <w:rsid w:val="000c79b1"/>
    <w:rPr>
      <w:rFonts w:eastAsia="" w:cs="" w:cstheme="majorBidi" w:eastAsiaTheme="majorEastAsia"/>
      <w:color w:val="2F5496" w:themeColor="accent1" w:themeShade="bf"/>
      <w:sz w:val="28"/>
      <w:szCs w:val="28"/>
    </w:rPr>
  </w:style>
  <w:style w:type="character" w:styleId="Heading4Char" w:customStyle="1">
    <w:name w:val="Heading 4 Char"/>
    <w:basedOn w:val="DefaultParagraphFont"/>
    <w:link w:val="Heading4"/>
    <w:uiPriority w:val="9"/>
    <w:semiHidden/>
    <w:qFormat/>
    <w:rsid w:val="000c79b1"/>
    <w:rPr>
      <w:rFonts w:eastAsia="" w:cs="" w:cstheme="majorBidi" w:eastAsiaTheme="majorEastAsia"/>
      <w:i/>
      <w:iCs/>
      <w:color w:val="2F5496" w:themeColor="accent1" w:themeShade="bf"/>
    </w:rPr>
  </w:style>
  <w:style w:type="character" w:styleId="Heading5Char" w:customStyle="1">
    <w:name w:val="Heading 5 Char"/>
    <w:basedOn w:val="DefaultParagraphFont"/>
    <w:link w:val="Heading5"/>
    <w:uiPriority w:val="9"/>
    <w:semiHidden/>
    <w:qFormat/>
    <w:rsid w:val="000c79b1"/>
    <w:rPr>
      <w:rFonts w:eastAsia="" w:cs="" w:cstheme="majorBidi" w:eastAsiaTheme="majorEastAsia"/>
      <w:color w:val="2F5496" w:themeColor="accent1" w:themeShade="bf"/>
    </w:rPr>
  </w:style>
  <w:style w:type="character" w:styleId="Heading6Char" w:customStyle="1">
    <w:name w:val="Heading 6 Char"/>
    <w:basedOn w:val="DefaultParagraphFont"/>
    <w:link w:val="Heading6"/>
    <w:uiPriority w:val="9"/>
    <w:semiHidden/>
    <w:qFormat/>
    <w:rsid w:val="000c79b1"/>
    <w:rPr>
      <w:rFonts w:eastAsia="" w:cs=""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0c79b1"/>
    <w:rPr>
      <w:rFonts w:eastAsia="" w:cs=""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0c79b1"/>
    <w:rPr>
      <w:rFonts w:eastAsia="" w:cs=""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0c79b1"/>
    <w:rPr>
      <w:rFonts w:eastAsia="" w:cs="" w:cstheme="majorBidi" w:eastAsiaTheme="majorEastAsia"/>
      <w:color w:val="272727" w:themeColor="text1" w:themeTint="d8"/>
    </w:rPr>
  </w:style>
  <w:style w:type="character" w:styleId="TitleChar" w:customStyle="1">
    <w:name w:val="Title Char"/>
    <w:basedOn w:val="DefaultParagraphFont"/>
    <w:link w:val="Title"/>
    <w:uiPriority w:val="10"/>
    <w:qFormat/>
    <w:rsid w:val="000c79b1"/>
    <w:rPr>
      <w:rFonts w:ascii="Calibri Light" w:hAnsi="Calibri Light"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0c79b1"/>
    <w:rPr>
      <w:rFonts w:eastAsia="" w:cs=""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0c79b1"/>
    <w:rPr>
      <w:i/>
      <w:iCs/>
      <w:color w:val="404040" w:themeColor="text1" w:themeTint="bf"/>
    </w:rPr>
  </w:style>
  <w:style w:type="character" w:styleId="IntenseEmphasis">
    <w:name w:val="Intense Emphasis"/>
    <w:basedOn w:val="DefaultParagraphFont"/>
    <w:uiPriority w:val="21"/>
    <w:qFormat/>
    <w:rsid w:val="000c79b1"/>
    <w:rPr>
      <w:i/>
      <w:iCs/>
      <w:color w:val="2F5496" w:themeColor="accent1" w:themeShade="bf"/>
    </w:rPr>
  </w:style>
  <w:style w:type="character" w:styleId="IntenseQuoteChar" w:customStyle="1">
    <w:name w:val="Intense Quote Char"/>
    <w:basedOn w:val="DefaultParagraphFont"/>
    <w:link w:val="IntenseQuote"/>
    <w:uiPriority w:val="30"/>
    <w:qFormat/>
    <w:rsid w:val="000c79b1"/>
    <w:rPr>
      <w:i/>
      <w:iCs/>
      <w:color w:val="2F5496" w:themeColor="accent1" w:themeShade="bf"/>
    </w:rPr>
  </w:style>
  <w:style w:type="character" w:styleId="IntenseReference">
    <w:name w:val="Intense Reference"/>
    <w:basedOn w:val="DefaultParagraphFont"/>
    <w:uiPriority w:val="32"/>
    <w:qFormat/>
    <w:rsid w:val="000c79b1"/>
    <w:rPr>
      <w:b/>
      <w:bCs/>
      <w:smallCaps/>
      <w:color w:val="2F5496" w:themeColor="accent1" w:themeShade="bf"/>
      <w:spacing w:val="5"/>
    </w:rPr>
  </w:style>
  <w:style w:type="character" w:styleId="InternetLink">
    <w:name w:val="Hyperlink"/>
    <w:basedOn w:val="DefaultParagraphFont"/>
    <w:uiPriority w:val="99"/>
    <w:unhideWhenUsed/>
    <w:rsid w:val="00f700a0"/>
    <w:rPr>
      <w:color w:val="0563C1" w:themeColor="hyperlink"/>
      <w:u w:val="single"/>
    </w:rPr>
  </w:style>
  <w:style w:type="character" w:styleId="UnresolvedMention">
    <w:name w:val="Unresolved Mention"/>
    <w:basedOn w:val="DefaultParagraphFont"/>
    <w:uiPriority w:val="99"/>
    <w:semiHidden/>
    <w:unhideWhenUsed/>
    <w:qFormat/>
    <w:rsid w:val="00f700a0"/>
    <w:rPr>
      <w:color w:val="605E5C"/>
      <w:shd w:fill="E1DFDD" w:val="clear"/>
    </w:rPr>
  </w:style>
  <w:style w:type="character" w:styleId="VisitedInternetLink">
    <w:name w:val="FollowedHyperlink"/>
    <w:rPr>
      <w:color w:val="800000"/>
      <w:u w:val="single"/>
    </w:rPr>
  </w:style>
  <w:style w:type="character" w:styleId="IndexLink">
    <w:name w:val="Index Link"/>
    <w:qFormat/>
    <w:rPr/>
  </w:style>
  <w:style w:type="character" w:styleId="FooterChar">
    <w:name w:val="Footer Char"/>
    <w:qFormat/>
    <w:rPr>
      <w:rFonts w:ascii="Times New Roman" w:hAnsi="Times New Roman" w:eastAsia="Times New Roman" w:cs="Times New Roman"/>
      <w:color w:val="000000"/>
      <w:sz w:val="24"/>
      <w:szCs w:val="24"/>
    </w:rPr>
  </w:style>
  <w:style w:type="character" w:styleId="HeaderChar">
    <w:name w:val="Header Char"/>
    <w:qFormat/>
    <w:rPr>
      <w:rFonts w:ascii="Times New Roman" w:hAnsi="Times New Roman" w:eastAsia="Times New Roman" w:cs="Times New Roman"/>
      <w:color w:val="000000"/>
      <w:sz w:val="24"/>
      <w:szCs w:val="24"/>
    </w:rPr>
  </w:style>
  <w:style w:type="character" w:styleId="Strong">
    <w:name w:val="Strong"/>
    <w:qFormat/>
    <w:rPr>
      <w:rFonts w:ascii="Times New Roman" w:hAnsi="Times New Roman" w:eastAsia="Times New Roman" w:cs="Times New Roman"/>
      <w:b/>
      <w:bCs/>
      <w:color w:val="000000"/>
      <w:sz w:val="24"/>
      <w:szCs w:val="24"/>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0c79b1"/>
    <w:pPr>
      <w:spacing w:lineRule="auto" w:line="240" w:before="0" w:after="80"/>
      <w:contextualSpacing/>
    </w:pPr>
    <w:rPr>
      <w:rFonts w:ascii="Calibri Light" w:hAnsi="Calibri Light"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0c79b1"/>
    <w:pPr/>
    <w:rPr>
      <w:rFonts w:eastAsia="" w:c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0c79b1"/>
    <w:pPr>
      <w:spacing w:before="160" w:after="160"/>
      <w:jc w:val="center"/>
    </w:pPr>
    <w:rPr>
      <w:i/>
      <w:iCs/>
      <w:color w:val="404040" w:themeColor="text1" w:themeTint="bf"/>
    </w:rPr>
  </w:style>
  <w:style w:type="paragraph" w:styleId="ListParagraph">
    <w:name w:val="List Paragraph"/>
    <w:basedOn w:val="Normal"/>
    <w:uiPriority w:val="34"/>
    <w:qFormat/>
    <w:rsid w:val="000c79b1"/>
    <w:pPr>
      <w:spacing w:before="0" w:after="160"/>
      <w:ind w:left="720" w:hanging="0"/>
      <w:contextualSpacing/>
    </w:pPr>
    <w:rPr/>
  </w:style>
  <w:style w:type="paragraph" w:styleId="IntenseQuote">
    <w:name w:val="Intense Quote"/>
    <w:basedOn w:val="Normal"/>
    <w:next w:val="Normal"/>
    <w:link w:val="IntenseQuoteChar"/>
    <w:uiPriority w:val="30"/>
    <w:qFormat/>
    <w:rsid w:val="000c79b1"/>
    <w:pPr>
      <w:pBdr>
        <w:top w:val="single" w:sz="4" w:space="10" w:color="2F5496"/>
        <w:bottom w:val="single" w:sz="4" w:space="10" w:color="2F5496"/>
      </w:pBdr>
      <w:spacing w:before="360" w:after="360"/>
      <w:ind w:left="864" w:right="864" w:hanging="0"/>
      <w:jc w:val="center"/>
    </w:pPr>
    <w:rPr>
      <w:i/>
      <w:iCs/>
      <w:color w:val="2F5496" w:themeColor="accent1" w:themeShade="bf"/>
    </w:rPr>
  </w:style>
  <w:style w:type="paragraph" w:styleId="NormalWeb">
    <w:name w:val="Normal (Web)"/>
    <w:basedOn w:val="Normal"/>
    <w:uiPriority w:val="99"/>
    <w:unhideWhenUsed/>
    <w:qFormat/>
    <w:rsid w:val="00b5748f"/>
    <w:pPr>
      <w:spacing w:lineRule="auto" w:line="240" w:beforeAutospacing="1" w:afterAutospacing="1"/>
    </w:pPr>
    <w:rPr>
      <w:rFonts w:ascii="Times New Roman" w:hAnsi="Times New Roman" w:eastAsia="Times New Roman" w:cs="Times New Roman"/>
      <w:kern w:val="0"/>
      <w14:ligatures w14:val="none"/>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b37e1d"/>
    <w:pPr>
      <w:spacing w:lineRule="auto" w:line="259" w:before="240" w:after="0"/>
      <w:outlineLvl w:val="9"/>
    </w:pPr>
    <w:rPr>
      <w:kern w:val="0"/>
      <w:sz w:val="32"/>
      <w:szCs w:val="32"/>
      <w14:ligatures w14:val="none"/>
    </w:rPr>
  </w:style>
  <w:style w:type="paragraph" w:styleId="Contents2">
    <w:name w:val="TOC 2"/>
    <w:basedOn w:val="Normal"/>
    <w:next w:val="Normal"/>
    <w:autoRedefine/>
    <w:uiPriority w:val="39"/>
    <w:unhideWhenUsed/>
    <w:rsid w:val="00b37e1d"/>
    <w:pPr>
      <w:spacing w:before="0" w:after="100"/>
      <w:ind w:left="2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164e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yperlink" Target="https://doi.org/10.1186/s40337-025-01384-x" TargetMode="External"/><Relationship Id="rId5" Type="http://schemas.openxmlformats.org/officeDocument/2006/relationships/hyperlink" Target="https://doi:10.3399/BJGPO.2024.0014" TargetMode="External"/><Relationship Id="rId6" Type="http://schemas.openxmlformats.org/officeDocument/2006/relationships/hyperlink" Target="https://doi:10.1111/eip.1294" TargetMode="External"/><Relationship Id="rId7" Type="http://schemas.openxmlformats.org/officeDocument/2006/relationships/hyperlink" Target="https://doi.org/10.3390/ijerph20146325" TargetMode="External"/><Relationship Id="rId8" Type="http://schemas.openxmlformats.org/officeDocument/2006/relationships/hyperlink" Target="https://doi.org/10.3390/nu17101744" TargetMode="External"/><Relationship Id="rId9" Type="http://schemas.openxmlformats.org/officeDocument/2006/relationships/hyperlink" Target="https://doi:10.1002/eat.23836" TargetMode="External"/><Relationship Id="rId10" Type="http://schemas.openxmlformats.org/officeDocument/2006/relationships/hyperlink" Target="https://doi.org/10.1002/eat.22670" TargetMode="External"/><Relationship Id="rId11" Type="http://schemas.openxmlformats.org/officeDocument/2006/relationships/hyperlink" Target="https://doi.org/10.1186/s40337-025-01252-8" TargetMode="External"/><Relationship Id="rId12" Type="http://schemas.openxmlformats.org/officeDocument/2006/relationships/hyperlink" Target="https://doi.org/10.1002/eat.23322" TargetMode="External"/><Relationship Id="rId13" Type="http://schemas.openxmlformats.org/officeDocument/2006/relationships/hyperlink" Target="https://doi:10.1002/eat.24568" TargetMode="External"/><Relationship Id="rId14" Type="http://schemas.openxmlformats.org/officeDocument/2006/relationships/hyperlink" Target="https://doi.org/10.1002/eat.24568" TargetMode="External"/><Relationship Id="rId15" Type="http://schemas.openxmlformats.org/officeDocument/2006/relationships/hyperlink" Target="https://doi.org/10.1186/s40337-023-00763-6" TargetMode="External"/><Relationship Id="rId16" Type="http://schemas.openxmlformats.org/officeDocument/2006/relationships/hyperlink" Target="https://doi.org/10.1007/s40211-025-00544-4" TargetMode="External"/><Relationship Id="rId17" Type="http://schemas.openxmlformats.org/officeDocument/2006/relationships/hyperlink" Target="https://doi.org/10.1186/s40337-023-00801-3" TargetMode="External"/><Relationship Id="rId18" Type="http://schemas.openxmlformats.org/officeDocument/2006/relationships/hyperlink" Target="https://www.england.nhs.uk/wp-content/uploads/2019/08/aed-guidance.pdf" TargetMode="External"/><Relationship Id="rId19" Type="http://schemas.openxmlformats.org/officeDocument/2006/relationships/hyperlink" Target="https://doi.org/10.1002/jclp.70005" TargetMode="External"/><Relationship Id="rId20" Type="http://schemas.openxmlformats.org/officeDocument/2006/relationships/hyperlink" Target="https://doi:10.1111/eip.13317" TargetMode="External"/><Relationship Id="rId21" Type="http://schemas.openxmlformats.org/officeDocument/2006/relationships/hyperlink" Target="https://doi.org/10.1016/j.jped.2023.12.001" TargetMode="External"/><Relationship Id="rId22" Type="http://schemas.openxmlformats.org/officeDocument/2006/relationships/hyperlink" Target="https://doi.org/10.7759/cureus.58674" TargetMode="External"/><Relationship Id="rId23" Type="http://schemas.openxmlformats.org/officeDocument/2006/relationships/hyperlink" Target="https://doi.org/10.1186/s12877-025-06712-z" TargetMode="External"/><Relationship Id="rId24" Type="http://schemas.openxmlformats.org/officeDocument/2006/relationships/numbering" Target="numbering.xml"/><Relationship Id="rId25" Type="http://schemas.openxmlformats.org/officeDocument/2006/relationships/fontTable" Target="fontTable.xml"/><Relationship Id="rId26" Type="http://schemas.openxmlformats.org/officeDocument/2006/relationships/settings" Target="settings.xml"/><Relationship Id="rId27" Type="http://schemas.openxmlformats.org/officeDocument/2006/relationships/theme" Target="theme/theme1.xml"/><Relationship Id="rId2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F544D-AA1C-4DCF-9D40-3900956E7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Application>LibreOffice/7.5.3.2$Windows_X86_64 LibreOffice_project/9f56dff12ba03b9acd7730a5a481eea045e468f3</Application>
  <AppVersion>15.0000</AppVersion>
  <Pages>19</Pages>
  <Words>4158</Words>
  <Characters>24223</Characters>
  <CharactersWithSpaces>28235</CharactersWithSpaces>
  <Paragraphs>144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dc:description/>
  <dc:language>en-GB</dc:language>
  <cp:lastModifiedBy/>
  <dcterms:modified xsi:type="dcterms:W3CDTF">2026-03-24T12:35:45Z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