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56574" w14:textId="77777777" w:rsidR="00BA4D12" w:rsidRDefault="000B0D44">
      <w:pPr>
        <w:spacing w:after="600"/>
        <w:jc w:val="center"/>
      </w:pPr>
      <w:r>
        <w:rPr>
          <w:noProof/>
        </w:rPr>
        <w:drawing>
          <wp:inline distT="114300" distB="114300" distL="114300" distR="114300" wp14:anchorId="17776B0B" wp14:editId="5B5233C0">
            <wp:extent cx="1976547" cy="7762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976547" cy="776288"/>
                    </a:xfrm>
                    <a:prstGeom prst="rect">
                      <a:avLst/>
                    </a:prstGeom>
                    <a:ln/>
                  </pic:spPr>
                </pic:pic>
              </a:graphicData>
            </a:graphic>
          </wp:inline>
        </w:drawing>
      </w:r>
    </w:p>
    <w:p w14:paraId="2961EC9B" w14:textId="77777777" w:rsidR="00BA4D12" w:rsidRDefault="000B0D44">
      <w:pPr>
        <w:spacing w:after="80"/>
        <w:jc w:val="center"/>
      </w:pPr>
      <w:r>
        <w:rPr>
          <w:b/>
          <w:bCs/>
          <w:color w:val="1F3864"/>
          <w:sz w:val="26"/>
          <w:szCs w:val="26"/>
        </w:rPr>
        <w:t>UNIVERSITY OF WALES TRINITY SAINT DAVID</w:t>
      </w:r>
    </w:p>
    <w:p w14:paraId="2CBECB81" w14:textId="77777777" w:rsidR="00BA4D12" w:rsidRDefault="00BA4D12">
      <w:pPr>
        <w:spacing w:after="400"/>
        <w:jc w:val="center"/>
      </w:pPr>
    </w:p>
    <w:p w14:paraId="2E91DB7F" w14:textId="77777777" w:rsidR="00BA4D12" w:rsidRDefault="00BA4D12">
      <w:pPr>
        <w:pBdr>
          <w:bottom w:val="single" w:sz="12" w:space="1" w:color="C9A84C"/>
        </w:pBdr>
        <w:spacing w:after="120"/>
      </w:pPr>
    </w:p>
    <w:p w14:paraId="2C9E637D" w14:textId="77777777" w:rsidR="00BA4D12" w:rsidRDefault="00BA4D12">
      <w:pPr>
        <w:spacing w:after="300"/>
      </w:pPr>
    </w:p>
    <w:p w14:paraId="535B8FC5" w14:textId="77777777" w:rsidR="00BA4D12" w:rsidRDefault="000B0D44">
      <w:pPr>
        <w:spacing w:after="160"/>
        <w:jc w:val="center"/>
      </w:pPr>
      <w:r>
        <w:rPr>
          <w:b/>
          <w:bCs/>
          <w:color w:val="1F3864"/>
        </w:rPr>
        <w:t>MSc International Business Management</w:t>
      </w:r>
    </w:p>
    <w:p w14:paraId="7AA75ED7" w14:textId="77777777" w:rsidR="00BA4D12" w:rsidRDefault="000B0D44">
      <w:pPr>
        <w:spacing w:after="600"/>
        <w:jc w:val="center"/>
      </w:pPr>
      <w:r>
        <w:rPr>
          <w:color w:val="444444"/>
          <w:sz w:val="22"/>
          <w:szCs w:val="22"/>
        </w:rPr>
        <w:t>Module: LCMB7034 — International Business Strategy</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BA4D12" w14:paraId="22622BDD" w14:textId="77777777">
        <w:tc>
          <w:tcPr>
            <w:tcW w:w="9360" w:type="dxa"/>
            <w:tcBorders>
              <w:top w:val="single" w:sz="6" w:space="0" w:color="C9A84C"/>
              <w:left w:val="single" w:sz="6" w:space="0" w:color="C9A84C"/>
              <w:bottom w:val="single" w:sz="6" w:space="0" w:color="C9A84C"/>
              <w:right w:val="single" w:sz="6" w:space="0" w:color="C9A84C"/>
            </w:tcBorders>
            <w:shd w:val="clear" w:color="auto" w:fill="EBF2FA"/>
            <w:tcMar>
              <w:top w:w="200" w:type="dxa"/>
              <w:left w:w="240" w:type="dxa"/>
              <w:bottom w:w="200" w:type="dxa"/>
              <w:right w:w="240" w:type="dxa"/>
            </w:tcMar>
          </w:tcPr>
          <w:p w14:paraId="01EE5BFD" w14:textId="77777777" w:rsidR="00BA4D12" w:rsidRDefault="000B0D44">
            <w:pPr>
              <w:spacing w:after="120"/>
              <w:jc w:val="center"/>
            </w:pPr>
            <w:r>
              <w:rPr>
                <w:b/>
                <w:bCs/>
                <w:color w:val="1F3864"/>
                <w:sz w:val="28"/>
                <w:szCs w:val="28"/>
              </w:rPr>
              <w:t>International Business Strategy Report:</w:t>
            </w:r>
          </w:p>
          <w:p w14:paraId="304BB262" w14:textId="77777777" w:rsidR="00BA4D12" w:rsidRDefault="000B0D44">
            <w:pPr>
              <w:spacing w:after="80"/>
              <w:jc w:val="center"/>
            </w:pPr>
            <w:r>
              <w:rPr>
                <w:b/>
                <w:bCs/>
                <w:color w:val="2E75B6"/>
                <w:sz w:val="32"/>
                <w:szCs w:val="32"/>
              </w:rPr>
              <w:t>UAE Tourism and Hospitality Industry</w:t>
            </w:r>
          </w:p>
          <w:p w14:paraId="6307194B" w14:textId="77777777" w:rsidR="00BA4D12" w:rsidRDefault="000B0D44">
            <w:pPr>
              <w:jc w:val="center"/>
            </w:pPr>
            <w:r>
              <w:rPr>
                <w:color w:val="555555"/>
              </w:rPr>
              <w:t>A Critical Evaluation of Marriott International's Operations in the UAE</w:t>
            </w:r>
          </w:p>
        </w:tc>
      </w:tr>
    </w:tbl>
    <w:p w14:paraId="2B397A0E" w14:textId="77777777" w:rsidR="00BA4D12" w:rsidRDefault="00BA4D12">
      <w:pPr>
        <w:spacing w:after="500"/>
      </w:pPr>
    </w:p>
    <w:tbl>
      <w:tblPr>
        <w:tblStyle w:val="a0"/>
        <w:tblW w:w="72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4800"/>
      </w:tblGrid>
      <w:tr w:rsidR="00BA4D12" w14:paraId="3C14A08D"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570C2A79" w14:textId="77777777" w:rsidR="00BA4D12" w:rsidRDefault="000B0D44">
            <w:r>
              <w:rPr>
                <w:b/>
                <w:bCs/>
                <w:color w:val="FFFFFF"/>
                <w:sz w:val="20"/>
                <w:szCs w:val="20"/>
              </w:rPr>
              <w:t>Programme:</w:t>
            </w:r>
          </w:p>
        </w:tc>
        <w:tc>
          <w:tcPr>
            <w:tcW w:w="48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tcPr>
          <w:p w14:paraId="08C6576D" w14:textId="77777777" w:rsidR="00BA4D12" w:rsidRDefault="000B0D44">
            <w:r>
              <w:rPr>
                <w:color w:val="000000"/>
                <w:sz w:val="20"/>
                <w:szCs w:val="20"/>
              </w:rPr>
              <w:t>MSc International Business Management</w:t>
            </w:r>
          </w:p>
        </w:tc>
      </w:tr>
      <w:tr w:rsidR="00BA4D12" w14:paraId="27698E98"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7E6024A6" w14:textId="77777777" w:rsidR="00BA4D12" w:rsidRDefault="000B0D44">
            <w:r>
              <w:rPr>
                <w:b/>
                <w:bCs/>
                <w:color w:val="FFFFFF"/>
                <w:sz w:val="20"/>
                <w:szCs w:val="20"/>
              </w:rPr>
              <w:t>Module Code:</w:t>
            </w:r>
          </w:p>
        </w:tc>
        <w:tc>
          <w:tcPr>
            <w:tcW w:w="4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96AF5EE" w14:textId="77777777" w:rsidR="00BA4D12" w:rsidRDefault="000B0D44">
            <w:r>
              <w:rPr>
                <w:color w:val="000000"/>
                <w:sz w:val="20"/>
                <w:szCs w:val="20"/>
              </w:rPr>
              <w:t>LCMB7034</w:t>
            </w:r>
          </w:p>
        </w:tc>
      </w:tr>
      <w:tr w:rsidR="00BA4D12" w14:paraId="1ECED740"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17901C9C" w14:textId="77777777" w:rsidR="00BA4D12" w:rsidRDefault="000B0D44">
            <w:r>
              <w:rPr>
                <w:b/>
                <w:bCs/>
                <w:color w:val="FFFFFF"/>
                <w:sz w:val="20"/>
                <w:szCs w:val="20"/>
              </w:rPr>
              <w:t>Module Title:</w:t>
            </w:r>
          </w:p>
        </w:tc>
        <w:tc>
          <w:tcPr>
            <w:tcW w:w="48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tcPr>
          <w:p w14:paraId="0EA659C7" w14:textId="77777777" w:rsidR="00BA4D12" w:rsidRDefault="000B0D44">
            <w:r>
              <w:rPr>
                <w:color w:val="000000"/>
                <w:sz w:val="20"/>
                <w:szCs w:val="20"/>
              </w:rPr>
              <w:t>International Business Strategy</w:t>
            </w:r>
          </w:p>
        </w:tc>
      </w:tr>
      <w:tr w:rsidR="000B0D44" w14:paraId="7C7DAFEA" w14:textId="77777777" w:rsidTr="00615AB6">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00246F52" w14:textId="77777777" w:rsidR="000B0D44" w:rsidRDefault="000B0D44">
            <w:r>
              <w:rPr>
                <w:b/>
                <w:bCs/>
                <w:color w:val="FFFFFF"/>
                <w:sz w:val="20"/>
                <w:szCs w:val="20"/>
              </w:rPr>
              <w:t>Lecturer:</w:t>
            </w:r>
          </w:p>
        </w:tc>
        <w:tc>
          <w:tcPr>
            <w:tcW w:w="4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vAlign w:val="center"/>
          </w:tcPr>
          <w:p w14:paraId="10CF51B1" w14:textId="39C926A4" w:rsidR="000B0D44" w:rsidRDefault="000B0D44">
            <w:proofErr w:type="spellStart"/>
            <w:r>
              <w:rPr>
                <w:b/>
                <w:sz w:val="22"/>
                <w:szCs w:val="22"/>
              </w:rPr>
              <w:t>Akshay</w:t>
            </w:r>
            <w:proofErr w:type="spellEnd"/>
            <w:r>
              <w:rPr>
                <w:b/>
                <w:sz w:val="22"/>
                <w:szCs w:val="22"/>
              </w:rPr>
              <w:t xml:space="preserve"> Narayanan</w:t>
            </w:r>
          </w:p>
        </w:tc>
      </w:tr>
      <w:tr w:rsidR="00BA4D12" w14:paraId="649196AC"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7CD2B08D" w14:textId="77777777" w:rsidR="00BA4D12" w:rsidRDefault="000B0D44">
            <w:r>
              <w:rPr>
                <w:b/>
                <w:bCs/>
                <w:color w:val="FFFFFF"/>
                <w:sz w:val="20"/>
                <w:szCs w:val="20"/>
              </w:rPr>
              <w:t>Student Name:</w:t>
            </w:r>
          </w:p>
        </w:tc>
        <w:tc>
          <w:tcPr>
            <w:tcW w:w="48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tcPr>
          <w:p w14:paraId="39CC1014" w14:textId="7D3D8673" w:rsidR="00BA4D12" w:rsidRDefault="000B0D44">
            <w:r>
              <w:t xml:space="preserve">Jahangir </w:t>
            </w:r>
            <w:proofErr w:type="spellStart"/>
            <w:r>
              <w:t>khalaj</w:t>
            </w:r>
            <w:proofErr w:type="spellEnd"/>
            <w:r>
              <w:t xml:space="preserve"> </w:t>
            </w:r>
            <w:proofErr w:type="spellStart"/>
            <w:r>
              <w:t>savojbolagh</w:t>
            </w:r>
            <w:proofErr w:type="spellEnd"/>
            <w:r>
              <w:t xml:space="preserve"> </w:t>
            </w:r>
          </w:p>
        </w:tc>
      </w:tr>
      <w:tr w:rsidR="00BA4D12" w14:paraId="130E8F40"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404E224B" w14:textId="77777777" w:rsidR="00BA4D12" w:rsidRDefault="000B0D44">
            <w:r>
              <w:rPr>
                <w:b/>
                <w:bCs/>
                <w:color w:val="FFFFFF"/>
                <w:sz w:val="20"/>
                <w:szCs w:val="20"/>
              </w:rPr>
              <w:t>Student ID:</w:t>
            </w:r>
          </w:p>
        </w:tc>
        <w:tc>
          <w:tcPr>
            <w:tcW w:w="4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108680F9" w14:textId="26AFAB52" w:rsidR="00BA4D12" w:rsidRDefault="000B0D44">
            <w:r>
              <w:t>2109914</w:t>
            </w:r>
          </w:p>
        </w:tc>
      </w:tr>
      <w:tr w:rsidR="00BA4D12" w14:paraId="7088D5E2"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309A45F8" w14:textId="77777777" w:rsidR="00BA4D12" w:rsidRDefault="000B0D44">
            <w:r>
              <w:rPr>
                <w:b/>
                <w:bCs/>
                <w:color w:val="FFFFFF"/>
                <w:sz w:val="20"/>
                <w:szCs w:val="20"/>
              </w:rPr>
              <w:t>Word Count:</w:t>
            </w:r>
          </w:p>
        </w:tc>
        <w:tc>
          <w:tcPr>
            <w:tcW w:w="4800" w:type="dxa"/>
            <w:tcBorders>
              <w:top w:val="single" w:sz="4" w:space="0" w:color="CCCCCC"/>
              <w:left w:val="single" w:sz="4" w:space="0" w:color="CCCCCC"/>
              <w:bottom w:val="single" w:sz="4" w:space="0" w:color="CCCCCC"/>
              <w:right w:val="single" w:sz="4" w:space="0" w:color="CCCCCC"/>
            </w:tcBorders>
            <w:shd w:val="clear" w:color="auto" w:fill="D6E4F0"/>
            <w:tcMar>
              <w:top w:w="80" w:type="dxa"/>
              <w:left w:w="120" w:type="dxa"/>
              <w:bottom w:w="80" w:type="dxa"/>
              <w:right w:w="120" w:type="dxa"/>
            </w:tcMar>
          </w:tcPr>
          <w:p w14:paraId="297B0C05" w14:textId="77777777" w:rsidR="00BA4D12" w:rsidRDefault="000B0D44">
            <w:r>
              <w:rPr>
                <w:color w:val="000000"/>
                <w:sz w:val="20"/>
                <w:szCs w:val="20"/>
              </w:rPr>
              <w:t>Approx. 5,000 words (excl. cover, TOC, references)</w:t>
            </w:r>
          </w:p>
        </w:tc>
      </w:tr>
      <w:tr w:rsidR="00BA4D12" w14:paraId="6BDE31A6" w14:textId="77777777">
        <w:tc>
          <w:tcPr>
            <w:tcW w:w="2400" w:type="dxa"/>
            <w:tcBorders>
              <w:top w:val="single" w:sz="4" w:space="0" w:color="FFFFFF"/>
              <w:left w:val="single" w:sz="4" w:space="0" w:color="FFFFFF"/>
              <w:bottom w:val="single" w:sz="4" w:space="0" w:color="FFFFFF"/>
              <w:right w:val="single" w:sz="4" w:space="0" w:color="FFFFFF"/>
            </w:tcBorders>
            <w:shd w:val="clear" w:color="auto" w:fill="1F3864"/>
            <w:tcMar>
              <w:top w:w="80" w:type="dxa"/>
              <w:left w:w="120" w:type="dxa"/>
              <w:bottom w:w="80" w:type="dxa"/>
              <w:right w:w="120" w:type="dxa"/>
            </w:tcMar>
          </w:tcPr>
          <w:p w14:paraId="4C823689" w14:textId="77777777" w:rsidR="00BA4D12" w:rsidRDefault="000B0D44">
            <w:r>
              <w:rPr>
                <w:b/>
                <w:bCs/>
                <w:color w:val="FFFFFF"/>
                <w:sz w:val="20"/>
                <w:szCs w:val="20"/>
              </w:rPr>
              <w:t>Submission Date:</w:t>
            </w:r>
          </w:p>
        </w:tc>
        <w:tc>
          <w:tcPr>
            <w:tcW w:w="4800"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A73144A" w14:textId="634E2890" w:rsidR="00BA4D12" w:rsidRDefault="000B0D44">
            <w:r>
              <w:t>20/03/2026</w:t>
            </w:r>
          </w:p>
        </w:tc>
      </w:tr>
    </w:tbl>
    <w:p w14:paraId="4623942E" w14:textId="77777777" w:rsidR="00BA4D12" w:rsidRDefault="000B0D44">
      <w:r>
        <w:br w:type="page"/>
      </w:r>
    </w:p>
    <w:p w14:paraId="5DF891AF" w14:textId="77777777" w:rsidR="00BA4D12" w:rsidRDefault="000B0D44">
      <w:pPr>
        <w:spacing w:before="200" w:after="200"/>
        <w:jc w:val="center"/>
      </w:pPr>
      <w:r>
        <w:rPr>
          <w:b/>
          <w:bCs/>
          <w:color w:val="1F3864"/>
          <w:sz w:val="28"/>
          <w:szCs w:val="28"/>
        </w:rPr>
        <w:t>EXECUTIVE SUMMARY</w:t>
      </w:r>
    </w:p>
    <w:p w14:paraId="23F9D2C6" w14:textId="77777777" w:rsidR="00BA4D12" w:rsidRDefault="00BA4D12">
      <w:pPr>
        <w:pBdr>
          <w:bottom w:val="single" w:sz="6" w:space="1" w:color="2E75B6"/>
        </w:pBdr>
        <w:spacing w:after="120"/>
      </w:pPr>
    </w:p>
    <w:p w14:paraId="4217B47F" w14:textId="77777777" w:rsidR="00BA4D12" w:rsidRDefault="000B0D44">
      <w:pPr>
        <w:spacing w:after="200" w:line="360" w:lineRule="auto"/>
        <w:jc w:val="both"/>
      </w:pPr>
      <w:r>
        <w:t>The report critically analyses the tourism and hospitality sector in the United Arab Emirates (UAE) and evaluates the global competitiveness of this sector and how Marriott International, which is among the leading hospitality multinational corporations in the world, is positioned in this market. The UAE has become one of the top destinations in the world in terms of tourism backed by the ambitious government-led visions, the infrastructure of world standards, and the cosmopolitan consumer base.</w:t>
      </w:r>
    </w:p>
    <w:p w14:paraId="22743951" w14:textId="77777777" w:rsidR="00BA4D12" w:rsidRDefault="000B0D44">
      <w:pPr>
        <w:spacing w:after="200" w:line="360" w:lineRule="auto"/>
        <w:jc w:val="both"/>
      </w:pPr>
      <w:r>
        <w:t xml:space="preserve">The first section starts with the background information about the UAE as a country and its tourism. It goes on to chart the scale, area, and economic significance of the industry, the main domestic and foreign stakeholders and their competitive stance. The Diamond Model of National Advantage developed by Porter is then used to evaluate the structural factors of competitive advantage in the hospitality sector of the UAE. The report then critically </w:t>
      </w:r>
      <w:proofErr w:type="spellStart"/>
      <w:r>
        <w:t>analyzes</w:t>
      </w:r>
      <w:proofErr w:type="spellEnd"/>
      <w:r>
        <w:t xml:space="preserve"> the operational environment of the Marriot International in the UAE using the PESTLE analytical framework including the applicability of the relevant cultural assessment tools to </w:t>
      </w:r>
      <w:proofErr w:type="spellStart"/>
      <w:r>
        <w:t>analyze</w:t>
      </w:r>
      <w:proofErr w:type="spellEnd"/>
      <w:r>
        <w:t xml:space="preserve"> the political, economic, legal and cultural environment.</w:t>
      </w:r>
    </w:p>
    <w:p w14:paraId="5FC78F59" w14:textId="77777777" w:rsidR="00BA4D12" w:rsidRDefault="000B0D44">
      <w:pPr>
        <w:spacing w:after="200" w:line="360" w:lineRule="auto"/>
        <w:jc w:val="both"/>
      </w:pPr>
      <w:r>
        <w:t>Section 2 provides a personal reflection of the research and analysis process, organized using the Reflective Cycle developed by Gibbs, recognizing the learning outcomes, the issues that arose, and planning the future professional growth.</w:t>
      </w:r>
    </w:p>
    <w:p w14:paraId="05D328A5" w14:textId="77777777" w:rsidR="00BA4D12" w:rsidRDefault="000B0D44">
      <w:pPr>
        <w:spacing w:after="200" w:line="360" w:lineRule="auto"/>
        <w:jc w:val="both"/>
      </w:pPr>
      <w:r>
        <w:t>The report concludes that despite promising prospects of the UAE to Marriott International owing to a stable political environment, good economic fundamentals, and an increasingly growing tourist arrivals, issues associated with cultural sensitivity, regulatory compliance and increasing competition in the region would need long-term strategic consideration. The results highlight the relevance of localisation strategies that are adaptive in global hotel chains that are meant to operate in emerging markets of</w:t>
      </w:r>
      <w:r>
        <w:t xml:space="preserve"> different culture.</w:t>
      </w:r>
    </w:p>
    <w:p w14:paraId="10CAF738" w14:textId="77777777" w:rsidR="00BA4D12" w:rsidRDefault="00BA4D12">
      <w:pPr>
        <w:spacing w:after="200" w:line="360" w:lineRule="auto"/>
        <w:jc w:val="both"/>
      </w:pPr>
    </w:p>
    <w:p w14:paraId="557AD870" w14:textId="77777777" w:rsidR="00BA4D12" w:rsidRDefault="00BA4D12">
      <w:pPr>
        <w:spacing w:after="200" w:line="360" w:lineRule="auto"/>
        <w:jc w:val="both"/>
      </w:pPr>
    </w:p>
    <w:p w14:paraId="64CE2A42" w14:textId="77777777" w:rsidR="00BA4D12" w:rsidRDefault="00BA4D12"/>
    <w:p w14:paraId="5438238E" w14:textId="77777777" w:rsidR="00BA4D12" w:rsidRDefault="000B0D44">
      <w:pPr>
        <w:spacing w:before="200" w:after="200"/>
        <w:jc w:val="center"/>
      </w:pPr>
      <w:r>
        <w:rPr>
          <w:b/>
          <w:bCs/>
          <w:color w:val="1F3864"/>
          <w:sz w:val="28"/>
          <w:szCs w:val="28"/>
        </w:rPr>
        <w:t>TABLE OF CONTENTS</w:t>
      </w:r>
    </w:p>
    <w:p w14:paraId="08B8E8EA" w14:textId="77777777" w:rsidR="00BA4D12" w:rsidRDefault="00BA4D12">
      <w:pPr>
        <w:pBdr>
          <w:bottom w:val="single" w:sz="6" w:space="1" w:color="2E75B6"/>
        </w:pBdr>
        <w:spacing w:after="120"/>
      </w:pPr>
    </w:p>
    <w:sdt>
      <w:sdtPr>
        <w:id w:val="901965408"/>
        <w:docPartObj>
          <w:docPartGallery w:val="Table of Contents"/>
          <w:docPartUnique/>
        </w:docPartObj>
      </w:sdtPr>
      <w:sdtEndPr/>
      <w:sdtContent>
        <w:p w14:paraId="38CC02D2" w14:textId="77777777" w:rsidR="00BA4D12" w:rsidRDefault="000B0D44">
          <w:r>
            <w:fldChar w:fldCharType="begin"/>
          </w:r>
          <w:r>
            <w:instrText xml:space="preserve"> TOC \h \u \z \t "Heading 1,1,Heading 2,2,Heading 3,3,"</w:instrText>
          </w:r>
          <w:r>
            <w:fldChar w:fldCharType="separate"/>
          </w:r>
        </w:p>
        <w:p w14:paraId="0594F368" w14:textId="77777777" w:rsidR="00BA4D12" w:rsidRDefault="000B0D44">
          <w:r>
            <w:fldChar w:fldCharType="end"/>
          </w:r>
        </w:p>
      </w:sdtContent>
    </w:sdt>
    <w:p w14:paraId="3E4A8A57" w14:textId="77777777" w:rsidR="00BA4D12" w:rsidRDefault="00BA4D12"/>
    <w:sdt>
      <w:sdtPr>
        <w:id w:val="-747389178"/>
        <w:docPartObj>
          <w:docPartGallery w:val="Table of Contents"/>
          <w:docPartUnique/>
        </w:docPartObj>
      </w:sdtPr>
      <w:sdtEndPr/>
      <w:sdtContent>
        <w:p w14:paraId="4CA9EFDD" w14:textId="77777777" w:rsidR="00BA4D12" w:rsidRDefault="000B0D44">
          <w:pPr>
            <w:widowControl w:val="0"/>
            <w:tabs>
              <w:tab w:val="right" w:leader="dot" w:pos="9025"/>
            </w:tabs>
            <w:spacing w:before="60"/>
            <w:rPr>
              <w:b/>
              <w:bCs/>
              <w:color w:val="000000"/>
            </w:rPr>
          </w:pPr>
          <w:r>
            <w:fldChar w:fldCharType="begin"/>
          </w:r>
          <w:r>
            <w:instrText xml:space="preserve"> TOC \h \u \z \t "Heading 1,1,Heading 2,2,Heading 3,3,Heading 4,4,Heading 5,5,Heading 6,6,"</w:instrText>
          </w:r>
          <w:r>
            <w:fldChar w:fldCharType="separate"/>
          </w:r>
          <w:hyperlink w:anchor="_heading=">
            <w:r w:rsidR="00BA4D12">
              <w:rPr>
                <w:b/>
                <w:bCs/>
                <w:color w:val="000000"/>
              </w:rPr>
              <w:t>1. Introduction</w:t>
            </w:r>
            <w:r w:rsidR="00BA4D12">
              <w:rPr>
                <w:b/>
                <w:bCs/>
                <w:color w:val="000000"/>
              </w:rPr>
              <w:tab/>
            </w:r>
          </w:hyperlink>
          <w:r>
            <w:fldChar w:fldCharType="begin"/>
          </w:r>
          <w:r>
            <w:instrText xml:space="preserve"> PAGEREF _heading= \h </w:instrText>
          </w:r>
          <w:r>
            <w:fldChar w:fldCharType="separate"/>
          </w:r>
          <w:r>
            <w:rPr>
              <w:b/>
              <w:bCs/>
            </w:rPr>
            <w:t>4</w:t>
          </w:r>
          <w:r>
            <w:fldChar w:fldCharType="end"/>
          </w:r>
        </w:p>
        <w:p w14:paraId="2E63DD55" w14:textId="77777777" w:rsidR="00BA4D12" w:rsidRDefault="00BA4D12">
          <w:pPr>
            <w:widowControl w:val="0"/>
            <w:tabs>
              <w:tab w:val="right" w:leader="dot" w:pos="9025"/>
            </w:tabs>
            <w:spacing w:before="60"/>
            <w:rPr>
              <w:b/>
              <w:bCs/>
              <w:color w:val="000000"/>
            </w:rPr>
          </w:pPr>
          <w:hyperlink w:anchor="_heading=">
            <w:r>
              <w:rPr>
                <w:b/>
                <w:bCs/>
                <w:color w:val="000000"/>
              </w:rPr>
              <w:t>2. Industry and Country Overview</w:t>
            </w:r>
            <w:r>
              <w:rPr>
                <w:b/>
                <w:bCs/>
                <w:color w:val="000000"/>
              </w:rPr>
              <w:tab/>
            </w:r>
          </w:hyperlink>
          <w:r w:rsidR="000B0D44">
            <w:fldChar w:fldCharType="begin"/>
          </w:r>
          <w:r w:rsidR="000B0D44">
            <w:instrText xml:space="preserve"> PAGEREF _heading= \h </w:instrText>
          </w:r>
          <w:r w:rsidR="000B0D44">
            <w:fldChar w:fldCharType="separate"/>
          </w:r>
          <w:r w:rsidR="000B0D44">
            <w:rPr>
              <w:b/>
              <w:bCs/>
            </w:rPr>
            <w:t>4</w:t>
          </w:r>
          <w:r w:rsidR="000B0D44">
            <w:fldChar w:fldCharType="end"/>
          </w:r>
        </w:p>
        <w:p w14:paraId="482EDCDF" w14:textId="77777777" w:rsidR="00BA4D12" w:rsidRDefault="00BA4D12">
          <w:pPr>
            <w:widowControl w:val="0"/>
            <w:tabs>
              <w:tab w:val="right" w:leader="dot" w:pos="9025"/>
            </w:tabs>
            <w:spacing w:before="60"/>
            <w:ind w:left="360"/>
            <w:rPr>
              <w:color w:val="000000"/>
            </w:rPr>
          </w:pPr>
          <w:hyperlink w:anchor="_heading=">
            <w:r>
              <w:rPr>
                <w:color w:val="000000"/>
              </w:rPr>
              <w:t>2.1 The UAE: A Contextual Overview</w:t>
            </w:r>
            <w:r>
              <w:rPr>
                <w:color w:val="000000"/>
              </w:rPr>
              <w:tab/>
            </w:r>
          </w:hyperlink>
          <w:r w:rsidR="000B0D44">
            <w:fldChar w:fldCharType="begin"/>
          </w:r>
          <w:r w:rsidR="000B0D44">
            <w:instrText xml:space="preserve"> PAGEREF _heading= \h </w:instrText>
          </w:r>
          <w:r w:rsidR="000B0D44">
            <w:fldChar w:fldCharType="separate"/>
          </w:r>
          <w:r w:rsidR="000B0D44">
            <w:t>4</w:t>
          </w:r>
          <w:r w:rsidR="000B0D44">
            <w:fldChar w:fldCharType="end"/>
          </w:r>
        </w:p>
        <w:p w14:paraId="48DC2C6E" w14:textId="77777777" w:rsidR="00BA4D12" w:rsidRDefault="00BA4D12">
          <w:pPr>
            <w:widowControl w:val="0"/>
            <w:tabs>
              <w:tab w:val="right" w:leader="dot" w:pos="9025"/>
            </w:tabs>
            <w:spacing w:before="60"/>
            <w:ind w:left="360"/>
            <w:rPr>
              <w:color w:val="000000"/>
            </w:rPr>
          </w:pPr>
          <w:hyperlink w:anchor="_heading=">
            <w:r>
              <w:rPr>
                <w:color w:val="000000"/>
              </w:rPr>
              <w:t>2.2 Size, Scope, and Economic Importance of the Tourism Industry</w:t>
            </w:r>
            <w:r>
              <w:rPr>
                <w:color w:val="000000"/>
              </w:rPr>
              <w:tab/>
            </w:r>
          </w:hyperlink>
          <w:r w:rsidR="000B0D44">
            <w:fldChar w:fldCharType="begin"/>
          </w:r>
          <w:r w:rsidR="000B0D44">
            <w:instrText xml:space="preserve"> PAGEREF _heading= \h </w:instrText>
          </w:r>
          <w:r w:rsidR="000B0D44">
            <w:fldChar w:fldCharType="separate"/>
          </w:r>
          <w:r w:rsidR="000B0D44">
            <w:t>5</w:t>
          </w:r>
          <w:r w:rsidR="000B0D44">
            <w:fldChar w:fldCharType="end"/>
          </w:r>
        </w:p>
        <w:p w14:paraId="41A1547F" w14:textId="77777777" w:rsidR="00BA4D12" w:rsidRDefault="00BA4D12">
          <w:pPr>
            <w:widowControl w:val="0"/>
            <w:tabs>
              <w:tab w:val="right" w:leader="dot" w:pos="9025"/>
            </w:tabs>
            <w:spacing w:before="60"/>
            <w:ind w:left="360"/>
            <w:rPr>
              <w:color w:val="000000"/>
            </w:rPr>
          </w:pPr>
          <w:hyperlink w:anchor="_heading=">
            <w:r>
              <w:rPr>
                <w:color w:val="000000"/>
              </w:rPr>
              <w:t>2.3 Major Domestic and Multinational Firms: Competitive Positioning</w:t>
            </w:r>
            <w:r>
              <w:rPr>
                <w:color w:val="000000"/>
              </w:rPr>
              <w:tab/>
            </w:r>
          </w:hyperlink>
          <w:r w:rsidR="000B0D44">
            <w:fldChar w:fldCharType="begin"/>
          </w:r>
          <w:r w:rsidR="000B0D44">
            <w:instrText xml:space="preserve"> PAGEREF _heading= \h </w:instrText>
          </w:r>
          <w:r w:rsidR="000B0D44">
            <w:fldChar w:fldCharType="separate"/>
          </w:r>
          <w:r w:rsidR="000B0D44">
            <w:t>5</w:t>
          </w:r>
          <w:r w:rsidR="000B0D44">
            <w:fldChar w:fldCharType="end"/>
          </w:r>
        </w:p>
        <w:p w14:paraId="6533727D" w14:textId="77777777" w:rsidR="00BA4D12" w:rsidRDefault="00BA4D12">
          <w:pPr>
            <w:widowControl w:val="0"/>
            <w:tabs>
              <w:tab w:val="right" w:leader="dot" w:pos="9025"/>
            </w:tabs>
            <w:spacing w:before="60"/>
            <w:rPr>
              <w:b/>
              <w:bCs/>
              <w:color w:val="000000"/>
            </w:rPr>
          </w:pPr>
          <w:hyperlink w:anchor="_heading=">
            <w:r>
              <w:rPr>
                <w:b/>
                <w:bCs/>
                <w:color w:val="000000"/>
              </w:rPr>
              <w:t>3. Porter's Diamond Model of National Advantage: UAE Tourism Industry</w:t>
            </w:r>
            <w:r>
              <w:rPr>
                <w:b/>
                <w:bCs/>
                <w:color w:val="000000"/>
              </w:rPr>
              <w:tab/>
            </w:r>
          </w:hyperlink>
          <w:r w:rsidR="000B0D44">
            <w:fldChar w:fldCharType="begin"/>
          </w:r>
          <w:r w:rsidR="000B0D44">
            <w:instrText xml:space="preserve"> PAGEREF _heading= \h </w:instrText>
          </w:r>
          <w:r w:rsidR="000B0D44">
            <w:fldChar w:fldCharType="separate"/>
          </w:r>
          <w:r w:rsidR="000B0D44">
            <w:rPr>
              <w:b/>
              <w:bCs/>
            </w:rPr>
            <w:t>6</w:t>
          </w:r>
          <w:r w:rsidR="000B0D44">
            <w:fldChar w:fldCharType="end"/>
          </w:r>
        </w:p>
        <w:p w14:paraId="01BC03E6" w14:textId="77777777" w:rsidR="00BA4D12" w:rsidRDefault="00BA4D12">
          <w:pPr>
            <w:widowControl w:val="0"/>
            <w:tabs>
              <w:tab w:val="right" w:leader="dot" w:pos="9025"/>
            </w:tabs>
            <w:spacing w:before="60"/>
            <w:ind w:left="360"/>
            <w:rPr>
              <w:color w:val="000000"/>
            </w:rPr>
          </w:pPr>
          <w:hyperlink w:anchor="_heading=">
            <w:r>
              <w:rPr>
                <w:color w:val="000000"/>
              </w:rPr>
              <w:t>3.1 Factor Conditions</w:t>
            </w:r>
            <w:r>
              <w:rPr>
                <w:color w:val="000000"/>
              </w:rPr>
              <w:tab/>
            </w:r>
          </w:hyperlink>
          <w:r w:rsidR="000B0D44">
            <w:fldChar w:fldCharType="begin"/>
          </w:r>
          <w:r w:rsidR="000B0D44">
            <w:instrText xml:space="preserve"> PAGEREF _heading= \h </w:instrText>
          </w:r>
          <w:r w:rsidR="000B0D44">
            <w:fldChar w:fldCharType="separate"/>
          </w:r>
          <w:r w:rsidR="000B0D44">
            <w:t>7</w:t>
          </w:r>
          <w:r w:rsidR="000B0D44">
            <w:fldChar w:fldCharType="end"/>
          </w:r>
        </w:p>
        <w:p w14:paraId="24EE43E8" w14:textId="77777777" w:rsidR="00BA4D12" w:rsidRDefault="00BA4D12">
          <w:pPr>
            <w:widowControl w:val="0"/>
            <w:tabs>
              <w:tab w:val="right" w:leader="dot" w:pos="9025"/>
            </w:tabs>
            <w:spacing w:before="60"/>
            <w:ind w:left="360"/>
            <w:rPr>
              <w:color w:val="000000"/>
            </w:rPr>
          </w:pPr>
          <w:hyperlink w:anchor="_heading=">
            <w:r>
              <w:rPr>
                <w:color w:val="000000"/>
              </w:rPr>
              <w:t>3.2 Demand Conditions</w:t>
            </w:r>
            <w:r>
              <w:rPr>
                <w:color w:val="000000"/>
              </w:rPr>
              <w:tab/>
            </w:r>
          </w:hyperlink>
          <w:r w:rsidR="000B0D44">
            <w:fldChar w:fldCharType="begin"/>
          </w:r>
          <w:r w:rsidR="000B0D44">
            <w:instrText xml:space="preserve"> PAGEREF _heading= \h </w:instrText>
          </w:r>
          <w:r w:rsidR="000B0D44">
            <w:fldChar w:fldCharType="separate"/>
          </w:r>
          <w:r w:rsidR="000B0D44">
            <w:t>7</w:t>
          </w:r>
          <w:r w:rsidR="000B0D44">
            <w:fldChar w:fldCharType="end"/>
          </w:r>
        </w:p>
        <w:p w14:paraId="63AFDB58" w14:textId="77777777" w:rsidR="00BA4D12" w:rsidRDefault="00BA4D12">
          <w:pPr>
            <w:widowControl w:val="0"/>
            <w:tabs>
              <w:tab w:val="right" w:leader="dot" w:pos="9025"/>
            </w:tabs>
            <w:spacing w:before="60"/>
            <w:ind w:left="360"/>
            <w:rPr>
              <w:color w:val="000000"/>
            </w:rPr>
          </w:pPr>
          <w:hyperlink w:anchor="_heading=">
            <w:r>
              <w:rPr>
                <w:color w:val="000000"/>
              </w:rPr>
              <w:t>3.3 Related and Supporting Industries</w:t>
            </w:r>
            <w:r>
              <w:rPr>
                <w:color w:val="000000"/>
              </w:rPr>
              <w:tab/>
            </w:r>
          </w:hyperlink>
          <w:r w:rsidR="000B0D44">
            <w:fldChar w:fldCharType="begin"/>
          </w:r>
          <w:r w:rsidR="000B0D44">
            <w:instrText xml:space="preserve"> PAGEREF _heading= \h </w:instrText>
          </w:r>
          <w:r w:rsidR="000B0D44">
            <w:fldChar w:fldCharType="separate"/>
          </w:r>
          <w:r w:rsidR="000B0D44">
            <w:t>8</w:t>
          </w:r>
          <w:r w:rsidR="000B0D44">
            <w:fldChar w:fldCharType="end"/>
          </w:r>
        </w:p>
        <w:p w14:paraId="6C7EBB6C" w14:textId="77777777" w:rsidR="00BA4D12" w:rsidRDefault="00BA4D12">
          <w:pPr>
            <w:widowControl w:val="0"/>
            <w:tabs>
              <w:tab w:val="right" w:leader="dot" w:pos="9025"/>
            </w:tabs>
            <w:spacing w:before="60"/>
            <w:ind w:left="360"/>
            <w:rPr>
              <w:color w:val="000000"/>
            </w:rPr>
          </w:pPr>
          <w:hyperlink w:anchor="_heading=">
            <w:r>
              <w:rPr>
                <w:color w:val="000000"/>
              </w:rPr>
              <w:t>3.4 Firm Strategy, Structure, and Rivalry</w:t>
            </w:r>
            <w:r>
              <w:rPr>
                <w:color w:val="000000"/>
              </w:rPr>
              <w:tab/>
            </w:r>
          </w:hyperlink>
          <w:r w:rsidR="000B0D44">
            <w:fldChar w:fldCharType="begin"/>
          </w:r>
          <w:r w:rsidR="000B0D44">
            <w:instrText xml:space="preserve"> PAGEREF _heading= \h </w:instrText>
          </w:r>
          <w:r w:rsidR="000B0D44">
            <w:fldChar w:fldCharType="separate"/>
          </w:r>
          <w:r w:rsidR="000B0D44">
            <w:t>8</w:t>
          </w:r>
          <w:r w:rsidR="000B0D44">
            <w:fldChar w:fldCharType="end"/>
          </w:r>
        </w:p>
        <w:p w14:paraId="54E9131F" w14:textId="77777777" w:rsidR="00BA4D12" w:rsidRDefault="00BA4D12">
          <w:pPr>
            <w:widowControl w:val="0"/>
            <w:tabs>
              <w:tab w:val="right" w:leader="dot" w:pos="9025"/>
            </w:tabs>
            <w:spacing w:before="60"/>
            <w:ind w:left="360"/>
            <w:rPr>
              <w:color w:val="000000"/>
            </w:rPr>
          </w:pPr>
          <w:hyperlink w:anchor="_heading=">
            <w:r>
              <w:rPr>
                <w:color w:val="000000"/>
              </w:rPr>
              <w:t>3.5 Government Role</w:t>
            </w:r>
            <w:r>
              <w:rPr>
                <w:color w:val="000000"/>
              </w:rPr>
              <w:tab/>
            </w:r>
          </w:hyperlink>
          <w:r w:rsidR="000B0D44">
            <w:fldChar w:fldCharType="begin"/>
          </w:r>
          <w:r w:rsidR="000B0D44">
            <w:instrText xml:space="preserve"> PAGEREF _heading= \h </w:instrText>
          </w:r>
          <w:r w:rsidR="000B0D44">
            <w:fldChar w:fldCharType="separate"/>
          </w:r>
          <w:r w:rsidR="000B0D44">
            <w:t>9</w:t>
          </w:r>
          <w:r w:rsidR="000B0D44">
            <w:fldChar w:fldCharType="end"/>
          </w:r>
        </w:p>
        <w:p w14:paraId="0C8F73E4" w14:textId="77777777" w:rsidR="00BA4D12" w:rsidRDefault="00BA4D12">
          <w:pPr>
            <w:widowControl w:val="0"/>
            <w:tabs>
              <w:tab w:val="right" w:leader="dot" w:pos="9025"/>
            </w:tabs>
            <w:spacing w:before="60"/>
            <w:rPr>
              <w:b/>
              <w:bCs/>
              <w:color w:val="000000"/>
            </w:rPr>
          </w:pPr>
          <w:hyperlink w:anchor="_heading=">
            <w:r>
              <w:rPr>
                <w:b/>
                <w:bCs/>
                <w:color w:val="000000"/>
              </w:rPr>
              <w:t>4. Critical Evaluation of Marriott International's Operations in the UAE</w:t>
            </w:r>
            <w:r>
              <w:rPr>
                <w:b/>
                <w:bCs/>
                <w:color w:val="000000"/>
              </w:rPr>
              <w:tab/>
            </w:r>
          </w:hyperlink>
          <w:r w:rsidR="000B0D44">
            <w:fldChar w:fldCharType="begin"/>
          </w:r>
          <w:r w:rsidR="000B0D44">
            <w:instrText xml:space="preserve"> PAGEREF _heading= \h </w:instrText>
          </w:r>
          <w:r w:rsidR="000B0D44">
            <w:fldChar w:fldCharType="separate"/>
          </w:r>
          <w:r w:rsidR="000B0D44">
            <w:rPr>
              <w:b/>
              <w:bCs/>
            </w:rPr>
            <w:t>9</w:t>
          </w:r>
          <w:r w:rsidR="000B0D44">
            <w:fldChar w:fldCharType="end"/>
          </w:r>
        </w:p>
        <w:p w14:paraId="765DAD51" w14:textId="77777777" w:rsidR="00BA4D12" w:rsidRDefault="00BA4D12">
          <w:pPr>
            <w:widowControl w:val="0"/>
            <w:tabs>
              <w:tab w:val="right" w:leader="dot" w:pos="9025"/>
            </w:tabs>
            <w:spacing w:before="60"/>
            <w:ind w:left="360"/>
            <w:rPr>
              <w:color w:val="000000"/>
            </w:rPr>
          </w:pPr>
          <w:hyperlink w:anchor="_heading=">
            <w:r>
              <w:rPr>
                <w:color w:val="000000"/>
              </w:rPr>
              <w:t>4.1 Political Factors</w:t>
            </w:r>
            <w:r>
              <w:rPr>
                <w:color w:val="000000"/>
              </w:rPr>
              <w:tab/>
            </w:r>
          </w:hyperlink>
          <w:r w:rsidR="000B0D44">
            <w:fldChar w:fldCharType="begin"/>
          </w:r>
          <w:r w:rsidR="000B0D44">
            <w:instrText xml:space="preserve"> PAGEREF _heading= \h </w:instrText>
          </w:r>
          <w:r w:rsidR="000B0D44">
            <w:fldChar w:fldCharType="separate"/>
          </w:r>
          <w:r w:rsidR="000B0D44">
            <w:t>10</w:t>
          </w:r>
          <w:r w:rsidR="000B0D44">
            <w:fldChar w:fldCharType="end"/>
          </w:r>
        </w:p>
        <w:p w14:paraId="02CF052D" w14:textId="77777777" w:rsidR="00BA4D12" w:rsidRDefault="00BA4D12">
          <w:pPr>
            <w:widowControl w:val="0"/>
            <w:tabs>
              <w:tab w:val="right" w:leader="dot" w:pos="9025"/>
            </w:tabs>
            <w:spacing w:before="60"/>
            <w:ind w:left="360"/>
            <w:rPr>
              <w:color w:val="000000"/>
            </w:rPr>
          </w:pPr>
          <w:hyperlink w:anchor="_heading=">
            <w:r>
              <w:rPr>
                <w:color w:val="000000"/>
              </w:rPr>
              <w:t>4.2 Economic Factors</w:t>
            </w:r>
            <w:r>
              <w:rPr>
                <w:color w:val="000000"/>
              </w:rPr>
              <w:tab/>
            </w:r>
          </w:hyperlink>
          <w:r w:rsidR="000B0D44">
            <w:fldChar w:fldCharType="begin"/>
          </w:r>
          <w:r w:rsidR="000B0D44">
            <w:instrText xml:space="preserve"> PAGEREF _heading= \h </w:instrText>
          </w:r>
          <w:r w:rsidR="000B0D44">
            <w:fldChar w:fldCharType="separate"/>
          </w:r>
          <w:r w:rsidR="000B0D44">
            <w:t>11</w:t>
          </w:r>
          <w:r w:rsidR="000B0D44">
            <w:fldChar w:fldCharType="end"/>
          </w:r>
        </w:p>
        <w:p w14:paraId="5B062F7E" w14:textId="77777777" w:rsidR="00BA4D12" w:rsidRDefault="00BA4D12">
          <w:pPr>
            <w:widowControl w:val="0"/>
            <w:tabs>
              <w:tab w:val="right" w:leader="dot" w:pos="9025"/>
            </w:tabs>
            <w:spacing w:before="60"/>
            <w:ind w:left="360"/>
            <w:rPr>
              <w:color w:val="000000"/>
            </w:rPr>
          </w:pPr>
          <w:hyperlink w:anchor="_heading=">
            <w:r>
              <w:rPr>
                <w:color w:val="000000"/>
              </w:rPr>
              <w:t>4.3 Legal Factors</w:t>
            </w:r>
            <w:r>
              <w:rPr>
                <w:color w:val="000000"/>
              </w:rPr>
              <w:tab/>
            </w:r>
          </w:hyperlink>
          <w:r w:rsidR="000B0D44">
            <w:fldChar w:fldCharType="begin"/>
          </w:r>
          <w:r w:rsidR="000B0D44">
            <w:instrText xml:space="preserve"> PAGEREF _heading= \h </w:instrText>
          </w:r>
          <w:r w:rsidR="000B0D44">
            <w:fldChar w:fldCharType="separate"/>
          </w:r>
          <w:r w:rsidR="000B0D44">
            <w:t>12</w:t>
          </w:r>
          <w:r w:rsidR="000B0D44">
            <w:fldChar w:fldCharType="end"/>
          </w:r>
        </w:p>
        <w:p w14:paraId="1758CBB2" w14:textId="77777777" w:rsidR="00BA4D12" w:rsidRDefault="00BA4D12">
          <w:pPr>
            <w:widowControl w:val="0"/>
            <w:tabs>
              <w:tab w:val="right" w:leader="dot" w:pos="9025"/>
            </w:tabs>
            <w:spacing w:before="60"/>
            <w:ind w:left="360"/>
            <w:rPr>
              <w:color w:val="000000"/>
            </w:rPr>
          </w:pPr>
          <w:hyperlink w:anchor="_heading=">
            <w:r>
              <w:rPr>
                <w:color w:val="000000"/>
              </w:rPr>
              <w:t>4.4 Cultural Factors</w:t>
            </w:r>
            <w:r>
              <w:rPr>
                <w:color w:val="000000"/>
              </w:rPr>
              <w:tab/>
            </w:r>
          </w:hyperlink>
          <w:r w:rsidR="000B0D44">
            <w:fldChar w:fldCharType="begin"/>
          </w:r>
          <w:r w:rsidR="000B0D44">
            <w:instrText xml:space="preserve"> PAGEREF _heading= \h </w:instrText>
          </w:r>
          <w:r w:rsidR="000B0D44">
            <w:fldChar w:fldCharType="separate"/>
          </w:r>
          <w:r w:rsidR="000B0D44">
            <w:t>13</w:t>
          </w:r>
          <w:r w:rsidR="000B0D44">
            <w:fldChar w:fldCharType="end"/>
          </w:r>
        </w:p>
        <w:p w14:paraId="448B2AC1" w14:textId="77777777" w:rsidR="00BA4D12" w:rsidRDefault="00BA4D12">
          <w:pPr>
            <w:widowControl w:val="0"/>
            <w:tabs>
              <w:tab w:val="right" w:leader="dot" w:pos="9025"/>
            </w:tabs>
            <w:spacing w:before="60"/>
            <w:ind w:left="360"/>
            <w:rPr>
              <w:color w:val="000000"/>
            </w:rPr>
          </w:pPr>
          <w:hyperlink w:anchor="_heading=">
            <w:r>
              <w:rPr>
                <w:color w:val="000000"/>
              </w:rPr>
              <w:t>4.5 Technological and Environmental Factors</w:t>
            </w:r>
            <w:r>
              <w:rPr>
                <w:color w:val="000000"/>
              </w:rPr>
              <w:tab/>
            </w:r>
          </w:hyperlink>
          <w:r w:rsidR="000B0D44">
            <w:fldChar w:fldCharType="begin"/>
          </w:r>
          <w:r w:rsidR="000B0D44">
            <w:instrText xml:space="preserve"> PAGEREF _heading= \h </w:instrText>
          </w:r>
          <w:r w:rsidR="000B0D44">
            <w:fldChar w:fldCharType="separate"/>
          </w:r>
          <w:r w:rsidR="000B0D44">
            <w:t>14</w:t>
          </w:r>
          <w:r w:rsidR="000B0D44">
            <w:fldChar w:fldCharType="end"/>
          </w:r>
        </w:p>
        <w:p w14:paraId="29F405B5" w14:textId="77777777" w:rsidR="00BA4D12" w:rsidRDefault="00BA4D12">
          <w:pPr>
            <w:widowControl w:val="0"/>
            <w:tabs>
              <w:tab w:val="right" w:leader="dot" w:pos="9025"/>
            </w:tabs>
            <w:spacing w:before="60"/>
            <w:rPr>
              <w:b/>
              <w:bCs/>
              <w:color w:val="000000"/>
            </w:rPr>
          </w:pPr>
          <w:hyperlink w:anchor="_heading=">
            <w:r>
              <w:rPr>
                <w:b/>
                <w:bCs/>
                <w:color w:val="000000"/>
              </w:rPr>
              <w:t>5. Conclusion</w:t>
            </w:r>
            <w:r>
              <w:rPr>
                <w:b/>
                <w:bCs/>
                <w:color w:val="000000"/>
              </w:rPr>
              <w:tab/>
            </w:r>
          </w:hyperlink>
          <w:r w:rsidR="000B0D44">
            <w:fldChar w:fldCharType="begin"/>
          </w:r>
          <w:r w:rsidR="000B0D44">
            <w:instrText xml:space="preserve"> PAGEREF _heading= \h </w:instrText>
          </w:r>
          <w:r w:rsidR="000B0D44">
            <w:fldChar w:fldCharType="separate"/>
          </w:r>
          <w:r w:rsidR="000B0D44">
            <w:rPr>
              <w:b/>
              <w:bCs/>
            </w:rPr>
            <w:t>15</w:t>
          </w:r>
          <w:r w:rsidR="000B0D44">
            <w:fldChar w:fldCharType="end"/>
          </w:r>
        </w:p>
        <w:p w14:paraId="118BB132" w14:textId="77777777" w:rsidR="00BA4D12" w:rsidRDefault="00BA4D12">
          <w:pPr>
            <w:widowControl w:val="0"/>
            <w:tabs>
              <w:tab w:val="right" w:leader="dot" w:pos="9025"/>
            </w:tabs>
            <w:spacing w:before="60"/>
            <w:rPr>
              <w:b/>
              <w:bCs/>
              <w:color w:val="000000"/>
            </w:rPr>
          </w:pPr>
          <w:hyperlink w:anchor="_heading=">
            <w:r>
              <w:rPr>
                <w:b/>
                <w:bCs/>
                <w:color w:val="000000"/>
              </w:rPr>
              <w:t>Section 2: Reflective Account</w:t>
            </w:r>
            <w:r>
              <w:rPr>
                <w:b/>
                <w:bCs/>
                <w:color w:val="000000"/>
              </w:rPr>
              <w:tab/>
            </w:r>
          </w:hyperlink>
          <w:r w:rsidR="000B0D44">
            <w:fldChar w:fldCharType="begin"/>
          </w:r>
          <w:r w:rsidR="000B0D44">
            <w:instrText xml:space="preserve"> PAGEREF _heading= \h </w:instrText>
          </w:r>
          <w:r w:rsidR="000B0D44">
            <w:fldChar w:fldCharType="separate"/>
          </w:r>
          <w:r w:rsidR="000B0D44">
            <w:rPr>
              <w:b/>
              <w:bCs/>
            </w:rPr>
            <w:t>17</w:t>
          </w:r>
          <w:r w:rsidR="000B0D44">
            <w:fldChar w:fldCharType="end"/>
          </w:r>
        </w:p>
        <w:p w14:paraId="371986BC" w14:textId="77777777" w:rsidR="00BA4D12" w:rsidRDefault="00BA4D12">
          <w:pPr>
            <w:widowControl w:val="0"/>
            <w:tabs>
              <w:tab w:val="right" w:leader="dot" w:pos="9025"/>
            </w:tabs>
            <w:spacing w:before="60"/>
            <w:ind w:left="360"/>
            <w:rPr>
              <w:color w:val="000000"/>
            </w:rPr>
          </w:pPr>
          <w:hyperlink w:anchor="_heading=">
            <w:r>
              <w:rPr>
                <w:color w:val="000000"/>
              </w:rPr>
              <w:t>2.1 Description</w:t>
            </w:r>
            <w:r>
              <w:rPr>
                <w:color w:val="000000"/>
              </w:rPr>
              <w:tab/>
            </w:r>
          </w:hyperlink>
          <w:r w:rsidR="000B0D44">
            <w:fldChar w:fldCharType="begin"/>
          </w:r>
          <w:r w:rsidR="000B0D44">
            <w:instrText xml:space="preserve"> PAGEREF _heading= \h </w:instrText>
          </w:r>
          <w:r w:rsidR="000B0D44">
            <w:fldChar w:fldCharType="separate"/>
          </w:r>
          <w:r w:rsidR="000B0D44">
            <w:t>17</w:t>
          </w:r>
          <w:r w:rsidR="000B0D44">
            <w:fldChar w:fldCharType="end"/>
          </w:r>
        </w:p>
        <w:p w14:paraId="69529D48" w14:textId="77777777" w:rsidR="00BA4D12" w:rsidRDefault="00BA4D12">
          <w:pPr>
            <w:widowControl w:val="0"/>
            <w:tabs>
              <w:tab w:val="right" w:leader="dot" w:pos="9025"/>
            </w:tabs>
            <w:spacing w:before="60"/>
            <w:ind w:left="360"/>
            <w:rPr>
              <w:color w:val="000000"/>
            </w:rPr>
          </w:pPr>
          <w:hyperlink w:anchor="_heading=">
            <w:r>
              <w:rPr>
                <w:color w:val="000000"/>
              </w:rPr>
              <w:t>2.2 Feelings</w:t>
            </w:r>
            <w:r>
              <w:rPr>
                <w:color w:val="000000"/>
              </w:rPr>
              <w:tab/>
            </w:r>
          </w:hyperlink>
          <w:r w:rsidR="000B0D44">
            <w:fldChar w:fldCharType="begin"/>
          </w:r>
          <w:r w:rsidR="000B0D44">
            <w:instrText xml:space="preserve"> PAGEREF _heading= \h </w:instrText>
          </w:r>
          <w:r w:rsidR="000B0D44">
            <w:fldChar w:fldCharType="separate"/>
          </w:r>
          <w:r w:rsidR="000B0D44">
            <w:t>17</w:t>
          </w:r>
          <w:r w:rsidR="000B0D44">
            <w:fldChar w:fldCharType="end"/>
          </w:r>
        </w:p>
        <w:p w14:paraId="2168BBD5" w14:textId="77777777" w:rsidR="00BA4D12" w:rsidRDefault="00BA4D12">
          <w:pPr>
            <w:widowControl w:val="0"/>
            <w:tabs>
              <w:tab w:val="right" w:leader="dot" w:pos="9025"/>
            </w:tabs>
            <w:spacing w:before="60"/>
            <w:ind w:left="360"/>
            <w:rPr>
              <w:color w:val="000000"/>
            </w:rPr>
          </w:pPr>
          <w:hyperlink w:anchor="_heading=">
            <w:r>
              <w:rPr>
                <w:color w:val="000000"/>
              </w:rPr>
              <w:t>2.3 Evaluation</w:t>
            </w:r>
            <w:r>
              <w:rPr>
                <w:color w:val="000000"/>
              </w:rPr>
              <w:tab/>
            </w:r>
          </w:hyperlink>
          <w:r w:rsidR="000B0D44">
            <w:fldChar w:fldCharType="begin"/>
          </w:r>
          <w:r w:rsidR="000B0D44">
            <w:instrText xml:space="preserve"> PAGEREF _heading= \h </w:instrText>
          </w:r>
          <w:r w:rsidR="000B0D44">
            <w:fldChar w:fldCharType="separate"/>
          </w:r>
          <w:r w:rsidR="000B0D44">
            <w:t>18</w:t>
          </w:r>
          <w:r w:rsidR="000B0D44">
            <w:fldChar w:fldCharType="end"/>
          </w:r>
        </w:p>
        <w:p w14:paraId="49FAAAB4" w14:textId="77777777" w:rsidR="00BA4D12" w:rsidRDefault="00BA4D12">
          <w:pPr>
            <w:widowControl w:val="0"/>
            <w:tabs>
              <w:tab w:val="right" w:leader="dot" w:pos="9025"/>
            </w:tabs>
            <w:spacing w:before="60"/>
            <w:ind w:left="360"/>
            <w:rPr>
              <w:color w:val="000000"/>
            </w:rPr>
          </w:pPr>
          <w:hyperlink w:anchor="_heading=">
            <w:r>
              <w:rPr>
                <w:color w:val="000000"/>
              </w:rPr>
              <w:t>2.4 Analysis</w:t>
            </w:r>
            <w:r>
              <w:rPr>
                <w:color w:val="000000"/>
              </w:rPr>
              <w:tab/>
            </w:r>
          </w:hyperlink>
          <w:r w:rsidR="000B0D44">
            <w:fldChar w:fldCharType="begin"/>
          </w:r>
          <w:r w:rsidR="000B0D44">
            <w:instrText xml:space="preserve"> PAGEREF _heading= \h </w:instrText>
          </w:r>
          <w:r w:rsidR="000B0D44">
            <w:fldChar w:fldCharType="separate"/>
          </w:r>
          <w:r w:rsidR="000B0D44">
            <w:t>18</w:t>
          </w:r>
          <w:r w:rsidR="000B0D44">
            <w:fldChar w:fldCharType="end"/>
          </w:r>
        </w:p>
        <w:p w14:paraId="30738A71" w14:textId="77777777" w:rsidR="00BA4D12" w:rsidRDefault="00BA4D12">
          <w:pPr>
            <w:widowControl w:val="0"/>
            <w:tabs>
              <w:tab w:val="right" w:leader="dot" w:pos="9025"/>
            </w:tabs>
            <w:spacing w:before="60"/>
            <w:ind w:left="360"/>
            <w:rPr>
              <w:color w:val="000000"/>
            </w:rPr>
          </w:pPr>
          <w:hyperlink w:anchor="_heading=">
            <w:r>
              <w:rPr>
                <w:color w:val="000000"/>
              </w:rPr>
              <w:t>2.5 Conclusion</w:t>
            </w:r>
            <w:r>
              <w:rPr>
                <w:color w:val="000000"/>
              </w:rPr>
              <w:tab/>
            </w:r>
          </w:hyperlink>
          <w:r w:rsidR="000B0D44">
            <w:fldChar w:fldCharType="begin"/>
          </w:r>
          <w:r w:rsidR="000B0D44">
            <w:instrText xml:space="preserve"> PAGEREF _heading= \h </w:instrText>
          </w:r>
          <w:r w:rsidR="000B0D44">
            <w:fldChar w:fldCharType="separate"/>
          </w:r>
          <w:r w:rsidR="000B0D44">
            <w:t>19</w:t>
          </w:r>
          <w:r w:rsidR="000B0D44">
            <w:fldChar w:fldCharType="end"/>
          </w:r>
        </w:p>
        <w:p w14:paraId="5B92DCBA" w14:textId="77777777" w:rsidR="00BA4D12" w:rsidRDefault="00BA4D12">
          <w:pPr>
            <w:widowControl w:val="0"/>
            <w:tabs>
              <w:tab w:val="right" w:leader="dot" w:pos="9025"/>
            </w:tabs>
            <w:spacing w:before="60"/>
            <w:ind w:left="360"/>
            <w:rPr>
              <w:color w:val="000000"/>
            </w:rPr>
          </w:pPr>
          <w:hyperlink w:anchor="_heading=">
            <w:r>
              <w:rPr>
                <w:color w:val="000000"/>
              </w:rPr>
              <w:t>2.6 Action Plan</w:t>
            </w:r>
            <w:r>
              <w:rPr>
                <w:color w:val="000000"/>
              </w:rPr>
              <w:tab/>
            </w:r>
          </w:hyperlink>
          <w:r w:rsidR="000B0D44">
            <w:fldChar w:fldCharType="begin"/>
          </w:r>
          <w:r w:rsidR="000B0D44">
            <w:instrText xml:space="preserve"> PAGEREF _heading= \h </w:instrText>
          </w:r>
          <w:r w:rsidR="000B0D44">
            <w:fldChar w:fldCharType="separate"/>
          </w:r>
          <w:r w:rsidR="000B0D44">
            <w:t>19</w:t>
          </w:r>
          <w:r w:rsidR="000B0D44">
            <w:fldChar w:fldCharType="end"/>
          </w:r>
        </w:p>
        <w:p w14:paraId="2C2AB6F2" w14:textId="77777777" w:rsidR="00BA4D12" w:rsidRDefault="00BA4D12">
          <w:pPr>
            <w:widowControl w:val="0"/>
            <w:tabs>
              <w:tab w:val="right" w:leader="dot" w:pos="9025"/>
            </w:tabs>
            <w:spacing w:before="60"/>
            <w:rPr>
              <w:b/>
              <w:bCs/>
              <w:color w:val="000000"/>
            </w:rPr>
          </w:pPr>
          <w:hyperlink w:anchor="_heading=">
            <w:r>
              <w:rPr>
                <w:b/>
                <w:bCs/>
                <w:color w:val="000000"/>
              </w:rPr>
              <w:t>References</w:t>
            </w:r>
            <w:r>
              <w:rPr>
                <w:b/>
                <w:bCs/>
                <w:color w:val="000000"/>
              </w:rPr>
              <w:tab/>
            </w:r>
          </w:hyperlink>
          <w:r w:rsidR="000B0D44">
            <w:fldChar w:fldCharType="begin"/>
          </w:r>
          <w:r w:rsidR="000B0D44">
            <w:instrText xml:space="preserve"> PAGEREF _heading= \h </w:instrText>
          </w:r>
          <w:r w:rsidR="000B0D44">
            <w:fldChar w:fldCharType="separate"/>
          </w:r>
          <w:r w:rsidR="000B0D44">
            <w:rPr>
              <w:b/>
              <w:bCs/>
            </w:rPr>
            <w:t>20</w:t>
          </w:r>
          <w:r w:rsidR="000B0D44">
            <w:fldChar w:fldCharType="end"/>
          </w:r>
          <w:r w:rsidR="000B0D44">
            <w:fldChar w:fldCharType="end"/>
          </w:r>
        </w:p>
      </w:sdtContent>
    </w:sdt>
    <w:p w14:paraId="7DB9208D" w14:textId="77777777" w:rsidR="00BA4D12" w:rsidRDefault="000B0D44">
      <w:r>
        <w:br w:type="page"/>
      </w:r>
    </w:p>
    <w:p w14:paraId="4222BBBB" w14:textId="77777777" w:rsidR="00BA4D12" w:rsidRDefault="000B0D44">
      <w:pPr>
        <w:pStyle w:val="Heading1"/>
      </w:pPr>
      <w:r>
        <w:t>1. Introduction</w:t>
      </w:r>
    </w:p>
    <w:p w14:paraId="4988CE2C" w14:textId="77777777" w:rsidR="00BA4D12" w:rsidRDefault="00BA4D12">
      <w:pPr>
        <w:pBdr>
          <w:bottom w:val="single" w:sz="6" w:space="1" w:color="2E75B6"/>
        </w:pBdr>
        <w:spacing w:after="120"/>
      </w:pPr>
    </w:p>
    <w:p w14:paraId="205A54A3" w14:textId="77777777" w:rsidR="00BA4D12" w:rsidRDefault="000B0D44">
      <w:pPr>
        <w:spacing w:after="200" w:line="360" w:lineRule="auto"/>
        <w:jc w:val="both"/>
      </w:pPr>
      <w:r>
        <w:t>The twenty-first century has significantly changed the global tourism and hospitality industry, with technological disruption affecting the industry, demographic shifts causing it to be influenced by growing geopolitical competition in tourist spending (UNWTO, 2023). In this respect, the United Arab Emirates (UAE) has emerged as one of the most vibrant and fast changing tourism economies in the globe. The UAE lies on the crossroads of East and West, having been able to use the geographic position, sovereign</w:t>
      </w:r>
      <w:r>
        <w:t xml:space="preserve"> wealth, and progressive leadership to build a globally competitive tourist industry (Dubai Tourism, 2022).</w:t>
      </w:r>
    </w:p>
    <w:p w14:paraId="446DC536" w14:textId="77777777" w:rsidR="00BA4D12" w:rsidRDefault="000B0D44">
      <w:pPr>
        <w:spacing w:after="200" w:line="360" w:lineRule="auto"/>
        <w:jc w:val="both"/>
      </w:pPr>
      <w:r>
        <w:t>The host country chosen in this report is the UAE and the tourism and hospitality industry is the point of focus due to the rich availability of information that has been published publicly and the strategic importance of the market to multinational corporations. The major foreign multinational corporation (MNC) the critical assessment of which is presented is Marriott International, the biggest hotel chain in the world in terms of the number of properties. Based on the existing theoretical frameworks, such</w:t>
      </w:r>
      <w:r>
        <w:t xml:space="preserve"> as the Diamond Model by Porter and the PESTLE analysis, the report presents a thorough and methodological analysis of the competitive advantage of the UAE and the strategic environment within the country, in which Marriott International is operating.</w:t>
      </w:r>
    </w:p>
    <w:p w14:paraId="423373D8" w14:textId="77777777" w:rsidR="00BA4D12" w:rsidRDefault="000B0D44">
      <w:pPr>
        <w:pStyle w:val="Heading1"/>
      </w:pPr>
      <w:r>
        <w:t>2. Industry and Country Overview</w:t>
      </w:r>
    </w:p>
    <w:p w14:paraId="4AF00D65" w14:textId="77777777" w:rsidR="00BA4D12" w:rsidRDefault="00BA4D12">
      <w:pPr>
        <w:pBdr>
          <w:bottom w:val="single" w:sz="6" w:space="1" w:color="2E75B6"/>
        </w:pBdr>
        <w:spacing w:after="120"/>
      </w:pPr>
    </w:p>
    <w:p w14:paraId="763EB30E" w14:textId="77777777" w:rsidR="00BA4D12" w:rsidRDefault="000B0D44">
      <w:pPr>
        <w:pStyle w:val="Heading2"/>
      </w:pPr>
      <w:r>
        <w:t>2.1 The UAE: A Contextual Overview</w:t>
      </w:r>
    </w:p>
    <w:p w14:paraId="5E681858" w14:textId="77777777" w:rsidR="00BA4D12" w:rsidRDefault="000B0D44">
      <w:pPr>
        <w:spacing w:after="180" w:line="360" w:lineRule="auto"/>
        <w:jc w:val="both"/>
      </w:pPr>
      <w:r>
        <w:t>The UAE is a confederation of seven emirates, i.e. Abu Dhabi, Dubai, Sharjah, Ajman, Umm Al-</w:t>
      </w:r>
      <w:proofErr w:type="spellStart"/>
      <w:r>
        <w:t>Quwain</w:t>
      </w:r>
      <w:proofErr w:type="spellEnd"/>
      <w:r>
        <w:t xml:space="preserve">, </w:t>
      </w:r>
      <w:proofErr w:type="spellStart"/>
      <w:r>
        <w:t>Ras</w:t>
      </w:r>
      <w:proofErr w:type="spellEnd"/>
      <w:r>
        <w:t xml:space="preserve"> Al </w:t>
      </w:r>
      <w:proofErr w:type="spellStart"/>
      <w:r>
        <w:t>Khaimah</w:t>
      </w:r>
      <w:proofErr w:type="spellEnd"/>
      <w:r>
        <w:t>, and Fujairah, which formed the federation in 1971. Having the population of about 10 million (out of which more than 88 percent are expatriates), the UAE holds a rather special geopolitical and economic location (World Bank, 2024). Historically relying on hydrocarbons, the governments of the successive generations have developed an ambitious agenda of economic diversification embodied in Abu Dhabi Economic Vision 2030 and Dubai Tourism Vision 2025. The UAE has continuously been one o</w:t>
      </w:r>
      <w:r>
        <w:t>f the countries with high foreign direct investment (FDI) in the Middle East and North Africa (MENA) region due to open-market economy, low taxation, and the best logistics infrastructure in the world (IMF, 2024).</w:t>
      </w:r>
    </w:p>
    <w:p w14:paraId="5A7AD656" w14:textId="77777777" w:rsidR="00BA4D12" w:rsidRDefault="000B0D44">
      <w:pPr>
        <w:pStyle w:val="Heading2"/>
      </w:pPr>
      <w:r>
        <w:t>2.2 Size, Scope, and Economic Importance of the Tourism Industry</w:t>
      </w:r>
    </w:p>
    <w:p w14:paraId="357D9070" w14:textId="77777777" w:rsidR="00BA4D12" w:rsidRDefault="000B0D44">
      <w:pPr>
        <w:spacing w:after="200" w:line="360" w:lineRule="auto"/>
        <w:jc w:val="both"/>
      </w:pPr>
      <w:r>
        <w:t>The UAE has economic diversification strategy that depends on tourism. The UAE also received 22.3 million international overnight tourists in 2023 (a record number, equivalent to a growth of 19.4 percent over the previous year) with Dubai receiving 17.15 million international visitors (DTCM, 2023; UNWTO, 2023). In 2023, the sector added about AED 220 billion (about USD 60 billion) to the national GDP, or about 11.9% of the overall GDP (UAE Ministry of Economy, 2024). The hospitality sub-sector has more than</w:t>
      </w:r>
      <w:r>
        <w:t xml:space="preserve"> 1,100 hotels and hotel apartments in the UAE with a total of more than 150,000 hotel rooms (STR Global, 2023).</w:t>
      </w:r>
    </w:p>
    <w:p w14:paraId="2D1AE172" w14:textId="77777777" w:rsidR="00BA4D12" w:rsidRDefault="000B0D44">
      <w:pPr>
        <w:spacing w:after="200" w:line="360" w:lineRule="auto"/>
        <w:jc w:val="both"/>
      </w:pPr>
      <w:r>
        <w:t>Designed jobs connected to tourism take a share of around 12 percent of the total employment in the UAE, and estimates indicate that this will keep on rising until 2030 (WTTC, 2023). The strategic role of the sector is marked by the fact that the UAE government has identified a goal of 40 million visitors per year and a tourism level of AED 450 billion to the GDP by the decade end in its Tourism Strategy 2031 (UAE Government, 2023). These objectives demonstrate how the industry is at the core of the post-oi</w:t>
      </w:r>
      <w:r>
        <w:t>l national economy.</w:t>
      </w:r>
    </w:p>
    <w:p w14:paraId="7B479433" w14:textId="77777777" w:rsidR="00BA4D12" w:rsidRDefault="000B0D44">
      <w:pPr>
        <w:pStyle w:val="Heading2"/>
      </w:pPr>
      <w:r>
        <w:t>2.3 Major Domestic and Multinational Firms: Competitive Positioning</w:t>
      </w:r>
    </w:p>
    <w:p w14:paraId="040D54CD" w14:textId="77777777" w:rsidR="00BA4D12" w:rsidRDefault="000B0D44">
      <w:pPr>
        <w:spacing w:after="180" w:line="360" w:lineRule="auto"/>
        <w:jc w:val="both"/>
      </w:pPr>
      <w:r>
        <w:rPr>
          <w:color w:val="000000"/>
        </w:rPr>
        <w:t>The UAE hospitality market is characterised by a dual-layered competitive structure comprising government-linked domestic enterprises and global multinational hotel chains. Table 1 below summarises the key players and their competitive positioning.</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1400"/>
        <w:gridCol w:w="1800"/>
        <w:gridCol w:w="1800"/>
        <w:gridCol w:w="2360"/>
      </w:tblGrid>
      <w:tr w:rsidR="00BA4D12" w14:paraId="483D8C25" w14:textId="77777777">
        <w:trPr>
          <w:tblHeader/>
        </w:trPr>
        <w:tc>
          <w:tcPr>
            <w:tcW w:w="2000" w:type="dxa"/>
            <w:tcBorders>
              <w:top w:val="single" w:sz="4" w:space="0" w:color="BBBBBB"/>
              <w:left w:val="single" w:sz="4" w:space="0" w:color="BBBBBB"/>
              <w:bottom w:val="single" w:sz="4" w:space="0" w:color="BBBBBB"/>
              <w:right w:val="single" w:sz="4" w:space="0" w:color="BBBBBB"/>
            </w:tcBorders>
            <w:shd w:val="clear" w:color="auto" w:fill="1F3864"/>
            <w:tcMar>
              <w:top w:w="80" w:type="dxa"/>
              <w:left w:w="120" w:type="dxa"/>
              <w:bottom w:w="80" w:type="dxa"/>
              <w:right w:w="120" w:type="dxa"/>
            </w:tcMar>
            <w:vAlign w:val="center"/>
          </w:tcPr>
          <w:p w14:paraId="0E7B0216" w14:textId="77777777" w:rsidR="00BA4D12" w:rsidRDefault="000B0D44">
            <w:pPr>
              <w:jc w:val="center"/>
            </w:pPr>
            <w:r>
              <w:rPr>
                <w:b/>
                <w:bCs/>
                <w:color w:val="FFFFFF"/>
                <w:sz w:val="20"/>
                <w:szCs w:val="20"/>
              </w:rPr>
              <w:t>Company</w:t>
            </w:r>
          </w:p>
        </w:tc>
        <w:tc>
          <w:tcPr>
            <w:tcW w:w="1400" w:type="dxa"/>
            <w:tcBorders>
              <w:top w:val="single" w:sz="4" w:space="0" w:color="BBBBBB"/>
              <w:left w:val="single" w:sz="4" w:space="0" w:color="BBBBBB"/>
              <w:bottom w:val="single" w:sz="4" w:space="0" w:color="BBBBBB"/>
              <w:right w:val="single" w:sz="4" w:space="0" w:color="BBBBBB"/>
            </w:tcBorders>
            <w:shd w:val="clear" w:color="auto" w:fill="1F3864"/>
            <w:tcMar>
              <w:top w:w="80" w:type="dxa"/>
              <w:left w:w="120" w:type="dxa"/>
              <w:bottom w:w="80" w:type="dxa"/>
              <w:right w:w="120" w:type="dxa"/>
            </w:tcMar>
            <w:vAlign w:val="center"/>
          </w:tcPr>
          <w:p w14:paraId="200BAFA8" w14:textId="77777777" w:rsidR="00BA4D12" w:rsidRDefault="000B0D44">
            <w:pPr>
              <w:jc w:val="center"/>
            </w:pPr>
            <w:r>
              <w:rPr>
                <w:b/>
                <w:bCs/>
                <w:color w:val="FFFFFF"/>
                <w:sz w:val="20"/>
                <w:szCs w:val="20"/>
              </w:rPr>
              <w:t>Origin</w:t>
            </w:r>
          </w:p>
        </w:tc>
        <w:tc>
          <w:tcPr>
            <w:tcW w:w="1800" w:type="dxa"/>
            <w:tcBorders>
              <w:top w:val="single" w:sz="4" w:space="0" w:color="BBBBBB"/>
              <w:left w:val="single" w:sz="4" w:space="0" w:color="BBBBBB"/>
              <w:bottom w:val="single" w:sz="4" w:space="0" w:color="BBBBBB"/>
              <w:right w:val="single" w:sz="4" w:space="0" w:color="BBBBBB"/>
            </w:tcBorders>
            <w:shd w:val="clear" w:color="auto" w:fill="1F3864"/>
            <w:tcMar>
              <w:top w:w="80" w:type="dxa"/>
              <w:left w:w="120" w:type="dxa"/>
              <w:bottom w:w="80" w:type="dxa"/>
              <w:right w:w="120" w:type="dxa"/>
            </w:tcMar>
            <w:vAlign w:val="center"/>
          </w:tcPr>
          <w:p w14:paraId="7B5E7334" w14:textId="77777777" w:rsidR="00BA4D12" w:rsidRDefault="000B0D44">
            <w:pPr>
              <w:jc w:val="center"/>
            </w:pPr>
            <w:r>
              <w:rPr>
                <w:b/>
                <w:bCs/>
                <w:color w:val="FFFFFF"/>
                <w:sz w:val="20"/>
                <w:szCs w:val="20"/>
              </w:rPr>
              <w:t>Market Segment</w:t>
            </w:r>
          </w:p>
        </w:tc>
        <w:tc>
          <w:tcPr>
            <w:tcW w:w="1800" w:type="dxa"/>
            <w:tcBorders>
              <w:top w:val="single" w:sz="4" w:space="0" w:color="BBBBBB"/>
              <w:left w:val="single" w:sz="4" w:space="0" w:color="BBBBBB"/>
              <w:bottom w:val="single" w:sz="4" w:space="0" w:color="BBBBBB"/>
              <w:right w:val="single" w:sz="4" w:space="0" w:color="BBBBBB"/>
            </w:tcBorders>
            <w:shd w:val="clear" w:color="auto" w:fill="1F3864"/>
            <w:tcMar>
              <w:top w:w="80" w:type="dxa"/>
              <w:left w:w="120" w:type="dxa"/>
              <w:bottom w:w="80" w:type="dxa"/>
              <w:right w:w="120" w:type="dxa"/>
            </w:tcMar>
            <w:vAlign w:val="center"/>
          </w:tcPr>
          <w:p w14:paraId="7176946A" w14:textId="77777777" w:rsidR="00BA4D12" w:rsidRDefault="000B0D44">
            <w:pPr>
              <w:jc w:val="center"/>
            </w:pPr>
            <w:r>
              <w:rPr>
                <w:b/>
                <w:bCs/>
                <w:color w:val="FFFFFF"/>
                <w:sz w:val="20"/>
                <w:szCs w:val="20"/>
              </w:rPr>
              <w:t>No. of UAE Properties (2023)</w:t>
            </w:r>
          </w:p>
        </w:tc>
        <w:tc>
          <w:tcPr>
            <w:tcW w:w="2360" w:type="dxa"/>
            <w:tcBorders>
              <w:top w:val="single" w:sz="4" w:space="0" w:color="BBBBBB"/>
              <w:left w:val="single" w:sz="4" w:space="0" w:color="BBBBBB"/>
              <w:bottom w:val="single" w:sz="4" w:space="0" w:color="BBBBBB"/>
              <w:right w:val="single" w:sz="4" w:space="0" w:color="BBBBBB"/>
            </w:tcBorders>
            <w:shd w:val="clear" w:color="auto" w:fill="1F3864"/>
            <w:tcMar>
              <w:top w:w="80" w:type="dxa"/>
              <w:left w:w="120" w:type="dxa"/>
              <w:bottom w:w="80" w:type="dxa"/>
              <w:right w:w="120" w:type="dxa"/>
            </w:tcMar>
            <w:vAlign w:val="center"/>
          </w:tcPr>
          <w:p w14:paraId="6D289087" w14:textId="77777777" w:rsidR="00BA4D12" w:rsidRDefault="000B0D44">
            <w:pPr>
              <w:jc w:val="center"/>
            </w:pPr>
            <w:r>
              <w:rPr>
                <w:b/>
                <w:bCs/>
                <w:color w:val="FFFFFF"/>
                <w:sz w:val="20"/>
                <w:szCs w:val="20"/>
              </w:rPr>
              <w:t>Competitive Positioning</w:t>
            </w:r>
          </w:p>
        </w:tc>
      </w:tr>
      <w:tr w:rsidR="00BA4D12" w14:paraId="5AABB690" w14:textId="77777777">
        <w:tc>
          <w:tcPr>
            <w:tcW w:w="20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7C364014" w14:textId="77777777" w:rsidR="00BA4D12" w:rsidRDefault="000B0D44">
            <w:r>
              <w:rPr>
                <w:color w:val="000000"/>
                <w:sz w:val="20"/>
                <w:szCs w:val="20"/>
              </w:rPr>
              <w:t>Marriott International</w:t>
            </w:r>
          </w:p>
        </w:tc>
        <w:tc>
          <w:tcPr>
            <w:tcW w:w="1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48453AE6" w14:textId="77777777" w:rsidR="00BA4D12" w:rsidRDefault="000B0D44">
            <w:r>
              <w:rPr>
                <w:color w:val="000000"/>
                <w:sz w:val="20"/>
                <w:szCs w:val="20"/>
              </w:rPr>
              <w:t>USA (MNC)</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22F1584E" w14:textId="77777777" w:rsidR="00BA4D12" w:rsidRDefault="000B0D44">
            <w:r>
              <w:rPr>
                <w:color w:val="000000"/>
                <w:sz w:val="20"/>
                <w:szCs w:val="20"/>
              </w:rPr>
              <w:t>Luxury / Upper-Upscale / Mid-Scale</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1FD57E81" w14:textId="77777777" w:rsidR="00BA4D12" w:rsidRDefault="000B0D44">
            <w:r>
              <w:rPr>
                <w:color w:val="000000"/>
                <w:sz w:val="20"/>
                <w:szCs w:val="20"/>
              </w:rPr>
              <w:t>75+</w:t>
            </w:r>
          </w:p>
        </w:tc>
        <w:tc>
          <w:tcPr>
            <w:tcW w:w="236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5C62F05B" w14:textId="77777777" w:rsidR="00BA4D12" w:rsidRDefault="000B0D44">
            <w:r>
              <w:rPr>
                <w:color w:val="000000"/>
                <w:sz w:val="20"/>
                <w:szCs w:val="20"/>
              </w:rPr>
              <w:t>Largest international operator; strong brand portfolio (Ritz-Carlton, W Hotels, Sheraton, Courtyard)</w:t>
            </w:r>
          </w:p>
        </w:tc>
      </w:tr>
      <w:tr w:rsidR="00BA4D12" w14:paraId="24049EA2" w14:textId="77777777">
        <w:tc>
          <w:tcPr>
            <w:tcW w:w="20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0887948C" w14:textId="77777777" w:rsidR="00BA4D12" w:rsidRDefault="000B0D44">
            <w:proofErr w:type="spellStart"/>
            <w:r>
              <w:rPr>
                <w:color w:val="000000"/>
                <w:sz w:val="20"/>
                <w:szCs w:val="20"/>
              </w:rPr>
              <w:t>Jumeirah</w:t>
            </w:r>
            <w:proofErr w:type="spellEnd"/>
            <w:r>
              <w:rPr>
                <w:color w:val="000000"/>
                <w:sz w:val="20"/>
                <w:szCs w:val="20"/>
              </w:rPr>
              <w:t xml:space="preserve"> Group</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545A775B" w14:textId="77777777" w:rsidR="00BA4D12" w:rsidRDefault="000B0D44">
            <w:r>
              <w:rPr>
                <w:color w:val="000000"/>
                <w:sz w:val="20"/>
                <w:szCs w:val="20"/>
              </w:rPr>
              <w:t>UAE (Domestic)</w:t>
            </w:r>
          </w:p>
        </w:tc>
        <w:tc>
          <w:tcPr>
            <w:tcW w:w="1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2DA1B640" w14:textId="77777777" w:rsidR="00BA4D12" w:rsidRDefault="000B0D44">
            <w:r>
              <w:rPr>
                <w:color w:val="000000"/>
                <w:sz w:val="20"/>
                <w:szCs w:val="20"/>
              </w:rPr>
              <w:t>Ultra-Luxury</w:t>
            </w:r>
          </w:p>
        </w:tc>
        <w:tc>
          <w:tcPr>
            <w:tcW w:w="1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2FD98713" w14:textId="77777777" w:rsidR="00BA4D12" w:rsidRDefault="000B0D44">
            <w:r>
              <w:rPr>
                <w:color w:val="000000"/>
                <w:sz w:val="20"/>
                <w:szCs w:val="20"/>
              </w:rPr>
              <w:t>23</w:t>
            </w:r>
          </w:p>
        </w:tc>
        <w:tc>
          <w:tcPr>
            <w:tcW w:w="236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471FA4DD" w14:textId="77777777" w:rsidR="00BA4D12" w:rsidRDefault="000B0D44">
            <w:r>
              <w:rPr>
                <w:color w:val="000000"/>
                <w:sz w:val="20"/>
                <w:szCs w:val="20"/>
              </w:rPr>
              <w:t xml:space="preserve">Iconic UAE brand; anchor asset is </w:t>
            </w:r>
            <w:proofErr w:type="spellStart"/>
            <w:r>
              <w:rPr>
                <w:color w:val="000000"/>
                <w:sz w:val="20"/>
                <w:szCs w:val="20"/>
              </w:rPr>
              <w:t>Burj</w:t>
            </w:r>
            <w:proofErr w:type="spellEnd"/>
            <w:r>
              <w:rPr>
                <w:color w:val="000000"/>
                <w:sz w:val="20"/>
                <w:szCs w:val="20"/>
              </w:rPr>
              <w:t xml:space="preserve"> Al Arab; strong domestic identity and sovereign backing</w:t>
            </w:r>
          </w:p>
        </w:tc>
      </w:tr>
      <w:tr w:rsidR="00BA4D12" w14:paraId="6FC41D85" w14:textId="77777777">
        <w:tc>
          <w:tcPr>
            <w:tcW w:w="20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6046795A" w14:textId="77777777" w:rsidR="00BA4D12" w:rsidRDefault="000B0D44">
            <w:r>
              <w:rPr>
                <w:color w:val="000000"/>
                <w:sz w:val="20"/>
                <w:szCs w:val="20"/>
              </w:rPr>
              <w:t>Hilton Hotels &amp; Resorts</w:t>
            </w:r>
          </w:p>
        </w:tc>
        <w:tc>
          <w:tcPr>
            <w:tcW w:w="1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0AAA5CFF" w14:textId="77777777" w:rsidR="00BA4D12" w:rsidRDefault="000B0D44">
            <w:r>
              <w:rPr>
                <w:color w:val="000000"/>
                <w:sz w:val="20"/>
                <w:szCs w:val="20"/>
              </w:rPr>
              <w:t>USA (MNC)</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44BE5A4F" w14:textId="77777777" w:rsidR="00BA4D12" w:rsidRDefault="000B0D44">
            <w:r>
              <w:rPr>
                <w:color w:val="000000"/>
                <w:sz w:val="20"/>
                <w:szCs w:val="20"/>
              </w:rPr>
              <w:t>Full-Service / Luxury</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559B60F7" w14:textId="77777777" w:rsidR="00BA4D12" w:rsidRDefault="000B0D44">
            <w:r>
              <w:rPr>
                <w:color w:val="000000"/>
                <w:sz w:val="20"/>
                <w:szCs w:val="20"/>
              </w:rPr>
              <w:t>60+</w:t>
            </w:r>
          </w:p>
        </w:tc>
        <w:tc>
          <w:tcPr>
            <w:tcW w:w="236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44E3BC85" w14:textId="77777777" w:rsidR="00BA4D12" w:rsidRDefault="000B0D44">
            <w:r>
              <w:rPr>
                <w:color w:val="000000"/>
                <w:sz w:val="20"/>
                <w:szCs w:val="20"/>
              </w:rPr>
              <w:t xml:space="preserve">Premium positioning; strong loyalty programme (Hilton </w:t>
            </w:r>
            <w:proofErr w:type="spellStart"/>
            <w:r>
              <w:rPr>
                <w:color w:val="000000"/>
                <w:sz w:val="20"/>
                <w:szCs w:val="20"/>
              </w:rPr>
              <w:t>Honors</w:t>
            </w:r>
            <w:proofErr w:type="spellEnd"/>
            <w:r>
              <w:rPr>
                <w:color w:val="000000"/>
                <w:sz w:val="20"/>
                <w:szCs w:val="20"/>
              </w:rPr>
              <w:t>); extensive UAE network</w:t>
            </w:r>
          </w:p>
        </w:tc>
      </w:tr>
      <w:tr w:rsidR="00BA4D12" w14:paraId="5EE42AD4" w14:textId="77777777">
        <w:tc>
          <w:tcPr>
            <w:tcW w:w="20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51AD6409" w14:textId="77777777" w:rsidR="00BA4D12" w:rsidRDefault="000B0D44">
            <w:r>
              <w:rPr>
                <w:color w:val="000000"/>
                <w:sz w:val="20"/>
                <w:szCs w:val="20"/>
              </w:rPr>
              <w:t>IHG Hotels &amp; Resorts</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03E39CB1" w14:textId="77777777" w:rsidR="00BA4D12" w:rsidRDefault="000B0D44">
            <w:r>
              <w:rPr>
                <w:color w:val="000000"/>
                <w:sz w:val="20"/>
                <w:szCs w:val="20"/>
              </w:rPr>
              <w:t>UK (MNC)</w:t>
            </w:r>
          </w:p>
        </w:tc>
        <w:tc>
          <w:tcPr>
            <w:tcW w:w="1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4DFEE999" w14:textId="77777777" w:rsidR="00BA4D12" w:rsidRDefault="000B0D44">
            <w:r>
              <w:rPr>
                <w:color w:val="000000"/>
                <w:sz w:val="20"/>
                <w:szCs w:val="20"/>
              </w:rPr>
              <w:t>Full-Service / Mid-Scale</w:t>
            </w:r>
          </w:p>
        </w:tc>
        <w:tc>
          <w:tcPr>
            <w:tcW w:w="1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47546E5E" w14:textId="77777777" w:rsidR="00BA4D12" w:rsidRDefault="000B0D44">
            <w:r>
              <w:rPr>
                <w:color w:val="000000"/>
                <w:sz w:val="20"/>
                <w:szCs w:val="20"/>
              </w:rPr>
              <w:t>45+</w:t>
            </w:r>
          </w:p>
        </w:tc>
        <w:tc>
          <w:tcPr>
            <w:tcW w:w="236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0D1AF98C" w14:textId="77777777" w:rsidR="00BA4D12" w:rsidRDefault="000B0D44">
            <w:r>
              <w:rPr>
                <w:color w:val="000000"/>
                <w:sz w:val="20"/>
                <w:szCs w:val="20"/>
              </w:rPr>
              <w:t>Broad multi-brand presence; strong MICE segment targeting</w:t>
            </w:r>
          </w:p>
        </w:tc>
      </w:tr>
      <w:tr w:rsidR="00BA4D12" w14:paraId="47E5BB4B" w14:textId="77777777">
        <w:tc>
          <w:tcPr>
            <w:tcW w:w="20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724BDEFB" w14:textId="77777777" w:rsidR="00BA4D12" w:rsidRDefault="000B0D44">
            <w:proofErr w:type="spellStart"/>
            <w:r>
              <w:rPr>
                <w:color w:val="000000"/>
                <w:sz w:val="20"/>
                <w:szCs w:val="20"/>
              </w:rPr>
              <w:t>Rotana</w:t>
            </w:r>
            <w:proofErr w:type="spellEnd"/>
            <w:r>
              <w:rPr>
                <w:color w:val="000000"/>
                <w:sz w:val="20"/>
                <w:szCs w:val="20"/>
              </w:rPr>
              <w:t xml:space="preserve"> Hotel Management</w:t>
            </w:r>
          </w:p>
        </w:tc>
        <w:tc>
          <w:tcPr>
            <w:tcW w:w="14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63B62676" w14:textId="77777777" w:rsidR="00BA4D12" w:rsidRDefault="000B0D44">
            <w:r>
              <w:rPr>
                <w:color w:val="000000"/>
                <w:sz w:val="20"/>
                <w:szCs w:val="20"/>
              </w:rPr>
              <w:t>UAE (Domestic)</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5DEE70A1" w14:textId="77777777" w:rsidR="00BA4D12" w:rsidRDefault="000B0D44">
            <w:r>
              <w:rPr>
                <w:color w:val="000000"/>
                <w:sz w:val="20"/>
                <w:szCs w:val="20"/>
              </w:rPr>
              <w:t>Upper-Midscale / Upscale</w:t>
            </w:r>
          </w:p>
        </w:tc>
        <w:tc>
          <w:tcPr>
            <w:tcW w:w="180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1F63C2AE" w14:textId="77777777" w:rsidR="00BA4D12" w:rsidRDefault="000B0D44">
            <w:r>
              <w:rPr>
                <w:color w:val="000000"/>
                <w:sz w:val="20"/>
                <w:szCs w:val="20"/>
              </w:rPr>
              <w:t>70+</w:t>
            </w:r>
          </w:p>
        </w:tc>
        <w:tc>
          <w:tcPr>
            <w:tcW w:w="2360" w:type="dxa"/>
            <w:tcBorders>
              <w:top w:val="single" w:sz="4" w:space="0" w:color="BBBBBB"/>
              <w:left w:val="single" w:sz="4" w:space="0" w:color="BBBBBB"/>
              <w:bottom w:val="single" w:sz="4" w:space="0" w:color="BBBBBB"/>
              <w:right w:val="single" w:sz="4" w:space="0" w:color="BBBBBB"/>
            </w:tcBorders>
            <w:shd w:val="clear" w:color="auto" w:fill="D6E4F0"/>
            <w:tcMar>
              <w:top w:w="80" w:type="dxa"/>
              <w:left w:w="120" w:type="dxa"/>
              <w:bottom w:w="80" w:type="dxa"/>
              <w:right w:w="120" w:type="dxa"/>
            </w:tcMar>
          </w:tcPr>
          <w:p w14:paraId="51306028" w14:textId="77777777" w:rsidR="00BA4D12" w:rsidRDefault="000B0D44">
            <w:r>
              <w:rPr>
                <w:color w:val="000000"/>
                <w:sz w:val="20"/>
                <w:szCs w:val="20"/>
              </w:rPr>
              <w:t xml:space="preserve">Largest </w:t>
            </w:r>
            <w:proofErr w:type="spellStart"/>
            <w:r>
              <w:rPr>
                <w:color w:val="000000"/>
                <w:sz w:val="20"/>
                <w:szCs w:val="20"/>
              </w:rPr>
              <w:t>homegrown</w:t>
            </w:r>
            <w:proofErr w:type="spellEnd"/>
            <w:r>
              <w:rPr>
                <w:color w:val="000000"/>
                <w:sz w:val="20"/>
                <w:szCs w:val="20"/>
              </w:rPr>
              <w:t xml:space="preserve"> UAE chain by property count; regional expertise</w:t>
            </w:r>
          </w:p>
        </w:tc>
      </w:tr>
      <w:tr w:rsidR="00BA4D12" w14:paraId="14937F8D" w14:textId="77777777">
        <w:tc>
          <w:tcPr>
            <w:tcW w:w="20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534F0124" w14:textId="77777777" w:rsidR="00BA4D12" w:rsidRDefault="000B0D44">
            <w:r>
              <w:rPr>
                <w:color w:val="000000"/>
                <w:sz w:val="20"/>
                <w:szCs w:val="20"/>
              </w:rPr>
              <w:t>Accor Group</w:t>
            </w:r>
          </w:p>
        </w:tc>
        <w:tc>
          <w:tcPr>
            <w:tcW w:w="14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18EB9434" w14:textId="77777777" w:rsidR="00BA4D12" w:rsidRDefault="000B0D44">
            <w:r>
              <w:rPr>
                <w:color w:val="000000"/>
                <w:sz w:val="20"/>
                <w:szCs w:val="20"/>
              </w:rPr>
              <w:t>France (MNC)</w:t>
            </w:r>
          </w:p>
        </w:tc>
        <w:tc>
          <w:tcPr>
            <w:tcW w:w="1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20A1455E" w14:textId="77777777" w:rsidR="00BA4D12" w:rsidRDefault="000B0D44">
            <w:r>
              <w:rPr>
                <w:color w:val="000000"/>
                <w:sz w:val="20"/>
                <w:szCs w:val="20"/>
              </w:rPr>
              <w:t>Economy to Luxury</w:t>
            </w:r>
          </w:p>
        </w:tc>
        <w:tc>
          <w:tcPr>
            <w:tcW w:w="180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65EEDCA5" w14:textId="77777777" w:rsidR="00BA4D12" w:rsidRDefault="000B0D44">
            <w:r>
              <w:rPr>
                <w:color w:val="000000"/>
                <w:sz w:val="20"/>
                <w:szCs w:val="20"/>
              </w:rPr>
              <w:t>55+</w:t>
            </w:r>
          </w:p>
        </w:tc>
        <w:tc>
          <w:tcPr>
            <w:tcW w:w="2360" w:type="dxa"/>
            <w:tcBorders>
              <w:top w:val="single" w:sz="4" w:space="0" w:color="BBBBBB"/>
              <w:left w:val="single" w:sz="4" w:space="0" w:color="BBBBBB"/>
              <w:bottom w:val="single" w:sz="4" w:space="0" w:color="BBBBBB"/>
              <w:right w:val="single" w:sz="4" w:space="0" w:color="BBBBBB"/>
            </w:tcBorders>
            <w:shd w:val="clear" w:color="auto" w:fill="FFFFFF"/>
            <w:tcMar>
              <w:top w:w="80" w:type="dxa"/>
              <w:left w:w="120" w:type="dxa"/>
              <w:bottom w:w="80" w:type="dxa"/>
              <w:right w:w="120" w:type="dxa"/>
            </w:tcMar>
          </w:tcPr>
          <w:p w14:paraId="17939A4F" w14:textId="77777777" w:rsidR="00BA4D12" w:rsidRDefault="000B0D44">
            <w:r>
              <w:rPr>
                <w:color w:val="000000"/>
                <w:sz w:val="20"/>
                <w:szCs w:val="20"/>
              </w:rPr>
              <w:t>Diverse brand spectrum; strong leisure and budget segments</w:t>
            </w:r>
          </w:p>
        </w:tc>
      </w:tr>
    </w:tbl>
    <w:p w14:paraId="7990F632" w14:textId="77777777" w:rsidR="00BA4D12" w:rsidRDefault="000B0D44">
      <w:pPr>
        <w:spacing w:before="60" w:after="200"/>
        <w:jc w:val="center"/>
      </w:pPr>
      <w:r>
        <w:rPr>
          <w:color w:val="555555"/>
          <w:sz w:val="18"/>
          <w:szCs w:val="18"/>
        </w:rPr>
        <w:t>Table 1: Key Competitors in the UAE Hospitality Market (Source: Adapted from STR Global, 2023; Company Annual Reports, 2023)</w:t>
      </w:r>
    </w:p>
    <w:p w14:paraId="4941E249" w14:textId="77777777" w:rsidR="00BA4D12" w:rsidRDefault="000B0D44">
      <w:pPr>
        <w:spacing w:after="200" w:line="360" w:lineRule="auto"/>
        <w:jc w:val="both"/>
      </w:pPr>
      <w:r>
        <w:t xml:space="preserve">The presence of Marriott international in UAE is due to the breadth of its portfolio which features ultra-luxury (The Ritz-Carlton) to upper-midscale (Courtyard by Marriott) segments. The loyalty programme, the </w:t>
      </w:r>
      <w:proofErr w:type="spellStart"/>
      <w:r>
        <w:t>Bonvoy</w:t>
      </w:r>
      <w:proofErr w:type="spellEnd"/>
      <w:r>
        <w:t xml:space="preserve">, has an active customer retention and direct booking option, which is a meaningful competitive moat due to its more than 196 million members worldwide (Marriott International, 2023). The most well-known domestic player, </w:t>
      </w:r>
      <w:proofErr w:type="spellStart"/>
      <w:r>
        <w:t>Jumeirah</w:t>
      </w:r>
      <w:proofErr w:type="spellEnd"/>
      <w:r>
        <w:t xml:space="preserve"> Group, enjoys a distinct cultural brand image, and governmental support, which places it as the representative of hospitality service in the international market in the UAE. </w:t>
      </w:r>
      <w:proofErr w:type="spellStart"/>
      <w:r>
        <w:t>Rotana</w:t>
      </w:r>
      <w:proofErr w:type="spellEnd"/>
      <w:r>
        <w:t>, although not having a global brand identity of the scale of Marriott, possesses strong regiona</w:t>
      </w:r>
      <w:r>
        <w:t>l experience and knowledge of the local customer preferences and thus can compete well in the sphere of the mid-market segment (</w:t>
      </w:r>
      <w:proofErr w:type="spellStart"/>
      <w:r>
        <w:t>Rotana</w:t>
      </w:r>
      <w:proofErr w:type="spellEnd"/>
      <w:r>
        <w:t>, 2023).</w:t>
      </w:r>
    </w:p>
    <w:p w14:paraId="7F92E9C0" w14:textId="77777777" w:rsidR="00BA4D12" w:rsidRDefault="000B0D44">
      <w:pPr>
        <w:pStyle w:val="Heading1"/>
      </w:pPr>
      <w:r>
        <w:t>3. Porter's Diamond Model of National Advantage: UAE Tourism Industry</w:t>
      </w:r>
    </w:p>
    <w:p w14:paraId="421E65C8" w14:textId="77777777" w:rsidR="00BA4D12" w:rsidRDefault="00BA4D12">
      <w:pPr>
        <w:pBdr>
          <w:bottom w:val="single" w:sz="6" w:space="1" w:color="2E75B6"/>
        </w:pBdr>
        <w:spacing w:after="120"/>
      </w:pPr>
    </w:p>
    <w:p w14:paraId="23338D63" w14:textId="77777777" w:rsidR="00BA4D12" w:rsidRDefault="000B0D44">
      <w:pPr>
        <w:spacing w:after="180" w:line="360" w:lineRule="auto"/>
        <w:jc w:val="both"/>
      </w:pPr>
      <w:r>
        <w:t>The Diamond Model of national competitive advantage systems as developed by Porter (Porter, 1990) offers a solid model of analysis of systemic sources of national competitive advantage within a certain industry. When implemented to the UAE tourism and hospitality industry, the model sheds light on the interaction between factor conditions, demand conditions, related and supporting industry, and the type of firm strategy and rivalry where government is the catalyst.</w:t>
      </w:r>
    </w:p>
    <w:p w14:paraId="0BC3DFBE" w14:textId="77777777" w:rsidR="00BA4D12" w:rsidRDefault="000B0D44">
      <w:pPr>
        <w:pStyle w:val="Heading2"/>
      </w:pPr>
      <w:r>
        <w:t>3.1 Factor Conditions</w:t>
      </w:r>
    </w:p>
    <w:p w14:paraId="746B2827" w14:textId="77777777" w:rsidR="00BA4D12" w:rsidRDefault="000B0D44">
      <w:pPr>
        <w:spacing w:after="180" w:line="360" w:lineRule="auto"/>
        <w:jc w:val="both"/>
      </w:pPr>
      <w:r>
        <w:t>Factor conditions are the factors of production that are needed in the competitive production: human resources, capital, infrastructure and knowledge. Excellent physical infrastructure is a significant contributor to the competitiveness of the UAE tourism industry. In 2023, Dubai International Airport (DXB) was one of the busiest international airlines in the world, with room to serve some 86.9 million passengers, whereas Abu Dhabi International Airport (AUH) had a room to serve some 24 million passengers (</w:t>
      </w:r>
      <w:r>
        <w:t>ACI World, 2024). The UAE has a modern road network with state-of-the-art metro in Dubai and the best port infrastructure which all eases the logistic friction to both tourists and hospitality operators.</w:t>
      </w:r>
    </w:p>
    <w:p w14:paraId="4DF05FD8" w14:textId="77777777" w:rsidR="00BA4D12" w:rsidRDefault="000B0D44">
      <w:pPr>
        <w:spacing w:after="180" w:line="360" w:lineRule="auto"/>
        <w:jc w:val="both"/>
      </w:pPr>
      <w:r>
        <w:t xml:space="preserve">Human capital, in its turn, is a more complicated state of the factor. The high prevalence of expatriate labour in the UAE (more than 90 percent of the entire workforce in the private sector (Federal Competitiveness and Statistics Centre, 2023) gives the hospitality operators a substantial and pliable source of talent. However, labour policy issues related to the sustainability of this model are ongoing, as the changes associated with the </w:t>
      </w:r>
      <w:proofErr w:type="spellStart"/>
      <w:r>
        <w:t>kafala</w:t>
      </w:r>
      <w:proofErr w:type="spellEnd"/>
      <w:r>
        <w:t xml:space="preserve"> system and the green visa initiative are already changing the employment trends (ILO, 2022). The investments in hospitality education, institutions like </w:t>
      </w:r>
      <w:proofErr w:type="spellStart"/>
      <w:r>
        <w:t>Ecole</w:t>
      </w:r>
      <w:proofErr w:type="spellEnd"/>
      <w:r>
        <w:t xml:space="preserve"> </w:t>
      </w:r>
      <w:proofErr w:type="spellStart"/>
      <w:r>
        <w:t>hoteliere</w:t>
      </w:r>
      <w:proofErr w:type="spellEnd"/>
      <w:r>
        <w:t xml:space="preserve"> de Lausanne Dubai and Emirates Academy of Hospitality Management are slowly building up the capital of indigenous knowledge.</w:t>
      </w:r>
    </w:p>
    <w:p w14:paraId="1999CF17" w14:textId="77777777" w:rsidR="00BA4D12" w:rsidRDefault="000B0D44">
      <w:pPr>
        <w:pStyle w:val="Heading2"/>
      </w:pPr>
      <w:r>
        <w:t>3.2 Demand Conditions</w:t>
      </w:r>
    </w:p>
    <w:p w14:paraId="3CAA753B" w14:textId="77777777" w:rsidR="00BA4D12" w:rsidRDefault="000B0D44">
      <w:pPr>
        <w:spacing w:after="180" w:line="360" w:lineRule="auto"/>
        <w:jc w:val="both"/>
      </w:pPr>
      <w:r>
        <w:t>Porter (1990) argues that advanced domestic demand compels companies to innovate and develop the capabilities. The conditions of tourism demand in the UAE are unique in terms of unparalleled diversity and sophistication. It has a cosmopolitan resident population, which has more than 200 nationalities and this forms its domestic demand environment, which is by definition, international in prospect, which forces operators to respond to a far greater range of service expectations. The demand is also diversifie</w:t>
      </w:r>
      <w:r>
        <w:t>d and intensified by international tourists (South Asia, Europe, China, and the Americas) who need differentiated product packages, both in terms of culture, language, and even cuisine (DTCM, 2023).</w:t>
      </w:r>
    </w:p>
    <w:p w14:paraId="72602409" w14:textId="77777777" w:rsidR="00BA4D12" w:rsidRDefault="000B0D44">
      <w:pPr>
        <w:spacing w:after="180" w:line="360" w:lineRule="auto"/>
        <w:jc w:val="both"/>
      </w:pPr>
      <w:r>
        <w:t>High disposable incomes and above-average readiness to spend on excellent experiences also characterise the UAE consumer base as seen in Dubai having the highest number of international overnight visitors in the world in 2023 (</w:t>
      </w:r>
      <w:proofErr w:type="spellStart"/>
      <w:r>
        <w:t>Euromonitor</w:t>
      </w:r>
      <w:proofErr w:type="spellEnd"/>
      <w:r>
        <w:t xml:space="preserve"> International, 2024). This is a very high-pressure consumerism that has long encouraged players in the hospitality sector to sustain ever-increasing product innovation, including the seven-star branding of the iconic </w:t>
      </w:r>
      <w:proofErr w:type="spellStart"/>
      <w:r>
        <w:t>Burj</w:t>
      </w:r>
      <w:proofErr w:type="spellEnd"/>
      <w:r>
        <w:t xml:space="preserve"> Al Arab as well as the recent explosion of branded residences and wellness resorts.</w:t>
      </w:r>
    </w:p>
    <w:p w14:paraId="6D5351AC" w14:textId="77777777" w:rsidR="00BA4D12" w:rsidRDefault="000B0D44">
      <w:pPr>
        <w:pStyle w:val="Heading2"/>
      </w:pPr>
      <w:r>
        <w:t>3.3 Related and Supporting Industries</w:t>
      </w:r>
    </w:p>
    <w:p w14:paraId="30711C9C" w14:textId="77777777" w:rsidR="00BA4D12" w:rsidRDefault="000B0D44">
      <w:pPr>
        <w:spacing w:after="180" w:line="360" w:lineRule="auto"/>
        <w:jc w:val="both"/>
      </w:pPr>
      <w:r>
        <w:t>The UAE has the advantage of having a very established cluster of related and supporting infrastructure, which amplify the competitiveness of the hospitality industry. The Emirates Airlines, which is always listed as one of the most successful carriers in the world, is the direct trigger of the inbound tourism as it offers the global connectivity which is impossible in MENA region (</w:t>
      </w:r>
      <w:proofErr w:type="spellStart"/>
      <w:r>
        <w:t>Skytrax</w:t>
      </w:r>
      <w:proofErr w:type="spellEnd"/>
      <w:r>
        <w:t>, 2023). The retail market, which is supported by mega-malls like The Dubai Mall and Mall of the Emirates, serves as a demand driver of leisure tourism. The MICE (Meetings, Incentives, Conferences, and Exhibitions) sector of Dubai is equipped with the Dubai World Trade Centre and the Dubai Exhibition Centre, and it makes the emirate one of the top destinations where a business event can be held (ICCA, 2023).</w:t>
      </w:r>
    </w:p>
    <w:p w14:paraId="7E636083" w14:textId="77777777" w:rsidR="00BA4D12" w:rsidRDefault="000B0D44">
      <w:pPr>
        <w:spacing w:after="180" w:line="360" w:lineRule="auto"/>
        <w:jc w:val="both"/>
      </w:pPr>
      <w:r>
        <w:t xml:space="preserve">Moreover, the developed financial services sphere and digital payment system of the UAE allow conducting transactions with the visitor in a simplified manner, whereas the booming food-and-beverage ecosystem, which includes Michelin-starred restaurants and various </w:t>
      </w:r>
      <w:proofErr w:type="spellStart"/>
      <w:r>
        <w:t>flavors</w:t>
      </w:r>
      <w:proofErr w:type="spellEnd"/>
      <w:r>
        <w:t>, contributes to the overall visitor experience offer.</w:t>
      </w:r>
    </w:p>
    <w:p w14:paraId="457A8B9C" w14:textId="77777777" w:rsidR="00BA4D12" w:rsidRDefault="000B0D44">
      <w:pPr>
        <w:pStyle w:val="Heading2"/>
      </w:pPr>
      <w:r>
        <w:t>3.4 Firm Strategy, Structure, and Rivalry</w:t>
      </w:r>
    </w:p>
    <w:p w14:paraId="094AA9A1" w14:textId="77777777" w:rsidR="00BA4D12" w:rsidRDefault="000B0D44">
      <w:pPr>
        <w:spacing w:after="180" w:line="360" w:lineRule="auto"/>
        <w:jc w:val="both"/>
      </w:pPr>
      <w:r>
        <w:t>The UAE hospitality industry is highly competitive where domestic and international competitors are competing to capture market share in a variety of segments. This level of competition, which is in line with the point that Porter brought out as one of the pillars of innovation, has spurred sustained quality increment and service differentiation. The fact that loyalty programmes, online booking systems, and guest experience technologies are being proliferated indicates the pressure on firms to differentiate</w:t>
      </w:r>
      <w:r>
        <w:t xml:space="preserve"> in an oversaturated market. State-connected organizations like </w:t>
      </w:r>
      <w:proofErr w:type="spellStart"/>
      <w:r>
        <w:t>Jumeirah</w:t>
      </w:r>
      <w:proofErr w:type="spellEnd"/>
      <w:r>
        <w:t xml:space="preserve"> Group and Abu Dhabi National Hotels Company (ADNHC) bring in a quasi-state aspect to competition that may make the foreign MNCs struggle to engage in pure-market competition.</w:t>
      </w:r>
    </w:p>
    <w:p w14:paraId="105A43AF" w14:textId="77777777" w:rsidR="00BA4D12" w:rsidRDefault="000B0D44">
      <w:pPr>
        <w:pStyle w:val="Heading2"/>
      </w:pPr>
      <w:r>
        <w:t>3.5 Government Role</w:t>
      </w:r>
    </w:p>
    <w:p w14:paraId="71E33AE8" w14:textId="77777777" w:rsidR="00BA4D12" w:rsidRDefault="000B0D44">
      <w:pPr>
        <w:spacing w:after="200" w:line="360" w:lineRule="auto"/>
        <w:jc w:val="both"/>
      </w:pPr>
      <w:r>
        <w:t>The government of UAE is actively and decisively involved in determining the competitive structure of the tourism industry. The creation of specific tourism departments - Dubai Tourism and Commerce Marketing (DTCM), Abu Dhabi Tourism and Culture Authority (TCA), the development of the Tourism Vision 2031, and the significant investment of the government in infrastructure and destination marketing are an effective government stimulus (UAE Government, 2023). The UAE is also increasingly attractive as a destin</w:t>
      </w:r>
      <w:r>
        <w:t>ation where international hospitality investment can be made using tax exemption and simplified business license registration and the newly implemented 100% foreign ownership provision of the Commercial Company Law reforms ( UAE Ministry of Economy, 2024).</w:t>
      </w:r>
    </w:p>
    <w:p w14:paraId="3557C82C" w14:textId="77777777" w:rsidR="00BA4D12" w:rsidRDefault="000B0D44">
      <w:pPr>
        <w:spacing w:after="200" w:line="360" w:lineRule="auto"/>
        <w:jc w:val="both"/>
      </w:pPr>
      <w:r>
        <w:t xml:space="preserve">Overall, the use of the Porter Diamond Model indicates that the competitive strength of the UAE tourism is a systemic, multi-dimensional and government-driven competitive advantage. Combination of excellent infrastructure, advanced demand, robust related sphere, and intense market competition leads to a virtuous circle of competitiveness making the UAE one of the most important hospitality </w:t>
      </w:r>
      <w:proofErr w:type="spellStart"/>
      <w:r>
        <w:t>centers</w:t>
      </w:r>
      <w:proofErr w:type="spellEnd"/>
      <w:r>
        <w:t xml:space="preserve"> in the world.</w:t>
      </w:r>
    </w:p>
    <w:p w14:paraId="03A71D6D" w14:textId="77777777" w:rsidR="00BA4D12" w:rsidRDefault="000B0D44">
      <w:pPr>
        <w:pStyle w:val="Heading1"/>
      </w:pPr>
      <w:r>
        <w:t>4. Critical Evaluation of Marriott International's Operations in the UAE</w:t>
      </w:r>
    </w:p>
    <w:p w14:paraId="3D207F1E" w14:textId="77777777" w:rsidR="00BA4D12" w:rsidRDefault="00BA4D12">
      <w:pPr>
        <w:pBdr>
          <w:bottom w:val="single" w:sz="6" w:space="1" w:color="2E75B6"/>
        </w:pBdr>
        <w:spacing w:after="120"/>
      </w:pPr>
    </w:p>
    <w:p w14:paraId="22B9754C" w14:textId="77777777" w:rsidR="00BA4D12" w:rsidRDefault="000B0D44">
      <w:pPr>
        <w:spacing w:after="180" w:line="360" w:lineRule="auto"/>
        <w:jc w:val="both"/>
      </w:pPr>
      <w:r>
        <w:t xml:space="preserve">The Marriott International, which is the largest hotel company in the world, is based in Bethesda, Maryland, the USA and has around 9,000 hotels located in 141 countries and territories (Marriott International, 2023). Its asset-light model which operates mainly by franchise and management deals allows it to expand internationally with a small capital outlay. Marriott operates in the UAE with more than 75 properties in over 15 brands, such as The Ritz-Carlton Dubai, the W Dubai, Sheraton Abu Dhabi Hotel and </w:t>
      </w:r>
      <w:r>
        <w:t xml:space="preserve">Resort, several Courtyard and Aloft properties, among others (Marriott International, 2023). This paragraph will critically </w:t>
      </w:r>
      <w:proofErr w:type="spellStart"/>
      <w:r>
        <w:t>analyze</w:t>
      </w:r>
      <w:proofErr w:type="spellEnd"/>
      <w:r>
        <w:t xml:space="preserve"> the variables that influence the performance of the business of Marriott in the UAE using the PEST framework as the main analytical instrument and cultural analysis as an auxiliary tool based on the Hofstede Cultural Dimensions.</w:t>
      </w:r>
    </w:p>
    <w:p w14:paraId="3FD59E74" w14:textId="77777777" w:rsidR="00BA4D12" w:rsidRDefault="000B0D44">
      <w:pPr>
        <w:pStyle w:val="Heading2"/>
      </w:pPr>
      <w:r>
        <w:t>4.1 Political Factors</w:t>
      </w:r>
    </w:p>
    <w:p w14:paraId="012CAAAD" w14:textId="77777777" w:rsidR="00BA4D12" w:rsidRDefault="000B0D44">
      <w:pPr>
        <w:spacing w:after="180" w:line="360" w:lineRule="auto"/>
        <w:jc w:val="both"/>
      </w:pPr>
      <w:r>
        <w:t>The political context in the UAE gives a favourably diverse environment to the operations of Marriot, which is defined by political stability, the active government facilitation process, and the harmonious orientation of the national economic policy and the goals of international hotel investment. The UAE is a constitutional monarchy, with the federal government being headed by the President (the Ruler of Abu Dhabi) and the Prime Minister (the Ruler of Dubai). The system offers a high level of continuity in</w:t>
      </w:r>
      <w:r>
        <w:t xml:space="preserve"> policies and stability of long-term planning, which is in high demand among multinational companies conducting its business in capital-intensive industries (Oxford Business Group, 2023).</w:t>
      </w:r>
    </w:p>
    <w:p w14:paraId="299C5CDB" w14:textId="77777777" w:rsidR="00BA4D12" w:rsidRDefault="000B0D44">
      <w:pPr>
        <w:spacing w:after="180" w:line="360" w:lineRule="auto"/>
        <w:jc w:val="both"/>
      </w:pPr>
      <w:r>
        <w:t>Complex yet manageable risk environment has also been brought about by the geopolitical positioning of the UAE to Marriott. Normalisation of relations with Israel according to the Abraham Accords (2020) has created new tourism corridors and has increased the market that Marriott can address by relating to the Israeli tourist arrivals. On the other hand, the local tensions, such as the ongoing war in Yemen and the situation with Iran, which periodically leads to an increase in the level of tension, require r</w:t>
      </w:r>
      <w:r>
        <w:t xml:space="preserve">igorous political risk monitoring and contingency planning. According to Khanna and </w:t>
      </w:r>
      <w:proofErr w:type="spellStart"/>
      <w:r>
        <w:t>Palepu</w:t>
      </w:r>
      <w:proofErr w:type="spellEnd"/>
      <w:r>
        <w:t xml:space="preserve"> (2010), multinational corporations should create context sensitivity in a political risk evaluation because they should understand that the nature of the institutions in the emerging markets is not always similar to the ones in their own countries. The well-organized political risk measures of Marriott and its worldwide security intelligence operation is an essential resource in negotiating this aspect.</w:t>
      </w:r>
    </w:p>
    <w:p w14:paraId="6EA30543" w14:textId="77777777" w:rsidR="00BA4D12" w:rsidRDefault="000B0D44">
      <w:pPr>
        <w:spacing w:after="180" w:line="360" w:lineRule="auto"/>
        <w:jc w:val="both"/>
      </w:pPr>
      <w:r>
        <w:t>The regulatory changes that positively affect Marriott directly include the 2021 adoption of the amended UAE Commercial Companies Law that allows 100 percent foreign ownership in most sectors. Formerly, foreign companies had to be sponsored by a local UAE investor with a minimum 51% equity share; the lift on this requirement also increases the freedom of operation of Marriott and minimizes its reliance on middlemen relations (UAE Ministry of Economy, 2024). Moreover, the Free Zone structure of the UAE, incl</w:t>
      </w:r>
      <w:r>
        <w:t>uding Dubai Airport Free Zone, Abu Dhabi Global Market, and other ones, offers beneficial tax and regulatory frameworks to the subsidiary and support operations of Marriott.</w:t>
      </w:r>
    </w:p>
    <w:p w14:paraId="7F0DE085" w14:textId="77777777" w:rsidR="00BA4D12" w:rsidRDefault="000B0D44">
      <w:pPr>
        <w:pStyle w:val="Heading2"/>
      </w:pPr>
      <w:r>
        <w:t>4.2 Economic Factors</w:t>
      </w:r>
    </w:p>
    <w:p w14:paraId="526B5C9B" w14:textId="77777777" w:rsidR="00BA4D12" w:rsidRDefault="000B0D44">
      <w:pPr>
        <w:spacing w:after="180" w:line="360" w:lineRule="auto"/>
        <w:jc w:val="both"/>
      </w:pPr>
      <w:r>
        <w:t>The UAE economy forms an attractive macroeconomic environment to the long-term growth strategy of Marriott. In 2023, the country has registered a 3.4% growth of real GDP, which is one of the highest in the GCC, and the non-oil economy has grown by 4.8%, which is one of the indications that diversification strategy is working (IMF, 2024). This non-oil growth is directly proportional to the growth in the tourism industry and can be directly related to the growth in the demand of hotel accommodation within the</w:t>
      </w:r>
      <w:r>
        <w:t xml:space="preserve"> brand scope of Marriott.</w:t>
      </w:r>
    </w:p>
    <w:p w14:paraId="7BCC7DBF" w14:textId="77777777" w:rsidR="00BA4D12" w:rsidRDefault="000B0D44">
      <w:pPr>
        <w:spacing w:after="180" w:line="360" w:lineRule="auto"/>
        <w:jc w:val="both"/>
      </w:pPr>
      <w:r>
        <w:t>The monetary architecture of the UAE, which is the Emirati Dirham (AED) pegged to the US Dollar at AED 3.67, removes the currency exchange risk on the part of Marriott which reports in the US Dollars which is a major drawback in operating in other foreign markets. This peg also protects the UAE against fluctuation of exchange rates that would otherwise influence the patterns of tourist demand (World Bank, 2024).</w:t>
      </w:r>
    </w:p>
    <w:p w14:paraId="6F01079D" w14:textId="77777777" w:rsidR="00BA4D12" w:rsidRDefault="000B0D44">
      <w:pPr>
        <w:spacing w:after="180" w:line="360" w:lineRule="auto"/>
        <w:jc w:val="both"/>
      </w:pPr>
      <w:r>
        <w:t>Nevertheless, the risk of the economy is also worth attention. The tourism economy of the UAE is vulnerable to demand shocks of their main source markets. The pace of growth in India and China that is lower than expected in the two countries that contribute to about 25% of the inbound tourism in Dubai might dampen the occupancy rates within the Marriott portfolio (DTCM, 2023). The recent years of growth in travel demand is a tailwind; however, the post-pandemic surge in travel could be eased once pent-up de</w:t>
      </w:r>
      <w:r>
        <w:t>mand is exhausted. Besides, due to the fact that the hotel room supply in Dubai has been growing rapidly in recent years, and by 2030, more than 30,000 additional rooms are expected to be added, the structural downward pressure on average daily rates (ADR) and revenue per available room (RevPAR) might be exerted, especially in the mid-market segments, where the competitive pressure is the most significant (STR Global, 2023). Marriott should thus manage yield optimisation strategies and brand differentiation</w:t>
      </w:r>
      <w:r>
        <w:t xml:space="preserve"> very keenly to ensure that margins are not at stake.</w:t>
      </w:r>
    </w:p>
    <w:p w14:paraId="158DFC5C" w14:textId="77777777" w:rsidR="00BA4D12" w:rsidRDefault="000B0D44">
      <w:pPr>
        <w:spacing w:after="180" w:line="360" w:lineRule="auto"/>
        <w:jc w:val="both"/>
      </w:pPr>
      <w:r>
        <w:t xml:space="preserve">The 9% corporate tax, which will be introduced in the UAE starting June 2023, is the first corporate income tax at the federal level in the history of the country and can be discussed as a structural shift in the fiscal environment (UAE Ministry of Finance, 2023). Although the asset-light model of Marriott means that the tax exposure will be lower in comparison with asset-owning operators, the management fees and the royalty income now will be liable to the corporate tax and will have an incremental impact </w:t>
      </w:r>
      <w:r>
        <w:t>on the financial performance and necessitate changes in financial planning and transfer pricing models.</w:t>
      </w:r>
    </w:p>
    <w:p w14:paraId="031725AD" w14:textId="77777777" w:rsidR="00BA4D12" w:rsidRDefault="000B0D44">
      <w:pPr>
        <w:pStyle w:val="Heading2"/>
      </w:pPr>
      <w:r>
        <w:t>4.3 Legal Factors</w:t>
      </w:r>
    </w:p>
    <w:p w14:paraId="2A0CFF91" w14:textId="77777777" w:rsidR="00BA4D12" w:rsidRDefault="000B0D44">
      <w:pPr>
        <w:spacing w:after="180" w:line="360" w:lineRule="auto"/>
        <w:jc w:val="both"/>
      </w:pPr>
      <w:r>
        <w:t>The UAE legal system is a mixed system that is based on civil legal, Islamic Sharia legislative, and Common law principles - although there is a wide range of inconsistency between the primary and the Free Zone legal systems. In the case of Marriott, this multi-layered legal environment entails the need to have expert skills and strong compliance frameworks. Some of the important areas of law that are relevant include employment legislation, consumer regulation, data protection, and licensing of hospitality</w:t>
      </w:r>
      <w:r>
        <w:t>.</w:t>
      </w:r>
    </w:p>
    <w:p w14:paraId="4FB52D7A" w14:textId="77777777" w:rsidR="00BA4D12" w:rsidRDefault="000B0D44">
      <w:pPr>
        <w:spacing w:after="180" w:line="360" w:lineRule="auto"/>
        <w:jc w:val="both"/>
      </w:pPr>
      <w:r>
        <w:t>The UAE Labour Law (Federal Decree-Law No. 33 of 2021) brought major changes to the employment contracts and termination processes and also gave protection to the workers such as flexible and part-time working policies. Although these reforms have a generally positive effect on workforce management flexibility, they also put more employer responsibilities in the calculation of end-of-service gratuities and non-compete (ILO, 2022). Adherence to these demands is necessary to prevent legal fines and reputation</w:t>
      </w:r>
      <w:r>
        <w:t>al loss of Marriott.</w:t>
      </w:r>
    </w:p>
    <w:p w14:paraId="749E7CF4" w14:textId="77777777" w:rsidR="00BA4D12" w:rsidRDefault="000B0D44">
      <w:pPr>
        <w:spacing w:after="180" w:line="360" w:lineRule="auto"/>
        <w:jc w:val="both"/>
      </w:pPr>
      <w:r>
        <w:t>The Personal Data Protection Law (PDPL or Federal Decree-Law No. 45 of 2021) was introduced in the UAE as a regulation of the personal data collection, processing and storage, which is an essential aspect based on the data-driven loyalty programme (</w:t>
      </w:r>
      <w:proofErr w:type="spellStart"/>
      <w:r>
        <w:t>Bonvoy</w:t>
      </w:r>
      <w:proofErr w:type="spellEnd"/>
      <w:r>
        <w:t>) and the digital personalisation approach implemented by Marriott. The PDPL has requirements on consent, data localisation and cross-border data transfers that Marriott needs to take into its technology architecture and data governance cultures. These are more or less similar but not identical to the requirements of the European Union General Data Protection Regulation (GDPR) which requires specific compliance strategies.</w:t>
      </w:r>
    </w:p>
    <w:p w14:paraId="7F2CA276" w14:textId="77777777" w:rsidR="00BA4D12" w:rsidRDefault="000B0D44">
      <w:pPr>
        <w:spacing w:after="180" w:line="360" w:lineRule="auto"/>
        <w:jc w:val="both"/>
      </w:pPr>
      <w:r>
        <w:t>The alcohol licensing is one legal issue which is especially important in the Islamic environment in the UAE. Service of alcohol is legal in licensed hotels and special facilities, which is a sensible solution to the demands of tourism, but high standards are applied to licensing, timings of service, and visibility of drinks. Marriott should ensure that it has the right licences in all areas where its services are offered, and that its staff has undergone extensive training on the issue of responsible servi</w:t>
      </w:r>
      <w:r>
        <w:t>ce, where failure to comply has harsh consequences that include criminal charges and termination of licence.</w:t>
      </w:r>
    </w:p>
    <w:p w14:paraId="6E617297" w14:textId="77777777" w:rsidR="00BA4D12" w:rsidRDefault="000B0D44">
      <w:pPr>
        <w:pStyle w:val="Heading2"/>
      </w:pPr>
      <w:r>
        <w:t>4.4 Cultural Factors</w:t>
      </w:r>
    </w:p>
    <w:p w14:paraId="2B75F016" w14:textId="77777777" w:rsidR="00BA4D12" w:rsidRDefault="000B0D44">
      <w:pPr>
        <w:spacing w:after="180" w:line="360" w:lineRule="auto"/>
        <w:jc w:val="both"/>
      </w:pPr>
      <w:r>
        <w:t xml:space="preserve">The cultural intelligence is a precondition to successful multinational operation, and the cultural environment of the UAE is exceptionally complicated in the presence of the Emirati national culture, the presence of the extremely diverse expatriate resident community and the equally diverse international visitors, at the same time. The Cultural Dimensions framework by Hofstede (Hofstede, Hofstede and </w:t>
      </w:r>
      <w:proofErr w:type="spellStart"/>
      <w:r>
        <w:t>Minkov</w:t>
      </w:r>
      <w:proofErr w:type="spellEnd"/>
      <w:r>
        <w:t>, 2010) offers a systematic approach, in which to determine the cultural elements that apply to the operations of Marriott in the UAE.</w:t>
      </w:r>
    </w:p>
    <w:p w14:paraId="66883EC0" w14:textId="77777777" w:rsidR="00BA4D12" w:rsidRDefault="000B0D44">
      <w:pPr>
        <w:spacing w:after="180" w:line="360" w:lineRule="auto"/>
        <w:jc w:val="both"/>
      </w:pPr>
      <w:r>
        <w:t>The UAE is highly rated on the Power Distance dimension (score: 90), which implies that seniority, power, and respect to the leader are deeply ingrained in the hierarchical society. This applies to the inner management culture of Marriot: the relatively flat and empowerment-based management philosophy might have to be adjusted to a local context in order to meet local expectations of the workforce and management standards. Finding the right balance between the global values of the company, like the empowerm</w:t>
      </w:r>
      <w:r>
        <w:t>ent of associates, and the local sense of hierarchy is a delicate management issue at Marriott (Meyer, 2014).</w:t>
      </w:r>
    </w:p>
    <w:p w14:paraId="13DC45E3" w14:textId="77777777" w:rsidR="00BA4D12" w:rsidRDefault="000B0D44">
      <w:pPr>
        <w:spacing w:after="180" w:line="360" w:lineRule="auto"/>
        <w:jc w:val="both"/>
      </w:pPr>
      <w:r>
        <w:t>The Uncertainty Avoidance is also quite high (score: 80) which implies that there is orientation towards clear rules, procedures and predictability. The globally standardised operating procedures and brand standards of Marriott can, in fact, fit perfectly into this aspect, offering both Emirati and expatriate workers the structured employment environment that they enjoy. Nevertheless, this rigidity in terms of bureaucracy or procedures may hinder the responsiveness and dynamism that are essential in an ever</w:t>
      </w:r>
      <w:r>
        <w:t>-changing hospitality environment.</w:t>
      </w:r>
    </w:p>
    <w:p w14:paraId="0471CBCB" w14:textId="77777777" w:rsidR="00BA4D12" w:rsidRDefault="000B0D44">
      <w:pPr>
        <w:spacing w:after="180" w:line="360" w:lineRule="auto"/>
        <w:jc w:val="both"/>
      </w:pPr>
      <w:r>
        <w:t>The UAE hospitality is susceptible to the Indulgence versus Restraint, especially. Although the UAE scores on the Hofstede dimension of Indulgence are rather low (score: 26), which speaks of the impact of the Islamic principles of modesty and restraint, the commercial hospitality industry is in a pragmatic environment that tolerates the tourist patterns of consumption; that of entertainment, fine dining, and serving alcohol, which would otherwise be incompatible with tradition (Hofstede Insights, 2024). The</w:t>
      </w:r>
      <w:r>
        <w:t xml:space="preserve"> way Marriott manages this tension is by designing its products carefully: resort properties like JW Marriott Marquis Dubai attract a cosmopolitan consumer base with full-service bars and entertainment services, whereas the operational policies do not allow cultures to be treated insensitively to Emirati guests and religiously strict visiting residents.</w:t>
      </w:r>
    </w:p>
    <w:p w14:paraId="1CA3D250" w14:textId="77777777" w:rsidR="00BA4D12" w:rsidRDefault="000B0D44">
      <w:pPr>
        <w:spacing w:after="180" w:line="360" w:lineRule="auto"/>
        <w:jc w:val="both"/>
      </w:pPr>
      <w:r>
        <w:t>A key operation aspect that is of concern is Ramadan hospitality management. Eating, drinking, and smoking in open areas during the holy month is not allowed during the day and Marriott properties have to reorganize food and beverage business, change the employee schedule, and introduce relevant communication to the guests. This entails having its own dining establishments, modified pool and beach entry regulations, and the increased cultural sensitivity training of all customer facing associates. Hotels wh</w:t>
      </w:r>
      <w:r>
        <w:t>ich take efficient measures to conduct Ramadan business have an opportunity to have a considerable brand equity among Emirati clients and the Muslim visitor segment, in general, which is becoming a strategic priority in the context of the global rise of halal tourism (</w:t>
      </w:r>
      <w:proofErr w:type="spellStart"/>
      <w:r>
        <w:t>Mastercard-CrescentRating</w:t>
      </w:r>
      <w:proofErr w:type="spellEnd"/>
      <w:r>
        <w:t>, 2023).</w:t>
      </w:r>
    </w:p>
    <w:p w14:paraId="53C7F6F1" w14:textId="77777777" w:rsidR="00BA4D12" w:rsidRDefault="000B0D44">
      <w:pPr>
        <w:spacing w:after="180" w:line="360" w:lineRule="auto"/>
        <w:jc w:val="both"/>
      </w:pPr>
      <w:r>
        <w:t>There is the gender aspect that should be considered especially. Although UAE is quite liberal in the Gulf region, where women hold top-level positions in the government and the business world and can move freely, some cultural rules concerning mixed-gender communication in the workplace and gathering places still remain. The policies of workplace diversity at Marriott have to be applied in a culturally sensitive manner, and the guest experience design should take the diversity of cultural expectations into</w:t>
      </w:r>
      <w:r>
        <w:t xml:space="preserve"> consideration in terms of gender separation and privacy.</w:t>
      </w:r>
    </w:p>
    <w:p w14:paraId="39595803" w14:textId="77777777" w:rsidR="00BA4D12" w:rsidRDefault="000B0D44">
      <w:pPr>
        <w:pStyle w:val="Heading2"/>
      </w:pPr>
      <w:r>
        <w:t>4.5 Technological and Environmental Factors</w:t>
      </w:r>
    </w:p>
    <w:p w14:paraId="33924A7A" w14:textId="77777777" w:rsidR="00BA4D12" w:rsidRDefault="000B0D44">
      <w:pPr>
        <w:spacing w:after="200" w:line="360" w:lineRule="auto"/>
        <w:jc w:val="both"/>
      </w:pPr>
      <w:r>
        <w:t xml:space="preserve">The digital transformation of the UAE is strategically reflected in its National AI Strategy 2031 and the Smart Dubai project, which provides a positive technological context in the development of the digital hospitality vision of Marriott. The growth of mobile first consumers, high rates of smartphone penetration (more than 98 percent), and high rates of network coverage in 5G networks in UAE </w:t>
      </w:r>
      <w:proofErr w:type="spellStart"/>
      <w:r>
        <w:t>favor</w:t>
      </w:r>
      <w:proofErr w:type="spellEnd"/>
      <w:r>
        <w:t xml:space="preserve"> the investment in the contactless check-in, AI powered concierge and </w:t>
      </w:r>
      <w:proofErr w:type="spellStart"/>
      <w:r>
        <w:t>Bonvoy</w:t>
      </w:r>
      <w:proofErr w:type="spellEnd"/>
      <w:r>
        <w:t xml:space="preserve"> app functions in the hotel chain (UAE Telecommunications and Digital Government Regulatory Authority, 2023).</w:t>
      </w:r>
    </w:p>
    <w:p w14:paraId="0E3FE691" w14:textId="77777777" w:rsidR="00BA4D12" w:rsidRDefault="000B0D44">
      <w:pPr>
        <w:spacing w:after="200" w:line="360" w:lineRule="auto"/>
        <w:jc w:val="both"/>
      </w:pPr>
      <w:r>
        <w:t xml:space="preserve">In the field of the environment, the COP 28 event to be held in Dubai (2023) at the UAE was a pointer to a growing national interest in the sustainability issue - a trend with direct operational effects on Marriott. The Marriott global commitment to environmental and community impact, the Serve 360 sustainability programme, should be evidently applied in the UAE properties to ensure the credibility among the sustainability-aware travellers and to correspond to the net-zero goals of the UAE. Certain actions </w:t>
      </w:r>
      <w:r>
        <w:t>such as the minimization of single-use plastics, the source of renewable energy, the preservation of water (especially in an arid climate), and the management of the responsible supply chain are becoming mandatory requirements of regulators and travellers alike (UAE Ministry of Climate Change and Environment, 2024).</w:t>
      </w:r>
    </w:p>
    <w:p w14:paraId="447CFDA6" w14:textId="77777777" w:rsidR="00BA4D12" w:rsidRDefault="000B0D44">
      <w:pPr>
        <w:pStyle w:val="Heading1"/>
      </w:pPr>
      <w:r>
        <w:t>5. Conclusion</w:t>
      </w:r>
    </w:p>
    <w:p w14:paraId="0A1BB342" w14:textId="77777777" w:rsidR="00BA4D12" w:rsidRDefault="00BA4D12">
      <w:pPr>
        <w:pBdr>
          <w:bottom w:val="single" w:sz="6" w:space="1" w:color="2E75B6"/>
        </w:pBdr>
        <w:spacing w:after="120"/>
      </w:pPr>
    </w:p>
    <w:p w14:paraId="63B8984E" w14:textId="77777777" w:rsidR="00BA4D12" w:rsidRDefault="000B0D44">
      <w:pPr>
        <w:spacing w:after="200" w:line="360" w:lineRule="auto"/>
        <w:jc w:val="both"/>
      </w:pPr>
      <w:r>
        <w:t>This report has provided an intense analysis of the UAE tourism and hospitality industry and an assessment of the strategic environment that Marriott International as a foreign multinational corporation operating in the country is exposed to. UAE offers a very attractive investment destination in international hospitality industry is typified by good macroeconomic fundamentals, government-led strategic vision, state-of-the-art infrastructure and complex demand conditions. The Diamond Model analysis conducte</w:t>
      </w:r>
      <w:r>
        <w:t>d by Porter has indicated that the competitive edge of the country in tourism is institutionalised and is deeply structural to offer the country a long-lasting platform on which the industry will further develop.</w:t>
      </w:r>
    </w:p>
    <w:p w14:paraId="3BB7E46B" w14:textId="77777777" w:rsidR="00BA4D12" w:rsidRDefault="000B0D44">
      <w:pPr>
        <w:spacing w:after="200" w:line="360" w:lineRule="auto"/>
        <w:jc w:val="both"/>
      </w:pPr>
      <w:r>
        <w:t>The large UAE portfolio of the Marriott International shows that the company has realized this strategic opportunity and its multi-branding approach allows it to attract demand in different price ranges and visitor profiles. However, the analysis also reveals that numerous critical success factors that need to be long-term focused by the managers include the ability to operate within the changing legal and regulatory environments (such as corporate tax, data protection, and labour law); culturally sensitive</w:t>
      </w:r>
      <w:r>
        <w:t xml:space="preserve"> service design that does not violate the Islamic traditions but allows the accommodation of the cosmopolitan visitor base; active yield management strategies as the competitive intensity and growth of supply keep increasing; true engagement in the approach to environmental sustainability in accordance with the post-COP28 policy orientations of the UAE.</w:t>
      </w:r>
    </w:p>
    <w:p w14:paraId="18C2AEEC" w14:textId="77777777" w:rsidR="00BA4D12" w:rsidRDefault="000B0D44">
      <w:pPr>
        <w:spacing w:after="200" w:line="360" w:lineRule="auto"/>
        <w:jc w:val="both"/>
      </w:pPr>
      <w:r>
        <w:t>The applied theoretical frameworks, as represented by Porters Diamond Model and PESTLE analysis, with an added dimension of Hofstede Cultural Dimensions, have been used to give a multi-level analytical platform, which goes well beyond the superficial description of the market, and seeks to question the structural, institutional, and cultural determinants of competitive success. The way the OLI (Ownership, Location, Internalisation) paradigm can be used to deepen insight into the Marriott representatives cho</w:t>
      </w:r>
      <w:r>
        <w:t>ice of entry mode in the UAE and the dynamics of asset-light or asset-heavy strategies in the post-pandemic hospitality environment may be a profitable future research topic.</w:t>
      </w:r>
    </w:p>
    <w:p w14:paraId="7FBD433C" w14:textId="77777777" w:rsidR="00BA4D12" w:rsidRDefault="00BA4D12">
      <w:pPr>
        <w:spacing w:after="200" w:line="360" w:lineRule="auto"/>
        <w:jc w:val="both"/>
      </w:pPr>
    </w:p>
    <w:p w14:paraId="1AC95B25" w14:textId="77777777" w:rsidR="00BA4D12" w:rsidRDefault="00BA4D12">
      <w:pPr>
        <w:spacing w:after="200" w:line="360" w:lineRule="auto"/>
        <w:jc w:val="both"/>
      </w:pPr>
    </w:p>
    <w:p w14:paraId="39BA6825" w14:textId="77777777" w:rsidR="00BA4D12" w:rsidRDefault="000B0D44">
      <w:r>
        <w:br w:type="page"/>
      </w:r>
    </w:p>
    <w:p w14:paraId="3F3A14C7" w14:textId="77777777" w:rsidR="00BA4D12" w:rsidRDefault="000B0D44">
      <w:pPr>
        <w:pStyle w:val="Heading1"/>
      </w:pPr>
      <w:r>
        <w:t>Section 2: Reflective Account</w:t>
      </w:r>
    </w:p>
    <w:p w14:paraId="323BFF1E" w14:textId="77777777" w:rsidR="00BA4D12" w:rsidRDefault="000B0D44">
      <w:pPr>
        <w:spacing w:before="80" w:after="160"/>
      </w:pPr>
      <w:r>
        <w:rPr>
          <w:color w:val="555555"/>
          <w:sz w:val="22"/>
          <w:szCs w:val="22"/>
        </w:rPr>
        <w:t>Using Gibbs' Reflective Cycle (Gibbs, 1988)</w:t>
      </w:r>
    </w:p>
    <w:p w14:paraId="42B70029" w14:textId="77777777" w:rsidR="00BA4D12" w:rsidRDefault="00BA4D12">
      <w:pPr>
        <w:pBdr>
          <w:bottom w:val="single" w:sz="6" w:space="1" w:color="2E75B6"/>
        </w:pBdr>
        <w:spacing w:after="120"/>
      </w:pPr>
    </w:p>
    <w:p w14:paraId="018DEBB5" w14:textId="77777777" w:rsidR="00BA4D12" w:rsidRDefault="000B0D44">
      <w:pPr>
        <w:pStyle w:val="Heading2"/>
      </w:pPr>
      <w:r>
        <w:t>2.1 Description</w:t>
      </w:r>
    </w:p>
    <w:p w14:paraId="3C9824D1" w14:textId="77777777" w:rsidR="00BA4D12" w:rsidRDefault="000B0D44">
      <w:pPr>
        <w:spacing w:after="200" w:line="360" w:lineRule="auto"/>
        <w:jc w:val="both"/>
      </w:pPr>
      <w:r>
        <w:t>The assignment involved the need to identify a country and an industry and make a substantive international business strategy report and apply several theoretical frameworks to empirical evidence. I chose the tourism and hospitality sector in the UAE and Marriott International as the target MNC using my academic experience in Business and Tourism Management as well as my personal interest in the interaction of global business and culture. This study took place over a few weeks in which a thorough academic j</w:t>
      </w:r>
      <w:r>
        <w:t>ournal review and review of industry reports, government publications, and disclosures of companies were conducted. The analysis was comprehensive as it included Porters Diamond Model, PESTLE analysis and Hofstede Cultural Dimensions - all of which needed to be applied to the circumstances in the UAE.</w:t>
      </w:r>
    </w:p>
    <w:p w14:paraId="33C94A42" w14:textId="77777777" w:rsidR="00BA4D12" w:rsidRDefault="000B0D44">
      <w:pPr>
        <w:pStyle w:val="Heading2"/>
      </w:pPr>
      <w:r>
        <w:t>2.2 Feelings</w:t>
      </w:r>
    </w:p>
    <w:p w14:paraId="4C328D3C" w14:textId="77777777" w:rsidR="00BA4D12" w:rsidRDefault="000B0D44">
      <w:pPr>
        <w:spacing w:after="200" w:line="360" w:lineRule="auto"/>
        <w:jc w:val="both"/>
      </w:pPr>
      <w:r>
        <w:t>The first feeling that I had towards the assignment was excitement and anxiety. The scope of the task, which presupposed the macro-level country analysis and the firm-level strategic analysis, was initially overwhelming. The interest in the subject area, which is hospitality and international business in the Gulf region, is the excitement of working in a field that is directly relevant to my career interests. The chance of applying theoretical models that I had experienced throughout the module to a practic</w:t>
      </w:r>
      <w:r>
        <w:t>al and commercially relevant case was one of the factors that motivated me in particular.</w:t>
      </w:r>
    </w:p>
    <w:p w14:paraId="4A6106AC" w14:textId="77777777" w:rsidR="00BA4D12" w:rsidRDefault="000B0D44">
      <w:pPr>
        <w:spacing w:after="200" w:line="360" w:lineRule="auto"/>
        <w:jc w:val="both"/>
      </w:pPr>
      <w:r>
        <w:t>My confidence grew as the study was conducted. The fact that I could find a variety of data, including reports on the tourism in DTCM and annual reports of Marriot, was also encouraging to know that my choice of country and industry has been analytically reflected. The uncertainty crept in when trying to understand the complexity of the dual system of law in the UAE and how Hofstede dimensions are subtle to apply to a demographically unrepresentative population where the national culture is possessed by a m</w:t>
      </w:r>
      <w:r>
        <w:t>inority of the residents. Although these conceptual tensions were originally frustrating, they ultimately made my thinking as an analyst richer.</w:t>
      </w:r>
    </w:p>
    <w:p w14:paraId="0749C017" w14:textId="77777777" w:rsidR="00BA4D12" w:rsidRDefault="000B0D44">
      <w:pPr>
        <w:pStyle w:val="Heading2"/>
      </w:pPr>
      <w:r>
        <w:t>2.3 Evaluation</w:t>
      </w:r>
    </w:p>
    <w:p w14:paraId="335AF066" w14:textId="77777777" w:rsidR="00BA4D12" w:rsidRDefault="000B0D44">
      <w:pPr>
        <w:spacing w:after="200" w:line="360" w:lineRule="auto"/>
        <w:jc w:val="both"/>
      </w:pPr>
      <w:r>
        <w:t>The best part of the research process was that it utilised Porters Diamond Model that I discovered to be a most efficient organising model to assimilate various industry levels of data. The systemic logic of the model its focus on interrelationship between factor conditions, demand, supporting industries, and rivalry helped me to go beyond description into actual critical analysis. I found the government catalyst dimension especially eye-opening within the context of the UAE, with state agency being so evid</w:t>
      </w:r>
      <w:r>
        <w:t>ent as the centre of competitive architecture in the industry.</w:t>
      </w:r>
    </w:p>
    <w:p w14:paraId="42C53BD1" w14:textId="77777777" w:rsidR="00BA4D12" w:rsidRDefault="000B0D44">
      <w:pPr>
        <w:spacing w:after="200" w:line="360" w:lineRule="auto"/>
        <w:jc w:val="both"/>
      </w:pPr>
      <w:r>
        <w:t xml:space="preserve">The PESTLE analysis of the Marriott operations environment proved to be more difficult to enact to the degree of critical depth necessary in the assignment. It was alluring to come up with a shallow list of factors, instead of the truly critical examination. I did this by actively consulting the academic literature on the individual dimension, e.g., utilizing the institutional voids framework proposed by Khanna and </w:t>
      </w:r>
      <w:proofErr w:type="spellStart"/>
      <w:r>
        <w:t>Palepu</w:t>
      </w:r>
      <w:proofErr w:type="spellEnd"/>
      <w:r>
        <w:t xml:space="preserve"> (2010) on the political analysis and the studies by Meyer (2014) on the cultural complexity in cross-cultural management on the cultural section. This conceptualization has greatly enhanced the standard of my critical commentary work.</w:t>
      </w:r>
    </w:p>
    <w:p w14:paraId="239494B3" w14:textId="77777777" w:rsidR="00BA4D12" w:rsidRDefault="000B0D44">
      <w:pPr>
        <w:pStyle w:val="Heading2"/>
      </w:pPr>
      <w:r>
        <w:t>2.4 Analysis</w:t>
      </w:r>
    </w:p>
    <w:p w14:paraId="16194D5A" w14:textId="77777777" w:rsidR="00BA4D12" w:rsidRDefault="000B0D44">
      <w:pPr>
        <w:spacing w:after="200" w:line="360" w:lineRule="auto"/>
        <w:jc w:val="both"/>
      </w:pPr>
      <w:r>
        <w:t>The greatest lesson of this exercise is connected with the complexity of analysis of culture in demographically diverse situations. The population of the UAE, in which Emiratis are less than a quarter of the inhabitants, makes the direct extrapolation of the national cultural dimensions of Hofstede somewhat problematic since the values of the UAE data presented by Hofstede identify the Emirati culture and do not reflect the diversity of cultures of the largest proportion of expatriates (Hofstede Insights, 2</w:t>
      </w:r>
      <w:r>
        <w:t>024). This observation led me to study critiques of the Hofstede framework, such as the claim that national culture scores are really within-country variance or that the data used to build the framework is several decades old (</w:t>
      </w:r>
      <w:proofErr w:type="spellStart"/>
      <w:r>
        <w:t>McSweeney</w:t>
      </w:r>
      <w:proofErr w:type="spellEnd"/>
      <w:r>
        <w:t>, 2020). This critical approach to analysis when I did not unquestioningly apply Hofstede but implemented it methodologically was an important development.</w:t>
      </w:r>
    </w:p>
    <w:p w14:paraId="63B9439E" w14:textId="77777777" w:rsidR="00BA4D12" w:rsidRDefault="000B0D44">
      <w:pPr>
        <w:spacing w:after="200" w:line="360" w:lineRule="auto"/>
        <w:jc w:val="both"/>
      </w:pPr>
      <w:r>
        <w:t>I also considered the weaknesses of secondary data based analysis. The report has used as its sole source that is publicly available, which in as much as it is comprehensive, it is bound to be biased to the views of the people who publish it, which include the government tourism authorities, the investor relations departments of the companies and even the commercial data providers. Primary research tactics such as the interviews with hotel managers or surveys on guest experience would have given more detail</w:t>
      </w:r>
      <w:r>
        <w:t>ed, in-depth information. This is recognized as a weakness of the desk-based research methodology that is inherent with this format of assessment.</w:t>
      </w:r>
    </w:p>
    <w:p w14:paraId="55640101" w14:textId="77777777" w:rsidR="00BA4D12" w:rsidRDefault="000B0D44">
      <w:pPr>
        <w:pStyle w:val="Heading2"/>
      </w:pPr>
      <w:r>
        <w:t>2.5 Conclusion</w:t>
      </w:r>
    </w:p>
    <w:p w14:paraId="78875FD2" w14:textId="77777777" w:rsidR="00BA4D12" w:rsidRDefault="000B0D44">
      <w:pPr>
        <w:spacing w:after="200" w:line="360" w:lineRule="auto"/>
        <w:jc w:val="both"/>
      </w:pPr>
      <w:r>
        <w:t>To summarize, the research and analytical experience has equipped me significantly to the ability to conduct rigorous, evidence-based international business analysis. The idea of employing various theoretical frameworks to the same case study provided the power of need to select and justify the analytical tools instead of using them as a mechanism. I was better able to understand the interdependence between macro-level level of competitive forces (Porters Diamond) and firm-level consideration of strategic v</w:t>
      </w:r>
      <w:r>
        <w:t>ariables (PESTLE, cultural analysis), and the importance of critically addressing the limitations of different frameworks as tools of analysis.</w:t>
      </w:r>
    </w:p>
    <w:p w14:paraId="7C740108" w14:textId="77777777" w:rsidR="00BA4D12" w:rsidRDefault="000B0D44">
      <w:pPr>
        <w:pStyle w:val="Heading2"/>
      </w:pPr>
      <w:r>
        <w:t>2.6 Action Plan</w:t>
      </w:r>
    </w:p>
    <w:p w14:paraId="095898F4" w14:textId="77777777" w:rsidR="00BA4D12" w:rsidRDefault="000B0D44">
      <w:pPr>
        <w:spacing w:after="200" w:line="360" w:lineRule="auto"/>
        <w:jc w:val="both"/>
      </w:pPr>
      <w:r>
        <w:t>In the future, however, I would like to gain more expertise on the principles of primary research, especially on semi-structured interviews and field-based case study research, which would largely contribute to the depth and originality of my future international business analysis works. I will also strive to learn more about Islamic economic and cultural principles as they are highly relevant in management of hospitality in GCC markets. Reading of expert literature on the Gulf business environments, such a</w:t>
      </w:r>
      <w:r>
        <w:t xml:space="preserve">s that of Christopher Davidson regarding the UAE political economy and that of Tim </w:t>
      </w:r>
      <w:proofErr w:type="spellStart"/>
      <w:r>
        <w:t>Niblock</w:t>
      </w:r>
      <w:proofErr w:type="spellEnd"/>
      <w:r>
        <w:t xml:space="preserve"> regarding Gulf economic development, will become a subset of this self-directed learning agenda. Lastly, I will also strive to maintain the art of critical theoretical application wherein I am always interested in not only what this framework says but what are the limitations of this framework and how can I mitigate them?</w:t>
      </w:r>
    </w:p>
    <w:p w14:paraId="26F084A9" w14:textId="77777777" w:rsidR="00BA4D12" w:rsidRDefault="00BA4D12">
      <w:pPr>
        <w:spacing w:after="200" w:line="360" w:lineRule="auto"/>
        <w:jc w:val="both"/>
      </w:pPr>
    </w:p>
    <w:p w14:paraId="734B7653" w14:textId="77777777" w:rsidR="008B6590" w:rsidRDefault="008B6590">
      <w:pPr>
        <w:spacing w:after="200" w:line="360" w:lineRule="auto"/>
        <w:jc w:val="both"/>
      </w:pPr>
    </w:p>
    <w:p w14:paraId="7DBDC89A" w14:textId="77777777" w:rsidR="008B6590" w:rsidRDefault="008B6590">
      <w:pPr>
        <w:spacing w:after="200" w:line="360" w:lineRule="auto"/>
        <w:jc w:val="both"/>
      </w:pPr>
    </w:p>
    <w:p w14:paraId="741E0DD3" w14:textId="77777777" w:rsidR="00BA4D12" w:rsidRDefault="00BA4D12"/>
    <w:p w14:paraId="40054DF7" w14:textId="77777777" w:rsidR="00BA4D12" w:rsidRDefault="000B0D44">
      <w:pPr>
        <w:pStyle w:val="Heading1"/>
      </w:pPr>
      <w:r>
        <w:t>References</w:t>
      </w:r>
    </w:p>
    <w:p w14:paraId="268CCF61" w14:textId="77777777" w:rsidR="00BA4D12" w:rsidRDefault="00BA4D12">
      <w:pPr>
        <w:pBdr>
          <w:bottom w:val="single" w:sz="6" w:space="1" w:color="2E75B6"/>
        </w:pBdr>
        <w:spacing w:after="120"/>
      </w:pPr>
    </w:p>
    <w:p w14:paraId="02FC7D21" w14:textId="77777777" w:rsidR="00BA4D12" w:rsidRDefault="000B0D44">
      <w:pPr>
        <w:spacing w:after="160" w:line="360" w:lineRule="auto"/>
        <w:ind w:left="720" w:hanging="720"/>
      </w:pPr>
      <w:r>
        <w:rPr>
          <w:sz w:val="22"/>
          <w:szCs w:val="22"/>
        </w:rPr>
        <w:t>ACI World (2024) World Airport Traffic Report 2023. Geneva: Airports Council International. Available at: https://www.aci.aero/world-airport-traffic-report/ [Accessed 14 February 2026].</w:t>
      </w:r>
    </w:p>
    <w:p w14:paraId="2B591A01" w14:textId="77777777" w:rsidR="00BA4D12" w:rsidRDefault="000B0D44">
      <w:pPr>
        <w:spacing w:after="160" w:line="360" w:lineRule="auto"/>
        <w:ind w:left="720" w:hanging="720"/>
      </w:pPr>
      <w:r>
        <w:rPr>
          <w:sz w:val="22"/>
          <w:szCs w:val="22"/>
        </w:rPr>
        <w:t>DTCM (2023) Dubai Tourism Annual Report 2023. Dubai: Dubai Department of Economy and Tourism. Available at: https://www.visitdubai.com/en/tourism-research [Accessed 15 February 2026].</w:t>
      </w:r>
    </w:p>
    <w:p w14:paraId="144768FE" w14:textId="77777777" w:rsidR="00BA4D12" w:rsidRDefault="000B0D44">
      <w:pPr>
        <w:spacing w:after="160" w:line="360" w:lineRule="auto"/>
        <w:ind w:left="720" w:hanging="720"/>
      </w:pPr>
      <w:proofErr w:type="spellStart"/>
      <w:r>
        <w:rPr>
          <w:sz w:val="22"/>
          <w:szCs w:val="22"/>
        </w:rPr>
        <w:t>Euromonitor</w:t>
      </w:r>
      <w:proofErr w:type="spellEnd"/>
      <w:r>
        <w:rPr>
          <w:sz w:val="22"/>
          <w:szCs w:val="22"/>
        </w:rPr>
        <w:t xml:space="preserve"> International (2024) Top 100 City Destinations 2023. London: </w:t>
      </w:r>
      <w:proofErr w:type="spellStart"/>
      <w:r>
        <w:rPr>
          <w:sz w:val="22"/>
          <w:szCs w:val="22"/>
        </w:rPr>
        <w:t>Euromonitor</w:t>
      </w:r>
      <w:proofErr w:type="spellEnd"/>
      <w:r>
        <w:rPr>
          <w:sz w:val="22"/>
          <w:szCs w:val="22"/>
        </w:rPr>
        <w:t xml:space="preserve"> International. Available at: https://www.euromonitor.com/top-100-city-destinations [Accessed 12 February 2026].</w:t>
      </w:r>
    </w:p>
    <w:p w14:paraId="12938D7A" w14:textId="77777777" w:rsidR="00BA4D12" w:rsidRDefault="000B0D44">
      <w:pPr>
        <w:spacing w:after="160" w:line="360" w:lineRule="auto"/>
        <w:ind w:left="720" w:hanging="720"/>
      </w:pPr>
      <w:r>
        <w:rPr>
          <w:sz w:val="22"/>
          <w:szCs w:val="22"/>
        </w:rPr>
        <w:t>Federal Competitiveness and Statistics Centre (2023) UAE in Numbers 2023. Abu Dhabi: FCSC. Available at: https://www.fcsc.gov.ae [Accessed 17 February 2026].</w:t>
      </w:r>
    </w:p>
    <w:p w14:paraId="41A73373" w14:textId="77777777" w:rsidR="00BA4D12" w:rsidRDefault="000B0D44">
      <w:pPr>
        <w:spacing w:after="160" w:line="360" w:lineRule="auto"/>
        <w:ind w:left="720" w:hanging="720"/>
      </w:pPr>
      <w:r>
        <w:rPr>
          <w:sz w:val="22"/>
          <w:szCs w:val="22"/>
        </w:rPr>
        <w:t>Gibbs, G. (1988) Learning by Doing: A Guide to Teaching and Learning Methods. Oxford: Further Education Unit, Oxford Polytechnic.</w:t>
      </w:r>
    </w:p>
    <w:p w14:paraId="466D8A1C" w14:textId="1D954D92" w:rsidR="00BA4D12" w:rsidRDefault="000B0D44">
      <w:pPr>
        <w:spacing w:after="160" w:line="360" w:lineRule="auto"/>
        <w:ind w:left="720" w:hanging="720"/>
      </w:pPr>
      <w:r>
        <w:rPr>
          <w:sz w:val="22"/>
          <w:szCs w:val="22"/>
        </w:rPr>
        <w:t xml:space="preserve">Hofstede Insights (2024) Country Comparison: United Arab Emirates. Available at: https://www.hofstede-insights.com [Accessed </w:t>
      </w:r>
      <w:r w:rsidR="008B6590">
        <w:rPr>
          <w:sz w:val="22"/>
          <w:szCs w:val="22"/>
        </w:rPr>
        <w:t>24</w:t>
      </w:r>
      <w:r>
        <w:rPr>
          <w:sz w:val="22"/>
          <w:szCs w:val="22"/>
        </w:rPr>
        <w:t xml:space="preserve"> February 2026].</w:t>
      </w:r>
    </w:p>
    <w:p w14:paraId="73582B03" w14:textId="77777777" w:rsidR="00BA4D12" w:rsidRDefault="000B0D44">
      <w:pPr>
        <w:spacing w:after="160" w:line="360" w:lineRule="auto"/>
        <w:ind w:left="720" w:hanging="720"/>
      </w:pPr>
      <w:r>
        <w:rPr>
          <w:sz w:val="22"/>
          <w:szCs w:val="22"/>
        </w:rPr>
        <w:t xml:space="preserve">Hofstede, G., Hofstede, G.J. and </w:t>
      </w:r>
      <w:proofErr w:type="spellStart"/>
      <w:r>
        <w:rPr>
          <w:sz w:val="22"/>
          <w:szCs w:val="22"/>
        </w:rPr>
        <w:t>Minkov</w:t>
      </w:r>
      <w:proofErr w:type="spellEnd"/>
      <w:r>
        <w:rPr>
          <w:sz w:val="22"/>
          <w:szCs w:val="22"/>
        </w:rPr>
        <w:t xml:space="preserve">, M. (2010) Cultures and Organisations: Software of the Mind. 3rd </w:t>
      </w:r>
      <w:proofErr w:type="spellStart"/>
      <w:r>
        <w:rPr>
          <w:sz w:val="22"/>
          <w:szCs w:val="22"/>
        </w:rPr>
        <w:t>edn</w:t>
      </w:r>
      <w:proofErr w:type="spellEnd"/>
      <w:r>
        <w:rPr>
          <w:sz w:val="22"/>
          <w:szCs w:val="22"/>
        </w:rPr>
        <w:t>. New York: McGraw-Hill.</w:t>
      </w:r>
    </w:p>
    <w:p w14:paraId="1876FFF0" w14:textId="36A0A593" w:rsidR="00BA4D12" w:rsidRDefault="000B0D44">
      <w:pPr>
        <w:spacing w:after="160" w:line="360" w:lineRule="auto"/>
        <w:ind w:left="720" w:hanging="720"/>
      </w:pPr>
      <w:r>
        <w:rPr>
          <w:sz w:val="22"/>
          <w:szCs w:val="22"/>
        </w:rPr>
        <w:t xml:space="preserve">ICCA (2023) ICCA Statistics Report 2022: International Association Meetings Market. Amsterdam: International Congress and Convention Association. Available at: https://www.iccaworld.org [Accessed </w:t>
      </w:r>
      <w:r w:rsidR="008B6590">
        <w:rPr>
          <w:sz w:val="22"/>
          <w:szCs w:val="22"/>
        </w:rPr>
        <w:t>23</w:t>
      </w:r>
      <w:r>
        <w:rPr>
          <w:sz w:val="22"/>
          <w:szCs w:val="22"/>
        </w:rPr>
        <w:t xml:space="preserve"> February 2026].</w:t>
      </w:r>
    </w:p>
    <w:p w14:paraId="284558C1" w14:textId="2CE998BF" w:rsidR="00BA4D12" w:rsidRDefault="000B0D44">
      <w:pPr>
        <w:spacing w:after="160" w:line="360" w:lineRule="auto"/>
        <w:ind w:left="720" w:hanging="720"/>
      </w:pPr>
      <w:r>
        <w:rPr>
          <w:sz w:val="22"/>
          <w:szCs w:val="22"/>
        </w:rPr>
        <w:t xml:space="preserve">ILO (2022) Transforming the </w:t>
      </w:r>
      <w:proofErr w:type="spellStart"/>
      <w:r>
        <w:rPr>
          <w:sz w:val="22"/>
          <w:szCs w:val="22"/>
        </w:rPr>
        <w:t>Kafala</w:t>
      </w:r>
      <w:proofErr w:type="spellEnd"/>
      <w:r>
        <w:rPr>
          <w:sz w:val="22"/>
          <w:szCs w:val="22"/>
        </w:rPr>
        <w:t xml:space="preserve"> System: A Review of Labour Reforms in the Gulf. Geneva: International Labour Organisation. Available at: https://www.ilo.org [Accessed </w:t>
      </w:r>
      <w:r w:rsidR="008B6590">
        <w:rPr>
          <w:sz w:val="22"/>
          <w:szCs w:val="22"/>
        </w:rPr>
        <w:t>24</w:t>
      </w:r>
      <w:r>
        <w:rPr>
          <w:sz w:val="22"/>
          <w:szCs w:val="22"/>
        </w:rPr>
        <w:t xml:space="preserve"> February 2026].</w:t>
      </w:r>
    </w:p>
    <w:p w14:paraId="076AB14B" w14:textId="7687A049" w:rsidR="00BA4D12" w:rsidRDefault="000B0D44">
      <w:pPr>
        <w:spacing w:after="160" w:line="360" w:lineRule="auto"/>
        <w:ind w:left="720" w:hanging="720"/>
      </w:pPr>
      <w:r>
        <w:rPr>
          <w:sz w:val="22"/>
          <w:szCs w:val="22"/>
        </w:rPr>
        <w:t xml:space="preserve">IMF (2024) United Arab Emirates: 2023 Article IV Consultation. Washington D.C.: International Monetary Fund. Available at: https://www.imf.org/en/Publications/CR/Issues/2024 [Accessed </w:t>
      </w:r>
      <w:r w:rsidR="008B6590">
        <w:rPr>
          <w:sz w:val="22"/>
          <w:szCs w:val="22"/>
        </w:rPr>
        <w:t>23</w:t>
      </w:r>
      <w:r>
        <w:rPr>
          <w:sz w:val="22"/>
          <w:szCs w:val="22"/>
        </w:rPr>
        <w:t xml:space="preserve"> February 2026].</w:t>
      </w:r>
    </w:p>
    <w:p w14:paraId="2320412C" w14:textId="77777777" w:rsidR="00BA4D12" w:rsidRDefault="000B0D44">
      <w:pPr>
        <w:spacing w:after="160" w:line="360" w:lineRule="auto"/>
        <w:ind w:left="720" w:hanging="720"/>
      </w:pPr>
      <w:r>
        <w:rPr>
          <w:sz w:val="22"/>
          <w:szCs w:val="22"/>
        </w:rPr>
        <w:t xml:space="preserve">Khanna, T. and </w:t>
      </w:r>
      <w:proofErr w:type="spellStart"/>
      <w:r>
        <w:rPr>
          <w:sz w:val="22"/>
          <w:szCs w:val="22"/>
        </w:rPr>
        <w:t>Palepu</w:t>
      </w:r>
      <w:proofErr w:type="spellEnd"/>
      <w:r>
        <w:rPr>
          <w:sz w:val="22"/>
          <w:szCs w:val="22"/>
        </w:rPr>
        <w:t>, K.G. (2010) Winning in Emerging Markets: A Road Map for Strategy and Execution. Boston: Harvard Business Press.</w:t>
      </w:r>
    </w:p>
    <w:p w14:paraId="2770EDEF" w14:textId="52F7AC64" w:rsidR="00BA4D12" w:rsidRDefault="000B0D44">
      <w:pPr>
        <w:spacing w:after="160" w:line="360" w:lineRule="auto"/>
        <w:ind w:left="720" w:hanging="720"/>
      </w:pPr>
      <w:r>
        <w:rPr>
          <w:sz w:val="22"/>
          <w:szCs w:val="22"/>
        </w:rPr>
        <w:t xml:space="preserve">Marriott International (2023) 2023 Annual Report. Bethesda, MD: Marriott International Inc. Available at: https://investor.marriott.com [Accessed </w:t>
      </w:r>
      <w:r w:rsidR="008B6590">
        <w:rPr>
          <w:sz w:val="22"/>
          <w:szCs w:val="22"/>
        </w:rPr>
        <w:t>22</w:t>
      </w:r>
      <w:r>
        <w:rPr>
          <w:sz w:val="22"/>
          <w:szCs w:val="22"/>
        </w:rPr>
        <w:t xml:space="preserve"> February 2026].</w:t>
      </w:r>
    </w:p>
    <w:p w14:paraId="32649F19" w14:textId="77777777" w:rsidR="00BA4D12" w:rsidRDefault="000B0D44">
      <w:pPr>
        <w:spacing w:after="160" w:line="360" w:lineRule="auto"/>
        <w:ind w:left="720" w:hanging="720"/>
      </w:pPr>
      <w:proofErr w:type="spellStart"/>
      <w:r>
        <w:rPr>
          <w:sz w:val="22"/>
          <w:szCs w:val="22"/>
        </w:rPr>
        <w:t>Mastercard-CrescentRating</w:t>
      </w:r>
      <w:proofErr w:type="spellEnd"/>
      <w:r>
        <w:rPr>
          <w:sz w:val="22"/>
          <w:szCs w:val="22"/>
        </w:rPr>
        <w:t xml:space="preserve"> (2023) Global Muslim Travel Index 2023. Singapore: </w:t>
      </w:r>
      <w:proofErr w:type="spellStart"/>
      <w:r>
        <w:rPr>
          <w:sz w:val="22"/>
          <w:szCs w:val="22"/>
        </w:rPr>
        <w:t>CrescentRating</w:t>
      </w:r>
      <w:proofErr w:type="spellEnd"/>
      <w:r>
        <w:rPr>
          <w:sz w:val="22"/>
          <w:szCs w:val="22"/>
        </w:rPr>
        <w:t>. Available at: https://www.crescentrating.com/gmti [Accessed 21 February 2026].</w:t>
      </w:r>
    </w:p>
    <w:p w14:paraId="5938618A" w14:textId="77777777" w:rsidR="00BA4D12" w:rsidRDefault="000B0D44">
      <w:pPr>
        <w:spacing w:after="160" w:line="360" w:lineRule="auto"/>
        <w:ind w:left="720" w:hanging="720"/>
      </w:pPr>
      <w:proofErr w:type="spellStart"/>
      <w:r>
        <w:rPr>
          <w:sz w:val="22"/>
          <w:szCs w:val="22"/>
        </w:rPr>
        <w:t>McSweeney</w:t>
      </w:r>
      <w:proofErr w:type="spellEnd"/>
      <w:r>
        <w:rPr>
          <w:sz w:val="22"/>
          <w:szCs w:val="22"/>
        </w:rPr>
        <w:t>, B. (2020) 'Hofstede's model of national cultural differences and their consequences: A triumph of faith — a failure of analysis', Human Relations, 55(1), pp. 89–118. Available at: https://doi.org/10.1177/0018726702551004 [Accessed 19 February 2026].</w:t>
      </w:r>
    </w:p>
    <w:p w14:paraId="6302D4B4" w14:textId="77777777" w:rsidR="00BA4D12" w:rsidRDefault="000B0D44">
      <w:pPr>
        <w:spacing w:after="160" w:line="360" w:lineRule="auto"/>
        <w:ind w:left="720" w:hanging="720"/>
      </w:pPr>
      <w:r>
        <w:rPr>
          <w:sz w:val="22"/>
          <w:szCs w:val="22"/>
        </w:rPr>
        <w:t xml:space="preserve">Meyer, E. (2014) The Culture Map: Breaking Through the Invisible Boundaries of Global Business. New York: </w:t>
      </w:r>
      <w:proofErr w:type="spellStart"/>
      <w:r>
        <w:rPr>
          <w:sz w:val="22"/>
          <w:szCs w:val="22"/>
        </w:rPr>
        <w:t>PublicAffairs</w:t>
      </w:r>
      <w:proofErr w:type="spellEnd"/>
      <w:r>
        <w:rPr>
          <w:sz w:val="22"/>
          <w:szCs w:val="22"/>
        </w:rPr>
        <w:t>.</w:t>
      </w:r>
    </w:p>
    <w:p w14:paraId="7EA6FAF8" w14:textId="77777777" w:rsidR="00BA4D12" w:rsidRDefault="000B0D44">
      <w:pPr>
        <w:spacing w:after="160" w:line="360" w:lineRule="auto"/>
        <w:ind w:left="720" w:hanging="720"/>
      </w:pPr>
      <w:r>
        <w:rPr>
          <w:sz w:val="22"/>
          <w:szCs w:val="22"/>
        </w:rPr>
        <w:t>Oxford Business Group (2023) The Report: UAE 2023. London: Oxford Business Group. Available at: https://www.oxfordbusinessgroup.com/reports/uae [Accessed 14 February 2026].</w:t>
      </w:r>
    </w:p>
    <w:p w14:paraId="66F6E66A" w14:textId="77777777" w:rsidR="00BA4D12" w:rsidRDefault="000B0D44">
      <w:pPr>
        <w:spacing w:after="160" w:line="360" w:lineRule="auto"/>
        <w:ind w:left="720" w:hanging="720"/>
      </w:pPr>
      <w:r>
        <w:rPr>
          <w:sz w:val="22"/>
          <w:szCs w:val="22"/>
        </w:rPr>
        <w:t>Porter, M.E. (1990) The Competitive Advantage of Nations. New York: Free Press.</w:t>
      </w:r>
    </w:p>
    <w:p w14:paraId="28F2671F" w14:textId="77777777" w:rsidR="00BA4D12" w:rsidRDefault="000B0D44">
      <w:pPr>
        <w:spacing w:after="160" w:line="360" w:lineRule="auto"/>
        <w:ind w:left="720" w:hanging="720"/>
      </w:pPr>
      <w:proofErr w:type="spellStart"/>
      <w:r>
        <w:rPr>
          <w:sz w:val="22"/>
          <w:szCs w:val="22"/>
        </w:rPr>
        <w:t>Rotana</w:t>
      </w:r>
      <w:proofErr w:type="spellEnd"/>
      <w:r>
        <w:rPr>
          <w:sz w:val="22"/>
          <w:szCs w:val="22"/>
        </w:rPr>
        <w:t xml:space="preserve"> (2023) </w:t>
      </w:r>
      <w:proofErr w:type="spellStart"/>
      <w:r>
        <w:rPr>
          <w:sz w:val="22"/>
          <w:szCs w:val="22"/>
        </w:rPr>
        <w:t>Rotana</w:t>
      </w:r>
      <w:proofErr w:type="spellEnd"/>
      <w:r>
        <w:rPr>
          <w:sz w:val="22"/>
          <w:szCs w:val="22"/>
        </w:rPr>
        <w:t xml:space="preserve"> Company Profile and Portfolio 2023. Abu Dhabi: </w:t>
      </w:r>
      <w:proofErr w:type="spellStart"/>
      <w:r>
        <w:rPr>
          <w:sz w:val="22"/>
          <w:szCs w:val="22"/>
        </w:rPr>
        <w:t>Rotana</w:t>
      </w:r>
      <w:proofErr w:type="spellEnd"/>
      <w:r>
        <w:rPr>
          <w:sz w:val="22"/>
          <w:szCs w:val="22"/>
        </w:rPr>
        <w:t xml:space="preserve"> Hotel Management Corporation. Available at: https://www.rotana.com [Accessed 22 February 2026].</w:t>
      </w:r>
    </w:p>
    <w:p w14:paraId="766AD857" w14:textId="77777777" w:rsidR="00BA4D12" w:rsidRDefault="000B0D44">
      <w:pPr>
        <w:spacing w:after="160" w:line="360" w:lineRule="auto"/>
        <w:ind w:left="720" w:hanging="720"/>
      </w:pPr>
      <w:proofErr w:type="spellStart"/>
      <w:r>
        <w:rPr>
          <w:sz w:val="22"/>
          <w:szCs w:val="22"/>
        </w:rPr>
        <w:t>Skytrax</w:t>
      </w:r>
      <w:proofErr w:type="spellEnd"/>
      <w:r>
        <w:rPr>
          <w:sz w:val="22"/>
          <w:szCs w:val="22"/>
        </w:rPr>
        <w:t xml:space="preserve"> (2023) World Airline Awards 2023. London: </w:t>
      </w:r>
      <w:proofErr w:type="spellStart"/>
      <w:r>
        <w:rPr>
          <w:sz w:val="22"/>
          <w:szCs w:val="22"/>
        </w:rPr>
        <w:t>Skytrax</w:t>
      </w:r>
      <w:proofErr w:type="spellEnd"/>
      <w:r>
        <w:rPr>
          <w:sz w:val="22"/>
          <w:szCs w:val="22"/>
        </w:rPr>
        <w:t>. Available at: https://www.worldairlineawards.com [Accessed 10 February 2026].</w:t>
      </w:r>
    </w:p>
    <w:p w14:paraId="7BFA77C4" w14:textId="514DC1A4" w:rsidR="00BA4D12" w:rsidRDefault="000B0D44">
      <w:pPr>
        <w:spacing w:after="160" w:line="360" w:lineRule="auto"/>
        <w:ind w:left="720" w:hanging="720"/>
      </w:pPr>
      <w:r>
        <w:rPr>
          <w:sz w:val="22"/>
          <w:szCs w:val="22"/>
        </w:rPr>
        <w:t xml:space="preserve">STR Global (2023) UAE Hotel Pipeline and Performance Report Q4 2023. Nashville: STR Inc. Available at: https://str.com [Accessed </w:t>
      </w:r>
      <w:r w:rsidR="008B6590">
        <w:rPr>
          <w:sz w:val="22"/>
          <w:szCs w:val="22"/>
        </w:rPr>
        <w:t>22</w:t>
      </w:r>
      <w:r>
        <w:rPr>
          <w:sz w:val="22"/>
          <w:szCs w:val="22"/>
        </w:rPr>
        <w:t xml:space="preserve"> February 2026].</w:t>
      </w:r>
    </w:p>
    <w:p w14:paraId="52D18546" w14:textId="07250B46" w:rsidR="00BA4D12" w:rsidRDefault="000B0D44">
      <w:pPr>
        <w:spacing w:after="160" w:line="360" w:lineRule="auto"/>
        <w:ind w:left="720" w:hanging="720"/>
      </w:pPr>
      <w:r>
        <w:rPr>
          <w:sz w:val="22"/>
          <w:szCs w:val="22"/>
        </w:rPr>
        <w:t xml:space="preserve">UAE Government (2023) UAE Tourism Strategy 2031. Abu Dhabi: UAE Government Media Office. Available at: https://u.ae/en/information-and-services/visiting-and-exploring-the-uae/tourism/uae-tourism-strategy-2031 [Accessed </w:t>
      </w:r>
      <w:r w:rsidR="008B6590">
        <w:rPr>
          <w:sz w:val="22"/>
          <w:szCs w:val="22"/>
        </w:rPr>
        <w:t>24</w:t>
      </w:r>
      <w:r>
        <w:rPr>
          <w:sz w:val="22"/>
          <w:szCs w:val="22"/>
        </w:rPr>
        <w:t xml:space="preserve"> February 2026].</w:t>
      </w:r>
    </w:p>
    <w:p w14:paraId="4AF2BDFF" w14:textId="1757DBDF" w:rsidR="00BA4D12" w:rsidRDefault="000B0D44">
      <w:pPr>
        <w:spacing w:after="160" w:line="360" w:lineRule="auto"/>
        <w:ind w:left="720" w:hanging="720"/>
      </w:pPr>
      <w:r>
        <w:rPr>
          <w:sz w:val="22"/>
          <w:szCs w:val="22"/>
        </w:rPr>
        <w:t xml:space="preserve">UAE Ministry of Economy (2024) UAE Economic Report 2023: Building on Sustainable Foundations. Abu Dhabi: Ministry of Economy. Available at: https://www.moec.gov.ae [Accessed </w:t>
      </w:r>
      <w:r w:rsidR="008B6590">
        <w:rPr>
          <w:sz w:val="22"/>
          <w:szCs w:val="22"/>
        </w:rPr>
        <w:t>22</w:t>
      </w:r>
      <w:r>
        <w:rPr>
          <w:sz w:val="22"/>
          <w:szCs w:val="22"/>
        </w:rPr>
        <w:t xml:space="preserve"> February 2026].</w:t>
      </w:r>
    </w:p>
    <w:p w14:paraId="5D6FCB3B" w14:textId="2244711D" w:rsidR="00BA4D12" w:rsidRDefault="000B0D44">
      <w:pPr>
        <w:spacing w:after="160" w:line="360" w:lineRule="auto"/>
        <w:ind w:left="720" w:hanging="720"/>
      </w:pPr>
      <w:r>
        <w:rPr>
          <w:sz w:val="22"/>
          <w:szCs w:val="22"/>
        </w:rPr>
        <w:t xml:space="preserve">UAE Ministry of Finance (2023) Federal Corporate Tax: Implementation Guide. Abu Dhabi: Ministry of Finance UAE. Available at: https://www.mof.gov.ae/en/resourcesAndBudget/Pages/corporatetax.aspx [Accessed </w:t>
      </w:r>
      <w:r w:rsidR="008B6590">
        <w:rPr>
          <w:sz w:val="22"/>
          <w:szCs w:val="22"/>
        </w:rPr>
        <w:t>23</w:t>
      </w:r>
      <w:r>
        <w:rPr>
          <w:sz w:val="22"/>
          <w:szCs w:val="22"/>
        </w:rPr>
        <w:t xml:space="preserve"> February 2026].</w:t>
      </w:r>
    </w:p>
    <w:p w14:paraId="24D49058" w14:textId="5E5D06A6" w:rsidR="00BA4D12" w:rsidRDefault="000B0D44">
      <w:pPr>
        <w:spacing w:after="160" w:line="360" w:lineRule="auto"/>
        <w:ind w:left="720" w:hanging="720"/>
      </w:pPr>
      <w:r>
        <w:rPr>
          <w:sz w:val="22"/>
          <w:szCs w:val="22"/>
        </w:rPr>
        <w:t xml:space="preserve">UNWTO (2023) World Tourism Barometer 2023, Volume 21. Madrid: United Nations World Tourism Organisation. Available at: https://www.unwto.org/tourism-statistics [Accessed </w:t>
      </w:r>
      <w:r w:rsidR="008B6590">
        <w:rPr>
          <w:sz w:val="22"/>
          <w:szCs w:val="22"/>
        </w:rPr>
        <w:t>23</w:t>
      </w:r>
      <w:r>
        <w:rPr>
          <w:sz w:val="22"/>
          <w:szCs w:val="22"/>
        </w:rPr>
        <w:t xml:space="preserve"> February 2026].</w:t>
      </w:r>
    </w:p>
    <w:p w14:paraId="09B247C1" w14:textId="5A4DEAFF" w:rsidR="00BA4D12" w:rsidRDefault="000B0D44">
      <w:pPr>
        <w:spacing w:after="160" w:line="360" w:lineRule="auto"/>
        <w:ind w:left="720" w:hanging="720"/>
      </w:pPr>
      <w:r>
        <w:rPr>
          <w:sz w:val="22"/>
          <w:szCs w:val="22"/>
        </w:rPr>
        <w:t xml:space="preserve">WTTC (2023) Travel and Tourism Economic Impact Report: United Arab Emirates 2023. London: World Travel and Tourism Council. Available at: https://wttc.org/research/economic-impact [Accessed </w:t>
      </w:r>
      <w:r w:rsidR="008B6590">
        <w:rPr>
          <w:sz w:val="22"/>
          <w:szCs w:val="22"/>
        </w:rPr>
        <w:t>24</w:t>
      </w:r>
      <w:r>
        <w:rPr>
          <w:sz w:val="22"/>
          <w:szCs w:val="22"/>
        </w:rPr>
        <w:t xml:space="preserve"> February 2026].</w:t>
      </w:r>
    </w:p>
    <w:sectPr w:rsidR="00BA4D12">
      <w:headerReference w:type="default"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215B5" w14:textId="77777777" w:rsidR="00962EFA" w:rsidRDefault="00962EFA">
      <w:r>
        <w:separator/>
      </w:r>
    </w:p>
  </w:endnote>
  <w:endnote w:type="continuationSeparator" w:id="0">
    <w:p w14:paraId="3631D89A" w14:textId="77777777" w:rsidR="00962EFA" w:rsidRDefault="00962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ACFF" w:usb2="00000009" w:usb3="00000000" w:csb0="000001FF" w:csb1="00000000"/>
    <w:embedRegular r:id="rId2" w:fontKey="{4642DC6C-B4B3-4496-8D0D-B044270CF6F6}"/>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5ACF7" w14:textId="77777777" w:rsidR="00BA4D12" w:rsidRDefault="000B0D44">
    <w:pPr>
      <w:pBdr>
        <w:top w:val="single" w:sz="4" w:space="1" w:color="2E75B6"/>
      </w:pBdr>
      <w:spacing w:before="80"/>
      <w:jc w:val="center"/>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8B6590">
      <w:rPr>
        <w:noProof/>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NUMPAGES</w:instrText>
    </w:r>
    <w:r>
      <w:rPr>
        <w:color w:val="666666"/>
        <w:sz w:val="18"/>
        <w:szCs w:val="18"/>
      </w:rPr>
      <w:fldChar w:fldCharType="separate"/>
    </w:r>
    <w:r w:rsidR="008B6590">
      <w:rPr>
        <w:noProof/>
        <w:color w:val="666666"/>
        <w:sz w:val="18"/>
        <w:szCs w:val="18"/>
      </w:rPr>
      <w:t>2</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B3EA5" w14:textId="77777777" w:rsidR="00962EFA" w:rsidRDefault="00962EFA">
      <w:r>
        <w:separator/>
      </w:r>
    </w:p>
  </w:footnote>
  <w:footnote w:type="continuationSeparator" w:id="0">
    <w:p w14:paraId="017A90A5" w14:textId="77777777" w:rsidR="00962EFA" w:rsidRDefault="00962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BC1EC" w14:textId="77777777" w:rsidR="00BA4D12" w:rsidRDefault="000B0D44">
    <w:pPr>
      <w:pBdr>
        <w:bottom w:val="single" w:sz="4" w:space="1" w:color="2E75B6"/>
      </w:pBdr>
      <w:spacing w:after="100"/>
      <w:jc w:val="right"/>
    </w:pPr>
    <w:r>
      <w:rPr>
        <w:color w:val="666666"/>
        <w:sz w:val="18"/>
        <w:szCs w:val="18"/>
      </w:rPr>
      <w:t>LCMB7034 | UAE Tourism &amp; Hospitality | Marriott International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D12"/>
    <w:rsid w:val="000B0D44"/>
    <w:rsid w:val="00274B5C"/>
    <w:rsid w:val="008B6590"/>
    <w:rsid w:val="00962EFA"/>
    <w:rsid w:val="00A72C57"/>
    <w:rsid w:val="00BA4D12"/>
    <w:rsid w:val="00FF0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10EC5"/>
  <w15:docId w15:val="{3B715044-67C3-45D5-B2D7-D9F94B7BD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360" w:after="180"/>
      <w:outlineLvl w:val="0"/>
    </w:pPr>
    <w:rPr>
      <w:b/>
      <w:bCs/>
      <w:color w:val="1F3864"/>
      <w:sz w:val="28"/>
      <w:szCs w:val="28"/>
    </w:rPr>
  </w:style>
  <w:style w:type="paragraph" w:styleId="Heading2">
    <w:name w:val="heading 2"/>
    <w:basedOn w:val="Normal"/>
    <w:next w:val="Normal"/>
    <w:uiPriority w:val="9"/>
    <w:unhideWhenUsed/>
    <w:qFormat/>
    <w:pPr>
      <w:pBdr>
        <w:top w:val="nil"/>
        <w:left w:val="nil"/>
        <w:bottom w:val="nil"/>
        <w:right w:val="nil"/>
        <w:between w:val="nil"/>
      </w:pBdr>
      <w:spacing w:before="240" w:after="120"/>
      <w:outlineLvl w:val="1"/>
    </w:pPr>
    <w:rPr>
      <w:b/>
      <w:bCs/>
      <w:color w:val="2E75B6"/>
    </w:rPr>
  </w:style>
  <w:style w:type="paragraph" w:styleId="Heading3">
    <w:name w:val="heading 3"/>
    <w:basedOn w:val="Normal"/>
    <w:next w:val="Normal"/>
    <w:uiPriority w:val="9"/>
    <w:semiHidden/>
    <w:unhideWhenUsed/>
    <w:qFormat/>
    <w:pPr>
      <w:pBdr>
        <w:top w:val="nil"/>
        <w:left w:val="nil"/>
        <w:bottom w:val="nil"/>
        <w:right w:val="nil"/>
        <w:between w:val="nil"/>
      </w:pBdr>
      <w:spacing w:before="200" w:after="100"/>
      <w:outlineLvl w:val="2"/>
    </w:pPr>
    <w:rPr>
      <w:b/>
      <w:bCs/>
      <w:color w:val="2E75B6"/>
      <w:sz w:val="22"/>
      <w:szCs w:val="22"/>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IcSOjJHJYU/H5Ild0Jv12WkG9A==">CgMxLjA4AHIhMU5OaUN3QUZmWmdGRWs4eVRCUy1QNGozT21jUTZPRTlQ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6631</Words>
  <Characters>37802</Characters>
  <Application>Microsoft Office Word</Application>
  <DocSecurity>0</DocSecurity>
  <Lines>315</Lines>
  <Paragraphs>88</Paragraphs>
  <ScaleCrop>false</ScaleCrop>
  <Company/>
  <LinksUpToDate>false</LinksUpToDate>
  <CharactersWithSpaces>44345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Jahangir</dc:creator>
  <cp:lastModifiedBy>Jahangir Khalaj Savojbolagh (2109914)</cp:lastModifiedBy>
  <cp:revision>3</cp:revision>
  <dcterms:created xsi:type="dcterms:W3CDTF">2026-03-10T13:52:00Z</dcterms:created>
  <dcterms:modified xsi:type="dcterms:W3CDTF">2026-03-10T13:53:00Z</dcterms:modified>
</cp:coreProperties>
</file>