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intelligence2.xml" ContentType="application/vnd.ms-office.intelligence2+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7883" w:rsidRPr="00E067CA" w:rsidRDefault="004E630A" w:rsidP="00E067CA">
      <w:pPr>
        <w:pStyle w:val="Heading1"/>
        <w:tabs>
          <w:tab w:val="left" w:pos="960"/>
        </w:tabs>
        <w:rPr>
          <w:sz w:val="24"/>
          <w:szCs w:val="24"/>
        </w:rPr>
      </w:pPr>
      <w:r>
        <w:rPr>
          <w:sz w:val="24"/>
          <w:szCs w:val="24"/>
        </w:rPr>
        <w:t xml:space="preserve">                                                    </w:t>
      </w:r>
      <w:r w:rsidRPr="004E630A">
        <w:rPr>
          <w:noProof/>
        </w:rPr>
        <w:drawing>
          <wp:inline distT="0" distB="0" distL="0" distR="0">
            <wp:extent cx="1860550" cy="7620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60550" cy="762000"/>
                    </a:xfrm>
                    <a:prstGeom prst="rect">
                      <a:avLst/>
                    </a:prstGeom>
                    <a:noFill/>
                    <a:ln>
                      <a:noFill/>
                    </a:ln>
                  </pic:spPr>
                </pic:pic>
              </a:graphicData>
            </a:graphic>
          </wp:inline>
        </w:drawing>
      </w:r>
    </w:p>
    <w:p w:rsidR="00E067CA" w:rsidRPr="00E067CA" w:rsidRDefault="00E067CA" w:rsidP="00CB703E">
      <w:pPr>
        <w:pStyle w:val="Heading1"/>
        <w:rPr>
          <w:sz w:val="24"/>
          <w:szCs w:val="24"/>
        </w:rPr>
      </w:pPr>
    </w:p>
    <w:p w:rsidR="004E630A" w:rsidRPr="00DD0B87" w:rsidRDefault="004E630A" w:rsidP="004E630A">
      <w:pPr>
        <w:rPr>
          <w:rFonts w:ascii="Arial" w:hAnsi="Arial" w:cs="Arial"/>
        </w:rPr>
      </w:pPr>
    </w:p>
    <w:p w:rsidR="004E630A" w:rsidRPr="00DD0B87" w:rsidRDefault="00F64623" w:rsidP="004E630A">
      <w:pPr>
        <w:jc w:val="center"/>
        <w:rPr>
          <w:rFonts w:ascii="Arial" w:hAnsi="Arial" w:cs="Arial"/>
        </w:rPr>
      </w:pPr>
      <w:r>
        <w:rPr>
          <w:rFonts w:ascii="Arial" w:hAnsi="Arial" w:cs="Arial"/>
        </w:rPr>
        <w:t xml:space="preserve">From </w:t>
      </w:r>
      <w:r w:rsidR="00FD7A04">
        <w:rPr>
          <w:rFonts w:ascii="Arial" w:hAnsi="Arial" w:cs="Arial"/>
        </w:rPr>
        <w:t xml:space="preserve">Colonial </w:t>
      </w:r>
      <w:r>
        <w:rPr>
          <w:rFonts w:ascii="Arial" w:hAnsi="Arial" w:cs="Arial"/>
        </w:rPr>
        <w:t>Classification to Sectarian Governance: The Legacy of the French Mandate in Syria and Lebanon</w:t>
      </w:r>
    </w:p>
    <w:p w:rsidR="004E630A" w:rsidRPr="00DD0B87" w:rsidRDefault="004E630A" w:rsidP="004E630A">
      <w:pPr>
        <w:jc w:val="center"/>
        <w:rPr>
          <w:rFonts w:ascii="Arial" w:hAnsi="Arial" w:cs="Arial"/>
        </w:rPr>
      </w:pPr>
    </w:p>
    <w:p w:rsidR="004E630A" w:rsidRDefault="004E630A" w:rsidP="004E630A">
      <w:pPr>
        <w:jc w:val="center"/>
        <w:rPr>
          <w:rFonts w:ascii="Arial" w:hAnsi="Arial" w:cs="Arial"/>
        </w:rPr>
      </w:pPr>
    </w:p>
    <w:p w:rsidR="004E630A" w:rsidRDefault="004E630A" w:rsidP="004E630A">
      <w:pPr>
        <w:jc w:val="center"/>
        <w:rPr>
          <w:rFonts w:ascii="Arial" w:hAnsi="Arial" w:cs="Arial"/>
        </w:rPr>
      </w:pPr>
    </w:p>
    <w:p w:rsidR="004E630A" w:rsidRPr="00DD0B87" w:rsidRDefault="004E630A" w:rsidP="004E630A">
      <w:pPr>
        <w:jc w:val="center"/>
        <w:rPr>
          <w:rFonts w:ascii="Arial" w:hAnsi="Arial" w:cs="Arial"/>
        </w:rPr>
      </w:pPr>
    </w:p>
    <w:p w:rsidR="004E630A" w:rsidRPr="00DD0B87" w:rsidRDefault="00F64623" w:rsidP="004E630A">
      <w:pPr>
        <w:jc w:val="center"/>
        <w:rPr>
          <w:rFonts w:ascii="Arial" w:hAnsi="Arial" w:cs="Arial"/>
        </w:rPr>
      </w:pPr>
      <w:r>
        <w:rPr>
          <w:rFonts w:ascii="Arial" w:hAnsi="Arial" w:cs="Arial"/>
        </w:rPr>
        <w:t>Ali Ejaz</w:t>
      </w:r>
    </w:p>
    <w:p w:rsidR="004E630A" w:rsidRPr="00DD0B87" w:rsidRDefault="004E630A" w:rsidP="004E630A">
      <w:pPr>
        <w:jc w:val="center"/>
        <w:rPr>
          <w:rFonts w:ascii="Arial" w:hAnsi="Arial" w:cs="Arial"/>
        </w:rPr>
      </w:pPr>
    </w:p>
    <w:p w:rsidR="004E630A" w:rsidRPr="00DD0B87" w:rsidRDefault="004E630A" w:rsidP="004E630A">
      <w:pPr>
        <w:jc w:val="center"/>
        <w:rPr>
          <w:rFonts w:ascii="Arial" w:hAnsi="Arial" w:cs="Arial"/>
        </w:rPr>
      </w:pPr>
    </w:p>
    <w:p w:rsidR="004E630A" w:rsidRPr="00DD0B87" w:rsidRDefault="004E630A" w:rsidP="004E630A">
      <w:pPr>
        <w:jc w:val="center"/>
        <w:rPr>
          <w:rFonts w:ascii="Arial" w:hAnsi="Arial" w:cs="Arial"/>
        </w:rPr>
      </w:pPr>
      <w:r w:rsidRPr="00DD0B87">
        <w:rPr>
          <w:rFonts w:ascii="Arial" w:hAnsi="Arial" w:cs="Arial"/>
        </w:rPr>
        <w:t xml:space="preserve">Supervised by: </w:t>
      </w:r>
      <w:r w:rsidR="0078515C">
        <w:rPr>
          <w:rFonts w:ascii="Arial" w:hAnsi="Arial" w:cs="Arial"/>
        </w:rPr>
        <w:t xml:space="preserve">Dr </w:t>
      </w:r>
      <w:r w:rsidR="00F64623">
        <w:rPr>
          <w:rFonts w:ascii="Arial" w:hAnsi="Arial" w:cs="Arial"/>
        </w:rPr>
        <w:t xml:space="preserve">Ryan </w:t>
      </w:r>
      <w:r w:rsidR="0078515C">
        <w:rPr>
          <w:rFonts w:ascii="Arial" w:hAnsi="Arial" w:cs="Arial"/>
        </w:rPr>
        <w:t xml:space="preserve">Joseph </w:t>
      </w:r>
      <w:r w:rsidR="00F64623">
        <w:rPr>
          <w:rFonts w:ascii="Arial" w:hAnsi="Arial" w:cs="Arial"/>
        </w:rPr>
        <w:t>O’Byrne</w:t>
      </w:r>
    </w:p>
    <w:p w:rsidR="004E630A" w:rsidRDefault="004E630A" w:rsidP="004E630A">
      <w:pPr>
        <w:jc w:val="center"/>
        <w:rPr>
          <w:rFonts w:ascii="Arial" w:hAnsi="Arial" w:cs="Arial"/>
        </w:rPr>
      </w:pPr>
    </w:p>
    <w:p w:rsidR="004E630A" w:rsidRDefault="004E630A" w:rsidP="004E630A">
      <w:pPr>
        <w:jc w:val="center"/>
        <w:rPr>
          <w:rFonts w:ascii="Arial" w:hAnsi="Arial" w:cs="Arial"/>
        </w:rPr>
      </w:pPr>
    </w:p>
    <w:p w:rsidR="004E630A" w:rsidRPr="00DD0B87" w:rsidRDefault="004E630A" w:rsidP="004E630A">
      <w:pPr>
        <w:jc w:val="center"/>
        <w:rPr>
          <w:rFonts w:ascii="Arial" w:hAnsi="Arial" w:cs="Arial"/>
        </w:rPr>
      </w:pPr>
    </w:p>
    <w:p w:rsidR="004E630A" w:rsidRPr="00DD0B87" w:rsidRDefault="004E630A" w:rsidP="004E630A">
      <w:pPr>
        <w:jc w:val="center"/>
        <w:rPr>
          <w:rFonts w:ascii="Arial" w:hAnsi="Arial" w:cs="Arial"/>
        </w:rPr>
      </w:pPr>
    </w:p>
    <w:p w:rsidR="004E630A" w:rsidRPr="00DD0B87" w:rsidRDefault="004E630A" w:rsidP="004E630A">
      <w:pPr>
        <w:jc w:val="center"/>
        <w:rPr>
          <w:rFonts w:ascii="Arial" w:hAnsi="Arial" w:cs="Arial"/>
        </w:rPr>
      </w:pPr>
      <w:r w:rsidRPr="00DD0B87">
        <w:rPr>
          <w:rFonts w:ascii="Arial" w:hAnsi="Arial" w:cs="Arial"/>
        </w:rPr>
        <w:t xml:space="preserve">Submitted in partial fulfilment for the award of </w:t>
      </w:r>
      <w:r>
        <w:rPr>
          <w:rFonts w:ascii="Arial" w:hAnsi="Arial" w:cs="Arial"/>
        </w:rPr>
        <w:t>the d</w:t>
      </w:r>
      <w:r w:rsidRPr="00DD0B87">
        <w:rPr>
          <w:rFonts w:ascii="Arial" w:hAnsi="Arial" w:cs="Arial"/>
        </w:rPr>
        <w:t xml:space="preserve">egree of </w:t>
      </w:r>
      <w:r>
        <w:rPr>
          <w:rFonts w:ascii="Arial" w:hAnsi="Arial" w:cs="Arial"/>
        </w:rPr>
        <w:t>XXXX</w:t>
      </w:r>
    </w:p>
    <w:p w:rsidR="004E630A" w:rsidRPr="00DD0B87" w:rsidRDefault="004E630A" w:rsidP="004E630A">
      <w:pPr>
        <w:jc w:val="center"/>
        <w:rPr>
          <w:rFonts w:ascii="Arial" w:hAnsi="Arial" w:cs="Arial"/>
        </w:rPr>
      </w:pPr>
    </w:p>
    <w:p w:rsidR="004E630A" w:rsidRDefault="004E630A" w:rsidP="004E630A">
      <w:pPr>
        <w:jc w:val="center"/>
        <w:rPr>
          <w:rFonts w:ascii="Arial" w:hAnsi="Arial" w:cs="Arial"/>
        </w:rPr>
      </w:pPr>
    </w:p>
    <w:p w:rsidR="004E630A" w:rsidRPr="00DD0B87" w:rsidRDefault="004E630A" w:rsidP="004E630A">
      <w:pPr>
        <w:jc w:val="center"/>
        <w:rPr>
          <w:rFonts w:ascii="Arial" w:hAnsi="Arial" w:cs="Arial"/>
        </w:rPr>
      </w:pPr>
    </w:p>
    <w:p w:rsidR="004E630A" w:rsidRPr="00DD0B87" w:rsidRDefault="004E630A" w:rsidP="004E630A">
      <w:pPr>
        <w:jc w:val="center"/>
        <w:rPr>
          <w:rFonts w:ascii="Arial" w:hAnsi="Arial" w:cs="Arial"/>
        </w:rPr>
      </w:pPr>
      <w:r w:rsidRPr="00DD0B87">
        <w:rPr>
          <w:rFonts w:ascii="Arial" w:hAnsi="Arial" w:cs="Arial"/>
        </w:rPr>
        <w:t>University of Wales Trinity Saint David</w:t>
      </w:r>
    </w:p>
    <w:p w:rsidR="004E630A" w:rsidRPr="00DD0B87" w:rsidRDefault="004E630A" w:rsidP="004E630A">
      <w:pPr>
        <w:jc w:val="center"/>
        <w:rPr>
          <w:rFonts w:ascii="Arial" w:hAnsi="Arial" w:cs="Arial"/>
        </w:rPr>
      </w:pPr>
    </w:p>
    <w:p w:rsidR="004E630A" w:rsidRDefault="004E630A" w:rsidP="004E630A">
      <w:pPr>
        <w:jc w:val="center"/>
        <w:rPr>
          <w:rFonts w:ascii="Arial" w:hAnsi="Arial" w:cs="Arial"/>
        </w:rPr>
      </w:pPr>
    </w:p>
    <w:p w:rsidR="004E630A" w:rsidRDefault="004E630A" w:rsidP="004E630A">
      <w:pPr>
        <w:jc w:val="center"/>
        <w:rPr>
          <w:rFonts w:ascii="Arial" w:hAnsi="Arial" w:cs="Arial"/>
        </w:rPr>
      </w:pPr>
    </w:p>
    <w:p w:rsidR="004E630A" w:rsidRPr="00DD0B87" w:rsidRDefault="004E630A" w:rsidP="004E630A">
      <w:pPr>
        <w:jc w:val="center"/>
        <w:rPr>
          <w:rFonts w:ascii="Arial" w:hAnsi="Arial" w:cs="Arial"/>
        </w:rPr>
      </w:pPr>
    </w:p>
    <w:p w:rsidR="004E630A" w:rsidRDefault="004E630A" w:rsidP="004E630A">
      <w:pPr>
        <w:jc w:val="center"/>
        <w:rPr>
          <w:rFonts w:ascii="Arial" w:hAnsi="Arial" w:cs="Arial"/>
        </w:rPr>
      </w:pPr>
      <w:r w:rsidRPr="00DD0B87">
        <w:rPr>
          <w:rFonts w:ascii="Arial" w:hAnsi="Arial" w:cs="Arial"/>
        </w:rPr>
        <w:t>20</w:t>
      </w:r>
      <w:r w:rsidR="00CA1E53">
        <w:rPr>
          <w:rFonts w:ascii="Arial" w:hAnsi="Arial" w:cs="Arial"/>
        </w:rPr>
        <w:t>26</w:t>
      </w:r>
    </w:p>
    <w:p w:rsidR="00CB01FE" w:rsidRPr="00CB01FE" w:rsidRDefault="00CB01FE" w:rsidP="00CB01FE">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CB01FE">
        <w:rPr>
          <w:rFonts w:ascii="Times New Roman" w:eastAsia="Times New Roman" w:hAnsi="Times New Roman" w:cs="Times New Roman"/>
          <w:b/>
          <w:bCs/>
          <w:kern w:val="36"/>
          <w:sz w:val="48"/>
          <w:szCs w:val="48"/>
          <w:lang w:eastAsia="en-GB"/>
        </w:rPr>
        <w:lastRenderedPageBreak/>
        <w:t>Contents</w:t>
      </w:r>
    </w:p>
    <w:p w:rsidR="00B56B62" w:rsidRDefault="00B56B62" w:rsidP="00CB01FE">
      <w:pPr>
        <w:spacing w:before="100" w:beforeAutospacing="1" w:after="100" w:afterAutospacing="1" w:line="240" w:lineRule="auto"/>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Figures</w:t>
      </w:r>
    </w:p>
    <w:p w:rsidR="00CB01FE" w:rsidRDefault="196E2E38" w:rsidP="196E2E38">
      <w:pPr>
        <w:spacing w:before="100" w:beforeAutospacing="1" w:after="100" w:afterAutospacing="1" w:line="240" w:lineRule="auto"/>
        <w:rPr>
          <w:rFonts w:ascii="Times New Roman" w:eastAsia="Times New Roman" w:hAnsi="Times New Roman" w:cs="Times New Roman"/>
          <w:b/>
          <w:bCs/>
          <w:sz w:val="24"/>
          <w:szCs w:val="24"/>
          <w:lang w:eastAsia="en-GB"/>
        </w:rPr>
      </w:pPr>
      <w:r w:rsidRPr="196E2E38">
        <w:rPr>
          <w:rFonts w:ascii="Times New Roman" w:eastAsia="Times New Roman" w:hAnsi="Times New Roman" w:cs="Times New Roman"/>
          <w:b/>
          <w:bCs/>
          <w:sz w:val="24"/>
          <w:szCs w:val="24"/>
          <w:lang w:eastAsia="en-GB"/>
        </w:rPr>
        <w:t>Abstract</w:t>
      </w:r>
    </w:p>
    <w:p w:rsidR="00CB01FE" w:rsidRDefault="00CB01FE" w:rsidP="196E2E38">
      <w:pPr>
        <w:spacing w:before="100" w:beforeAutospacing="1" w:after="100" w:afterAutospacing="1" w:line="240" w:lineRule="auto"/>
        <w:rPr>
          <w:rFonts w:ascii="Times New Roman" w:eastAsia="Times New Roman" w:hAnsi="Times New Roman" w:cs="Times New Roman"/>
          <w:b/>
          <w:bCs/>
          <w:sz w:val="24"/>
          <w:szCs w:val="24"/>
          <w:lang w:eastAsia="en-GB"/>
        </w:rPr>
      </w:pPr>
      <w:r>
        <w:br/>
      </w:r>
      <w:r w:rsidR="196E2E38" w:rsidRPr="196E2E38">
        <w:rPr>
          <w:rFonts w:ascii="Times New Roman" w:eastAsia="Times New Roman" w:hAnsi="Times New Roman" w:cs="Times New Roman"/>
          <w:b/>
          <w:bCs/>
          <w:sz w:val="24"/>
          <w:szCs w:val="24"/>
          <w:lang w:eastAsia="en-GB"/>
        </w:rPr>
        <w:t>Introduction</w:t>
      </w:r>
    </w:p>
    <w:p w:rsidR="000064D5" w:rsidRDefault="000064D5" w:rsidP="00CB01FE">
      <w:pPr>
        <w:spacing w:before="100" w:beforeAutospacing="1" w:after="100" w:afterAutospacing="1" w:line="240" w:lineRule="auto"/>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Context</w:t>
      </w:r>
    </w:p>
    <w:p w:rsidR="000064D5" w:rsidRPr="00CB01FE" w:rsidRDefault="000064D5" w:rsidP="00CB01FE">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Literature Review</w:t>
      </w:r>
    </w:p>
    <w:p w:rsidR="00CB01FE" w:rsidRPr="00CB01FE" w:rsidRDefault="00CB01FE" w:rsidP="00CB01FE">
      <w:pPr>
        <w:spacing w:before="100" w:beforeAutospacing="1" w:after="100" w:afterAutospacing="1" w:line="240" w:lineRule="auto"/>
        <w:rPr>
          <w:rFonts w:ascii="Times New Roman" w:eastAsia="Times New Roman" w:hAnsi="Times New Roman" w:cs="Times New Roman"/>
          <w:sz w:val="24"/>
          <w:szCs w:val="24"/>
          <w:lang w:eastAsia="en-GB"/>
        </w:rPr>
      </w:pPr>
      <w:r w:rsidRPr="00CB01FE">
        <w:rPr>
          <w:rFonts w:ascii="Times New Roman" w:eastAsia="Times New Roman" w:hAnsi="Times New Roman" w:cs="Times New Roman"/>
          <w:b/>
          <w:bCs/>
          <w:sz w:val="24"/>
          <w:szCs w:val="24"/>
          <w:lang w:eastAsia="en-GB"/>
        </w:rPr>
        <w:t>Chapter 1: Colonial Institutions and the Transformation of Sectarian Governance under the French Mandate</w:t>
      </w:r>
    </w:p>
    <w:p w:rsidR="00CB01FE" w:rsidRPr="00CB01FE" w:rsidRDefault="00CB01FE" w:rsidP="00CB01FE">
      <w:pPr>
        <w:numPr>
          <w:ilvl w:val="0"/>
          <w:numId w:val="22"/>
        </w:numPr>
        <w:spacing w:before="100" w:beforeAutospacing="1" w:after="100" w:afterAutospacing="1" w:line="240" w:lineRule="auto"/>
        <w:rPr>
          <w:rFonts w:ascii="Times New Roman" w:eastAsia="Times New Roman" w:hAnsi="Times New Roman" w:cs="Times New Roman"/>
          <w:sz w:val="24"/>
          <w:szCs w:val="24"/>
          <w:lang w:eastAsia="en-GB"/>
        </w:rPr>
      </w:pPr>
      <w:r w:rsidRPr="00CB01FE">
        <w:rPr>
          <w:rFonts w:ascii="Times New Roman" w:eastAsia="Times New Roman" w:hAnsi="Times New Roman" w:cs="Times New Roman"/>
          <w:sz w:val="24"/>
          <w:szCs w:val="24"/>
          <w:lang w:eastAsia="en-GB"/>
        </w:rPr>
        <w:t xml:space="preserve">Introduction: From Communal Difference to Institutional Hierarchy </w:t>
      </w:r>
    </w:p>
    <w:p w:rsidR="00CB01FE" w:rsidRPr="00CB01FE" w:rsidRDefault="00CB01FE" w:rsidP="00CB01FE">
      <w:pPr>
        <w:numPr>
          <w:ilvl w:val="0"/>
          <w:numId w:val="22"/>
        </w:numPr>
        <w:spacing w:before="100" w:beforeAutospacing="1" w:after="100" w:afterAutospacing="1" w:line="240" w:lineRule="auto"/>
        <w:rPr>
          <w:rFonts w:ascii="Times New Roman" w:eastAsia="Times New Roman" w:hAnsi="Times New Roman" w:cs="Times New Roman"/>
          <w:sz w:val="24"/>
          <w:szCs w:val="24"/>
          <w:lang w:eastAsia="en-GB"/>
        </w:rPr>
      </w:pPr>
      <w:r w:rsidRPr="00CB01FE">
        <w:rPr>
          <w:rFonts w:ascii="Times New Roman" w:eastAsia="Times New Roman" w:hAnsi="Times New Roman" w:cs="Times New Roman"/>
          <w:sz w:val="24"/>
          <w:szCs w:val="24"/>
          <w:lang w:eastAsia="en-GB"/>
        </w:rPr>
        <w:t xml:space="preserve">Ottoman Legacies and the Preconditions of Sectarian Governance </w:t>
      </w:r>
    </w:p>
    <w:p w:rsidR="00CB01FE" w:rsidRPr="00CB01FE" w:rsidRDefault="00CB01FE" w:rsidP="00CB01FE">
      <w:pPr>
        <w:numPr>
          <w:ilvl w:val="0"/>
          <w:numId w:val="22"/>
        </w:numPr>
        <w:spacing w:before="100" w:beforeAutospacing="1" w:after="100" w:afterAutospacing="1" w:line="240" w:lineRule="auto"/>
        <w:rPr>
          <w:rFonts w:ascii="Times New Roman" w:eastAsia="Times New Roman" w:hAnsi="Times New Roman" w:cs="Times New Roman"/>
          <w:sz w:val="24"/>
          <w:szCs w:val="24"/>
          <w:lang w:eastAsia="en-GB"/>
        </w:rPr>
      </w:pPr>
      <w:r w:rsidRPr="00CB01FE">
        <w:rPr>
          <w:rFonts w:ascii="Times New Roman" w:eastAsia="Times New Roman" w:hAnsi="Times New Roman" w:cs="Times New Roman"/>
          <w:sz w:val="24"/>
          <w:szCs w:val="24"/>
          <w:lang w:eastAsia="en-GB"/>
        </w:rPr>
        <w:t xml:space="preserve">The French Mandate and the Institutionalisation of Differentiated Rule </w:t>
      </w:r>
    </w:p>
    <w:p w:rsidR="00CB01FE" w:rsidRPr="00CB01FE" w:rsidRDefault="00CB01FE" w:rsidP="00CB01FE">
      <w:pPr>
        <w:numPr>
          <w:ilvl w:val="0"/>
          <w:numId w:val="22"/>
        </w:numPr>
        <w:spacing w:before="100" w:beforeAutospacing="1" w:after="100" w:afterAutospacing="1" w:line="240" w:lineRule="auto"/>
        <w:rPr>
          <w:rFonts w:ascii="Times New Roman" w:eastAsia="Times New Roman" w:hAnsi="Times New Roman" w:cs="Times New Roman"/>
          <w:sz w:val="24"/>
          <w:szCs w:val="24"/>
          <w:lang w:eastAsia="en-GB"/>
        </w:rPr>
      </w:pPr>
      <w:r w:rsidRPr="00CB01FE">
        <w:rPr>
          <w:rFonts w:ascii="Times New Roman" w:eastAsia="Times New Roman" w:hAnsi="Times New Roman" w:cs="Times New Roman"/>
          <w:sz w:val="24"/>
          <w:szCs w:val="24"/>
          <w:lang w:eastAsia="en-GB"/>
        </w:rPr>
        <w:t xml:space="preserve">Resistance and the Limits of Colonial Ordering </w:t>
      </w:r>
    </w:p>
    <w:p w:rsidR="00CB01FE" w:rsidRPr="00CB01FE" w:rsidRDefault="00CB01FE" w:rsidP="00CB01FE">
      <w:pPr>
        <w:numPr>
          <w:ilvl w:val="0"/>
          <w:numId w:val="22"/>
        </w:numPr>
        <w:spacing w:before="100" w:beforeAutospacing="1" w:after="100" w:afterAutospacing="1" w:line="240" w:lineRule="auto"/>
        <w:rPr>
          <w:rFonts w:ascii="Times New Roman" w:eastAsia="Times New Roman" w:hAnsi="Times New Roman" w:cs="Times New Roman"/>
          <w:sz w:val="24"/>
          <w:szCs w:val="24"/>
          <w:lang w:eastAsia="en-GB"/>
        </w:rPr>
      </w:pPr>
      <w:r w:rsidRPr="00CB01FE">
        <w:rPr>
          <w:rFonts w:ascii="Times New Roman" w:eastAsia="Times New Roman" w:hAnsi="Times New Roman" w:cs="Times New Roman"/>
          <w:sz w:val="24"/>
          <w:szCs w:val="24"/>
          <w:lang w:eastAsia="en-GB"/>
        </w:rPr>
        <w:t xml:space="preserve">Hierarchies of Incorporation and Colonial Governance </w:t>
      </w:r>
    </w:p>
    <w:p w:rsidR="00CB01FE" w:rsidRPr="00CB01FE" w:rsidRDefault="00CB01FE" w:rsidP="00CB01FE">
      <w:pPr>
        <w:numPr>
          <w:ilvl w:val="0"/>
          <w:numId w:val="22"/>
        </w:numPr>
        <w:spacing w:before="100" w:beforeAutospacing="1" w:after="100" w:afterAutospacing="1" w:line="240" w:lineRule="auto"/>
        <w:rPr>
          <w:rFonts w:ascii="Times New Roman" w:eastAsia="Times New Roman" w:hAnsi="Times New Roman" w:cs="Times New Roman"/>
          <w:sz w:val="24"/>
          <w:szCs w:val="24"/>
          <w:lang w:eastAsia="en-GB"/>
        </w:rPr>
      </w:pPr>
      <w:r w:rsidRPr="00CB01FE">
        <w:rPr>
          <w:rFonts w:ascii="Times New Roman" w:eastAsia="Times New Roman" w:hAnsi="Times New Roman" w:cs="Times New Roman"/>
          <w:sz w:val="24"/>
          <w:szCs w:val="24"/>
          <w:lang w:eastAsia="en-GB"/>
        </w:rPr>
        <w:t xml:space="preserve">Conclusion </w:t>
      </w:r>
    </w:p>
    <w:p w:rsidR="00CB01FE" w:rsidRPr="00CB01FE" w:rsidRDefault="00CB01FE" w:rsidP="00CB01FE">
      <w:pPr>
        <w:spacing w:before="100" w:beforeAutospacing="1" w:after="100" w:afterAutospacing="1" w:line="240" w:lineRule="auto"/>
        <w:rPr>
          <w:rFonts w:ascii="Times New Roman" w:eastAsia="Times New Roman" w:hAnsi="Times New Roman" w:cs="Times New Roman"/>
          <w:sz w:val="24"/>
          <w:szCs w:val="24"/>
          <w:lang w:eastAsia="en-GB"/>
        </w:rPr>
      </w:pPr>
      <w:r w:rsidRPr="00CB01FE">
        <w:rPr>
          <w:rFonts w:ascii="Times New Roman" w:eastAsia="Times New Roman" w:hAnsi="Times New Roman" w:cs="Times New Roman"/>
          <w:b/>
          <w:bCs/>
          <w:sz w:val="24"/>
          <w:szCs w:val="24"/>
          <w:lang w:eastAsia="en-GB"/>
        </w:rPr>
        <w:t>Chapter 2: Divergent State Formation in Syria and Lebanon under the French Mandate</w:t>
      </w:r>
    </w:p>
    <w:p w:rsidR="00CB01FE" w:rsidRPr="00CB01FE" w:rsidRDefault="00CB01FE" w:rsidP="00CB01FE">
      <w:pPr>
        <w:numPr>
          <w:ilvl w:val="0"/>
          <w:numId w:val="23"/>
        </w:numPr>
        <w:spacing w:before="100" w:beforeAutospacing="1" w:after="100" w:afterAutospacing="1" w:line="240" w:lineRule="auto"/>
        <w:rPr>
          <w:rFonts w:ascii="Times New Roman" w:eastAsia="Times New Roman" w:hAnsi="Times New Roman" w:cs="Times New Roman"/>
          <w:sz w:val="24"/>
          <w:szCs w:val="24"/>
          <w:lang w:eastAsia="en-GB"/>
        </w:rPr>
      </w:pPr>
      <w:r w:rsidRPr="00CB01FE">
        <w:rPr>
          <w:rFonts w:ascii="Times New Roman" w:eastAsia="Times New Roman" w:hAnsi="Times New Roman" w:cs="Times New Roman"/>
          <w:sz w:val="24"/>
          <w:szCs w:val="24"/>
          <w:lang w:eastAsia="en-GB"/>
        </w:rPr>
        <w:t xml:space="preserve">Introduction: Shared Colonial Logic, Divergent Outcomes </w:t>
      </w:r>
    </w:p>
    <w:p w:rsidR="00CB01FE" w:rsidRPr="00CB01FE" w:rsidRDefault="00CB01FE" w:rsidP="00CB01FE">
      <w:pPr>
        <w:numPr>
          <w:ilvl w:val="0"/>
          <w:numId w:val="23"/>
        </w:numPr>
        <w:spacing w:before="100" w:beforeAutospacing="1" w:after="100" w:afterAutospacing="1" w:line="240" w:lineRule="auto"/>
        <w:rPr>
          <w:rFonts w:ascii="Times New Roman" w:eastAsia="Times New Roman" w:hAnsi="Times New Roman" w:cs="Times New Roman"/>
          <w:sz w:val="24"/>
          <w:szCs w:val="24"/>
          <w:lang w:eastAsia="en-GB"/>
        </w:rPr>
      </w:pPr>
      <w:r w:rsidRPr="00CB01FE">
        <w:rPr>
          <w:rFonts w:ascii="Times New Roman" w:eastAsia="Times New Roman" w:hAnsi="Times New Roman" w:cs="Times New Roman"/>
          <w:sz w:val="24"/>
          <w:szCs w:val="24"/>
          <w:lang w:eastAsia="en-GB"/>
        </w:rPr>
        <w:t xml:space="preserve">Syria: Fragmentation, Exclusion, and Indirect Sectarianisation </w:t>
      </w:r>
    </w:p>
    <w:p w:rsidR="00CB01FE" w:rsidRPr="00CB01FE" w:rsidRDefault="00CB01FE" w:rsidP="00CB01FE">
      <w:pPr>
        <w:numPr>
          <w:ilvl w:val="0"/>
          <w:numId w:val="23"/>
        </w:numPr>
        <w:spacing w:before="100" w:beforeAutospacing="1" w:after="100" w:afterAutospacing="1" w:line="240" w:lineRule="auto"/>
        <w:rPr>
          <w:rFonts w:ascii="Times New Roman" w:eastAsia="Times New Roman" w:hAnsi="Times New Roman" w:cs="Times New Roman"/>
          <w:sz w:val="24"/>
          <w:szCs w:val="24"/>
          <w:lang w:eastAsia="en-GB"/>
        </w:rPr>
      </w:pPr>
      <w:r w:rsidRPr="00CB01FE">
        <w:rPr>
          <w:rFonts w:ascii="Times New Roman" w:eastAsia="Times New Roman" w:hAnsi="Times New Roman" w:cs="Times New Roman"/>
          <w:sz w:val="24"/>
          <w:szCs w:val="24"/>
          <w:lang w:eastAsia="en-GB"/>
        </w:rPr>
        <w:t xml:space="preserve">Lebanon: Institutionalising Sectarian Hierarchy </w:t>
      </w:r>
    </w:p>
    <w:p w:rsidR="00CB01FE" w:rsidRPr="00CB01FE" w:rsidRDefault="00CB01FE" w:rsidP="00CB01FE">
      <w:pPr>
        <w:numPr>
          <w:ilvl w:val="0"/>
          <w:numId w:val="23"/>
        </w:numPr>
        <w:spacing w:before="100" w:beforeAutospacing="1" w:after="100" w:afterAutospacing="1" w:line="240" w:lineRule="auto"/>
        <w:rPr>
          <w:rFonts w:ascii="Times New Roman" w:eastAsia="Times New Roman" w:hAnsi="Times New Roman" w:cs="Times New Roman"/>
          <w:sz w:val="24"/>
          <w:szCs w:val="24"/>
          <w:lang w:eastAsia="en-GB"/>
        </w:rPr>
      </w:pPr>
      <w:r w:rsidRPr="00CB01FE">
        <w:rPr>
          <w:rFonts w:ascii="Times New Roman" w:eastAsia="Times New Roman" w:hAnsi="Times New Roman" w:cs="Times New Roman"/>
          <w:sz w:val="24"/>
          <w:szCs w:val="24"/>
          <w:lang w:eastAsia="en-GB"/>
        </w:rPr>
        <w:t xml:space="preserve">Explaining Divergence: Why Different Outcomes? </w:t>
      </w:r>
    </w:p>
    <w:p w:rsidR="00CB01FE" w:rsidRPr="00CB01FE" w:rsidRDefault="00CB01FE" w:rsidP="00CB01FE">
      <w:pPr>
        <w:numPr>
          <w:ilvl w:val="0"/>
          <w:numId w:val="23"/>
        </w:numPr>
        <w:spacing w:before="100" w:beforeAutospacing="1" w:after="100" w:afterAutospacing="1" w:line="240" w:lineRule="auto"/>
        <w:rPr>
          <w:rFonts w:ascii="Times New Roman" w:eastAsia="Times New Roman" w:hAnsi="Times New Roman" w:cs="Times New Roman"/>
          <w:sz w:val="24"/>
          <w:szCs w:val="24"/>
          <w:lang w:eastAsia="en-GB"/>
        </w:rPr>
      </w:pPr>
      <w:r w:rsidRPr="00CB01FE">
        <w:rPr>
          <w:rFonts w:ascii="Times New Roman" w:eastAsia="Times New Roman" w:hAnsi="Times New Roman" w:cs="Times New Roman"/>
          <w:sz w:val="24"/>
          <w:szCs w:val="24"/>
          <w:lang w:eastAsia="en-GB"/>
        </w:rPr>
        <w:t xml:space="preserve">Conclusion </w:t>
      </w:r>
    </w:p>
    <w:p w:rsidR="00CB01FE" w:rsidRPr="00CB01FE" w:rsidRDefault="00CB01FE" w:rsidP="00CB01FE">
      <w:pPr>
        <w:spacing w:before="100" w:beforeAutospacing="1" w:after="100" w:afterAutospacing="1" w:line="240" w:lineRule="auto"/>
        <w:rPr>
          <w:rFonts w:ascii="Times New Roman" w:eastAsia="Times New Roman" w:hAnsi="Times New Roman" w:cs="Times New Roman"/>
          <w:sz w:val="24"/>
          <w:szCs w:val="24"/>
          <w:lang w:eastAsia="en-GB"/>
        </w:rPr>
      </w:pPr>
      <w:r w:rsidRPr="00CB01FE">
        <w:rPr>
          <w:rFonts w:ascii="Times New Roman" w:eastAsia="Times New Roman" w:hAnsi="Times New Roman" w:cs="Times New Roman"/>
          <w:b/>
          <w:bCs/>
          <w:sz w:val="24"/>
          <w:szCs w:val="24"/>
          <w:lang w:eastAsia="en-GB"/>
        </w:rPr>
        <w:t>Chapter 3: Persistence and Contemporary Sectarian Governance</w:t>
      </w:r>
    </w:p>
    <w:p w:rsidR="00CB01FE" w:rsidRPr="00CB01FE" w:rsidRDefault="00CB01FE" w:rsidP="00CB01FE">
      <w:pPr>
        <w:numPr>
          <w:ilvl w:val="0"/>
          <w:numId w:val="24"/>
        </w:numPr>
        <w:spacing w:before="100" w:beforeAutospacing="1" w:after="100" w:afterAutospacing="1" w:line="240" w:lineRule="auto"/>
        <w:rPr>
          <w:rFonts w:ascii="Times New Roman" w:eastAsia="Times New Roman" w:hAnsi="Times New Roman" w:cs="Times New Roman"/>
          <w:sz w:val="24"/>
          <w:szCs w:val="24"/>
          <w:lang w:eastAsia="en-GB"/>
        </w:rPr>
      </w:pPr>
      <w:r w:rsidRPr="00CB01FE">
        <w:rPr>
          <w:rFonts w:ascii="Times New Roman" w:eastAsia="Times New Roman" w:hAnsi="Times New Roman" w:cs="Times New Roman"/>
          <w:sz w:val="24"/>
          <w:szCs w:val="24"/>
          <w:lang w:eastAsia="en-GB"/>
        </w:rPr>
        <w:t xml:space="preserve">Introduction: Mandate Legacies and Postcolonial Transformation </w:t>
      </w:r>
    </w:p>
    <w:p w:rsidR="00CB01FE" w:rsidRPr="00CB01FE" w:rsidRDefault="00CB01FE" w:rsidP="00CB01FE">
      <w:pPr>
        <w:numPr>
          <w:ilvl w:val="0"/>
          <w:numId w:val="24"/>
        </w:numPr>
        <w:spacing w:before="100" w:beforeAutospacing="1" w:after="100" w:afterAutospacing="1" w:line="240" w:lineRule="auto"/>
        <w:rPr>
          <w:rFonts w:ascii="Times New Roman" w:eastAsia="Times New Roman" w:hAnsi="Times New Roman" w:cs="Times New Roman"/>
          <w:sz w:val="24"/>
          <w:szCs w:val="24"/>
          <w:lang w:eastAsia="en-GB"/>
        </w:rPr>
      </w:pPr>
      <w:r w:rsidRPr="00CB01FE">
        <w:rPr>
          <w:rFonts w:ascii="Times New Roman" w:eastAsia="Times New Roman" w:hAnsi="Times New Roman" w:cs="Times New Roman"/>
          <w:sz w:val="24"/>
          <w:szCs w:val="24"/>
          <w:lang w:eastAsia="en-GB"/>
        </w:rPr>
        <w:t xml:space="preserve">Lebanon: Institutionalised Continuity and Confessional Governance </w:t>
      </w:r>
    </w:p>
    <w:p w:rsidR="00CB01FE" w:rsidRPr="00CB01FE" w:rsidRDefault="00CB01FE" w:rsidP="00CB01FE">
      <w:pPr>
        <w:numPr>
          <w:ilvl w:val="0"/>
          <w:numId w:val="24"/>
        </w:numPr>
        <w:spacing w:before="100" w:beforeAutospacing="1" w:after="100" w:afterAutospacing="1" w:line="240" w:lineRule="auto"/>
        <w:rPr>
          <w:rFonts w:ascii="Times New Roman" w:eastAsia="Times New Roman" w:hAnsi="Times New Roman" w:cs="Times New Roman"/>
          <w:sz w:val="24"/>
          <w:szCs w:val="24"/>
          <w:lang w:eastAsia="en-GB"/>
        </w:rPr>
      </w:pPr>
      <w:r w:rsidRPr="00CB01FE">
        <w:rPr>
          <w:rFonts w:ascii="Times New Roman" w:eastAsia="Times New Roman" w:hAnsi="Times New Roman" w:cs="Times New Roman"/>
          <w:sz w:val="24"/>
          <w:szCs w:val="24"/>
          <w:lang w:eastAsia="en-GB"/>
        </w:rPr>
        <w:t xml:space="preserve">Syria: Informal Sectarianism and Authoritarian Hierarchy </w:t>
      </w:r>
    </w:p>
    <w:p w:rsidR="00CB01FE" w:rsidRPr="00CB01FE" w:rsidRDefault="00CB01FE" w:rsidP="00CB01FE">
      <w:pPr>
        <w:numPr>
          <w:ilvl w:val="0"/>
          <w:numId w:val="24"/>
        </w:numPr>
        <w:spacing w:before="100" w:beforeAutospacing="1" w:after="100" w:afterAutospacing="1" w:line="240" w:lineRule="auto"/>
        <w:rPr>
          <w:rFonts w:ascii="Times New Roman" w:eastAsia="Times New Roman" w:hAnsi="Times New Roman" w:cs="Times New Roman"/>
          <w:sz w:val="24"/>
          <w:szCs w:val="24"/>
          <w:lang w:eastAsia="en-GB"/>
        </w:rPr>
      </w:pPr>
      <w:r w:rsidRPr="00CB01FE">
        <w:rPr>
          <w:rFonts w:ascii="Times New Roman" w:eastAsia="Times New Roman" w:hAnsi="Times New Roman" w:cs="Times New Roman"/>
          <w:sz w:val="24"/>
          <w:szCs w:val="24"/>
          <w:lang w:eastAsia="en-GB"/>
        </w:rPr>
        <w:t xml:space="preserve">Comparing Continuity and Postcolonial Transformation </w:t>
      </w:r>
    </w:p>
    <w:p w:rsidR="00CB01FE" w:rsidRDefault="00CB01FE" w:rsidP="00CB01FE">
      <w:pPr>
        <w:spacing w:before="100" w:beforeAutospacing="1" w:after="100" w:afterAutospacing="1" w:line="240" w:lineRule="auto"/>
        <w:rPr>
          <w:rFonts w:ascii="Times New Roman" w:eastAsia="Times New Roman" w:hAnsi="Times New Roman" w:cs="Times New Roman"/>
          <w:b/>
          <w:bCs/>
          <w:sz w:val="24"/>
          <w:szCs w:val="24"/>
          <w:lang w:eastAsia="en-GB"/>
        </w:rPr>
      </w:pPr>
      <w:r w:rsidRPr="00CB01FE">
        <w:rPr>
          <w:rFonts w:ascii="Times New Roman" w:eastAsia="Times New Roman" w:hAnsi="Times New Roman" w:cs="Times New Roman"/>
          <w:b/>
          <w:bCs/>
          <w:sz w:val="24"/>
          <w:szCs w:val="24"/>
          <w:lang w:eastAsia="en-GB"/>
        </w:rPr>
        <w:t>Conclusion</w:t>
      </w:r>
    </w:p>
    <w:p w:rsidR="000064D5" w:rsidRPr="00CB01FE" w:rsidRDefault="000064D5" w:rsidP="00CB01FE">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Notes</w:t>
      </w:r>
    </w:p>
    <w:p w:rsidR="00CB01FE" w:rsidRPr="00CB01FE" w:rsidRDefault="00CB01FE" w:rsidP="00CB01FE">
      <w:pPr>
        <w:spacing w:before="100" w:beforeAutospacing="1" w:after="100" w:afterAutospacing="1" w:line="240" w:lineRule="auto"/>
        <w:rPr>
          <w:rFonts w:ascii="Times New Roman" w:eastAsia="Times New Roman" w:hAnsi="Times New Roman" w:cs="Times New Roman"/>
          <w:sz w:val="24"/>
          <w:szCs w:val="24"/>
          <w:lang w:eastAsia="en-GB"/>
        </w:rPr>
      </w:pPr>
      <w:r w:rsidRPr="00CB01FE">
        <w:rPr>
          <w:rFonts w:ascii="Times New Roman" w:eastAsia="Times New Roman" w:hAnsi="Times New Roman" w:cs="Times New Roman"/>
          <w:b/>
          <w:bCs/>
          <w:sz w:val="24"/>
          <w:szCs w:val="24"/>
          <w:lang w:eastAsia="en-GB"/>
        </w:rPr>
        <w:t>Bibliography</w:t>
      </w:r>
    </w:p>
    <w:p w:rsidR="00CB01FE" w:rsidRPr="00CB01FE" w:rsidRDefault="00CB01FE" w:rsidP="00CB01FE">
      <w:pPr>
        <w:numPr>
          <w:ilvl w:val="0"/>
          <w:numId w:val="25"/>
        </w:numPr>
        <w:spacing w:before="100" w:beforeAutospacing="1" w:after="100" w:afterAutospacing="1" w:line="240" w:lineRule="auto"/>
        <w:rPr>
          <w:rFonts w:ascii="Times New Roman" w:eastAsia="Times New Roman" w:hAnsi="Times New Roman" w:cs="Times New Roman"/>
          <w:sz w:val="24"/>
          <w:szCs w:val="24"/>
          <w:lang w:eastAsia="en-GB"/>
        </w:rPr>
      </w:pPr>
      <w:r w:rsidRPr="00CB01FE">
        <w:rPr>
          <w:rFonts w:ascii="Times New Roman" w:eastAsia="Times New Roman" w:hAnsi="Times New Roman" w:cs="Times New Roman"/>
          <w:sz w:val="24"/>
          <w:szCs w:val="24"/>
          <w:lang w:eastAsia="en-GB"/>
        </w:rPr>
        <w:t xml:space="preserve">Primary Sources </w:t>
      </w:r>
    </w:p>
    <w:p w:rsidR="00CB01FE" w:rsidRPr="00CB01FE" w:rsidRDefault="00CB01FE" w:rsidP="00CB01FE">
      <w:pPr>
        <w:numPr>
          <w:ilvl w:val="0"/>
          <w:numId w:val="25"/>
        </w:numPr>
        <w:spacing w:before="100" w:beforeAutospacing="1" w:after="100" w:afterAutospacing="1" w:line="240" w:lineRule="auto"/>
        <w:rPr>
          <w:rFonts w:ascii="Times New Roman" w:eastAsia="Times New Roman" w:hAnsi="Times New Roman" w:cs="Times New Roman"/>
          <w:sz w:val="24"/>
          <w:szCs w:val="24"/>
          <w:lang w:eastAsia="en-GB"/>
        </w:rPr>
      </w:pPr>
      <w:r w:rsidRPr="00CB01FE">
        <w:rPr>
          <w:rFonts w:ascii="Times New Roman" w:eastAsia="Times New Roman" w:hAnsi="Times New Roman" w:cs="Times New Roman"/>
          <w:sz w:val="24"/>
          <w:szCs w:val="24"/>
          <w:lang w:eastAsia="en-GB"/>
        </w:rPr>
        <w:t xml:space="preserve">Secondary Sources </w:t>
      </w:r>
    </w:p>
    <w:p w:rsidR="00B56B62" w:rsidRDefault="00B56B62" w:rsidP="00E14104">
      <w:pPr>
        <w:pStyle w:val="Heading1"/>
        <w:rPr>
          <w:sz w:val="24"/>
          <w:szCs w:val="24"/>
        </w:rPr>
      </w:pPr>
    </w:p>
    <w:p w:rsidR="007A4D73" w:rsidRPr="00BD30DC" w:rsidRDefault="00513C3C" w:rsidP="00E14104">
      <w:pPr>
        <w:pStyle w:val="Heading1"/>
        <w:rPr>
          <w:sz w:val="24"/>
          <w:szCs w:val="24"/>
        </w:rPr>
      </w:pPr>
      <w:r w:rsidRPr="00BD30DC">
        <w:rPr>
          <w:sz w:val="24"/>
          <w:szCs w:val="24"/>
        </w:rPr>
        <w:lastRenderedPageBreak/>
        <w:t>Figures</w:t>
      </w:r>
    </w:p>
    <w:p w:rsidR="007F530D" w:rsidRPr="00BD30DC" w:rsidRDefault="007F530D" w:rsidP="007F530D">
      <w:pPr>
        <w:spacing w:before="100" w:beforeAutospacing="1" w:after="100" w:afterAutospacing="1" w:line="240" w:lineRule="auto"/>
        <w:outlineLvl w:val="1"/>
        <w:rPr>
          <w:rFonts w:ascii="Times New Roman" w:eastAsia="Times New Roman" w:hAnsi="Times New Roman" w:cs="Times New Roman"/>
          <w:bCs/>
          <w:sz w:val="24"/>
          <w:szCs w:val="24"/>
          <w:lang w:eastAsia="en-GB"/>
        </w:rPr>
      </w:pPr>
      <w:r w:rsidRPr="00BD30DC">
        <w:rPr>
          <w:rFonts w:ascii="Times New Roman" w:eastAsia="Times New Roman" w:hAnsi="Times New Roman" w:cs="Times New Roman"/>
          <w:bCs/>
          <w:sz w:val="24"/>
          <w:szCs w:val="24"/>
          <w:lang w:eastAsia="en-GB"/>
        </w:rPr>
        <w:t>Figure 1: Ethnic and religious demographic map of Syria and Lebanon in 1935 during the French Mandate.</w:t>
      </w:r>
    </w:p>
    <w:p w:rsidR="007A4D73" w:rsidRPr="00BD30DC" w:rsidRDefault="007A4D73" w:rsidP="007A4D73">
      <w:pPr>
        <w:spacing w:before="100" w:beforeAutospacing="1" w:after="100" w:afterAutospacing="1" w:line="240" w:lineRule="auto"/>
        <w:rPr>
          <w:rFonts w:ascii="Times New Roman" w:eastAsia="Times New Roman" w:hAnsi="Times New Roman" w:cs="Times New Roman"/>
          <w:sz w:val="24"/>
          <w:szCs w:val="24"/>
          <w:lang w:eastAsia="en-GB"/>
        </w:rPr>
      </w:pPr>
      <w:r w:rsidRPr="00BD30DC">
        <w:rPr>
          <w:rFonts w:ascii="Times New Roman" w:eastAsia="Times New Roman" w:hAnsi="Times New Roman" w:cs="Times New Roman"/>
          <w:sz w:val="24"/>
          <w:szCs w:val="24"/>
          <w:lang w:eastAsia="en-GB"/>
        </w:rPr>
        <w:t xml:space="preserve">Figure 2: </w:t>
      </w:r>
      <w:r w:rsidRPr="00BD30DC">
        <w:rPr>
          <w:rFonts w:ascii="Times New Roman" w:hAnsi="Times New Roman" w:cs="Times New Roman"/>
          <w:sz w:val="24"/>
          <w:szCs w:val="24"/>
        </w:rPr>
        <w:t>Map showing location of some French Catholic Schools in French Mandate Syria and Lebanon.</w:t>
      </w:r>
    </w:p>
    <w:p w:rsidR="007A4D73" w:rsidRPr="00BD30DC" w:rsidRDefault="007A4D73" w:rsidP="007A4D73">
      <w:pPr>
        <w:spacing w:before="100" w:beforeAutospacing="1" w:after="100" w:afterAutospacing="1" w:line="240" w:lineRule="auto"/>
        <w:rPr>
          <w:rFonts w:ascii="Times New Roman" w:eastAsia="Times New Roman" w:hAnsi="Times New Roman" w:cs="Times New Roman"/>
          <w:sz w:val="24"/>
          <w:szCs w:val="24"/>
          <w:lang w:eastAsia="en-GB"/>
        </w:rPr>
      </w:pPr>
      <w:r w:rsidRPr="00BD30DC">
        <w:rPr>
          <w:rFonts w:ascii="Times New Roman" w:eastAsia="Times New Roman" w:hAnsi="Times New Roman" w:cs="Times New Roman"/>
          <w:sz w:val="24"/>
          <w:szCs w:val="24"/>
          <w:lang w:eastAsia="en-GB"/>
        </w:rPr>
        <w:t>Figure 3: The urban population in the Syrian coastal region in 1935 by religious community.</w:t>
      </w:r>
    </w:p>
    <w:p w:rsidR="00513C3C" w:rsidRPr="00BD30DC" w:rsidRDefault="00CD45FF" w:rsidP="00CD45FF">
      <w:pPr>
        <w:spacing w:before="100" w:beforeAutospacing="1" w:after="100" w:afterAutospacing="1" w:line="240" w:lineRule="auto"/>
        <w:rPr>
          <w:sz w:val="24"/>
          <w:szCs w:val="24"/>
        </w:rPr>
      </w:pPr>
      <w:r w:rsidRPr="00BD30DC">
        <w:rPr>
          <w:rFonts w:ascii="Times New Roman" w:eastAsia="Times New Roman" w:hAnsi="Times New Roman" w:cs="Times New Roman"/>
          <w:sz w:val="24"/>
          <w:szCs w:val="24"/>
          <w:lang w:eastAsia="en-GB"/>
        </w:rPr>
        <w:t>Figure 4: The corpses of three members of the Syrian resistance, hanged in Marjeh Square during the Arab Revolt.</w:t>
      </w:r>
      <w:r w:rsidRPr="00BD30DC">
        <w:rPr>
          <w:sz w:val="24"/>
          <w:szCs w:val="24"/>
        </w:rPr>
        <w:t xml:space="preserve"> </w:t>
      </w:r>
    </w:p>
    <w:p w:rsidR="00CD45FF" w:rsidRPr="00BD30DC" w:rsidRDefault="00CD45FF" w:rsidP="00CD45FF">
      <w:pPr>
        <w:spacing w:before="100" w:beforeAutospacing="1" w:after="100" w:afterAutospacing="1" w:line="240" w:lineRule="auto"/>
        <w:rPr>
          <w:rFonts w:ascii="Times New Roman" w:eastAsia="Times New Roman" w:hAnsi="Times New Roman" w:cs="Times New Roman"/>
          <w:sz w:val="24"/>
          <w:szCs w:val="24"/>
          <w:lang w:eastAsia="en-GB"/>
        </w:rPr>
      </w:pPr>
      <w:r w:rsidRPr="00BD30DC">
        <w:rPr>
          <w:rFonts w:ascii="Times New Roman" w:eastAsia="Times New Roman" w:hAnsi="Times New Roman" w:cs="Times New Roman"/>
          <w:sz w:val="24"/>
          <w:szCs w:val="24"/>
          <w:lang w:eastAsia="en-GB"/>
        </w:rPr>
        <w:t>Figure 5: Except of section 4 from Article 22 from the League of Nations Covenant for the Mandate.</w:t>
      </w:r>
    </w:p>
    <w:p w:rsidR="00CD45FF" w:rsidRPr="00BD30DC" w:rsidRDefault="00CD45FF" w:rsidP="00CD45FF">
      <w:pPr>
        <w:spacing w:before="100" w:beforeAutospacing="1" w:after="100" w:afterAutospacing="1" w:line="240" w:lineRule="auto"/>
        <w:rPr>
          <w:rFonts w:ascii="Times New Roman" w:eastAsia="Times New Roman" w:hAnsi="Times New Roman" w:cs="Times New Roman"/>
          <w:sz w:val="24"/>
          <w:szCs w:val="24"/>
          <w:lang w:eastAsia="en-GB"/>
        </w:rPr>
      </w:pPr>
      <w:r w:rsidRPr="00BD30DC">
        <w:rPr>
          <w:rFonts w:ascii="Times New Roman" w:eastAsia="Times New Roman" w:hAnsi="Times New Roman" w:cs="Times New Roman"/>
          <w:sz w:val="24"/>
          <w:szCs w:val="24"/>
          <w:lang w:eastAsia="en-GB"/>
        </w:rPr>
        <w:t>Figure 6: Map of The Alawite state from 1920-36, showing mixed populations on the coast.</w:t>
      </w:r>
    </w:p>
    <w:p w:rsidR="00CD45FF" w:rsidRPr="00BD30DC" w:rsidRDefault="00CD45FF" w:rsidP="00CD45FF">
      <w:pPr>
        <w:spacing w:before="100" w:beforeAutospacing="1" w:after="100" w:afterAutospacing="1" w:line="240" w:lineRule="auto"/>
        <w:rPr>
          <w:rFonts w:ascii="Times New Roman" w:eastAsia="Times New Roman" w:hAnsi="Times New Roman" w:cs="Times New Roman"/>
          <w:sz w:val="24"/>
          <w:szCs w:val="24"/>
          <w:lang w:eastAsia="en-GB"/>
        </w:rPr>
      </w:pPr>
      <w:r w:rsidRPr="00BD30DC">
        <w:rPr>
          <w:rFonts w:ascii="Times New Roman" w:eastAsia="Times New Roman" w:hAnsi="Times New Roman" w:cs="Times New Roman"/>
          <w:sz w:val="24"/>
          <w:szCs w:val="24"/>
          <w:lang w:eastAsia="en-GB"/>
        </w:rPr>
        <w:t>Figure 7: Article 24 from the Lebanese constitution of 1926.</w:t>
      </w:r>
    </w:p>
    <w:p w:rsidR="00C62329" w:rsidRPr="00BD30DC" w:rsidRDefault="00C62329" w:rsidP="00C62329">
      <w:pPr>
        <w:spacing w:before="100" w:beforeAutospacing="1" w:after="100" w:afterAutospacing="1" w:line="240" w:lineRule="auto"/>
        <w:rPr>
          <w:rFonts w:ascii="Times New Roman" w:eastAsia="Times New Roman" w:hAnsi="Times New Roman" w:cs="Times New Roman"/>
          <w:sz w:val="24"/>
          <w:szCs w:val="24"/>
          <w:lang w:eastAsia="en-GB"/>
        </w:rPr>
      </w:pPr>
      <w:r w:rsidRPr="00BD30DC">
        <w:rPr>
          <w:rFonts w:ascii="Times New Roman" w:eastAsia="Times New Roman" w:hAnsi="Times New Roman" w:cs="Times New Roman"/>
          <w:sz w:val="24"/>
          <w:szCs w:val="24"/>
          <w:lang w:eastAsia="en-GB"/>
        </w:rPr>
        <w:t>Figure 8: Map of territorial concentrations of different religions and sects in Lebanon.</w:t>
      </w:r>
    </w:p>
    <w:p w:rsidR="00C62329" w:rsidRPr="00BD30DC" w:rsidRDefault="00C62329" w:rsidP="00C62329">
      <w:pPr>
        <w:spacing w:before="100" w:beforeAutospacing="1" w:after="100" w:afterAutospacing="1" w:line="240" w:lineRule="auto"/>
        <w:rPr>
          <w:rFonts w:ascii="Times New Roman" w:eastAsia="Times New Roman" w:hAnsi="Times New Roman" w:cs="Times New Roman"/>
          <w:sz w:val="24"/>
          <w:szCs w:val="24"/>
          <w:lang w:eastAsia="en-GB"/>
        </w:rPr>
      </w:pPr>
      <w:r w:rsidRPr="00BD30DC">
        <w:rPr>
          <w:rFonts w:ascii="Times New Roman" w:eastAsia="Times New Roman" w:hAnsi="Times New Roman" w:cs="Times New Roman"/>
          <w:sz w:val="24"/>
          <w:szCs w:val="24"/>
          <w:lang w:eastAsia="en-GB"/>
        </w:rPr>
        <w:t>Figure 9: Lebanon’s Religious Demographics map showing the increase of the Muslim population as compared to the previous Christian majority population.</w:t>
      </w:r>
    </w:p>
    <w:p w:rsidR="00BD30DC" w:rsidRPr="00BD30DC" w:rsidRDefault="00BD30DC" w:rsidP="00BD30DC">
      <w:pPr>
        <w:spacing w:before="100" w:beforeAutospacing="1" w:after="100" w:afterAutospacing="1" w:line="240" w:lineRule="auto"/>
        <w:rPr>
          <w:rFonts w:ascii="Times New Roman" w:eastAsia="Times New Roman" w:hAnsi="Times New Roman" w:cs="Times New Roman"/>
          <w:sz w:val="24"/>
          <w:szCs w:val="24"/>
          <w:lang w:eastAsia="en-GB"/>
        </w:rPr>
      </w:pPr>
      <w:r w:rsidRPr="00BD30DC">
        <w:rPr>
          <w:rFonts w:ascii="Times New Roman" w:eastAsia="Times New Roman" w:hAnsi="Times New Roman" w:cs="Times New Roman"/>
          <w:sz w:val="24"/>
          <w:szCs w:val="24"/>
          <w:lang w:eastAsia="en-GB"/>
        </w:rPr>
        <w:t>Figure 10: Opening Ceremony of the Mediterranean Games, Lattakia, i</w:t>
      </w:r>
      <w:r w:rsidR="00092E75">
        <w:rPr>
          <w:rFonts w:ascii="Times New Roman" w:eastAsia="Times New Roman" w:hAnsi="Times New Roman" w:cs="Times New Roman"/>
          <w:sz w:val="24"/>
          <w:szCs w:val="24"/>
          <w:lang w:eastAsia="en-GB"/>
        </w:rPr>
        <w:t xml:space="preserve">n 1987, depicting Hafiz al-Asad </w:t>
      </w:r>
      <w:r w:rsidRPr="00BD30DC">
        <w:rPr>
          <w:rFonts w:ascii="Times New Roman" w:eastAsia="Times New Roman" w:hAnsi="Times New Roman" w:cs="Times New Roman"/>
          <w:sz w:val="24"/>
          <w:szCs w:val="24"/>
          <w:lang w:eastAsia="en-GB"/>
        </w:rPr>
        <w:t>as omnipotent.</w:t>
      </w:r>
    </w:p>
    <w:p w:rsidR="00513C3C" w:rsidRPr="00BD30DC" w:rsidRDefault="00513C3C" w:rsidP="00E14104">
      <w:pPr>
        <w:pStyle w:val="Heading1"/>
        <w:rPr>
          <w:sz w:val="24"/>
          <w:szCs w:val="24"/>
        </w:rPr>
      </w:pPr>
    </w:p>
    <w:p w:rsidR="00513C3C" w:rsidRDefault="00513C3C" w:rsidP="00E14104">
      <w:pPr>
        <w:pStyle w:val="Heading1"/>
        <w:rPr>
          <w:sz w:val="24"/>
          <w:szCs w:val="24"/>
        </w:rPr>
      </w:pPr>
    </w:p>
    <w:p w:rsidR="00513C3C" w:rsidRDefault="00513C3C" w:rsidP="00E14104">
      <w:pPr>
        <w:pStyle w:val="Heading1"/>
        <w:rPr>
          <w:sz w:val="24"/>
          <w:szCs w:val="24"/>
        </w:rPr>
      </w:pPr>
    </w:p>
    <w:p w:rsidR="00513C3C" w:rsidRDefault="00513C3C" w:rsidP="00E14104">
      <w:pPr>
        <w:pStyle w:val="Heading1"/>
        <w:rPr>
          <w:sz w:val="24"/>
          <w:szCs w:val="24"/>
        </w:rPr>
      </w:pPr>
    </w:p>
    <w:p w:rsidR="00513C3C" w:rsidRDefault="00513C3C" w:rsidP="00E14104">
      <w:pPr>
        <w:pStyle w:val="Heading1"/>
        <w:rPr>
          <w:sz w:val="24"/>
          <w:szCs w:val="24"/>
        </w:rPr>
      </w:pPr>
    </w:p>
    <w:p w:rsidR="00513C3C" w:rsidRDefault="00513C3C" w:rsidP="00E14104">
      <w:pPr>
        <w:pStyle w:val="Heading1"/>
        <w:rPr>
          <w:sz w:val="24"/>
          <w:szCs w:val="24"/>
        </w:rPr>
      </w:pPr>
    </w:p>
    <w:p w:rsidR="00513C3C" w:rsidRDefault="00513C3C" w:rsidP="00E14104">
      <w:pPr>
        <w:pStyle w:val="Heading1"/>
        <w:rPr>
          <w:sz w:val="24"/>
          <w:szCs w:val="24"/>
        </w:rPr>
      </w:pPr>
    </w:p>
    <w:p w:rsidR="00513C3C" w:rsidRDefault="00513C3C" w:rsidP="00E14104">
      <w:pPr>
        <w:pStyle w:val="Heading1"/>
        <w:rPr>
          <w:sz w:val="24"/>
          <w:szCs w:val="24"/>
        </w:rPr>
      </w:pPr>
    </w:p>
    <w:p w:rsidR="00513C3C" w:rsidRDefault="00513C3C" w:rsidP="00E14104">
      <w:pPr>
        <w:pStyle w:val="Heading1"/>
        <w:rPr>
          <w:sz w:val="24"/>
          <w:szCs w:val="24"/>
        </w:rPr>
      </w:pPr>
    </w:p>
    <w:p w:rsidR="00513C3C" w:rsidRDefault="00513C3C" w:rsidP="00E14104">
      <w:pPr>
        <w:pStyle w:val="Heading1"/>
        <w:rPr>
          <w:sz w:val="24"/>
          <w:szCs w:val="24"/>
        </w:rPr>
      </w:pPr>
    </w:p>
    <w:p w:rsidR="00114243" w:rsidRDefault="00114243" w:rsidP="00E14104">
      <w:pPr>
        <w:pStyle w:val="Heading1"/>
        <w:rPr>
          <w:sz w:val="24"/>
          <w:szCs w:val="24"/>
        </w:rPr>
      </w:pPr>
    </w:p>
    <w:p w:rsidR="00333127" w:rsidRPr="00333127" w:rsidRDefault="00333127" w:rsidP="00E14104">
      <w:pPr>
        <w:pStyle w:val="Heading1"/>
        <w:rPr>
          <w:sz w:val="24"/>
          <w:szCs w:val="24"/>
        </w:rPr>
      </w:pPr>
      <w:r w:rsidRPr="00333127">
        <w:rPr>
          <w:sz w:val="24"/>
          <w:szCs w:val="24"/>
        </w:rPr>
        <w:lastRenderedPageBreak/>
        <w:t>To what extent did the French Mandate for Syria and Lebanon shape contemporary sectarian governance?</w:t>
      </w:r>
    </w:p>
    <w:p w:rsidR="00CB703E" w:rsidRDefault="00CB703E" w:rsidP="00E14104">
      <w:pPr>
        <w:pStyle w:val="Heading1"/>
        <w:rPr>
          <w:sz w:val="24"/>
          <w:szCs w:val="24"/>
        </w:rPr>
      </w:pPr>
      <w:r w:rsidRPr="392B512C">
        <w:rPr>
          <w:sz w:val="24"/>
          <w:szCs w:val="24"/>
        </w:rPr>
        <w:t>Abstract</w:t>
      </w:r>
    </w:p>
    <w:p w:rsidR="23C9C41C" w:rsidRPr="003E148F" w:rsidRDefault="23C9C41C" w:rsidP="392B512C">
      <w:pPr>
        <w:pStyle w:val="Heading1"/>
        <w:rPr>
          <w:b w:val="0"/>
          <w:sz w:val="24"/>
          <w:szCs w:val="24"/>
        </w:rPr>
      </w:pPr>
      <w:r w:rsidRPr="003E148F">
        <w:rPr>
          <w:b w:val="0"/>
          <w:sz w:val="24"/>
          <w:szCs w:val="24"/>
        </w:rPr>
        <w:t xml:space="preserve">This dissertation examines the extent to which contemporary sectarian governance was shaped by the French Mandate for Syria and Lebanon. It challenges both the main academic interpretations on the subject, primordialism and reductionist colonial explanations. The former treats sectarianism as a longstanding aspect of the Levantine region while the latter explains it as being linked to French ‘divide and rule’ policies. Instead, it argues that the Mandate’s main impact was the transformation of communal distinctions that already existed and that were shaped by Ottoman rule and reforms in the nineteenth-century, into a hierarchical system of governance strategies that were embedded within state institutions.  </w:t>
      </w:r>
    </w:p>
    <w:p w:rsidR="23C9C41C" w:rsidRPr="003E148F" w:rsidRDefault="23C9C41C" w:rsidP="392B512C">
      <w:pPr>
        <w:pStyle w:val="Heading1"/>
        <w:rPr>
          <w:b w:val="0"/>
        </w:rPr>
      </w:pPr>
      <w:r w:rsidRPr="003E148F">
        <w:rPr>
          <w:b w:val="0"/>
          <w:sz w:val="24"/>
          <w:szCs w:val="24"/>
        </w:rPr>
        <w:t xml:space="preserve">This dissertation demonstrates how the French re-categorised and re-organised populations through the restructuring of territory and careful incorporation of certain groups for their own benefit, and it does this by drawing on historical debates and a range of primary sources including Mandate maps, constitutional documents, League of Nations texts, nationalist proclamations, demographic tables, and visual propaganda. These processes not only fragmented societies but also created a hierarchy of governance in which different people groups were given unfair and unequal access to political authority based on who the French thought had most strategic value and reliability.  </w:t>
      </w:r>
    </w:p>
    <w:p w:rsidR="23C9C41C" w:rsidRPr="003E148F" w:rsidRDefault="23C9C41C" w:rsidP="392B512C">
      <w:pPr>
        <w:pStyle w:val="Heading1"/>
        <w:rPr>
          <w:b w:val="0"/>
        </w:rPr>
      </w:pPr>
      <w:r w:rsidRPr="003E148F">
        <w:rPr>
          <w:b w:val="0"/>
          <w:sz w:val="24"/>
          <w:szCs w:val="24"/>
        </w:rPr>
        <w:t xml:space="preserve">This dissertation is structured in three parts. The first chapter looks at how the Mandate institutionalised differences in society into state structures and thus transformed identities that were fluid into fixed categories. The second chapter explores how state formation diverged in both Syria and Lebanon, showing how colonial strategies produced both confessionalism in Lebanon and authoritarianism in Syria. The third chapter looks at how these structures remained after independence, by showing how regimes that came after independence managed to adapt Mandate-era dynamics and policies through how the constitutional and security arrangements were set up, and by elite bargaining.  </w:t>
      </w:r>
    </w:p>
    <w:p w:rsidR="23C9C41C" w:rsidRPr="003E148F" w:rsidRDefault="23C9C41C" w:rsidP="392B512C">
      <w:pPr>
        <w:pStyle w:val="Heading1"/>
        <w:rPr>
          <w:b w:val="0"/>
        </w:rPr>
      </w:pPr>
      <w:r w:rsidRPr="003E148F">
        <w:rPr>
          <w:b w:val="0"/>
          <w:sz w:val="24"/>
          <w:szCs w:val="24"/>
        </w:rPr>
        <w:t xml:space="preserve">This dissertation argues that the best way to understand sectarian governance in contemporary Lebanon and Syria is by viewing it as the result of a layered historical process. The French Mandate was not the only producer of sectarianism, but it was a key moment in the institutionalisation of sectarianism, and in the process of embedding communal or sectarian identities into the architecture of modern state power. This legacy still shapes political authority, representation, and legitimacy in Syria and Lebanon today.   </w:t>
      </w:r>
    </w:p>
    <w:p w:rsidR="392B512C" w:rsidRDefault="392B512C" w:rsidP="392B512C">
      <w:pPr>
        <w:pStyle w:val="Heading1"/>
        <w:rPr>
          <w:sz w:val="24"/>
          <w:szCs w:val="24"/>
        </w:rPr>
      </w:pPr>
    </w:p>
    <w:p w:rsidR="392B512C" w:rsidRDefault="392B512C" w:rsidP="392B512C">
      <w:pPr>
        <w:pStyle w:val="Heading1"/>
        <w:rPr>
          <w:sz w:val="24"/>
          <w:szCs w:val="24"/>
        </w:rPr>
      </w:pPr>
    </w:p>
    <w:p w:rsidR="00FD7A04" w:rsidRDefault="00FD7A04" w:rsidP="00E14104">
      <w:pPr>
        <w:pStyle w:val="Heading1"/>
        <w:rPr>
          <w:sz w:val="24"/>
          <w:szCs w:val="24"/>
        </w:rPr>
      </w:pPr>
    </w:p>
    <w:p w:rsidR="00FD7A04" w:rsidRDefault="00FD7A04" w:rsidP="00E14104">
      <w:pPr>
        <w:pStyle w:val="Heading1"/>
        <w:rPr>
          <w:sz w:val="24"/>
          <w:szCs w:val="24"/>
        </w:rPr>
      </w:pPr>
    </w:p>
    <w:p w:rsidR="00FD7A04" w:rsidRDefault="00FD7A04" w:rsidP="00E14104">
      <w:pPr>
        <w:pStyle w:val="Heading1"/>
        <w:rPr>
          <w:sz w:val="24"/>
          <w:szCs w:val="24"/>
        </w:rPr>
      </w:pPr>
    </w:p>
    <w:p w:rsidR="00FD7A04" w:rsidRDefault="00FD7A04" w:rsidP="00E14104">
      <w:pPr>
        <w:pStyle w:val="Heading1"/>
        <w:rPr>
          <w:sz w:val="24"/>
          <w:szCs w:val="24"/>
        </w:rPr>
      </w:pPr>
    </w:p>
    <w:p w:rsidR="00960B9C" w:rsidRDefault="006C6312" w:rsidP="00E14104">
      <w:pPr>
        <w:pStyle w:val="Heading1"/>
        <w:rPr>
          <w:sz w:val="24"/>
          <w:szCs w:val="24"/>
        </w:rPr>
      </w:pPr>
      <w:r w:rsidRPr="00E067CA">
        <w:rPr>
          <w:sz w:val="24"/>
          <w:szCs w:val="24"/>
        </w:rPr>
        <w:lastRenderedPageBreak/>
        <w:t>Introduction</w:t>
      </w:r>
    </w:p>
    <w:p w:rsidR="00960B9C" w:rsidRPr="00C43EA6" w:rsidRDefault="00C43EA6" w:rsidP="00E14104">
      <w:pPr>
        <w:pStyle w:val="Heading1"/>
        <w:rPr>
          <w:b w:val="0"/>
          <w:bCs w:val="0"/>
          <w:sz w:val="24"/>
          <w:szCs w:val="24"/>
        </w:rPr>
      </w:pPr>
      <w:r w:rsidRPr="392B512C">
        <w:rPr>
          <w:b w:val="0"/>
          <w:bCs w:val="0"/>
          <w:sz w:val="24"/>
          <w:szCs w:val="24"/>
        </w:rPr>
        <w:t>The current political systems in Syria and Lebanon are often understood through the lens of sectarianism. In Lebanon</w:t>
      </w:r>
      <w:r w:rsidR="00005C7B" w:rsidRPr="392B512C">
        <w:rPr>
          <w:b w:val="0"/>
          <w:bCs w:val="0"/>
          <w:sz w:val="24"/>
          <w:szCs w:val="24"/>
        </w:rPr>
        <w:t>, there is a confessional power-</w:t>
      </w:r>
      <w:r w:rsidR="0017300B" w:rsidRPr="392B512C">
        <w:rPr>
          <w:b w:val="0"/>
          <w:bCs w:val="0"/>
          <w:sz w:val="24"/>
          <w:szCs w:val="24"/>
        </w:rPr>
        <w:t>sharing system that</w:t>
      </w:r>
      <w:r w:rsidRPr="392B512C">
        <w:rPr>
          <w:b w:val="0"/>
          <w:bCs w:val="0"/>
          <w:sz w:val="24"/>
          <w:szCs w:val="24"/>
        </w:rPr>
        <w:t xml:space="preserve"> allocated political offices and seats based on religious lines, but in Syria, sectarian dynamics function in a more indirect way through authoritarian military networks and political structures. </w:t>
      </w:r>
      <w:r w:rsidR="00D97784" w:rsidRPr="392B512C">
        <w:rPr>
          <w:b w:val="0"/>
          <w:bCs w:val="0"/>
          <w:sz w:val="24"/>
          <w:szCs w:val="24"/>
        </w:rPr>
        <w:t xml:space="preserve">Much historiographical debate has </w:t>
      </w:r>
      <w:r w:rsidR="0017300B" w:rsidRPr="392B512C">
        <w:rPr>
          <w:b w:val="0"/>
          <w:bCs w:val="0"/>
          <w:sz w:val="24"/>
          <w:szCs w:val="24"/>
        </w:rPr>
        <w:t>arisen from attempts</w:t>
      </w:r>
      <w:r w:rsidR="00D97784" w:rsidRPr="392B512C">
        <w:rPr>
          <w:b w:val="0"/>
          <w:bCs w:val="0"/>
          <w:sz w:val="24"/>
          <w:szCs w:val="24"/>
        </w:rPr>
        <w:t xml:space="preserve"> to explain the origins of these systems. Some scholars posit that sectarian governance was mainly imposed by the colonial Mandate system, while others emphasise older historical influences of the O</w:t>
      </w:r>
      <w:r w:rsidR="00866278" w:rsidRPr="392B512C">
        <w:rPr>
          <w:b w:val="0"/>
          <w:bCs w:val="0"/>
          <w:sz w:val="24"/>
          <w:szCs w:val="24"/>
        </w:rPr>
        <w:t>ttoman system. This dissertation</w:t>
      </w:r>
      <w:r w:rsidR="00D97784" w:rsidRPr="392B512C">
        <w:rPr>
          <w:b w:val="0"/>
          <w:bCs w:val="0"/>
          <w:sz w:val="24"/>
          <w:szCs w:val="24"/>
        </w:rPr>
        <w:t xml:space="preserve"> intervenes in the debate by making the case that the French Mandate system did not produce sectarian identities </w:t>
      </w:r>
      <w:r w:rsidR="35873C19" w:rsidRPr="392B512C">
        <w:rPr>
          <w:b w:val="0"/>
          <w:bCs w:val="0"/>
          <w:sz w:val="24"/>
          <w:szCs w:val="24"/>
        </w:rPr>
        <w:t>themselves but</w:t>
      </w:r>
      <w:r w:rsidR="00D97784" w:rsidRPr="392B512C">
        <w:rPr>
          <w:b w:val="0"/>
          <w:bCs w:val="0"/>
          <w:sz w:val="24"/>
          <w:szCs w:val="24"/>
        </w:rPr>
        <w:t xml:space="preserve"> rather transformed them into mechanisms of governance by institutionalising them. </w:t>
      </w:r>
    </w:p>
    <w:p w:rsidR="006C6312" w:rsidRPr="00B95284" w:rsidRDefault="0012655B" w:rsidP="00B95284">
      <w:pPr>
        <w:pStyle w:val="Heading1"/>
        <w:rPr>
          <w:b w:val="0"/>
          <w:sz w:val="24"/>
          <w:szCs w:val="24"/>
        </w:rPr>
      </w:pPr>
      <w:r>
        <w:rPr>
          <w:b w:val="0"/>
          <w:sz w:val="24"/>
          <w:szCs w:val="24"/>
        </w:rPr>
        <w:t>This dissertation answers the question: To what extent did the French Mandate for Syria and Lebanon shape contemporary sectarian gov</w:t>
      </w:r>
      <w:r w:rsidR="00D4229E">
        <w:rPr>
          <w:b w:val="0"/>
          <w:sz w:val="24"/>
          <w:szCs w:val="24"/>
        </w:rPr>
        <w:t>ernance? Its main argument</w:t>
      </w:r>
      <w:r>
        <w:rPr>
          <w:b w:val="0"/>
          <w:sz w:val="24"/>
          <w:szCs w:val="24"/>
        </w:rPr>
        <w:t xml:space="preserve"> is that the most e</w:t>
      </w:r>
      <w:r w:rsidR="00D4229E">
        <w:rPr>
          <w:b w:val="0"/>
          <w:sz w:val="24"/>
          <w:szCs w:val="24"/>
        </w:rPr>
        <w:t>nduring legacy of the Mandate was</w:t>
      </w:r>
      <w:r>
        <w:rPr>
          <w:b w:val="0"/>
          <w:sz w:val="24"/>
          <w:szCs w:val="24"/>
        </w:rPr>
        <w:t xml:space="preserve"> the creation of a hierarchical system of political incorporation whereby communal identity became the main mediation mechanism to access state power or authority. </w:t>
      </w:r>
      <w:r w:rsidR="00D4229E">
        <w:rPr>
          <w:b w:val="0"/>
          <w:sz w:val="24"/>
          <w:szCs w:val="24"/>
        </w:rPr>
        <w:t>So instead of simply dividing populations, the French categorised, classified, ranked and carefully integrated favoured communities into the administrative, military and poli</w:t>
      </w:r>
      <w:r w:rsidR="00431439">
        <w:rPr>
          <w:b w:val="0"/>
          <w:sz w:val="24"/>
          <w:szCs w:val="24"/>
        </w:rPr>
        <w:t>tical systems, based on who the French</w:t>
      </w:r>
      <w:r w:rsidR="00D4229E">
        <w:rPr>
          <w:b w:val="0"/>
          <w:sz w:val="24"/>
          <w:szCs w:val="24"/>
        </w:rPr>
        <w:t xml:space="preserve"> perceived as the most strategically valuable and politically reliable, in order to main</w:t>
      </w:r>
      <w:r w:rsidR="00431439">
        <w:rPr>
          <w:b w:val="0"/>
          <w:sz w:val="24"/>
          <w:szCs w:val="24"/>
        </w:rPr>
        <w:t>tain</w:t>
      </w:r>
      <w:r w:rsidR="00D4229E">
        <w:rPr>
          <w:b w:val="0"/>
          <w:sz w:val="24"/>
          <w:szCs w:val="24"/>
        </w:rPr>
        <w:t xml:space="preserve"> their </w:t>
      </w:r>
      <w:r w:rsidR="00431439">
        <w:rPr>
          <w:b w:val="0"/>
          <w:sz w:val="24"/>
          <w:szCs w:val="24"/>
        </w:rPr>
        <w:t xml:space="preserve">own </w:t>
      </w:r>
      <w:r w:rsidR="00D4229E">
        <w:rPr>
          <w:b w:val="0"/>
          <w:sz w:val="24"/>
          <w:szCs w:val="24"/>
        </w:rPr>
        <w:t xml:space="preserve">power and protect their own interests. This process created what this dissertation calls as a hierarchy of governance.  </w:t>
      </w:r>
    </w:p>
    <w:p w:rsidR="00FA237D" w:rsidRDefault="00431439" w:rsidP="00E14104">
      <w:pPr>
        <w:pStyle w:val="NormalWeb"/>
      </w:pPr>
      <w:r>
        <w:t>The argument poses a challenge to two reductionist interpretations. Firstly, it rejects primordialism which portrays sectarianism as longstanding or inbuilt into Levantine society. It is true that communal identities existed before French rule and were shaped by Ottoman systems of governance such as the Millet structure and the Tanzimat reforms. The Tanzimat decree which promised equal rights to all people ‘of whatever religion or sect’ highlights that communal identity already existed before the Mandate period as an administrative category.</w:t>
      </w:r>
      <w:r w:rsidR="00C80051">
        <w:rPr>
          <w:rStyle w:val="FootnoteReference"/>
        </w:rPr>
        <w:footnoteReference w:id="1"/>
      </w:r>
      <w:r>
        <w:t xml:space="preserve"> </w:t>
      </w:r>
      <w:r w:rsidR="00BA789B">
        <w:t>However, Ottoman governance did not institutionalise sectarian identity and governance within state structures in the same</w:t>
      </w:r>
      <w:r w:rsidR="00B95284">
        <w:t xml:space="preserve"> way the French later developed during the Mandate period. </w:t>
      </w:r>
      <w:r w:rsidR="00BA789B">
        <w:t xml:space="preserve"> </w:t>
      </w:r>
    </w:p>
    <w:p w:rsidR="00B95284" w:rsidRDefault="009B14DB" w:rsidP="001E2773">
      <w:pPr>
        <w:pStyle w:val="NormalWeb"/>
      </w:pPr>
      <w:r>
        <w:t>Secondly, the dissertation also challenges the interpretation that shows sectarian governance as completely invented by the coloniser and forced upon passive societies. The reproduction and adaption of communal political structures after independence was due to a significant number of factors including local elites, religious authorities, nationalist movements, and postcolonial regimes. As Max Weiss argues, sectarianisation emerged through a ‘dialectical relationship between attempts at divide and rule from above and clamorous demands from below for recognition and autonomy.</w:t>
      </w:r>
      <w:r>
        <w:rPr>
          <w:rStyle w:val="FootnoteReference"/>
        </w:rPr>
        <w:footnoteReference w:id="2"/>
      </w:r>
      <w:r>
        <w:t xml:space="preserve"> </w:t>
      </w:r>
      <w:r w:rsidR="00F467E6">
        <w:t xml:space="preserve">Therefore, sectarian governance emerged through the interaction between colonial intervention and local political agency. </w:t>
      </w:r>
    </w:p>
    <w:p w:rsidR="006C6312" w:rsidRPr="00E067CA" w:rsidRDefault="006C6312" w:rsidP="00E14104">
      <w:pPr>
        <w:pStyle w:val="NormalWeb"/>
      </w:pPr>
      <w:r w:rsidRPr="00E067CA">
        <w:t>The dissertation</w:t>
      </w:r>
      <w:r w:rsidR="001E2773">
        <w:t xml:space="preserve"> argues that the French Mandate deepened and reorganised already existing communal structures through various mechanisms, including:</w:t>
      </w:r>
    </w:p>
    <w:p w:rsidR="006C6312" w:rsidRPr="00E067CA" w:rsidRDefault="006C6312" w:rsidP="00E14104">
      <w:pPr>
        <w:pStyle w:val="NormalWeb"/>
        <w:numPr>
          <w:ilvl w:val="0"/>
          <w:numId w:val="8"/>
        </w:numPr>
      </w:pPr>
      <w:r w:rsidRPr="00E067CA">
        <w:t>territorial fragmentation,</w:t>
      </w:r>
    </w:p>
    <w:p w:rsidR="006C6312" w:rsidRPr="00E067CA" w:rsidRDefault="006C6312" w:rsidP="00E14104">
      <w:pPr>
        <w:pStyle w:val="NormalWeb"/>
        <w:numPr>
          <w:ilvl w:val="0"/>
          <w:numId w:val="8"/>
        </w:numPr>
      </w:pPr>
      <w:r w:rsidRPr="00E067CA">
        <w:lastRenderedPageBreak/>
        <w:t>constitutional confessionalism,</w:t>
      </w:r>
    </w:p>
    <w:p w:rsidR="006C6312" w:rsidRPr="00E067CA" w:rsidRDefault="006C6312" w:rsidP="00E14104">
      <w:pPr>
        <w:pStyle w:val="NormalWeb"/>
        <w:numPr>
          <w:ilvl w:val="0"/>
          <w:numId w:val="8"/>
        </w:numPr>
      </w:pPr>
      <w:r w:rsidRPr="00E067CA">
        <w:t>selective military recruitment,</w:t>
      </w:r>
    </w:p>
    <w:p w:rsidR="006C6312" w:rsidRPr="00E067CA" w:rsidRDefault="006C6312" w:rsidP="00E14104">
      <w:pPr>
        <w:pStyle w:val="NormalWeb"/>
        <w:numPr>
          <w:ilvl w:val="0"/>
          <w:numId w:val="8"/>
        </w:numPr>
      </w:pPr>
      <w:r w:rsidRPr="00E067CA">
        <w:t>missionary education,</w:t>
      </w:r>
    </w:p>
    <w:p w:rsidR="006C6312" w:rsidRDefault="006C6312" w:rsidP="00E14104">
      <w:pPr>
        <w:pStyle w:val="NormalWeb"/>
        <w:numPr>
          <w:ilvl w:val="0"/>
          <w:numId w:val="8"/>
        </w:numPr>
      </w:pPr>
      <w:r w:rsidRPr="00E067CA">
        <w:t>differentiated political access.</w:t>
      </w:r>
    </w:p>
    <w:p w:rsidR="00D95281" w:rsidRDefault="001E2773" w:rsidP="001E2773">
      <w:pPr>
        <w:pStyle w:val="NormalWeb"/>
      </w:pPr>
      <w:r>
        <w:t>Primary sources that are used throughout the dissertation highlight these processes in practice. Maps of Syria and Lebanon during the Mandate period highlight the concentration of French Catholic educational institutions regions that had a majority of certain minorities</w:t>
      </w:r>
      <w:r w:rsidR="00BB7A19">
        <w:t>, suggesting attempts to cultivate loyal intermediaries through missionary networks.</w:t>
      </w:r>
      <w:r w:rsidR="00BB7A19">
        <w:rPr>
          <w:rStyle w:val="FootnoteReference"/>
        </w:rPr>
        <w:footnoteReference w:id="3"/>
      </w:r>
      <w:r w:rsidR="00BB7A19">
        <w:t xml:space="preserve"> </w:t>
      </w:r>
      <w:r w:rsidR="00D95281">
        <w:t>Demographics maps and census documents further highlight that French land divisions often simplified more complex social realities, especially along the Syrian coast where Sunni, Christian, and Alawite populations lived together in coexistence before the administrative separation.</w:t>
      </w:r>
      <w:r w:rsidR="00D95281">
        <w:rPr>
          <w:rStyle w:val="FootnoteReference"/>
        </w:rPr>
        <w:footnoteReference w:id="4"/>
      </w:r>
      <w:r w:rsidR="00D95281">
        <w:t xml:space="preserve"> In addition, anti-colonial sources from the Great Syrian Revolt show that many Syrian nationalist view</w:t>
      </w:r>
      <w:r w:rsidR="004B1864">
        <w:t>e</w:t>
      </w:r>
      <w:r w:rsidR="00D95281">
        <w:t>d the French governance as a fragmenting force. Sultan al-Atrash condemned the French for having ‘divided the indivisible</w:t>
      </w:r>
      <w:r w:rsidR="004B1864">
        <w:t xml:space="preserve"> homeland’ into ‘religious sects and states.’</w:t>
      </w:r>
      <w:r w:rsidR="004B1864">
        <w:rPr>
          <w:rStyle w:val="FootnoteReference"/>
        </w:rPr>
        <w:footnoteReference w:id="5"/>
      </w:r>
      <w:r w:rsidR="004B1864">
        <w:t xml:space="preserve"> These kinds of sources are significant because the show how colonial governance was seen and challenged by historical actors at the time of the Mandate, even if they are not fully objective accounts. </w:t>
      </w:r>
    </w:p>
    <w:p w:rsidR="00866278" w:rsidRDefault="00FA73E7" w:rsidP="00E14104">
      <w:pPr>
        <w:pStyle w:val="NormalWeb"/>
      </w:pPr>
      <w:r>
        <w:t>The structure of this dissertation is split int</w:t>
      </w:r>
      <w:r w:rsidR="00663533">
        <w:t>o three chapters. The first chapter examines</w:t>
      </w:r>
      <w:r>
        <w:t xml:space="preserve"> how French Mandate institutions transformed communal differences into systems of pol</w:t>
      </w:r>
      <w:r w:rsidR="00663533">
        <w:t xml:space="preserve">itical hierarchy by restructuring </w:t>
      </w:r>
      <w:r>
        <w:t xml:space="preserve">territory, </w:t>
      </w:r>
      <w:r w:rsidR="00663533">
        <w:t xml:space="preserve">new </w:t>
      </w:r>
      <w:r>
        <w:t xml:space="preserve">classification methods, and </w:t>
      </w:r>
      <w:r w:rsidR="00663533">
        <w:t>selectively incorporating people deemed reliable and beneficial for the French. Chapter two examines how both countries diverged in their respective paths, arguing that both were born out of the same colonial Mandate, but developed differently: confessionalism in Lebanon and authoritarian hierarchy in Syria.</w:t>
      </w:r>
      <w:r w:rsidR="00E808AE">
        <w:t xml:space="preserve"> Finally, chapter three explores how these sectarian systems persisted after independence, showing how the regimes that came after independence adapted Mandate-era mechanisms within modern contemporary systems of governance. </w:t>
      </w:r>
    </w:p>
    <w:p w:rsidR="00E808AE" w:rsidRDefault="00A42AB7" w:rsidP="00E14104">
      <w:pPr>
        <w:pStyle w:val="NormalWeb"/>
      </w:pPr>
      <w:r>
        <w:t>In terms of methodology, this dissertation combines historiographical analysis, postcolonial lens analysis, and critical examination of primary sources, including constitutional documents, maps, speeches, League of Nations texts, revolutionary proclamations, demographic tables, and visual political imag</w:t>
      </w:r>
      <w:r w:rsidR="007B48DB">
        <w:t xml:space="preserve">ery. Importantly, the limitations of the sources are also evaluated, recognising the potential political biases within colonial archives, nationalist rhetoric, propaganda materials, and demographic documents. </w:t>
      </w:r>
    </w:p>
    <w:p w:rsidR="00E808AE" w:rsidRDefault="006110E5" w:rsidP="00E14104">
      <w:pPr>
        <w:pStyle w:val="NormalWeb"/>
      </w:pPr>
      <w:r>
        <w:t>Ultimately, this dissertation argues that the French Mandate</w:t>
      </w:r>
      <w:r w:rsidR="009B2E45">
        <w:t>’</w:t>
      </w:r>
      <w:r>
        <w:t>s significance is not in having ‘created’ sectarianism outright, but in institutionalising communal identity as a mechanism of political organisation that could endure.</w:t>
      </w:r>
      <w:r w:rsidR="00866278">
        <w:t xml:space="preserve"> Therefore, contemporary governance in </w:t>
      </w:r>
      <w:r w:rsidR="00C91857">
        <w:t xml:space="preserve">Syria and </w:t>
      </w:r>
      <w:r w:rsidR="00C91857">
        <w:lastRenderedPageBreak/>
        <w:t xml:space="preserve">Lebanon is best understood as </w:t>
      </w:r>
      <w:r w:rsidR="00866278">
        <w:t xml:space="preserve">the outcome of a layered historical process in which colonial rule played a major formative part, but not necessarily exclusive. </w:t>
      </w:r>
    </w:p>
    <w:p w:rsidR="006C6312" w:rsidRDefault="006C6312" w:rsidP="00866278">
      <w:pPr>
        <w:pStyle w:val="NormalWeb"/>
        <w:rPr>
          <w:b/>
          <w:bCs/>
          <w:kern w:val="36"/>
        </w:rPr>
      </w:pPr>
      <w:r w:rsidRPr="006C6312">
        <w:rPr>
          <w:b/>
          <w:bCs/>
          <w:kern w:val="36"/>
        </w:rPr>
        <w:t>Historical Context</w:t>
      </w:r>
    </w:p>
    <w:p w:rsidR="00945D5A" w:rsidRDefault="00F5768B" w:rsidP="00866278">
      <w:pPr>
        <w:pStyle w:val="NormalWeb"/>
        <w:rPr>
          <w:bCs/>
          <w:kern w:val="36"/>
        </w:rPr>
      </w:pPr>
      <w:r>
        <w:rPr>
          <w:bCs/>
          <w:kern w:val="36"/>
        </w:rPr>
        <w:t xml:space="preserve">To understand the sectarian governance developed in Syria and Lebanon, it is necessary to place the French Mandate within the wider transformations of the late Ottoman Empire and the aftermath of the First World War. Although sectarian identities did exist before French rule, they functioned within a different political framework that did not fully organise access to power political or state power and authority through a Mandate style rigid system of hierarchy. </w:t>
      </w:r>
    </w:p>
    <w:p w:rsidR="00866278" w:rsidRPr="00945D5A" w:rsidRDefault="00F4529D" w:rsidP="00866278">
      <w:pPr>
        <w:pStyle w:val="NormalWeb"/>
      </w:pPr>
      <w:r>
        <w:t xml:space="preserve">In Ottoman times, the millet system partly structured communal identity, and granted religious communities a certain level of autonomy in matters like personal law, </w:t>
      </w:r>
      <w:bookmarkStart w:id="0" w:name="_Int_aKUlMloN"/>
      <w:r>
        <w:t>marriage</w:t>
      </w:r>
      <w:bookmarkEnd w:id="0"/>
      <w:r>
        <w:t xml:space="preserve"> and education. During the nineteenth century, the Tanzimat reforms did attempt to modernise and centralise imperial governance while also promoting legal equality among subjects. The Gulhane Edict declared that reforms would</w:t>
      </w:r>
      <w:r w:rsidR="009B2E45">
        <w:t xml:space="preserve"> apply to all Ottoman subjects </w:t>
      </w:r>
      <w:r>
        <w:t>of whatever religion or sect.’</w:t>
      </w:r>
      <w:r>
        <w:rPr>
          <w:rStyle w:val="FootnoteReference"/>
        </w:rPr>
        <w:footnoteReference w:id="6"/>
      </w:r>
      <w:r w:rsidR="00954E14">
        <w:t xml:space="preserve"> On the one hand; this did reflect an attempt by the Ottomans to reduce sectarian inequality and strengthen imperial unity. However, historians disagree as to whether these reforms were a genuine attempt at liberalisation or damage control by </w:t>
      </w:r>
      <w:r w:rsidR="009B2E45">
        <w:t xml:space="preserve">an Empire </w:t>
      </w:r>
      <w:r w:rsidR="00954E14">
        <w:t xml:space="preserve">facing internal unrest and external enemies. </w:t>
      </w:r>
    </w:p>
    <w:p w:rsidR="00281116" w:rsidRDefault="00F91F7A" w:rsidP="00866278">
      <w:pPr>
        <w:pStyle w:val="NormalWeb"/>
      </w:pPr>
      <w:r>
        <w:t>Ottoman affairs during this period did increasingly come to be shaped by and responses to European influence particularly through missionary work and claims of protecting Christian minorities. French Catholic educational institutions increased in number across the Levant during the later Ottoman period and the early Mandate period. A map of missionary schools in Syria and Lebanon shows the concentration of a number of these institutions in areas dominated by minorities, particularly among Christian populations and later also within areas where Alawites were concentrated.</w:t>
      </w:r>
      <w:r>
        <w:rPr>
          <w:rStyle w:val="FootnoteReference"/>
        </w:rPr>
        <w:footnoteReference w:id="7"/>
      </w:r>
      <w:r>
        <w:t xml:space="preserve"> </w:t>
      </w:r>
      <w:r w:rsidR="00281116">
        <w:t xml:space="preserve">While it is true that the map does not prove that France engaged in social and political engineering deliberately, it does however, suggest that educational networks were part </w:t>
      </w:r>
      <w:r w:rsidR="006E5973">
        <w:t>of a larger system of connecting</w:t>
      </w:r>
      <w:r w:rsidR="00281116">
        <w:t xml:space="preserve"> certain local communities to France. </w:t>
      </w:r>
    </w:p>
    <w:p w:rsidR="003C750E" w:rsidRDefault="00E5036B" w:rsidP="00E14104">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political landscape</w:t>
      </w:r>
      <w:r w:rsidR="006E5973">
        <w:rPr>
          <w:rFonts w:ascii="Times New Roman" w:eastAsia="Times New Roman" w:hAnsi="Times New Roman" w:cs="Times New Roman"/>
          <w:sz w:val="24"/>
          <w:szCs w:val="24"/>
          <w:lang w:eastAsia="en-GB"/>
        </w:rPr>
        <w:t xml:space="preserve"> of the Levant was massively</w:t>
      </w:r>
      <w:r>
        <w:rPr>
          <w:rFonts w:ascii="Times New Roman" w:eastAsia="Times New Roman" w:hAnsi="Times New Roman" w:cs="Times New Roman"/>
          <w:sz w:val="24"/>
          <w:szCs w:val="24"/>
          <w:lang w:eastAsia="en-GB"/>
        </w:rPr>
        <w:t xml:space="preserve"> reshaped by the collapse of the Ottoman Empire after World War One. Under this backdrop, Article 22 of the League of Nations Covenant, was passed by the League at the time, placing Syria and Lebanon under the French Mandate authority as these territories were considered not yet ready for full independence. The document described these communities as having reached a stage where their existence as nations could be ‘provisionally recognised subject to the rendering of administrative advice and assistance by a Mandatory,’ in this case France.</w:t>
      </w:r>
      <w:r>
        <w:rPr>
          <w:rStyle w:val="FootnoteReference"/>
          <w:rFonts w:ascii="Times New Roman" w:eastAsia="Times New Roman" w:hAnsi="Times New Roman" w:cs="Times New Roman"/>
          <w:sz w:val="24"/>
          <w:szCs w:val="24"/>
          <w:lang w:eastAsia="en-GB"/>
        </w:rPr>
        <w:footnoteReference w:id="8"/>
      </w:r>
      <w:r>
        <w:rPr>
          <w:rFonts w:ascii="Times New Roman" w:eastAsia="Times New Roman" w:hAnsi="Times New Roman" w:cs="Times New Roman"/>
          <w:sz w:val="24"/>
          <w:szCs w:val="24"/>
          <w:lang w:eastAsia="en-GB"/>
        </w:rPr>
        <w:t xml:space="preserve"> </w:t>
      </w:r>
    </w:p>
    <w:p w:rsidR="003C750E" w:rsidRDefault="000F1FA1" w:rsidP="00E14104">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The wording used which included the term ‘tutelage’ reflected a broader colonial assumption that the Middle East required political management and supervision by Europe. Edward Said’s concept of ‘Orientalism’ is relevant here because it highlights how colonial powers justified intervention through representations of the East as backward, fragmented and incapable of self-governance.</w:t>
      </w:r>
      <w:r>
        <w:rPr>
          <w:rStyle w:val="FootnoteReference"/>
          <w:rFonts w:ascii="Times New Roman" w:eastAsia="Times New Roman" w:hAnsi="Times New Roman" w:cs="Times New Roman"/>
          <w:sz w:val="24"/>
          <w:szCs w:val="24"/>
          <w:lang w:eastAsia="en-GB"/>
        </w:rPr>
        <w:footnoteReference w:id="9"/>
      </w:r>
      <w:r>
        <w:rPr>
          <w:rFonts w:ascii="Times New Roman" w:eastAsia="Times New Roman" w:hAnsi="Times New Roman" w:cs="Times New Roman"/>
          <w:sz w:val="24"/>
          <w:szCs w:val="24"/>
          <w:lang w:eastAsia="en-GB"/>
        </w:rPr>
        <w:t xml:space="preserve"> </w:t>
      </w:r>
    </w:p>
    <w:p w:rsidR="003C750E" w:rsidRDefault="006E5973" w:rsidP="00E14104">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region was reorganised through fragmentation of territory and differentiated administration. Separate political units were created for certain minorities such as the Alawites, Druze and Greater Lebanon where the Maronite Christians lived. Demographic maps depicting the Mandate period population </w:t>
      </w:r>
      <w:proofErr w:type="gramStart"/>
      <w:r>
        <w:rPr>
          <w:rFonts w:ascii="Times New Roman" w:eastAsia="Times New Roman" w:hAnsi="Times New Roman" w:cs="Times New Roman"/>
          <w:sz w:val="24"/>
          <w:szCs w:val="24"/>
          <w:lang w:eastAsia="en-GB"/>
        </w:rPr>
        <w:t>patterns,</w:t>
      </w:r>
      <w:proofErr w:type="gramEnd"/>
      <w:r>
        <w:rPr>
          <w:rFonts w:ascii="Times New Roman" w:eastAsia="Times New Roman" w:hAnsi="Times New Roman" w:cs="Times New Roman"/>
          <w:sz w:val="24"/>
          <w:szCs w:val="24"/>
          <w:lang w:eastAsia="en-GB"/>
        </w:rPr>
        <w:t xml:space="preserve"> complicate later assumptions that these territories reflected naturally homogeneous sectarian regions. Maps in Michael Kerr and Craig Larkins book. ‘The Alawis of Syria,’ show that coastal Syria contained a substantial Sunni and Christian population alongside Alawites before French territorial restructuring.</w:t>
      </w:r>
      <w:r w:rsidR="00E45733">
        <w:rPr>
          <w:rStyle w:val="FootnoteReference"/>
          <w:rFonts w:ascii="Times New Roman" w:eastAsia="Times New Roman" w:hAnsi="Times New Roman" w:cs="Times New Roman"/>
          <w:sz w:val="24"/>
          <w:szCs w:val="24"/>
          <w:lang w:eastAsia="en-GB"/>
        </w:rPr>
        <w:footnoteReference w:id="10"/>
      </w:r>
      <w:r>
        <w:rPr>
          <w:rFonts w:ascii="Times New Roman" w:eastAsia="Times New Roman" w:hAnsi="Times New Roman" w:cs="Times New Roman"/>
          <w:sz w:val="24"/>
          <w:szCs w:val="24"/>
          <w:lang w:eastAsia="en-GB"/>
        </w:rPr>
        <w:t xml:space="preserve"> </w:t>
      </w:r>
      <w:r w:rsidR="00E45733">
        <w:rPr>
          <w:rFonts w:ascii="Times New Roman" w:eastAsia="Times New Roman" w:hAnsi="Times New Roman" w:cs="Times New Roman"/>
          <w:sz w:val="24"/>
          <w:szCs w:val="24"/>
          <w:lang w:eastAsia="en-GB"/>
        </w:rPr>
        <w:t>Similarly, census tables from the coastal region in 1935 reveal mixed populations in the urban centres as opposed to exclusively minority dominated coastal centres.</w:t>
      </w:r>
      <w:r w:rsidR="006942A1">
        <w:rPr>
          <w:rStyle w:val="FootnoteReference"/>
          <w:rFonts w:ascii="Times New Roman" w:eastAsia="Times New Roman" w:hAnsi="Times New Roman" w:cs="Times New Roman"/>
          <w:sz w:val="24"/>
          <w:szCs w:val="24"/>
          <w:lang w:eastAsia="en-GB"/>
        </w:rPr>
        <w:footnoteReference w:id="11"/>
      </w:r>
      <w:r w:rsidR="00E45733">
        <w:rPr>
          <w:rFonts w:ascii="Times New Roman" w:eastAsia="Times New Roman" w:hAnsi="Times New Roman" w:cs="Times New Roman"/>
          <w:sz w:val="24"/>
          <w:szCs w:val="24"/>
          <w:lang w:eastAsia="en-GB"/>
        </w:rPr>
        <w:t xml:space="preserve"> </w:t>
      </w:r>
    </w:p>
    <w:p w:rsidR="00281116" w:rsidRDefault="004B3DBA" w:rsidP="00E14104">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These are significant sources because they suggest that French administrative divisions simplified demographic realities that were more complex. However, there are limitations to the maps too. One </w:t>
      </w:r>
      <w:r w:rsidR="00E3281C">
        <w:rPr>
          <w:rFonts w:ascii="Times New Roman" w:eastAsia="Times New Roman" w:hAnsi="Times New Roman" w:cs="Times New Roman"/>
          <w:sz w:val="24"/>
          <w:szCs w:val="24"/>
          <w:lang w:eastAsia="en-GB"/>
        </w:rPr>
        <w:t>originates</w:t>
      </w:r>
      <w:r>
        <w:rPr>
          <w:rFonts w:ascii="Times New Roman" w:eastAsia="Times New Roman" w:hAnsi="Times New Roman" w:cs="Times New Roman"/>
          <w:sz w:val="24"/>
          <w:szCs w:val="24"/>
          <w:lang w:eastAsia="en-GB"/>
        </w:rPr>
        <w:t xml:space="preserve"> from a Facebook cartography page rather than a formal academic archive, which means its methodology and sourcing must be </w:t>
      </w:r>
      <w:r w:rsidR="00E3281C">
        <w:rPr>
          <w:rFonts w:ascii="Times New Roman" w:eastAsia="Times New Roman" w:hAnsi="Times New Roman" w:cs="Times New Roman"/>
          <w:sz w:val="24"/>
          <w:szCs w:val="24"/>
          <w:lang w:eastAsia="en-GB"/>
        </w:rPr>
        <w:t xml:space="preserve">carefully </w:t>
      </w:r>
      <w:r>
        <w:rPr>
          <w:rFonts w:ascii="Times New Roman" w:eastAsia="Times New Roman" w:hAnsi="Times New Roman" w:cs="Times New Roman"/>
          <w:sz w:val="24"/>
          <w:szCs w:val="24"/>
          <w:lang w:eastAsia="en-GB"/>
        </w:rPr>
        <w:t xml:space="preserve">observed. </w:t>
      </w:r>
      <w:r w:rsidR="002711CF">
        <w:rPr>
          <w:rFonts w:ascii="Times New Roman" w:eastAsia="Times New Roman" w:hAnsi="Times New Roman" w:cs="Times New Roman"/>
          <w:sz w:val="24"/>
          <w:szCs w:val="24"/>
          <w:lang w:eastAsia="en-GB"/>
        </w:rPr>
        <w:t xml:space="preserve">Nevertheless, when they are compared alongside academic demographic studies, the idea of mixed populations is credible. </w:t>
      </w:r>
    </w:p>
    <w:p w:rsidR="00615438" w:rsidRDefault="00615438" w:rsidP="00E14104">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At the same time, there was a great deal of nationalist resistance faced by the French. During the Great Syrian Revolt, which was one of the most fierce resistance events to take place against the French, figures such as Sultan al-Atrash accused the French of having ‘divided the indivisible homeland’ into sect based states.</w:t>
      </w:r>
      <w:r>
        <w:rPr>
          <w:rStyle w:val="FootnoteReference"/>
          <w:rFonts w:ascii="Times New Roman" w:eastAsia="Times New Roman" w:hAnsi="Times New Roman" w:cs="Times New Roman"/>
          <w:sz w:val="24"/>
          <w:szCs w:val="24"/>
          <w:lang w:eastAsia="en-GB"/>
        </w:rPr>
        <w:footnoteReference w:id="12"/>
      </w:r>
      <w:r>
        <w:rPr>
          <w:rFonts w:ascii="Times New Roman" w:eastAsia="Times New Roman" w:hAnsi="Times New Roman" w:cs="Times New Roman"/>
          <w:sz w:val="24"/>
          <w:szCs w:val="24"/>
          <w:lang w:eastAsia="en-GB"/>
        </w:rPr>
        <w:t xml:space="preserve"> </w:t>
      </w:r>
      <w:r w:rsidR="00BA56EA">
        <w:rPr>
          <w:rFonts w:ascii="Times New Roman" w:eastAsia="Times New Roman" w:hAnsi="Times New Roman" w:cs="Times New Roman"/>
          <w:sz w:val="24"/>
          <w:szCs w:val="24"/>
          <w:lang w:eastAsia="en-GB"/>
        </w:rPr>
        <w:t>Such sources suggest th</w:t>
      </w:r>
      <w:r w:rsidR="00513C3C">
        <w:rPr>
          <w:rFonts w:ascii="Times New Roman" w:eastAsia="Times New Roman" w:hAnsi="Times New Roman" w:cs="Times New Roman"/>
          <w:sz w:val="24"/>
          <w:szCs w:val="24"/>
          <w:lang w:eastAsia="en-GB"/>
        </w:rPr>
        <w:t xml:space="preserve">e </w:t>
      </w:r>
      <w:r w:rsidR="00BA56EA">
        <w:rPr>
          <w:rFonts w:ascii="Times New Roman" w:eastAsia="Times New Roman" w:hAnsi="Times New Roman" w:cs="Times New Roman"/>
          <w:sz w:val="24"/>
          <w:szCs w:val="24"/>
          <w:lang w:eastAsia="en-GB"/>
        </w:rPr>
        <w:t>exist</w:t>
      </w:r>
      <w:r w:rsidR="00513C3C">
        <w:rPr>
          <w:rFonts w:ascii="Times New Roman" w:eastAsia="Times New Roman" w:hAnsi="Times New Roman" w:cs="Times New Roman"/>
          <w:sz w:val="24"/>
          <w:szCs w:val="24"/>
          <w:lang w:eastAsia="en-GB"/>
        </w:rPr>
        <w:t>ence of</w:t>
      </w:r>
      <w:r w:rsidR="00BA56EA">
        <w:rPr>
          <w:rFonts w:ascii="Times New Roman" w:eastAsia="Times New Roman" w:hAnsi="Times New Roman" w:cs="Times New Roman"/>
          <w:sz w:val="24"/>
          <w:szCs w:val="24"/>
          <w:lang w:eastAsia="en-GB"/>
        </w:rPr>
        <w:t xml:space="preserve"> anti-colonial actors who viewed French governance </w:t>
      </w:r>
      <w:r w:rsidR="00513C3C">
        <w:rPr>
          <w:rFonts w:ascii="Times New Roman" w:eastAsia="Times New Roman" w:hAnsi="Times New Roman" w:cs="Times New Roman"/>
          <w:sz w:val="24"/>
          <w:szCs w:val="24"/>
          <w:lang w:eastAsia="en-GB"/>
        </w:rPr>
        <w:t xml:space="preserve">as </w:t>
      </w:r>
      <w:r w:rsidR="00BA56EA">
        <w:rPr>
          <w:rFonts w:ascii="Times New Roman" w:eastAsia="Times New Roman" w:hAnsi="Times New Roman" w:cs="Times New Roman"/>
          <w:sz w:val="24"/>
          <w:szCs w:val="24"/>
          <w:lang w:eastAsia="en-GB"/>
        </w:rPr>
        <w:t xml:space="preserve">a source of fragmentation of their lands, who usually fell into the Arab nationalist and Sunni camps. </w:t>
      </w:r>
    </w:p>
    <w:p w:rsidR="00C34671" w:rsidRDefault="00E3281C" w:rsidP="392B512C">
      <w:pPr>
        <w:spacing w:before="100" w:beforeAutospacing="1" w:after="100" w:afterAutospacing="1" w:line="240" w:lineRule="auto"/>
        <w:rPr>
          <w:rFonts w:ascii="Times New Roman" w:eastAsia="Times New Roman" w:hAnsi="Times New Roman" w:cs="Times New Roman"/>
          <w:sz w:val="24"/>
          <w:szCs w:val="24"/>
          <w:lang w:eastAsia="en-GB"/>
        </w:rPr>
      </w:pPr>
      <w:r w:rsidRPr="392B512C">
        <w:rPr>
          <w:rFonts w:ascii="Times New Roman" w:eastAsia="Times New Roman" w:hAnsi="Times New Roman" w:cs="Times New Roman"/>
          <w:sz w:val="24"/>
          <w:szCs w:val="24"/>
          <w:lang w:eastAsia="en-GB"/>
        </w:rPr>
        <w:t xml:space="preserve">This historical context is particularly important because it demonstrates that the French Mandate emerged within a region that was already shaped by communal diversity, Ottoman reform, and European intervention and influence. However, the Mandate transformed these already existing structures by entrenching communal identity more deeply into systems of administration of territories, political </w:t>
      </w:r>
      <w:bookmarkStart w:id="1" w:name="_Int_KK8aStor"/>
      <w:r w:rsidRPr="392B512C">
        <w:rPr>
          <w:rFonts w:ascii="Times New Roman" w:eastAsia="Times New Roman" w:hAnsi="Times New Roman" w:cs="Times New Roman"/>
          <w:sz w:val="24"/>
          <w:szCs w:val="24"/>
          <w:lang w:eastAsia="en-GB"/>
        </w:rPr>
        <w:t>representation</w:t>
      </w:r>
      <w:bookmarkEnd w:id="1"/>
      <w:r w:rsidRPr="392B512C">
        <w:rPr>
          <w:rFonts w:ascii="Times New Roman" w:eastAsia="Times New Roman" w:hAnsi="Times New Roman" w:cs="Times New Roman"/>
          <w:sz w:val="24"/>
          <w:szCs w:val="24"/>
          <w:lang w:eastAsia="en-GB"/>
        </w:rPr>
        <w:t xml:space="preserve"> and state power. </w:t>
      </w:r>
    </w:p>
    <w:p w:rsidR="006C6312" w:rsidRDefault="006C6312" w:rsidP="00E14104">
      <w:pPr>
        <w:pStyle w:val="Heading1"/>
        <w:rPr>
          <w:sz w:val="24"/>
          <w:szCs w:val="24"/>
        </w:rPr>
      </w:pPr>
      <w:r w:rsidRPr="00E067CA">
        <w:rPr>
          <w:sz w:val="24"/>
          <w:szCs w:val="24"/>
        </w:rPr>
        <w:t>Literature Review</w:t>
      </w:r>
    </w:p>
    <w:p w:rsidR="00E06D1E" w:rsidRPr="00E74945" w:rsidRDefault="00E74945" w:rsidP="00E14104">
      <w:pPr>
        <w:pStyle w:val="Heading1"/>
        <w:rPr>
          <w:b w:val="0"/>
          <w:bCs w:val="0"/>
          <w:sz w:val="24"/>
          <w:szCs w:val="24"/>
        </w:rPr>
      </w:pPr>
      <w:r w:rsidRPr="392B512C">
        <w:rPr>
          <w:b w:val="0"/>
          <w:bCs w:val="0"/>
          <w:sz w:val="24"/>
          <w:szCs w:val="24"/>
        </w:rPr>
        <w:t xml:space="preserve">The question of sectarianism in Syria and Lebanon produces deeply contested historiographical debates. Scholars disagree significantly on whether sectarian governance should be understood mainly </w:t>
      </w:r>
      <w:bookmarkStart w:id="2" w:name="_Int_uNManPmD"/>
      <w:r w:rsidRPr="392B512C">
        <w:rPr>
          <w:b w:val="0"/>
          <w:bCs w:val="0"/>
          <w:sz w:val="24"/>
          <w:szCs w:val="24"/>
        </w:rPr>
        <w:t>as a result of</w:t>
      </w:r>
      <w:bookmarkEnd w:id="2"/>
      <w:r w:rsidRPr="392B512C">
        <w:rPr>
          <w:b w:val="0"/>
          <w:bCs w:val="0"/>
          <w:sz w:val="24"/>
          <w:szCs w:val="24"/>
        </w:rPr>
        <w:t xml:space="preserve"> colonial intervention, Ottoman administrative legacy, local elite mobilisation, or modern state formation. The dissertation engages with these debates by arguing that the French Mandate did not create sectarian identities out of thin air, but rather, transformed them into hierarchical systems of political incorporation </w:t>
      </w:r>
      <w:r w:rsidRPr="392B512C">
        <w:rPr>
          <w:b w:val="0"/>
          <w:bCs w:val="0"/>
          <w:sz w:val="24"/>
          <w:szCs w:val="24"/>
        </w:rPr>
        <w:lastRenderedPageBreak/>
        <w:t>entrenched within state structures. The literature review therefore examines four main areas of scholarly debate: colonial ‘divide and rule’</w:t>
      </w:r>
      <w:r w:rsidR="005E3EEF" w:rsidRPr="392B512C">
        <w:rPr>
          <w:b w:val="0"/>
          <w:bCs w:val="0"/>
          <w:sz w:val="24"/>
          <w:szCs w:val="24"/>
        </w:rPr>
        <w:t xml:space="preserve"> interpretations, continuity from Otto</w:t>
      </w:r>
      <w:r w:rsidR="00BE6D57" w:rsidRPr="392B512C">
        <w:rPr>
          <w:b w:val="0"/>
          <w:bCs w:val="0"/>
          <w:sz w:val="24"/>
          <w:szCs w:val="24"/>
        </w:rPr>
        <w:t>man era arguments, studies focu</w:t>
      </w:r>
      <w:r w:rsidR="005E3EEF" w:rsidRPr="392B512C">
        <w:rPr>
          <w:b w:val="0"/>
          <w:bCs w:val="0"/>
          <w:sz w:val="24"/>
          <w:szCs w:val="24"/>
        </w:rPr>
        <w:t xml:space="preserve">sing on local agency and sectarianisation, and wider theoretical approaches to colonial governance and political classification. </w:t>
      </w:r>
    </w:p>
    <w:p w:rsidR="00E06D1E" w:rsidRPr="005E3EEF" w:rsidRDefault="005E3EEF" w:rsidP="00E14104">
      <w:pPr>
        <w:pStyle w:val="Heading1"/>
        <w:rPr>
          <w:b w:val="0"/>
          <w:sz w:val="24"/>
          <w:szCs w:val="24"/>
        </w:rPr>
      </w:pPr>
      <w:r w:rsidRPr="005E3EEF">
        <w:rPr>
          <w:b w:val="0"/>
          <w:sz w:val="24"/>
          <w:szCs w:val="24"/>
        </w:rPr>
        <w:t>One of the m</w:t>
      </w:r>
      <w:r>
        <w:rPr>
          <w:b w:val="0"/>
          <w:sz w:val="24"/>
          <w:szCs w:val="24"/>
        </w:rPr>
        <w:t>ost discussed interpretations portrays the French Mandate as a deliberate strategy of sectarian fragmentation. Philip Khoury argues that French rule in Syria functioned through a ‘policy of divide and rule,’</w:t>
      </w:r>
      <w:r w:rsidR="00ED4ECE">
        <w:rPr>
          <w:b w:val="0"/>
          <w:sz w:val="24"/>
          <w:szCs w:val="24"/>
        </w:rPr>
        <w:t xml:space="preserve"> seeking to weaken Arab</w:t>
      </w:r>
      <w:r>
        <w:rPr>
          <w:b w:val="0"/>
          <w:sz w:val="24"/>
          <w:szCs w:val="24"/>
        </w:rPr>
        <w:t xml:space="preserve"> nationalism by fragme</w:t>
      </w:r>
      <w:r w:rsidR="003234DF">
        <w:rPr>
          <w:b w:val="0"/>
          <w:sz w:val="24"/>
          <w:szCs w:val="24"/>
        </w:rPr>
        <w:t>nting territory and cre</w:t>
      </w:r>
      <w:r w:rsidR="001B1481">
        <w:rPr>
          <w:b w:val="0"/>
          <w:sz w:val="24"/>
          <w:szCs w:val="24"/>
        </w:rPr>
        <w:t>ating alliances with minorities.</w:t>
      </w:r>
      <w:r w:rsidR="003234DF">
        <w:rPr>
          <w:rStyle w:val="FootnoteReference"/>
          <w:b w:val="0"/>
          <w:sz w:val="24"/>
          <w:szCs w:val="24"/>
        </w:rPr>
        <w:footnoteReference w:id="13"/>
      </w:r>
      <w:r w:rsidR="001B1481">
        <w:rPr>
          <w:b w:val="0"/>
          <w:sz w:val="24"/>
          <w:szCs w:val="24"/>
        </w:rPr>
        <w:t xml:space="preserve"> </w:t>
      </w:r>
      <w:r w:rsidR="003234DF">
        <w:rPr>
          <w:b w:val="0"/>
          <w:sz w:val="24"/>
          <w:szCs w:val="24"/>
        </w:rPr>
        <w:t>Similarly, Nadine Meouchy describes French policy as contributing to the ‘territorial parcelling up of minorities’ through the creation of autonomous or semi-autonomous political entities.’</w:t>
      </w:r>
      <w:r w:rsidR="003234DF">
        <w:rPr>
          <w:rStyle w:val="FootnoteReference"/>
          <w:b w:val="0"/>
          <w:sz w:val="24"/>
          <w:szCs w:val="24"/>
        </w:rPr>
        <w:footnoteReference w:id="14"/>
      </w:r>
      <w:r w:rsidR="003234DF">
        <w:rPr>
          <w:b w:val="0"/>
          <w:sz w:val="24"/>
          <w:szCs w:val="24"/>
        </w:rPr>
        <w:t xml:space="preserve"> These arguments are highly important as they show that sectarian governance was not merely accidental but actually embedded within the Mandate strategy of administration. </w:t>
      </w:r>
    </w:p>
    <w:p w:rsidR="00E06D1E" w:rsidRPr="00534E18" w:rsidRDefault="003234DF" w:rsidP="00E14104">
      <w:pPr>
        <w:pStyle w:val="Heading1"/>
        <w:rPr>
          <w:b w:val="0"/>
          <w:sz w:val="24"/>
          <w:szCs w:val="24"/>
        </w:rPr>
      </w:pPr>
      <w:r>
        <w:rPr>
          <w:b w:val="0"/>
          <w:sz w:val="24"/>
          <w:szCs w:val="24"/>
        </w:rPr>
        <w:t>However, thes</w:t>
      </w:r>
      <w:r w:rsidR="009172D6">
        <w:rPr>
          <w:b w:val="0"/>
          <w:sz w:val="24"/>
          <w:szCs w:val="24"/>
        </w:rPr>
        <w:t xml:space="preserve">e interpretations can at times risk </w:t>
      </w:r>
      <w:r w:rsidR="00BE6D57">
        <w:rPr>
          <w:b w:val="0"/>
          <w:sz w:val="24"/>
          <w:szCs w:val="24"/>
        </w:rPr>
        <w:t>focus</w:t>
      </w:r>
      <w:r w:rsidR="009172D6">
        <w:rPr>
          <w:b w:val="0"/>
          <w:sz w:val="24"/>
          <w:szCs w:val="24"/>
        </w:rPr>
        <w:t>in</w:t>
      </w:r>
      <w:r w:rsidR="0077736A">
        <w:rPr>
          <w:b w:val="0"/>
          <w:sz w:val="24"/>
          <w:szCs w:val="24"/>
        </w:rPr>
        <w:t>g too much on colonial impact</w:t>
      </w:r>
      <w:r w:rsidR="009172D6">
        <w:rPr>
          <w:b w:val="0"/>
          <w:sz w:val="24"/>
          <w:szCs w:val="24"/>
        </w:rPr>
        <w:t xml:space="preserve"> and intentionality and overstate their importance. French policy was not always based on strategy; at times it was improvised and reactionary to revolt, administrative weakness, and geographical concerns. Michael Provence’s study of the Great Syrian Revolt explains how colonial authorities often reacted defensively to nationalist resistance rather than implementing a fully consistent sectarian engineering programme.</w:t>
      </w:r>
      <w:r w:rsidR="009172D6">
        <w:rPr>
          <w:rStyle w:val="FootnoteReference"/>
          <w:b w:val="0"/>
          <w:sz w:val="24"/>
          <w:szCs w:val="24"/>
        </w:rPr>
        <w:footnoteReference w:id="15"/>
      </w:r>
      <w:r w:rsidR="0065755C">
        <w:rPr>
          <w:b w:val="0"/>
          <w:sz w:val="24"/>
          <w:szCs w:val="24"/>
        </w:rPr>
        <w:t xml:space="preserve"> This suggests that ‘divide and rule’ alone may oversimplify the complex nuances of Mandate </w:t>
      </w:r>
      <w:r w:rsidR="0065755C" w:rsidRPr="00534E18">
        <w:rPr>
          <w:b w:val="0"/>
          <w:sz w:val="24"/>
          <w:szCs w:val="24"/>
        </w:rPr>
        <w:t xml:space="preserve">governance. </w:t>
      </w:r>
    </w:p>
    <w:p w:rsidR="0065755C" w:rsidRPr="00534E18" w:rsidRDefault="00534E18" w:rsidP="00E14104">
      <w:pPr>
        <w:pStyle w:val="Heading1"/>
        <w:rPr>
          <w:b w:val="0"/>
          <w:sz w:val="24"/>
          <w:szCs w:val="24"/>
        </w:rPr>
      </w:pPr>
      <w:r w:rsidRPr="00534E18">
        <w:rPr>
          <w:b w:val="0"/>
          <w:sz w:val="24"/>
          <w:szCs w:val="24"/>
        </w:rPr>
        <w:t xml:space="preserve">Another important historiographical debate emphasises Ottoman era precedents. Elizabeth </w:t>
      </w:r>
      <w:r>
        <w:rPr>
          <w:b w:val="0"/>
          <w:sz w:val="24"/>
          <w:szCs w:val="24"/>
        </w:rPr>
        <w:t>Thompson posits that many forms of sectarian representation were already in existence prior to the Mandate, noting that the allocation of seats in parliament according to religious sect had already started in the Ottoman elections of 1876.</w:t>
      </w:r>
      <w:r>
        <w:rPr>
          <w:rStyle w:val="FootnoteReference"/>
          <w:b w:val="0"/>
          <w:sz w:val="24"/>
          <w:szCs w:val="24"/>
        </w:rPr>
        <w:footnoteReference w:id="16"/>
      </w:r>
      <w:r>
        <w:rPr>
          <w:b w:val="0"/>
          <w:sz w:val="24"/>
          <w:szCs w:val="24"/>
        </w:rPr>
        <w:t xml:space="preserve"> Similarly, the Tanzimat reforms attempted to reorganise Ottoman imperial governance around legal equality of religious communities. The Gulhane Edict’s declaration that reforms would apply to subjects ‘of whatever religion or sect’ </w:t>
      </w:r>
      <w:r w:rsidR="00EF7A66">
        <w:rPr>
          <w:b w:val="0"/>
          <w:sz w:val="24"/>
          <w:szCs w:val="24"/>
        </w:rPr>
        <w:t>shows that communal identity had already become important as an administrative category before the Mandate period.</w:t>
      </w:r>
      <w:r w:rsidR="00EF7A66">
        <w:rPr>
          <w:rStyle w:val="FootnoteReference"/>
          <w:b w:val="0"/>
          <w:sz w:val="24"/>
          <w:szCs w:val="24"/>
        </w:rPr>
        <w:footnoteReference w:id="17"/>
      </w:r>
      <w:r w:rsidR="00EF7A66">
        <w:rPr>
          <w:b w:val="0"/>
          <w:sz w:val="24"/>
          <w:szCs w:val="24"/>
        </w:rPr>
        <w:t xml:space="preserve"> </w:t>
      </w:r>
    </w:p>
    <w:p w:rsidR="00416F4C" w:rsidRDefault="00416F4C" w:rsidP="00E14104">
      <w:pPr>
        <w:pStyle w:val="NormalWeb"/>
      </w:pPr>
      <w:r>
        <w:t xml:space="preserve">This scholarship is significant because it challenges the idea that sectarianism was a solely colonial invention. However, Ottoman continuity arguments can also downplay the transformative nature of the Mandate itself. </w:t>
      </w:r>
      <w:r w:rsidR="00ED4ECE">
        <w:t>While communal ca</w:t>
      </w:r>
      <w:r>
        <w:t>tegories did exist under Ottoman rule, they were not embedded in the state structures in the same way as they became under the French Mandate. The Mandate system transformed these categories and structures into more rigid ones</w:t>
      </w:r>
      <w:r w:rsidR="00ED4ECE">
        <w:t xml:space="preserve"> through constitutional engineering</w:t>
      </w:r>
      <w:r>
        <w:t xml:space="preserve">, separation of territory, and selective or careful incorporation into </w:t>
      </w:r>
      <w:r w:rsidR="00ED4ECE">
        <w:t xml:space="preserve">the state apparatus. </w:t>
      </w:r>
    </w:p>
    <w:p w:rsidR="00D00BC4" w:rsidRDefault="003E0D32" w:rsidP="00E14104">
      <w:pPr>
        <w:pStyle w:val="NormalWeb"/>
      </w:pPr>
      <w:r>
        <w:lastRenderedPageBreak/>
        <w:t xml:space="preserve">James Gelvin’s work helps connect this divide by </w:t>
      </w:r>
      <w:r w:rsidR="00BE6D57">
        <w:t>focus</w:t>
      </w:r>
      <w:r>
        <w:t>ing on uneven s</w:t>
      </w:r>
      <w:r w:rsidR="0077736A">
        <w:t>ocial transformation rather than</w:t>
      </w:r>
      <w:r>
        <w:t xml:space="preserve"> simple colonial imposition. Gelvin argues that late Ottoman Syria was already experiencing the emergence of ‘distinct subcultures that articulated variant responses to socioeconomic change.’</w:t>
      </w:r>
      <w:r w:rsidR="00B67603">
        <w:rPr>
          <w:rStyle w:val="FootnoteReference"/>
        </w:rPr>
        <w:footnoteReference w:id="18"/>
      </w:r>
      <w:r>
        <w:t xml:space="preserve"> </w:t>
      </w:r>
      <w:r w:rsidR="00B67603">
        <w:t>Therefore, sectarian identities developed in the broader context of modernisation, urbanisation, and political transformation. This interpretation is helpful as it places sectarian politics within broader changes taking place rather than colonial manipulation or determinism. Furthermore, Gelvin highlights that French control redirected political participation into more controlled institutional channels and discouraged other forms of nationalist political mobilisation.</w:t>
      </w:r>
      <w:r w:rsidR="00B67603">
        <w:rPr>
          <w:rStyle w:val="FootnoteReference"/>
        </w:rPr>
        <w:footnoteReference w:id="19"/>
      </w:r>
      <w:r w:rsidR="00B67603">
        <w:t xml:space="preserve"> </w:t>
      </w:r>
      <w:r w:rsidR="00670DF7">
        <w:t xml:space="preserve">This supports the argument made in this dissertation </w:t>
      </w:r>
      <w:r w:rsidR="007378D3">
        <w:t xml:space="preserve">that the Mandate transformed communal identity into a more structured mechanism of political participation and incorporation. </w:t>
      </w:r>
    </w:p>
    <w:p w:rsidR="00874207" w:rsidRDefault="00874207" w:rsidP="00E14104">
      <w:pPr>
        <w:pStyle w:val="NormalWeb"/>
      </w:pPr>
      <w:r>
        <w:t>A third debate by scholars focuses on sectarianism as a dynamic political process rather than a fixed identity structure. Max Weiss argues that sectarianism emerged through a ‘dialectical relationship between attempts at divide and rule from above and clamorous demands from below for recognition and autonomy.’</w:t>
      </w:r>
      <w:r w:rsidR="00D852C9">
        <w:rPr>
          <w:rStyle w:val="FootnoteReference"/>
        </w:rPr>
        <w:footnoteReference w:id="20"/>
      </w:r>
      <w:r w:rsidR="00D852C9">
        <w:t xml:space="preserve"> This interpretation is especially important because it shifts the debate beyond simplistic colonial determinism. It recognises that there were local actors who actively participated in the production and reproduction of sectarian governance.</w:t>
      </w:r>
    </w:p>
    <w:p w:rsidR="00D852C9" w:rsidRPr="00E067CA" w:rsidRDefault="003C6142" w:rsidP="00E14104">
      <w:pPr>
        <w:pStyle w:val="NormalWeb"/>
      </w:pPr>
      <w:r>
        <w:t xml:space="preserve">Similarly, work by Carol Hakim on Lebanon highlights the role local elites played in negotiating and adapting Mandate </w:t>
      </w:r>
      <w:r w:rsidR="008F40BF">
        <w:t xml:space="preserve">institutions. </w:t>
      </w:r>
      <w:r w:rsidR="00DB2CC3">
        <w:t>Hakim argues that the confessional framework which was established under the French Mandate grad</w:t>
      </w:r>
      <w:r w:rsidR="00C21DD5">
        <w:t>ually resulted i</w:t>
      </w:r>
      <w:r w:rsidR="00DB2CC3">
        <w:t>n acceptance of Lebanon as a sovereign entity through elite participation in state structures and institutions.</w:t>
      </w:r>
      <w:r w:rsidR="00DB2CC3">
        <w:rPr>
          <w:rStyle w:val="FootnoteReference"/>
        </w:rPr>
        <w:footnoteReference w:id="21"/>
      </w:r>
      <w:r w:rsidR="00DB2CC3">
        <w:t xml:space="preserve"> </w:t>
      </w:r>
      <w:r w:rsidR="00C21DD5">
        <w:t xml:space="preserve">This reinforces the argument that sectarian governance continued after independence as postcolonial elites found it worked to their benefit. </w:t>
      </w:r>
    </w:p>
    <w:p w:rsidR="003315D7" w:rsidRDefault="00C21DD5" w:rsidP="00E14104">
      <w:pPr>
        <w:pStyle w:val="NormalWeb"/>
      </w:pPr>
      <w:r>
        <w:t>Since the Lebanese case represents the clearest formalisation of sectarian governance, it has produced extensive scholarship. Kamal Salibi’s ‘A House of Many Mansions’ explores how Lebanese political identity was shaped by competing historical narratives, particularly among Maronite elites who opted for French protection and claims of autonomy.</w:t>
      </w:r>
      <w:r>
        <w:rPr>
          <w:rStyle w:val="FootnoteReference"/>
        </w:rPr>
        <w:footnoteReference w:id="22"/>
      </w:r>
      <w:r>
        <w:t xml:space="preserve"> </w:t>
      </w:r>
      <w:r w:rsidR="00C90BA8">
        <w:t>Salibi’s work is significant because it highlights that communal identity was h</w:t>
      </w:r>
      <w:r w:rsidR="0077736A">
        <w:t xml:space="preserve">istorically constructed and </w:t>
      </w:r>
      <w:r w:rsidR="00C90BA8">
        <w:t xml:space="preserve">politically contested as opposed to being primordial or fixed. </w:t>
      </w:r>
      <w:r w:rsidR="003315D7">
        <w:t xml:space="preserve">However, some Lebanese historiography risks overstating elite political negotiation while underestimating the wider structures of colonial power. </w:t>
      </w:r>
      <w:r w:rsidR="007C797D">
        <w:t>Therefore, this dissertation combines elite-</w:t>
      </w:r>
      <w:r w:rsidR="00BE6D57">
        <w:t>focus</w:t>
      </w:r>
      <w:r w:rsidR="007C797D">
        <w:t xml:space="preserve">ed interpretations with wider analysis of the administrative hierarchy creating and restructuring of territory. </w:t>
      </w:r>
    </w:p>
    <w:p w:rsidR="006C6312" w:rsidRPr="00E067CA" w:rsidRDefault="007C797D" w:rsidP="00E14104">
      <w:pPr>
        <w:pStyle w:val="NormalWeb"/>
      </w:pPr>
      <w:r>
        <w:t xml:space="preserve">The Syrian case on the other hand, has often been examined through the lens of authoritarianism and military structures. Nikolaos Van Dam argues that sectarian dynamics became deeply embedded within the Syrian military and Ba’ath Party structures, through </w:t>
      </w:r>
      <w:r>
        <w:lastRenderedPageBreak/>
        <w:t>Alawite dominance of the security apparatus.</w:t>
      </w:r>
      <w:r>
        <w:rPr>
          <w:rStyle w:val="FootnoteReference"/>
        </w:rPr>
        <w:footnoteReference w:id="23"/>
      </w:r>
      <w:r>
        <w:t xml:space="preserve"> David Lesch similarly draws attention to the importance of Alawite networks within the Asad regime.</w:t>
      </w:r>
      <w:r>
        <w:rPr>
          <w:rStyle w:val="FootnoteReference"/>
        </w:rPr>
        <w:footnoteReference w:id="24"/>
      </w:r>
    </w:p>
    <w:p w:rsidR="007C797D" w:rsidRDefault="007C797D" w:rsidP="00E14104">
      <w:pPr>
        <w:pStyle w:val="NormalWeb"/>
      </w:pPr>
      <w:r>
        <w:t xml:space="preserve">These studies are important because they highlight how sectarian hierarchy persisted informally </w:t>
      </w:r>
      <w:r w:rsidR="00A87A81">
        <w:t xml:space="preserve">even under regimes that were officially </w:t>
      </w:r>
      <w:r w:rsidR="00513C3C">
        <w:t>anti-sectarian. However, this</w:t>
      </w:r>
      <w:r w:rsidR="00A87A81">
        <w:t xml:space="preserve"> unintentionally</w:t>
      </w:r>
      <w:r w:rsidR="00513C3C">
        <w:t xml:space="preserve"> risks </w:t>
      </w:r>
      <w:r w:rsidR="00A87A81">
        <w:t>portraying sectarian identity and Syrian politics as only based on communal affiliation. L</w:t>
      </w:r>
      <w:r w:rsidR="0077736A">
        <w:t>isa Wedeen offers a more nuanced</w:t>
      </w:r>
      <w:r w:rsidR="00A87A81">
        <w:t xml:space="preserve"> approach by emphasising symbolic domination, obedience, and authoritarian political performance rather than explicit sectarian mobilisation. </w:t>
      </w:r>
      <w:r w:rsidR="00A87A81">
        <w:rPr>
          <w:rStyle w:val="FootnoteReference"/>
        </w:rPr>
        <w:footnoteReference w:id="25"/>
      </w:r>
      <w:r w:rsidR="00D24D0C">
        <w:t xml:space="preserve"> Her research suggests that Syrian governance functioned through controlled ambiguity as opposed to open constitutional sectarianism. </w:t>
      </w:r>
    </w:p>
    <w:p w:rsidR="007C797D" w:rsidRDefault="00D24D0C" w:rsidP="00E14104">
      <w:pPr>
        <w:pStyle w:val="NormalWeb"/>
      </w:pPr>
      <w:r>
        <w:t>This di</w:t>
      </w:r>
      <w:r w:rsidR="0077736A">
        <w:t>ssertation also includes wider</w:t>
      </w:r>
      <w:r>
        <w:t xml:space="preserve"> theoretical scholarship about colonial governance methods and classification. Timothy Mitchell argues that colonial rule relie</w:t>
      </w:r>
      <w:r w:rsidR="00005C7B">
        <w:t>d on rendering societies ‘legib</w:t>
      </w:r>
      <w:r>
        <w:t>le’ through mapping, categorisation, bureaucratic ordering.</w:t>
      </w:r>
      <w:r>
        <w:rPr>
          <w:rStyle w:val="FootnoteReference"/>
        </w:rPr>
        <w:footnoteReference w:id="26"/>
      </w:r>
      <w:r>
        <w:t xml:space="preserve"> </w:t>
      </w:r>
      <w:r w:rsidR="00C9745D">
        <w:t xml:space="preserve">This framework is especially helpful for understanding how the Mandate transformed fluid communal identities into categories that were administratively manageable. </w:t>
      </w:r>
    </w:p>
    <w:p w:rsidR="00C9745D" w:rsidRDefault="00C9745D" w:rsidP="00E14104">
      <w:pPr>
        <w:pStyle w:val="NormalWeb"/>
      </w:pPr>
      <w:r>
        <w:t>Edward Said’s concept of Orientalism further sheds light on the ideological aspects of colonial governance. Said posits that colonial knowledge systems cons</w:t>
      </w:r>
      <w:r w:rsidR="007C02CD">
        <w:t xml:space="preserve">tructed </w:t>
      </w:r>
      <w:bookmarkStart w:id="3" w:name="_Int_UCIFSHbw"/>
      <w:r w:rsidR="007C02CD">
        <w:t>the Orient</w:t>
      </w:r>
      <w:bookmarkEnd w:id="3"/>
      <w:r w:rsidR="007C02CD">
        <w:t xml:space="preserve"> as naturally</w:t>
      </w:r>
      <w:r>
        <w:t xml:space="preserve"> fragmented, irrational, and in need of external </w:t>
      </w:r>
      <w:bookmarkStart w:id="4" w:name="_Int_ehzsTFMp"/>
      <w:r>
        <w:t>assistance.</w:t>
      </w:r>
      <w:r>
        <w:rPr>
          <w:rStyle w:val="FootnoteReference"/>
        </w:rPr>
        <w:footnoteReference w:id="27"/>
      </w:r>
      <w:bookmarkEnd w:id="4"/>
      <w:r>
        <w:t xml:space="preserve"> This framework helps explain how French administrators justified partitioning territory and communal governance as necessary to stabilise disoriented regions. </w:t>
      </w:r>
      <w:r w:rsidR="006F4FB9">
        <w:t>Frantz Fanon’s analysis of colonial societies as ‘a world divided into compartments’</w:t>
      </w:r>
      <w:r w:rsidR="00D665AA">
        <w:t xml:space="preserve"> also contributes to </w:t>
      </w:r>
      <w:r w:rsidR="006F4FB9">
        <w:t xml:space="preserve">this dissertation’s argument about hierarchy and differentiated </w:t>
      </w:r>
      <w:bookmarkStart w:id="5" w:name="_Int_AKSoVXyV"/>
      <w:r w:rsidR="006F4FB9">
        <w:t>incorporation.</w:t>
      </w:r>
      <w:r w:rsidR="00D665AA">
        <w:rPr>
          <w:rStyle w:val="FootnoteReference"/>
        </w:rPr>
        <w:footnoteReference w:id="28"/>
      </w:r>
      <w:bookmarkEnd w:id="5"/>
      <w:r w:rsidR="001216CE">
        <w:t xml:space="preserve"> Fanon’s work is particularly useful because it highlights how colonial governance produced political stratification through institutional and spatial separation. </w:t>
      </w:r>
    </w:p>
    <w:p w:rsidR="007C02CD" w:rsidRPr="00E067CA" w:rsidRDefault="007C02CD" w:rsidP="007C02CD">
      <w:pPr>
        <w:pStyle w:val="NormalWeb"/>
      </w:pPr>
      <w:r>
        <w:t>This dissertation therefore builds on these historiographical and theoretical debates by proposing the concept of hierarchical incorporation as a way of understanding Mandate gover</w:t>
      </w:r>
      <w:r w:rsidR="0077736A">
        <w:t>nance. Existing scholarship has</w:t>
      </w:r>
      <w:r>
        <w:t xml:space="preserve"> convincingly argued that the French fragmented territory, manipulated communal differences,</w:t>
      </w:r>
      <w:r w:rsidR="0077736A">
        <w:t xml:space="preserve"> and built</w:t>
      </w:r>
      <w:r>
        <w:t xml:space="preserve"> minority alliances. However, less attention has been given to how colonial governance ranked communities according to their political usefulness, reliability, and strategic value. </w:t>
      </w:r>
    </w:p>
    <w:p w:rsidR="00657331" w:rsidRDefault="0041043C" w:rsidP="00E14104">
      <w:pPr>
        <w:pStyle w:val="NormalWeb"/>
      </w:pPr>
      <w:r>
        <w:t xml:space="preserve">The main argument made here is therefore that the Mandate’s most enduring legacy was not simply division on sectarian lines, but </w:t>
      </w:r>
      <w:r w:rsidR="28F6BDD9">
        <w:t>the</w:t>
      </w:r>
      <w:r>
        <w:t xml:space="preserve"> institutionalisation of uneven and unfair political access through community identity. Lebanon and Syria represent different institutional forms of this same governing logic: </w:t>
      </w:r>
    </w:p>
    <w:p w:rsidR="0041043C" w:rsidRPr="00E067CA" w:rsidRDefault="0041043C" w:rsidP="0041043C">
      <w:pPr>
        <w:pStyle w:val="NormalWeb"/>
        <w:numPr>
          <w:ilvl w:val="0"/>
          <w:numId w:val="7"/>
        </w:numPr>
      </w:pPr>
      <w:r w:rsidRPr="00E067CA">
        <w:t>Lebanon through formal constitutional confessionalism,</w:t>
      </w:r>
    </w:p>
    <w:p w:rsidR="0041043C" w:rsidRDefault="0041043C" w:rsidP="0041043C">
      <w:pPr>
        <w:pStyle w:val="NormalWeb"/>
        <w:numPr>
          <w:ilvl w:val="0"/>
          <w:numId w:val="7"/>
        </w:numPr>
      </w:pPr>
      <w:r w:rsidRPr="00E067CA">
        <w:lastRenderedPageBreak/>
        <w:t>Syria through informal authoritarian hierarchy.</w:t>
      </w:r>
    </w:p>
    <w:p w:rsidR="0041043C" w:rsidRDefault="03F22F8B" w:rsidP="0041043C">
      <w:pPr>
        <w:pStyle w:val="NormalWeb"/>
      </w:pPr>
      <w:r>
        <w:t>The</w:t>
      </w:r>
      <w:r w:rsidR="0041043C">
        <w:t xml:space="preserve"> Literature</w:t>
      </w:r>
      <w:r w:rsidR="711A3160">
        <w:t xml:space="preserve"> shows</w:t>
      </w:r>
      <w:r w:rsidR="0041043C">
        <w:t xml:space="preserve"> that sectarian governances in the Levant cannot be explained through any single factor. Colonial intervention, Ottoman administrative structures, local elite dynamics, nationalist resistance, and postcolonial state formation all contributed and interacted in shaping political outcomes. Neither was the French Mandate completely deterministic or completely historically insignificant. Rather, it was a transformative moment in which communal identities were reorganised into systems of political hierarchy that could endure and whose effects still shape Syria and Lebanon today. </w:t>
      </w:r>
    </w:p>
    <w:p w:rsidR="00880052" w:rsidRPr="0041043C" w:rsidRDefault="00880052" w:rsidP="0041043C">
      <w:pPr>
        <w:pStyle w:val="NormalWeb"/>
      </w:pPr>
      <w:r w:rsidRPr="00880052">
        <w:rPr>
          <w:b/>
          <w:bCs/>
          <w:kern w:val="36"/>
        </w:rPr>
        <w:t>Chapter 1: Colonial Institutions and the Transformation of Sectarian Governance under the French Mandate</w:t>
      </w:r>
    </w:p>
    <w:p w:rsidR="00880052" w:rsidRPr="00880052" w:rsidRDefault="00880052" w:rsidP="00E14104">
      <w:pPr>
        <w:spacing w:before="100" w:beforeAutospacing="1" w:after="100" w:afterAutospacing="1" w:line="240" w:lineRule="auto"/>
        <w:outlineLvl w:val="1"/>
        <w:rPr>
          <w:rFonts w:ascii="Times New Roman" w:eastAsia="Times New Roman" w:hAnsi="Times New Roman" w:cs="Times New Roman"/>
          <w:b/>
          <w:bCs/>
          <w:sz w:val="24"/>
          <w:szCs w:val="24"/>
          <w:lang w:eastAsia="en-GB"/>
        </w:rPr>
      </w:pPr>
      <w:r w:rsidRPr="00880052">
        <w:rPr>
          <w:rFonts w:ascii="Times New Roman" w:eastAsia="Times New Roman" w:hAnsi="Times New Roman" w:cs="Times New Roman"/>
          <w:b/>
          <w:bCs/>
          <w:sz w:val="24"/>
          <w:szCs w:val="24"/>
          <w:lang w:eastAsia="en-GB"/>
        </w:rPr>
        <w:t>1. Introduction: From Communal Difference to Institutional Hierarchy</w:t>
      </w:r>
    </w:p>
    <w:p w:rsidR="00654C9D" w:rsidRDefault="008C4F9B" w:rsidP="392B512C">
      <w:pPr>
        <w:spacing w:before="100" w:beforeAutospacing="1" w:after="100" w:afterAutospacing="1" w:line="240" w:lineRule="auto"/>
        <w:rPr>
          <w:rFonts w:ascii="Times New Roman" w:eastAsia="Times New Roman" w:hAnsi="Times New Roman" w:cs="Times New Roman"/>
          <w:sz w:val="24"/>
          <w:szCs w:val="24"/>
          <w:lang w:eastAsia="en-GB"/>
        </w:rPr>
      </w:pPr>
      <w:r w:rsidRPr="392B512C">
        <w:rPr>
          <w:rFonts w:ascii="Times New Roman" w:eastAsia="Times New Roman" w:hAnsi="Times New Roman" w:cs="Times New Roman"/>
          <w:sz w:val="24"/>
          <w:szCs w:val="24"/>
          <w:lang w:eastAsia="en-GB"/>
        </w:rPr>
        <w:t xml:space="preserve">This chapter looks at how French Mandate institutions transformed existing communal differences In Syria and Lebanon into structured forms of political governance. It argues that sectarian governance under the Mandate did not appear solely from colonial intervention, primordial identity, or Ottoman legacy, but from the interaction between </w:t>
      </w:r>
      <w:r w:rsidR="6E2E5A76" w:rsidRPr="392B512C">
        <w:rPr>
          <w:rFonts w:ascii="Times New Roman" w:eastAsia="Times New Roman" w:hAnsi="Times New Roman" w:cs="Times New Roman"/>
          <w:sz w:val="24"/>
          <w:szCs w:val="24"/>
          <w:lang w:eastAsia="en-GB"/>
        </w:rPr>
        <w:t>all</w:t>
      </w:r>
      <w:r w:rsidRPr="392B512C">
        <w:rPr>
          <w:rFonts w:ascii="Times New Roman" w:eastAsia="Times New Roman" w:hAnsi="Times New Roman" w:cs="Times New Roman"/>
          <w:sz w:val="24"/>
          <w:szCs w:val="24"/>
          <w:lang w:eastAsia="en-GB"/>
        </w:rPr>
        <w:t xml:space="preserve"> these forces. However, while communal identities did exist before French rule and Ottoman administration had already institutionalised some aspects of communal structuring, it was under the French Mandate that these identities intensely and systematically reorganised into a hierarchy of political incorporation. </w:t>
      </w:r>
    </w:p>
    <w:p w:rsidR="00654C9D" w:rsidRDefault="008C4F9B" w:rsidP="00E14104">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Rather than simply ‘dividing’ populations, the French Mandate ranked communities according to who the French perceived to be politically reliable and then integrated them unevenly into state structures. This chapter therefore builds on Elizabeth Thompson’s argument that colonial governance reflected both ‘past Ottoma</w:t>
      </w:r>
      <w:r w:rsidR="008E0474">
        <w:rPr>
          <w:rFonts w:ascii="Times New Roman" w:eastAsia="Times New Roman" w:hAnsi="Times New Roman" w:cs="Times New Roman"/>
          <w:sz w:val="24"/>
          <w:szCs w:val="24"/>
          <w:lang w:eastAsia="en-GB"/>
        </w:rPr>
        <w:t>n practice and French influence,</w:t>
      </w:r>
      <w:r>
        <w:rPr>
          <w:rFonts w:ascii="Times New Roman" w:eastAsia="Times New Roman" w:hAnsi="Times New Roman" w:cs="Times New Roman"/>
          <w:sz w:val="24"/>
          <w:szCs w:val="24"/>
          <w:lang w:eastAsia="en-GB"/>
        </w:rPr>
        <w:t>’</w:t>
      </w:r>
      <w:r>
        <w:rPr>
          <w:rStyle w:val="FootnoteReference"/>
          <w:rFonts w:ascii="Times New Roman" w:eastAsia="Times New Roman" w:hAnsi="Times New Roman" w:cs="Times New Roman"/>
          <w:sz w:val="24"/>
          <w:szCs w:val="24"/>
          <w:lang w:eastAsia="en-GB"/>
        </w:rPr>
        <w:footnoteReference w:id="29"/>
      </w:r>
      <w:r w:rsidR="008E0474">
        <w:rPr>
          <w:rFonts w:ascii="Times New Roman" w:eastAsia="Times New Roman" w:hAnsi="Times New Roman" w:cs="Times New Roman"/>
          <w:sz w:val="24"/>
          <w:szCs w:val="24"/>
          <w:lang w:eastAsia="en-GB"/>
        </w:rPr>
        <w:t xml:space="preserve"> while also engaging Max Weiss’s view that sectarianisation emerged through a ‘dialectical relationship between attempts at divide and rule from above and clamorous demands from below for recognition and autonomy.’</w:t>
      </w:r>
      <w:r w:rsidR="008E0474">
        <w:rPr>
          <w:rStyle w:val="FootnoteReference"/>
          <w:rFonts w:ascii="Times New Roman" w:eastAsia="Times New Roman" w:hAnsi="Times New Roman" w:cs="Times New Roman"/>
          <w:sz w:val="24"/>
          <w:szCs w:val="24"/>
          <w:lang w:eastAsia="en-GB"/>
        </w:rPr>
        <w:footnoteReference w:id="30"/>
      </w:r>
    </w:p>
    <w:p w:rsidR="001B1481" w:rsidRDefault="001B1481" w:rsidP="00E14104">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This chapter therefore argues that the Mandate’s main transformation was not the production of sectarian identities on their own, but their conversion into administrative and political categories embedded within modern state institutions. </w:t>
      </w:r>
    </w:p>
    <w:p w:rsidR="00880052" w:rsidRDefault="00880052" w:rsidP="00E14104">
      <w:pPr>
        <w:spacing w:before="100" w:beforeAutospacing="1" w:after="100" w:afterAutospacing="1" w:line="240" w:lineRule="auto"/>
        <w:outlineLvl w:val="1"/>
        <w:rPr>
          <w:rFonts w:ascii="Times New Roman" w:eastAsia="Times New Roman" w:hAnsi="Times New Roman" w:cs="Times New Roman"/>
          <w:b/>
          <w:bCs/>
          <w:sz w:val="24"/>
          <w:szCs w:val="24"/>
          <w:lang w:eastAsia="en-GB"/>
        </w:rPr>
      </w:pPr>
      <w:r w:rsidRPr="00880052">
        <w:rPr>
          <w:rFonts w:ascii="Times New Roman" w:eastAsia="Times New Roman" w:hAnsi="Times New Roman" w:cs="Times New Roman"/>
          <w:b/>
          <w:bCs/>
          <w:sz w:val="24"/>
          <w:szCs w:val="24"/>
          <w:lang w:eastAsia="en-GB"/>
        </w:rPr>
        <w:t>2. Ottoman Legacies and the Preconditions of Sectarian Governance</w:t>
      </w:r>
    </w:p>
    <w:p w:rsidR="009F05AD" w:rsidRDefault="009F05AD" w:rsidP="392B512C">
      <w:pPr>
        <w:spacing w:before="100" w:beforeAutospacing="1" w:after="100" w:afterAutospacing="1" w:line="240" w:lineRule="auto"/>
        <w:outlineLvl w:val="1"/>
        <w:rPr>
          <w:rFonts w:ascii="Times New Roman" w:eastAsia="Times New Roman" w:hAnsi="Times New Roman" w:cs="Times New Roman"/>
          <w:sz w:val="24"/>
          <w:szCs w:val="24"/>
          <w:lang w:eastAsia="en-GB"/>
        </w:rPr>
      </w:pPr>
      <w:r w:rsidRPr="392B512C">
        <w:rPr>
          <w:rFonts w:ascii="Times New Roman" w:eastAsia="Times New Roman" w:hAnsi="Times New Roman" w:cs="Times New Roman"/>
          <w:sz w:val="24"/>
          <w:szCs w:val="24"/>
          <w:lang w:eastAsia="en-GB"/>
        </w:rPr>
        <w:t>The roots of sectarian governance existed before the Mandate. Ottoman systems such as the Millet framework and the Tanzimat reforms had already entrenched communal identity within governance structures. An important example of this is the 1839 Tanzimat decree, which declared that ‘these imperial concessions shall extend to all our subjects, of whatever religion or sect they may be.’</w:t>
      </w:r>
      <w:r w:rsidRPr="392B512C">
        <w:rPr>
          <w:rStyle w:val="FootnoteReference"/>
          <w:rFonts w:ascii="Times New Roman" w:eastAsia="Times New Roman" w:hAnsi="Times New Roman" w:cs="Times New Roman"/>
          <w:sz w:val="24"/>
          <w:szCs w:val="24"/>
          <w:lang w:eastAsia="en-GB"/>
        </w:rPr>
        <w:footnoteReference w:id="31"/>
      </w:r>
      <w:r w:rsidR="45A84925" w:rsidRPr="392B512C">
        <w:rPr>
          <w:rFonts w:ascii="Times New Roman" w:eastAsia="Times New Roman" w:hAnsi="Times New Roman" w:cs="Times New Roman"/>
          <w:sz w:val="24"/>
          <w:szCs w:val="24"/>
          <w:lang w:eastAsia="en-GB"/>
        </w:rPr>
        <w:t xml:space="preserve"> </w:t>
      </w:r>
      <w:r w:rsidRPr="392B512C">
        <w:rPr>
          <w:rFonts w:ascii="Times New Roman" w:eastAsia="Times New Roman" w:hAnsi="Times New Roman" w:cs="Times New Roman"/>
          <w:sz w:val="24"/>
          <w:szCs w:val="24"/>
          <w:lang w:eastAsia="en-GB"/>
        </w:rPr>
        <w:t xml:space="preserve">This is a particularly salient source as it demonstrates that communal identity was already recognised before French rule as the working and declaration </w:t>
      </w:r>
      <w:r w:rsidRPr="392B512C">
        <w:rPr>
          <w:rFonts w:ascii="Times New Roman" w:eastAsia="Times New Roman" w:hAnsi="Times New Roman" w:cs="Times New Roman"/>
          <w:sz w:val="24"/>
          <w:szCs w:val="24"/>
          <w:lang w:eastAsia="en-GB"/>
        </w:rPr>
        <w:lastRenderedPageBreak/>
        <w:t>suggest. It also complicates arguments that sectarian governances originated entirely under colonialism. However, the source does have limitations. Although the decree promoted equality</w:t>
      </w:r>
      <w:r w:rsidR="00414381" w:rsidRPr="392B512C">
        <w:rPr>
          <w:rFonts w:ascii="Times New Roman" w:eastAsia="Times New Roman" w:hAnsi="Times New Roman" w:cs="Times New Roman"/>
          <w:sz w:val="24"/>
          <w:szCs w:val="24"/>
          <w:lang w:eastAsia="en-GB"/>
        </w:rPr>
        <w:t xml:space="preserve"> on the face of it, in practical terms, communal distinctions remained in place within Ottoman political life. This raises the questions about whether the reforms were represented genuine transformation or imperial damage control during a period of </w:t>
      </w:r>
      <w:bookmarkStart w:id="6" w:name="_Int_34XzU4wr"/>
      <w:r w:rsidR="00414381" w:rsidRPr="392B512C">
        <w:rPr>
          <w:rFonts w:ascii="Times New Roman" w:eastAsia="Times New Roman" w:hAnsi="Times New Roman" w:cs="Times New Roman"/>
          <w:sz w:val="24"/>
          <w:szCs w:val="24"/>
          <w:lang w:eastAsia="en-GB"/>
        </w:rPr>
        <w:t>great pressure</w:t>
      </w:r>
      <w:bookmarkEnd w:id="6"/>
      <w:r w:rsidR="00414381" w:rsidRPr="392B512C">
        <w:rPr>
          <w:rFonts w:ascii="Times New Roman" w:eastAsia="Times New Roman" w:hAnsi="Times New Roman" w:cs="Times New Roman"/>
          <w:sz w:val="24"/>
          <w:szCs w:val="24"/>
          <w:lang w:eastAsia="en-GB"/>
        </w:rPr>
        <w:t xml:space="preserve"> from Europe and within the Empire. </w:t>
      </w:r>
    </w:p>
    <w:p w:rsidR="00A21B23" w:rsidRDefault="00F741E3" w:rsidP="392B512C">
      <w:pPr>
        <w:spacing w:before="100" w:beforeAutospacing="1" w:after="100" w:afterAutospacing="1" w:line="240" w:lineRule="auto"/>
        <w:outlineLvl w:val="1"/>
        <w:rPr>
          <w:rFonts w:ascii="Times New Roman" w:eastAsia="Times New Roman" w:hAnsi="Times New Roman" w:cs="Times New Roman"/>
          <w:sz w:val="24"/>
          <w:szCs w:val="24"/>
          <w:lang w:eastAsia="en-GB"/>
        </w:rPr>
      </w:pPr>
      <w:r w:rsidRPr="392B512C">
        <w:rPr>
          <w:rFonts w:ascii="Times New Roman" w:eastAsia="Times New Roman" w:hAnsi="Times New Roman" w:cs="Times New Roman"/>
          <w:sz w:val="24"/>
          <w:szCs w:val="24"/>
          <w:lang w:eastAsia="en-GB"/>
        </w:rPr>
        <w:t>Elizabeth Thompson similarly notes that sectarian representation ‘</w:t>
      </w:r>
      <w:bookmarkStart w:id="7" w:name="_Int_tvZB2Kp3"/>
      <w:r w:rsidRPr="392B512C">
        <w:rPr>
          <w:rFonts w:ascii="Times New Roman" w:eastAsia="Times New Roman" w:hAnsi="Times New Roman" w:cs="Times New Roman"/>
          <w:sz w:val="24"/>
          <w:szCs w:val="24"/>
          <w:lang w:eastAsia="en-GB"/>
        </w:rPr>
        <w:t>went back further,</w:t>
      </w:r>
      <w:bookmarkEnd w:id="7"/>
      <w:r w:rsidRPr="392B512C">
        <w:rPr>
          <w:rFonts w:ascii="Times New Roman" w:eastAsia="Times New Roman" w:hAnsi="Times New Roman" w:cs="Times New Roman"/>
          <w:sz w:val="24"/>
          <w:szCs w:val="24"/>
          <w:lang w:eastAsia="en-GB"/>
        </w:rPr>
        <w:t xml:space="preserve"> to the Ottoman elections of 1876.’</w:t>
      </w:r>
      <w:r w:rsidRPr="392B512C">
        <w:rPr>
          <w:rStyle w:val="FootnoteReference"/>
          <w:rFonts w:ascii="Times New Roman" w:eastAsia="Times New Roman" w:hAnsi="Times New Roman" w:cs="Times New Roman"/>
          <w:sz w:val="24"/>
          <w:szCs w:val="24"/>
          <w:lang w:eastAsia="en-GB"/>
        </w:rPr>
        <w:footnoteReference w:id="32"/>
      </w:r>
      <w:r w:rsidRPr="392B512C">
        <w:rPr>
          <w:rFonts w:ascii="Times New Roman" w:eastAsia="Times New Roman" w:hAnsi="Times New Roman" w:cs="Times New Roman"/>
          <w:sz w:val="24"/>
          <w:szCs w:val="24"/>
          <w:lang w:eastAsia="en-GB"/>
        </w:rPr>
        <w:t xml:space="preserve"> James Gelvin corroborates this view by arguing that late Ottoman society experiences uneven modernisation, producing ‘distinct subcultures that articulated variant responses to socioeconomic change.’</w:t>
      </w:r>
      <w:r w:rsidRPr="392B512C">
        <w:rPr>
          <w:rStyle w:val="FootnoteReference"/>
          <w:rFonts w:ascii="Times New Roman" w:eastAsia="Times New Roman" w:hAnsi="Times New Roman" w:cs="Times New Roman"/>
          <w:sz w:val="24"/>
          <w:szCs w:val="24"/>
          <w:lang w:eastAsia="en-GB"/>
        </w:rPr>
        <w:footnoteReference w:id="33"/>
      </w:r>
    </w:p>
    <w:p w:rsidR="00A21B23" w:rsidRDefault="007A5864" w:rsidP="00F741E3">
      <w:pPr>
        <w:spacing w:before="100" w:beforeAutospacing="1" w:after="100" w:afterAutospacing="1" w:line="240" w:lineRule="auto"/>
        <w:outlineLvl w:val="1"/>
        <w:rPr>
          <w:rFonts w:ascii="Times New Roman" w:eastAsia="Times New Roman" w:hAnsi="Times New Roman" w:cs="Times New Roman"/>
          <w:bCs/>
          <w:sz w:val="24"/>
          <w:szCs w:val="24"/>
          <w:lang w:eastAsia="en-GB"/>
        </w:rPr>
      </w:pPr>
      <w:r w:rsidRPr="004007F7">
        <w:rPr>
          <w:rFonts w:ascii="Times New Roman" w:eastAsia="Times New Roman" w:hAnsi="Times New Roman" w:cs="Times New Roman"/>
          <w:bCs/>
          <w:sz w:val="24"/>
          <w:szCs w:val="24"/>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5.8pt;height:247.65pt">
            <v:imagedata r:id="rId9" o:title="1000110263"/>
          </v:shape>
        </w:pict>
      </w:r>
    </w:p>
    <w:p w:rsidR="00A21B23" w:rsidRPr="00A21B23" w:rsidRDefault="00A21B23" w:rsidP="00F741E3">
      <w:pPr>
        <w:spacing w:before="100" w:beforeAutospacing="1" w:after="100" w:afterAutospacing="1" w:line="240" w:lineRule="auto"/>
        <w:outlineLvl w:val="1"/>
        <w:rPr>
          <w:rFonts w:ascii="Times New Roman" w:eastAsia="Times New Roman" w:hAnsi="Times New Roman" w:cs="Times New Roman"/>
          <w:bCs/>
          <w:sz w:val="20"/>
          <w:szCs w:val="20"/>
          <w:lang w:eastAsia="en-GB"/>
        </w:rPr>
      </w:pPr>
      <w:r w:rsidRPr="00A21B23">
        <w:rPr>
          <w:rFonts w:ascii="Times New Roman" w:eastAsia="Times New Roman" w:hAnsi="Times New Roman" w:cs="Times New Roman"/>
          <w:bCs/>
          <w:sz w:val="20"/>
          <w:szCs w:val="20"/>
          <w:lang w:eastAsia="en-GB"/>
        </w:rPr>
        <w:t xml:space="preserve">Figure 1: </w:t>
      </w:r>
      <w:r>
        <w:rPr>
          <w:rFonts w:ascii="Times New Roman" w:eastAsia="Times New Roman" w:hAnsi="Times New Roman" w:cs="Times New Roman"/>
          <w:bCs/>
          <w:sz w:val="20"/>
          <w:szCs w:val="20"/>
          <w:lang w:eastAsia="en-GB"/>
        </w:rPr>
        <w:t>Ethnic and religious demographic map of Syria and Lebanon in 1935 during the French Mandate.</w:t>
      </w:r>
      <w:r>
        <w:rPr>
          <w:rStyle w:val="FootnoteReference"/>
          <w:rFonts w:ascii="Times New Roman" w:eastAsia="Times New Roman" w:hAnsi="Times New Roman" w:cs="Times New Roman"/>
          <w:bCs/>
          <w:sz w:val="20"/>
          <w:szCs w:val="20"/>
          <w:lang w:eastAsia="en-GB"/>
        </w:rPr>
        <w:footnoteReference w:id="34"/>
      </w:r>
      <w:r>
        <w:rPr>
          <w:rFonts w:ascii="Times New Roman" w:eastAsia="Times New Roman" w:hAnsi="Times New Roman" w:cs="Times New Roman"/>
          <w:bCs/>
          <w:sz w:val="20"/>
          <w:szCs w:val="20"/>
          <w:lang w:eastAsia="en-GB"/>
        </w:rPr>
        <w:t xml:space="preserve"> </w:t>
      </w:r>
    </w:p>
    <w:p w:rsidR="00F741E3" w:rsidRDefault="007E1021" w:rsidP="00F741E3">
      <w:pPr>
        <w:spacing w:before="100" w:beforeAutospacing="1" w:after="100" w:afterAutospacing="1" w:line="240" w:lineRule="auto"/>
        <w:outlineLvl w:val="1"/>
        <w:rPr>
          <w:rFonts w:ascii="Times New Roman" w:eastAsia="Times New Roman" w:hAnsi="Times New Roman" w:cs="Times New Roman"/>
          <w:bCs/>
          <w:sz w:val="24"/>
          <w:szCs w:val="24"/>
          <w:lang w:eastAsia="en-GB"/>
        </w:rPr>
      </w:pPr>
      <w:r>
        <w:rPr>
          <w:rFonts w:ascii="Times New Roman" w:eastAsia="Times New Roman" w:hAnsi="Times New Roman" w:cs="Times New Roman"/>
          <w:bCs/>
          <w:sz w:val="24"/>
          <w:szCs w:val="24"/>
          <w:lang w:eastAsia="en-GB"/>
        </w:rPr>
        <w:t>These developments suggest that communal categories already did exist prior to French rule, but they had not yet been transformed into the rigid territorial and political hierarchies they later became under the French. This becomes clearer through primary source demographic evidence. A map reproduced in Michael Kerr and Craig Larkin’s ‘The Alawites of Syria’ shows a mixed population of Sunni, Christian, and Alawites along the Syrian coast between 1920 and 1936.</w:t>
      </w:r>
      <w:r>
        <w:rPr>
          <w:rStyle w:val="FootnoteReference"/>
          <w:rFonts w:ascii="Times New Roman" w:eastAsia="Times New Roman" w:hAnsi="Times New Roman" w:cs="Times New Roman"/>
          <w:bCs/>
          <w:sz w:val="24"/>
          <w:szCs w:val="24"/>
          <w:lang w:eastAsia="en-GB"/>
        </w:rPr>
        <w:footnoteReference w:id="35"/>
      </w:r>
      <w:r>
        <w:rPr>
          <w:rFonts w:ascii="Times New Roman" w:eastAsia="Times New Roman" w:hAnsi="Times New Roman" w:cs="Times New Roman"/>
          <w:bCs/>
          <w:sz w:val="24"/>
          <w:szCs w:val="24"/>
          <w:lang w:eastAsia="en-GB"/>
        </w:rPr>
        <w:t xml:space="preserve"> Likewise, a demographic published on a Facebook maps page, by the page </w:t>
      </w:r>
      <w:r>
        <w:rPr>
          <w:rFonts w:ascii="Times New Roman" w:eastAsia="Times New Roman" w:hAnsi="Times New Roman" w:cs="Times New Roman"/>
          <w:bCs/>
          <w:sz w:val="24"/>
          <w:szCs w:val="24"/>
          <w:lang w:eastAsia="en-GB"/>
        </w:rPr>
        <w:lastRenderedPageBreak/>
        <w:t>‘The Atlas Bookshelf’ which seems to produce non-political cartography and maps, depicts significant Sunni presence in regions later incorporated into minority-dominated areas.’</w:t>
      </w:r>
      <w:r>
        <w:rPr>
          <w:rStyle w:val="FootnoteReference"/>
          <w:rFonts w:ascii="Times New Roman" w:eastAsia="Times New Roman" w:hAnsi="Times New Roman" w:cs="Times New Roman"/>
          <w:bCs/>
          <w:sz w:val="24"/>
          <w:szCs w:val="24"/>
          <w:lang w:eastAsia="en-GB"/>
        </w:rPr>
        <w:footnoteReference w:id="36"/>
      </w:r>
      <w:r>
        <w:rPr>
          <w:rFonts w:ascii="Times New Roman" w:eastAsia="Times New Roman" w:hAnsi="Times New Roman" w:cs="Times New Roman"/>
          <w:bCs/>
          <w:sz w:val="24"/>
          <w:szCs w:val="24"/>
          <w:lang w:eastAsia="en-GB"/>
        </w:rPr>
        <w:t xml:space="preserve"> </w:t>
      </w:r>
    </w:p>
    <w:p w:rsidR="00880052" w:rsidRDefault="00945D5A" w:rsidP="392B512C">
      <w:pPr>
        <w:spacing w:before="100" w:beforeAutospacing="1" w:after="100" w:afterAutospacing="1" w:line="240" w:lineRule="auto"/>
        <w:outlineLvl w:val="1"/>
        <w:rPr>
          <w:rFonts w:ascii="Times New Roman" w:eastAsia="Times New Roman" w:hAnsi="Times New Roman" w:cs="Times New Roman"/>
          <w:sz w:val="24"/>
          <w:szCs w:val="24"/>
          <w:lang w:eastAsia="en-GB"/>
        </w:rPr>
      </w:pPr>
      <w:r w:rsidRPr="392B512C">
        <w:rPr>
          <w:rFonts w:ascii="Times New Roman" w:eastAsia="Times New Roman" w:hAnsi="Times New Roman" w:cs="Times New Roman"/>
          <w:sz w:val="24"/>
          <w:szCs w:val="24"/>
          <w:lang w:eastAsia="en-GB"/>
        </w:rPr>
        <w:t xml:space="preserve">Although the Facebook map should be treated with caution given the nature of its unofficial source origins, its value is in the contents of the map which show that communal </w:t>
      </w:r>
      <w:proofErr w:type="gramStart"/>
      <w:r w:rsidRPr="392B512C">
        <w:rPr>
          <w:rFonts w:ascii="Times New Roman" w:eastAsia="Times New Roman" w:hAnsi="Times New Roman" w:cs="Times New Roman"/>
          <w:sz w:val="24"/>
          <w:szCs w:val="24"/>
          <w:lang w:eastAsia="en-GB"/>
        </w:rPr>
        <w:t>geography</w:t>
      </w:r>
      <w:r w:rsidR="49CF5FE8" w:rsidRPr="392B512C">
        <w:rPr>
          <w:rFonts w:ascii="Times New Roman" w:eastAsia="Times New Roman" w:hAnsi="Times New Roman" w:cs="Times New Roman"/>
          <w:sz w:val="24"/>
          <w:szCs w:val="24"/>
          <w:lang w:eastAsia="en-GB"/>
        </w:rPr>
        <w:t>,</w:t>
      </w:r>
      <w:proofErr w:type="gramEnd"/>
      <w:r w:rsidRPr="392B512C">
        <w:rPr>
          <w:rFonts w:ascii="Times New Roman" w:eastAsia="Times New Roman" w:hAnsi="Times New Roman" w:cs="Times New Roman"/>
          <w:sz w:val="24"/>
          <w:szCs w:val="24"/>
          <w:lang w:eastAsia="en-GB"/>
        </w:rPr>
        <w:t xml:space="preserve"> was historically missed rather than naturally segregated. The Kerr and Larkin map source provides stronger academic support for this argument. Used together, these maps challenge deterministic assumptions that French territorial divisions merely showed pre-existing demographic realities</w:t>
      </w:r>
      <w:r w:rsidR="13A8C7DC" w:rsidRPr="392B512C">
        <w:rPr>
          <w:rFonts w:ascii="Times New Roman" w:eastAsia="Times New Roman" w:hAnsi="Times New Roman" w:cs="Times New Roman"/>
          <w:sz w:val="24"/>
          <w:szCs w:val="24"/>
          <w:lang w:eastAsia="en-GB"/>
        </w:rPr>
        <w:t>.</w:t>
      </w:r>
    </w:p>
    <w:p w:rsidR="007A5864" w:rsidRDefault="007A5864" w:rsidP="00E14104">
      <w:pPr>
        <w:spacing w:before="100" w:beforeAutospacing="1" w:after="100" w:afterAutospacing="1" w:line="240" w:lineRule="auto"/>
        <w:outlineLvl w:val="1"/>
        <w:rPr>
          <w:rFonts w:ascii="Times New Roman" w:eastAsia="Times New Roman" w:hAnsi="Times New Roman" w:cs="Times New Roman"/>
          <w:b/>
          <w:bCs/>
          <w:sz w:val="24"/>
          <w:szCs w:val="24"/>
          <w:lang w:eastAsia="en-GB"/>
        </w:rPr>
      </w:pPr>
    </w:p>
    <w:p w:rsidR="007A5864" w:rsidRDefault="007A5864" w:rsidP="00E14104">
      <w:pPr>
        <w:spacing w:before="100" w:beforeAutospacing="1" w:after="100" w:afterAutospacing="1" w:line="240" w:lineRule="auto"/>
        <w:outlineLvl w:val="1"/>
        <w:rPr>
          <w:rFonts w:ascii="Times New Roman" w:eastAsia="Times New Roman" w:hAnsi="Times New Roman" w:cs="Times New Roman"/>
          <w:b/>
          <w:bCs/>
          <w:sz w:val="24"/>
          <w:szCs w:val="24"/>
          <w:lang w:eastAsia="en-GB"/>
        </w:rPr>
      </w:pPr>
    </w:p>
    <w:p w:rsidR="00880052" w:rsidRPr="00880052" w:rsidRDefault="00880052" w:rsidP="00E14104">
      <w:pPr>
        <w:spacing w:before="100" w:beforeAutospacing="1" w:after="100" w:afterAutospacing="1" w:line="240" w:lineRule="auto"/>
        <w:outlineLvl w:val="1"/>
        <w:rPr>
          <w:rFonts w:ascii="Times New Roman" w:eastAsia="Times New Roman" w:hAnsi="Times New Roman" w:cs="Times New Roman"/>
          <w:b/>
          <w:bCs/>
          <w:sz w:val="24"/>
          <w:szCs w:val="24"/>
          <w:lang w:eastAsia="en-GB"/>
        </w:rPr>
      </w:pPr>
      <w:r w:rsidRPr="00880052">
        <w:rPr>
          <w:rFonts w:ascii="Times New Roman" w:eastAsia="Times New Roman" w:hAnsi="Times New Roman" w:cs="Times New Roman"/>
          <w:b/>
          <w:bCs/>
          <w:sz w:val="24"/>
          <w:szCs w:val="24"/>
          <w:lang w:eastAsia="en-GB"/>
        </w:rPr>
        <w:t>3. The French Mandate and the Institutionalisation of Differentiated Rule</w:t>
      </w:r>
    </w:p>
    <w:p w:rsidR="009B19B2" w:rsidRDefault="00347BE2" w:rsidP="392B512C">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French Mandate transformed inherited communal structures by embedding them into modern state institutions. As Nadine Meouchy argues, French governance relied upon the ‘territorial parcelling up of minorities’ as a strategy of rule.’</w:t>
      </w:r>
      <w:r>
        <w:rPr>
          <w:rStyle w:val="FootnoteReference"/>
          <w:rFonts w:ascii="Times New Roman" w:eastAsia="Times New Roman" w:hAnsi="Times New Roman" w:cs="Times New Roman"/>
          <w:sz w:val="24"/>
          <w:szCs w:val="24"/>
          <w:lang w:eastAsia="en-GB"/>
        </w:rPr>
        <w:footnoteReference w:id="37"/>
      </w:r>
      <w:r>
        <w:rPr>
          <w:rFonts w:ascii="Times New Roman" w:eastAsia="Times New Roman" w:hAnsi="Times New Roman" w:cs="Times New Roman"/>
          <w:sz w:val="24"/>
          <w:szCs w:val="24"/>
          <w:lang w:eastAsia="en-GB"/>
        </w:rPr>
        <w:t xml:space="preserve"> This process involved fragmenting territories </w:t>
      </w:r>
      <w:r w:rsidR="36C94C07">
        <w:rPr>
          <w:rFonts w:ascii="Times New Roman" w:eastAsia="Times New Roman" w:hAnsi="Times New Roman" w:cs="Times New Roman"/>
          <w:sz w:val="24"/>
          <w:szCs w:val="24"/>
          <w:lang w:eastAsia="en-GB"/>
        </w:rPr>
        <w:t>and</w:t>
      </w:r>
      <w:r>
        <w:rPr>
          <w:rFonts w:ascii="Times New Roman" w:eastAsia="Times New Roman" w:hAnsi="Times New Roman" w:cs="Times New Roman"/>
          <w:sz w:val="24"/>
          <w:szCs w:val="24"/>
          <w:lang w:eastAsia="en-GB"/>
        </w:rPr>
        <w:t xml:space="preserve"> </w:t>
      </w:r>
      <w:r w:rsidR="4219C5C1">
        <w:rPr>
          <w:rFonts w:ascii="Times New Roman" w:eastAsia="Times New Roman" w:hAnsi="Times New Roman" w:cs="Times New Roman"/>
          <w:sz w:val="24"/>
          <w:szCs w:val="24"/>
          <w:lang w:eastAsia="en-GB"/>
        </w:rPr>
        <w:t xml:space="preserve">additionally </w:t>
      </w:r>
      <w:r>
        <w:rPr>
          <w:rFonts w:ascii="Times New Roman" w:eastAsia="Times New Roman" w:hAnsi="Times New Roman" w:cs="Times New Roman"/>
          <w:sz w:val="24"/>
          <w:szCs w:val="24"/>
          <w:lang w:eastAsia="en-GB"/>
        </w:rPr>
        <w:t>cultivating carefully selected communities as political intermediaries.</w:t>
      </w:r>
    </w:p>
    <w:p w:rsidR="009B19B2" w:rsidRDefault="009B19B2" w:rsidP="00E14104">
      <w:pPr>
        <w:spacing w:before="100" w:beforeAutospacing="1" w:after="100" w:afterAutospacing="1" w:line="240" w:lineRule="auto"/>
        <w:rPr>
          <w:rFonts w:ascii="Times New Roman" w:eastAsia="Times New Roman" w:hAnsi="Times New Roman" w:cs="Times New Roman"/>
          <w:sz w:val="24"/>
          <w:szCs w:val="24"/>
          <w:lang w:eastAsia="en-GB"/>
        </w:rPr>
      </w:pPr>
      <w:r>
        <w:rPr>
          <w:noProof/>
          <w:lang w:eastAsia="en-GB"/>
        </w:rPr>
        <w:drawing>
          <wp:inline distT="0" distB="0" distL="0" distR="0">
            <wp:extent cx="3229841" cy="2085461"/>
            <wp:effectExtent l="19050" t="0" r="8659" b="0"/>
            <wp:docPr id="84" name="Picture 84" descr="C:\Users\Ali\AppData\Local\Microsoft\Windows\INetCache\Content.Word\map of school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C:\Users\Ali\AppData\Local\Microsoft\Windows\INetCache\Content.Word\map of schools.png"/>
                    <pic:cNvPicPr>
                      <a:picLocks noChangeAspect="1" noChangeArrowheads="1"/>
                    </pic:cNvPicPr>
                  </pic:nvPicPr>
                  <pic:blipFill>
                    <a:blip r:embed="rId10" cstate="print"/>
                    <a:srcRect/>
                    <a:stretch>
                      <a:fillRect/>
                    </a:stretch>
                  </pic:blipFill>
                  <pic:spPr bwMode="auto">
                    <a:xfrm>
                      <a:off x="0" y="0"/>
                      <a:ext cx="3233896" cy="2088079"/>
                    </a:xfrm>
                    <a:prstGeom prst="rect">
                      <a:avLst/>
                    </a:prstGeom>
                    <a:noFill/>
                    <a:ln w="9525">
                      <a:noFill/>
                      <a:miter lim="800000"/>
                      <a:headEnd/>
                      <a:tailEnd/>
                    </a:ln>
                  </pic:spPr>
                </pic:pic>
              </a:graphicData>
            </a:graphic>
          </wp:inline>
        </w:drawing>
      </w:r>
    </w:p>
    <w:p w:rsidR="00D24C27" w:rsidRPr="005D7D78" w:rsidRDefault="00D24C27" w:rsidP="00E14104">
      <w:pPr>
        <w:spacing w:before="100" w:beforeAutospacing="1" w:after="100" w:afterAutospacing="1" w:line="240" w:lineRule="auto"/>
        <w:rPr>
          <w:rFonts w:ascii="Times New Roman" w:eastAsia="Times New Roman" w:hAnsi="Times New Roman" w:cs="Times New Roman"/>
          <w:sz w:val="20"/>
          <w:szCs w:val="20"/>
          <w:lang w:eastAsia="en-GB"/>
        </w:rPr>
      </w:pPr>
      <w:r w:rsidRPr="005D7D78">
        <w:rPr>
          <w:rFonts w:ascii="Times New Roman" w:eastAsia="Times New Roman" w:hAnsi="Times New Roman" w:cs="Times New Roman"/>
          <w:sz w:val="20"/>
          <w:szCs w:val="20"/>
          <w:lang w:eastAsia="en-GB"/>
        </w:rPr>
        <w:t>Figure</w:t>
      </w:r>
      <w:r w:rsidR="00A21B23">
        <w:rPr>
          <w:rFonts w:ascii="Times New Roman" w:eastAsia="Times New Roman" w:hAnsi="Times New Roman" w:cs="Times New Roman"/>
          <w:sz w:val="20"/>
          <w:szCs w:val="20"/>
          <w:lang w:eastAsia="en-GB"/>
        </w:rPr>
        <w:t xml:space="preserve"> 2</w:t>
      </w:r>
      <w:r w:rsidRPr="005D7D78">
        <w:rPr>
          <w:rFonts w:ascii="Times New Roman" w:eastAsia="Times New Roman" w:hAnsi="Times New Roman" w:cs="Times New Roman"/>
          <w:sz w:val="20"/>
          <w:szCs w:val="20"/>
          <w:lang w:eastAsia="en-GB"/>
        </w:rPr>
        <w:t xml:space="preserve">: </w:t>
      </w:r>
      <w:r w:rsidR="005D7D78" w:rsidRPr="005D7D78">
        <w:rPr>
          <w:rFonts w:ascii="Times New Roman" w:hAnsi="Times New Roman" w:cs="Times New Roman"/>
          <w:sz w:val="20"/>
          <w:szCs w:val="20"/>
        </w:rPr>
        <w:t>Map showing location of some French Catholic Schools in French Mandate Syria and Lebanon</w:t>
      </w:r>
      <w:r w:rsidR="00CD35A1">
        <w:rPr>
          <w:rFonts w:ascii="Times New Roman" w:hAnsi="Times New Roman" w:cs="Times New Roman"/>
          <w:sz w:val="20"/>
          <w:szCs w:val="20"/>
        </w:rPr>
        <w:t>.</w:t>
      </w:r>
      <w:r w:rsidR="00E00B19">
        <w:rPr>
          <w:rStyle w:val="FootnoteReference"/>
          <w:rFonts w:ascii="Times New Roman" w:hAnsi="Times New Roman" w:cs="Times New Roman"/>
          <w:sz w:val="20"/>
          <w:szCs w:val="20"/>
        </w:rPr>
        <w:footnoteReference w:id="38"/>
      </w:r>
    </w:p>
    <w:p w:rsidR="00B5794D" w:rsidRDefault="00880052" w:rsidP="392B512C">
      <w:pPr>
        <w:spacing w:before="100" w:beforeAutospacing="1" w:after="100" w:afterAutospacing="1" w:line="240" w:lineRule="auto"/>
        <w:rPr>
          <w:rFonts w:ascii="Times New Roman" w:eastAsia="Times New Roman" w:hAnsi="Times New Roman" w:cs="Times New Roman"/>
          <w:sz w:val="24"/>
          <w:szCs w:val="24"/>
          <w:lang w:eastAsia="en-GB"/>
        </w:rPr>
      </w:pPr>
      <w:r w:rsidRPr="00880052">
        <w:rPr>
          <w:rFonts w:ascii="Times New Roman" w:eastAsia="Times New Roman" w:hAnsi="Times New Roman" w:cs="Times New Roman"/>
          <w:sz w:val="24"/>
          <w:szCs w:val="24"/>
          <w:lang w:eastAsia="en-GB"/>
        </w:rPr>
        <w:t xml:space="preserve">A useful primary source illustrating this process is the concentration of French Catholic missionary schools in Mandate Syria and </w:t>
      </w:r>
      <w:bookmarkStart w:id="8" w:name="_Int_zndKSH08"/>
      <w:r w:rsidRPr="00880052">
        <w:rPr>
          <w:rFonts w:ascii="Times New Roman" w:eastAsia="Times New Roman" w:hAnsi="Times New Roman" w:cs="Times New Roman"/>
          <w:sz w:val="24"/>
          <w:szCs w:val="24"/>
          <w:lang w:eastAsia="en-GB"/>
        </w:rPr>
        <w:t>Lebanon</w:t>
      </w:r>
      <w:r w:rsidR="00347BE2">
        <w:rPr>
          <w:rFonts w:ascii="Times New Roman" w:eastAsia="Times New Roman" w:hAnsi="Times New Roman" w:cs="Times New Roman"/>
          <w:sz w:val="24"/>
          <w:szCs w:val="24"/>
          <w:lang w:eastAsia="en-GB"/>
        </w:rPr>
        <w:t>.</w:t>
      </w:r>
      <w:r w:rsidR="003128E3">
        <w:rPr>
          <w:rStyle w:val="FootnoteReference"/>
          <w:rFonts w:ascii="Times New Roman" w:eastAsia="Times New Roman" w:hAnsi="Times New Roman" w:cs="Times New Roman"/>
          <w:sz w:val="24"/>
          <w:szCs w:val="24"/>
          <w:lang w:eastAsia="en-GB"/>
        </w:rPr>
        <w:footnoteReference w:id="39"/>
      </w:r>
      <w:bookmarkEnd w:id="8"/>
      <w:r w:rsidRPr="00880052">
        <w:rPr>
          <w:rFonts w:ascii="Times New Roman" w:eastAsia="Times New Roman" w:hAnsi="Times New Roman" w:cs="Times New Roman"/>
          <w:sz w:val="24"/>
          <w:szCs w:val="24"/>
          <w:lang w:eastAsia="en-GB"/>
        </w:rPr>
        <w:t xml:space="preserve"> The map shows schools heavily concentrated in Christian-majority Lebanon and minority regions of Syria, including Alawite and Druze areas.</w:t>
      </w:r>
      <w:r w:rsidR="00A92D57">
        <w:rPr>
          <w:rFonts w:ascii="Times New Roman" w:eastAsia="Times New Roman" w:hAnsi="Times New Roman" w:cs="Times New Roman"/>
          <w:sz w:val="24"/>
          <w:szCs w:val="24"/>
          <w:lang w:eastAsia="en-GB"/>
        </w:rPr>
        <w:t xml:space="preserve"> </w:t>
      </w:r>
      <w:r w:rsidR="00B5794D">
        <w:rPr>
          <w:rFonts w:ascii="Times New Roman" w:eastAsia="Times New Roman" w:hAnsi="Times New Roman" w:cs="Times New Roman"/>
          <w:sz w:val="24"/>
          <w:szCs w:val="24"/>
          <w:lang w:eastAsia="en-GB"/>
        </w:rPr>
        <w:t xml:space="preserve">This map is </w:t>
      </w:r>
      <w:r w:rsidR="4F87A1FB">
        <w:rPr>
          <w:rFonts w:ascii="Times New Roman" w:eastAsia="Times New Roman" w:hAnsi="Times New Roman" w:cs="Times New Roman"/>
          <w:sz w:val="24"/>
          <w:szCs w:val="24"/>
          <w:lang w:eastAsia="en-GB"/>
        </w:rPr>
        <w:t>incredibly useful</w:t>
      </w:r>
      <w:r w:rsidR="00B5794D">
        <w:rPr>
          <w:rFonts w:ascii="Times New Roman" w:eastAsia="Times New Roman" w:hAnsi="Times New Roman" w:cs="Times New Roman"/>
          <w:sz w:val="24"/>
          <w:szCs w:val="24"/>
          <w:lang w:eastAsia="en-GB"/>
        </w:rPr>
        <w:t xml:space="preserve"> as it visually shows the spatial relationship </w:t>
      </w:r>
      <w:r w:rsidR="00B5794D">
        <w:rPr>
          <w:rFonts w:ascii="Times New Roman" w:eastAsia="Times New Roman" w:hAnsi="Times New Roman" w:cs="Times New Roman"/>
          <w:sz w:val="24"/>
          <w:szCs w:val="24"/>
          <w:lang w:eastAsia="en-GB"/>
        </w:rPr>
        <w:lastRenderedPageBreak/>
        <w:t xml:space="preserve">between French educational institutions and minority regions and communities. It suggests that missionary networks may have been used to cultivate communities that were perceived as politically reliable for the French. However, the source also has limitations. Missionary schools were not exactly political institutions and often functioned independent of state strategy, </w:t>
      </w:r>
      <w:r w:rsidR="428C4BDB">
        <w:rPr>
          <w:rFonts w:ascii="Times New Roman" w:eastAsia="Times New Roman" w:hAnsi="Times New Roman" w:cs="Times New Roman"/>
          <w:sz w:val="24"/>
          <w:szCs w:val="24"/>
          <w:lang w:eastAsia="en-GB"/>
        </w:rPr>
        <w:t>there</w:t>
      </w:r>
      <w:r w:rsidR="00B5794D">
        <w:rPr>
          <w:rFonts w:ascii="Times New Roman" w:eastAsia="Times New Roman" w:hAnsi="Times New Roman" w:cs="Times New Roman"/>
          <w:sz w:val="24"/>
          <w:szCs w:val="24"/>
          <w:lang w:eastAsia="en-GB"/>
        </w:rPr>
        <w:t xml:space="preserve"> was also </w:t>
      </w:r>
      <w:r w:rsidR="73631391">
        <w:rPr>
          <w:rFonts w:ascii="Times New Roman" w:eastAsia="Times New Roman" w:hAnsi="Times New Roman" w:cs="Times New Roman"/>
          <w:sz w:val="24"/>
          <w:szCs w:val="24"/>
          <w:lang w:eastAsia="en-GB"/>
        </w:rPr>
        <w:t xml:space="preserve">perhaps </w:t>
      </w:r>
      <w:r w:rsidR="00B5794D">
        <w:rPr>
          <w:rFonts w:ascii="Times New Roman" w:eastAsia="Times New Roman" w:hAnsi="Times New Roman" w:cs="Times New Roman"/>
          <w:sz w:val="24"/>
          <w:szCs w:val="24"/>
          <w:lang w:eastAsia="en-GB"/>
        </w:rPr>
        <w:t>the fear of opening schools in Sunni or Nationalist areas in the interior regions since they were more hostile to French interests and institutions. The map on its own therefore cannot prove that intentional sectarian engineering too</w:t>
      </w:r>
      <w:r w:rsidR="00BE6D57">
        <w:rPr>
          <w:rFonts w:ascii="Times New Roman" w:eastAsia="Times New Roman" w:hAnsi="Times New Roman" w:cs="Times New Roman"/>
          <w:sz w:val="24"/>
          <w:szCs w:val="24"/>
          <w:lang w:eastAsia="en-GB"/>
        </w:rPr>
        <w:t>k</w:t>
      </w:r>
      <w:r w:rsidR="00B5794D">
        <w:rPr>
          <w:rFonts w:ascii="Times New Roman" w:eastAsia="Times New Roman" w:hAnsi="Times New Roman" w:cs="Times New Roman"/>
          <w:sz w:val="24"/>
          <w:szCs w:val="24"/>
          <w:lang w:eastAsia="en-GB"/>
        </w:rPr>
        <w:t xml:space="preserve"> place. Nevertheless, when read alongside the wider Mandate policies, it supports the argument that French governance functioned through selective incorporation rather than universal administration. </w:t>
      </w:r>
    </w:p>
    <w:p w:rsidR="00F64623" w:rsidRDefault="00D74BDC" w:rsidP="00E14104">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Another primary source document highlighting demographic evidence reinforces this interpretation. A table reproduced by Kerr and Larkin on the Syrian coast in 1935 shows that Sunnis maintained high population numbers in the coastal urban areas despite the creating of the Alawite state although that balance did shift later when population shifts took place.</w:t>
      </w:r>
      <w:r>
        <w:rPr>
          <w:rStyle w:val="FootnoteReference"/>
          <w:rFonts w:ascii="Times New Roman" w:eastAsia="Times New Roman" w:hAnsi="Times New Roman" w:cs="Times New Roman"/>
          <w:sz w:val="24"/>
          <w:szCs w:val="24"/>
          <w:lang w:eastAsia="en-GB"/>
        </w:rPr>
        <w:footnoteReference w:id="40"/>
      </w:r>
      <w:r>
        <w:rPr>
          <w:rFonts w:ascii="Times New Roman" w:eastAsia="Times New Roman" w:hAnsi="Times New Roman" w:cs="Times New Roman"/>
          <w:sz w:val="24"/>
          <w:szCs w:val="24"/>
          <w:lang w:eastAsia="en-GB"/>
        </w:rPr>
        <w:t xml:space="preserve"> This further s</w:t>
      </w:r>
      <w:r w:rsidR="009806D4">
        <w:rPr>
          <w:rFonts w:ascii="Times New Roman" w:eastAsia="Times New Roman" w:hAnsi="Times New Roman" w:cs="Times New Roman"/>
          <w:sz w:val="24"/>
          <w:szCs w:val="24"/>
          <w:lang w:eastAsia="en-GB"/>
        </w:rPr>
        <w:t xml:space="preserve">uggests that the French division of territory was not simply recognition of demographics but actual political restructuring. </w:t>
      </w:r>
    </w:p>
    <w:p w:rsidR="00047B71" w:rsidRDefault="00047B71" w:rsidP="00E14104">
      <w:pPr>
        <w:spacing w:before="100" w:beforeAutospacing="1" w:after="100" w:afterAutospacing="1" w:line="240" w:lineRule="auto"/>
        <w:rPr>
          <w:rFonts w:ascii="Times New Roman" w:eastAsia="Times New Roman" w:hAnsi="Times New Roman" w:cs="Times New Roman"/>
          <w:sz w:val="24"/>
          <w:szCs w:val="24"/>
          <w:lang w:eastAsia="en-GB"/>
        </w:rPr>
      </w:pPr>
    </w:p>
    <w:p w:rsidR="00047B71" w:rsidRDefault="007A5864" w:rsidP="00E14104">
      <w:pPr>
        <w:spacing w:before="100" w:beforeAutospacing="1" w:after="100" w:afterAutospacing="1" w:line="240" w:lineRule="auto"/>
        <w:rPr>
          <w:rFonts w:ascii="Times New Roman" w:eastAsia="Times New Roman" w:hAnsi="Times New Roman" w:cs="Times New Roman"/>
          <w:sz w:val="24"/>
          <w:szCs w:val="24"/>
          <w:lang w:eastAsia="en-GB"/>
        </w:rPr>
      </w:pPr>
      <w:r w:rsidRPr="004007F7">
        <w:rPr>
          <w:rFonts w:ascii="Times New Roman" w:eastAsia="Times New Roman" w:hAnsi="Times New Roman" w:cs="Times New Roman"/>
          <w:sz w:val="24"/>
          <w:szCs w:val="24"/>
          <w:lang w:eastAsia="en-GB"/>
        </w:rPr>
        <w:pict>
          <v:shape id="_x0000_i1026" type="#_x0000_t75" style="width:450.55pt;height:230.75pt">
            <v:imagedata r:id="rId11" o:title="1000110226"/>
          </v:shape>
        </w:pict>
      </w:r>
    </w:p>
    <w:p w:rsidR="00047B71" w:rsidRPr="00047B71" w:rsidRDefault="00047B71" w:rsidP="00E14104">
      <w:pPr>
        <w:spacing w:before="100" w:beforeAutospacing="1" w:after="100" w:afterAutospacing="1" w:line="240" w:lineRule="auto"/>
        <w:rPr>
          <w:rFonts w:ascii="Times New Roman" w:eastAsia="Times New Roman" w:hAnsi="Times New Roman" w:cs="Times New Roman"/>
          <w:sz w:val="20"/>
          <w:szCs w:val="20"/>
          <w:lang w:eastAsia="en-GB"/>
        </w:rPr>
      </w:pPr>
      <w:r w:rsidRPr="00047B71">
        <w:rPr>
          <w:rFonts w:ascii="Times New Roman" w:eastAsia="Times New Roman" w:hAnsi="Times New Roman" w:cs="Times New Roman"/>
          <w:sz w:val="20"/>
          <w:szCs w:val="20"/>
          <w:lang w:eastAsia="en-GB"/>
        </w:rPr>
        <w:t>Figure</w:t>
      </w:r>
      <w:r w:rsidR="00A21B23">
        <w:rPr>
          <w:rFonts w:ascii="Times New Roman" w:eastAsia="Times New Roman" w:hAnsi="Times New Roman" w:cs="Times New Roman"/>
          <w:sz w:val="20"/>
          <w:szCs w:val="20"/>
          <w:lang w:eastAsia="en-GB"/>
        </w:rPr>
        <w:t xml:space="preserve"> 3</w:t>
      </w:r>
      <w:r w:rsidRPr="00047B71">
        <w:rPr>
          <w:rFonts w:ascii="Times New Roman" w:eastAsia="Times New Roman" w:hAnsi="Times New Roman" w:cs="Times New Roman"/>
          <w:sz w:val="20"/>
          <w:szCs w:val="20"/>
          <w:lang w:eastAsia="en-GB"/>
        </w:rPr>
        <w:t>: The urban population in the Syrian coastal region in 1935 by religious community.</w:t>
      </w:r>
      <w:r>
        <w:rPr>
          <w:rStyle w:val="FootnoteReference"/>
          <w:rFonts w:ascii="Times New Roman" w:eastAsia="Times New Roman" w:hAnsi="Times New Roman" w:cs="Times New Roman"/>
          <w:sz w:val="20"/>
          <w:szCs w:val="20"/>
          <w:lang w:eastAsia="en-GB"/>
        </w:rPr>
        <w:footnoteReference w:id="41"/>
      </w:r>
    </w:p>
    <w:p w:rsidR="009A0BA5" w:rsidRDefault="00B221AA" w:rsidP="392B512C">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Philip Khoury describes this broader policy as a strategy of ‘divide and conquer’ which aims to weaken any pan-Syrian nationalism through the nurture and cultivation of ‘potentially Francophile minorities.’</w:t>
      </w:r>
      <w:r>
        <w:rPr>
          <w:rStyle w:val="FootnoteReference"/>
          <w:rFonts w:ascii="Times New Roman" w:eastAsia="Times New Roman" w:hAnsi="Times New Roman" w:cs="Times New Roman"/>
          <w:sz w:val="24"/>
          <w:szCs w:val="24"/>
          <w:lang w:eastAsia="en-GB"/>
        </w:rPr>
        <w:footnoteReference w:id="42"/>
      </w:r>
      <w:r>
        <w:rPr>
          <w:rFonts w:ascii="Times New Roman" w:eastAsia="Times New Roman" w:hAnsi="Times New Roman" w:cs="Times New Roman"/>
          <w:sz w:val="24"/>
          <w:szCs w:val="24"/>
          <w:lang w:eastAsia="en-GB"/>
        </w:rPr>
        <w:t xml:space="preserve"> However, this dissertation argues that ‘divide and rule’ alone is not sufficient. French governance did not simply divide communities – it </w:t>
      </w:r>
      <w:r w:rsidR="0AAF87C9">
        <w:rPr>
          <w:rFonts w:ascii="Times New Roman" w:eastAsia="Times New Roman" w:hAnsi="Times New Roman" w:cs="Times New Roman"/>
          <w:sz w:val="24"/>
          <w:szCs w:val="24"/>
          <w:lang w:eastAsia="en-GB"/>
        </w:rPr>
        <w:t>went</w:t>
      </w:r>
      <w:r>
        <w:rPr>
          <w:rFonts w:ascii="Times New Roman" w:eastAsia="Times New Roman" w:hAnsi="Times New Roman" w:cs="Times New Roman"/>
          <w:sz w:val="24"/>
          <w:szCs w:val="24"/>
          <w:lang w:eastAsia="en-GB"/>
        </w:rPr>
        <w:t xml:space="preserve"> further and </w:t>
      </w:r>
      <w:r>
        <w:rPr>
          <w:rFonts w:ascii="Times New Roman" w:eastAsia="Times New Roman" w:hAnsi="Times New Roman" w:cs="Times New Roman"/>
          <w:sz w:val="24"/>
          <w:szCs w:val="24"/>
          <w:lang w:eastAsia="en-GB"/>
        </w:rPr>
        <w:lastRenderedPageBreak/>
        <w:t>established a hierarchy of political trustworthiness and reliability.</w:t>
      </w:r>
      <w:r w:rsidR="00A92D57">
        <w:rPr>
          <w:rFonts w:ascii="Times New Roman" w:eastAsia="Times New Roman" w:hAnsi="Times New Roman" w:cs="Times New Roman"/>
          <w:sz w:val="24"/>
          <w:szCs w:val="24"/>
          <w:lang w:eastAsia="en-GB"/>
        </w:rPr>
        <w:t xml:space="preserve"> </w:t>
      </w:r>
      <w:r w:rsidR="00FB1B3C">
        <w:rPr>
          <w:rFonts w:ascii="Times New Roman" w:eastAsia="Times New Roman" w:hAnsi="Times New Roman" w:cs="Times New Roman"/>
          <w:sz w:val="24"/>
          <w:szCs w:val="24"/>
          <w:lang w:eastAsia="en-GB"/>
        </w:rPr>
        <w:t xml:space="preserve">Timothy Mitchell’s concept of colonial ‘legibility’ helps in explaining this process. He argues that colonial states aimed to make populations administratively knowable through systems of classification and </w:t>
      </w:r>
      <w:bookmarkStart w:id="9" w:name="_Int_Z0sFbKIx"/>
      <w:r w:rsidR="00FB1B3C">
        <w:rPr>
          <w:rFonts w:ascii="Times New Roman" w:eastAsia="Times New Roman" w:hAnsi="Times New Roman" w:cs="Times New Roman"/>
          <w:sz w:val="24"/>
          <w:szCs w:val="24"/>
          <w:lang w:eastAsia="en-GB"/>
        </w:rPr>
        <w:t>simplification.</w:t>
      </w:r>
      <w:r w:rsidR="00FB1B3C">
        <w:rPr>
          <w:rStyle w:val="FootnoteReference"/>
          <w:rFonts w:ascii="Times New Roman" w:eastAsia="Times New Roman" w:hAnsi="Times New Roman" w:cs="Times New Roman"/>
          <w:sz w:val="24"/>
          <w:szCs w:val="24"/>
          <w:lang w:eastAsia="en-GB"/>
        </w:rPr>
        <w:footnoteReference w:id="43"/>
      </w:r>
      <w:bookmarkEnd w:id="9"/>
      <w:r w:rsidR="00FB1B3C">
        <w:rPr>
          <w:rFonts w:ascii="Times New Roman" w:eastAsia="Times New Roman" w:hAnsi="Times New Roman" w:cs="Times New Roman"/>
          <w:sz w:val="24"/>
          <w:szCs w:val="24"/>
          <w:lang w:eastAsia="en-GB"/>
        </w:rPr>
        <w:t xml:space="preserve"> Under the Mandate, sectarian identity became a tool for the classification o</w:t>
      </w:r>
      <w:r w:rsidR="008D43C9">
        <w:rPr>
          <w:rFonts w:ascii="Times New Roman" w:eastAsia="Times New Roman" w:hAnsi="Times New Roman" w:cs="Times New Roman"/>
          <w:sz w:val="24"/>
          <w:szCs w:val="24"/>
          <w:lang w:eastAsia="en-GB"/>
        </w:rPr>
        <w:t xml:space="preserve">f how populations were organised and governed. </w:t>
      </w:r>
    </w:p>
    <w:p w:rsidR="00880052" w:rsidRPr="00880052" w:rsidRDefault="00880052" w:rsidP="00E14104">
      <w:pPr>
        <w:spacing w:before="100" w:beforeAutospacing="1" w:after="100" w:afterAutospacing="1" w:line="240" w:lineRule="auto"/>
        <w:outlineLvl w:val="1"/>
        <w:rPr>
          <w:rFonts w:ascii="Times New Roman" w:eastAsia="Times New Roman" w:hAnsi="Times New Roman" w:cs="Times New Roman"/>
          <w:b/>
          <w:bCs/>
          <w:sz w:val="24"/>
          <w:szCs w:val="24"/>
          <w:lang w:eastAsia="en-GB"/>
        </w:rPr>
      </w:pPr>
      <w:r w:rsidRPr="00880052">
        <w:rPr>
          <w:rFonts w:ascii="Times New Roman" w:eastAsia="Times New Roman" w:hAnsi="Times New Roman" w:cs="Times New Roman"/>
          <w:b/>
          <w:bCs/>
          <w:sz w:val="24"/>
          <w:szCs w:val="24"/>
          <w:lang w:eastAsia="en-GB"/>
        </w:rPr>
        <w:t>4. Resistance and the Limits of Colonial Ordering</w:t>
      </w:r>
    </w:p>
    <w:p w:rsidR="006F60F7" w:rsidRDefault="006F60F7" w:rsidP="392B512C">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French actions in particular their attempts to reorganise political and social life sparked string resistance, especially during the Great Revolt. </w:t>
      </w:r>
      <w:r w:rsidR="00880052" w:rsidRPr="00880052">
        <w:rPr>
          <w:rFonts w:ascii="Times New Roman" w:eastAsia="Times New Roman" w:hAnsi="Times New Roman" w:cs="Times New Roman"/>
          <w:sz w:val="24"/>
          <w:szCs w:val="24"/>
          <w:lang w:eastAsia="en-GB"/>
        </w:rPr>
        <w:t>A circular distributed across Damascus in 1925 and signed by Sultan al-Atras</w:t>
      </w:r>
      <w:r>
        <w:rPr>
          <w:rFonts w:ascii="Times New Roman" w:eastAsia="Times New Roman" w:hAnsi="Times New Roman" w:cs="Times New Roman"/>
          <w:sz w:val="24"/>
          <w:szCs w:val="24"/>
          <w:lang w:eastAsia="en-GB"/>
        </w:rPr>
        <w:t>h declared that the French had ‘</w:t>
      </w:r>
      <w:r w:rsidR="00880052" w:rsidRPr="00880052">
        <w:rPr>
          <w:rFonts w:ascii="Times New Roman" w:eastAsia="Times New Roman" w:hAnsi="Times New Roman" w:cs="Times New Roman"/>
          <w:sz w:val="24"/>
          <w:szCs w:val="24"/>
          <w:lang w:eastAsia="en-GB"/>
        </w:rPr>
        <w:t xml:space="preserve">separated the nation </w:t>
      </w:r>
      <w:r>
        <w:rPr>
          <w:rFonts w:ascii="Times New Roman" w:eastAsia="Times New Roman" w:hAnsi="Times New Roman" w:cs="Times New Roman"/>
          <w:sz w:val="24"/>
          <w:szCs w:val="24"/>
          <w:lang w:eastAsia="en-GB"/>
        </w:rPr>
        <w:t>into religious sects and states.</w:t>
      </w:r>
      <w:r>
        <w:rPr>
          <w:rStyle w:val="FootnoteReference"/>
          <w:rFonts w:ascii="Times New Roman" w:eastAsia="Times New Roman" w:hAnsi="Times New Roman" w:cs="Times New Roman"/>
          <w:sz w:val="24"/>
          <w:szCs w:val="24"/>
          <w:lang w:eastAsia="en-GB"/>
        </w:rPr>
        <w:footnoteReference w:id="44"/>
      </w:r>
      <w:r w:rsidR="00880052" w:rsidRPr="00880052">
        <w:rPr>
          <w:rFonts w:ascii="Times New Roman" w:eastAsia="Times New Roman" w:hAnsi="Times New Roman" w:cs="Times New Roman"/>
          <w:sz w:val="24"/>
          <w:szCs w:val="24"/>
          <w:lang w:eastAsia="en-GB"/>
        </w:rPr>
        <w:t xml:space="preserve"> This source is valuable because it directly shows that anti-colonial nationalists understood French governanc</w:t>
      </w:r>
      <w:r>
        <w:rPr>
          <w:rFonts w:ascii="Times New Roman" w:eastAsia="Times New Roman" w:hAnsi="Times New Roman" w:cs="Times New Roman"/>
          <w:sz w:val="24"/>
          <w:szCs w:val="24"/>
          <w:lang w:eastAsia="en-GB"/>
        </w:rPr>
        <w:t>e as a project of fragme</w:t>
      </w:r>
      <w:r w:rsidR="00BE6D57">
        <w:rPr>
          <w:rFonts w:ascii="Times New Roman" w:eastAsia="Times New Roman" w:hAnsi="Times New Roman" w:cs="Times New Roman"/>
          <w:sz w:val="24"/>
          <w:szCs w:val="24"/>
          <w:lang w:eastAsia="en-GB"/>
        </w:rPr>
        <w:t>ntation which specifically focu</w:t>
      </w:r>
      <w:r>
        <w:rPr>
          <w:rFonts w:ascii="Times New Roman" w:eastAsia="Times New Roman" w:hAnsi="Times New Roman" w:cs="Times New Roman"/>
          <w:sz w:val="24"/>
          <w:szCs w:val="24"/>
          <w:lang w:eastAsia="en-GB"/>
        </w:rPr>
        <w:t xml:space="preserve">sed on sectarian and territorial division. </w:t>
      </w:r>
      <w:r w:rsidR="00880052" w:rsidRPr="00880052">
        <w:rPr>
          <w:rFonts w:ascii="Times New Roman" w:eastAsia="Times New Roman" w:hAnsi="Times New Roman" w:cs="Times New Roman"/>
          <w:sz w:val="24"/>
          <w:szCs w:val="24"/>
          <w:lang w:eastAsia="en-GB"/>
        </w:rPr>
        <w:t>However, the source</w:t>
      </w:r>
      <w:r>
        <w:rPr>
          <w:rFonts w:ascii="Times New Roman" w:eastAsia="Times New Roman" w:hAnsi="Times New Roman" w:cs="Times New Roman"/>
          <w:sz w:val="24"/>
          <w:szCs w:val="24"/>
          <w:lang w:eastAsia="en-GB"/>
        </w:rPr>
        <w:t xml:space="preserve"> must also be critically evaluated</w:t>
      </w:r>
      <w:r w:rsidR="00880052" w:rsidRPr="00880052">
        <w:rPr>
          <w:rFonts w:ascii="Times New Roman" w:eastAsia="Times New Roman" w:hAnsi="Times New Roman" w:cs="Times New Roman"/>
          <w:sz w:val="24"/>
          <w:szCs w:val="24"/>
          <w:lang w:eastAsia="en-GB"/>
        </w:rPr>
        <w:t>. As revolutionary propaganda,</w:t>
      </w:r>
      <w:r>
        <w:rPr>
          <w:rFonts w:ascii="Times New Roman" w:eastAsia="Times New Roman" w:hAnsi="Times New Roman" w:cs="Times New Roman"/>
          <w:sz w:val="24"/>
          <w:szCs w:val="24"/>
          <w:lang w:eastAsia="en-GB"/>
        </w:rPr>
        <w:t xml:space="preserve"> its primary aim was mobilisation of the masses against French </w:t>
      </w:r>
      <w:r w:rsidR="5974450D">
        <w:rPr>
          <w:rFonts w:ascii="Times New Roman" w:eastAsia="Times New Roman" w:hAnsi="Times New Roman" w:cs="Times New Roman"/>
          <w:sz w:val="24"/>
          <w:szCs w:val="24"/>
          <w:lang w:eastAsia="en-GB"/>
        </w:rPr>
        <w:t>intervention and</w:t>
      </w:r>
      <w:r>
        <w:rPr>
          <w:rFonts w:ascii="Times New Roman" w:eastAsia="Times New Roman" w:hAnsi="Times New Roman" w:cs="Times New Roman"/>
          <w:sz w:val="24"/>
          <w:szCs w:val="24"/>
          <w:lang w:eastAsia="en-GB"/>
        </w:rPr>
        <w:t xml:space="preserve"> therefore may include exaggerations of national unity. The Ottoman Empire had only recently collapsed so it is difficult to believe that Syrians could have developed a nationalistic fervo</w:t>
      </w:r>
      <w:r w:rsidR="00797496">
        <w:rPr>
          <w:rFonts w:ascii="Times New Roman" w:eastAsia="Times New Roman" w:hAnsi="Times New Roman" w:cs="Times New Roman"/>
          <w:sz w:val="24"/>
          <w:szCs w:val="24"/>
          <w:lang w:eastAsia="en-GB"/>
        </w:rPr>
        <w:t>ur to the magnitude of that me</w:t>
      </w:r>
      <w:r>
        <w:rPr>
          <w:rFonts w:ascii="Times New Roman" w:eastAsia="Times New Roman" w:hAnsi="Times New Roman" w:cs="Times New Roman"/>
          <w:sz w:val="24"/>
          <w:szCs w:val="24"/>
          <w:lang w:eastAsia="en-GB"/>
        </w:rPr>
        <w:t xml:space="preserve">ntioned in the nationalistic propaganda post. </w:t>
      </w:r>
      <w:r w:rsidR="00797496">
        <w:rPr>
          <w:rFonts w:ascii="Times New Roman" w:eastAsia="Times New Roman" w:hAnsi="Times New Roman" w:cs="Times New Roman"/>
          <w:sz w:val="24"/>
          <w:szCs w:val="24"/>
          <w:lang w:eastAsia="en-GB"/>
        </w:rPr>
        <w:t xml:space="preserve">But </w:t>
      </w:r>
      <w:r w:rsidR="4B0473EF">
        <w:rPr>
          <w:rFonts w:ascii="Times New Roman" w:eastAsia="Times New Roman" w:hAnsi="Times New Roman" w:cs="Times New Roman"/>
          <w:sz w:val="24"/>
          <w:szCs w:val="24"/>
          <w:lang w:eastAsia="en-GB"/>
        </w:rPr>
        <w:t>looking at it from the other</w:t>
      </w:r>
      <w:r w:rsidR="53172430">
        <w:rPr>
          <w:rFonts w:ascii="Times New Roman" w:eastAsia="Times New Roman" w:hAnsi="Times New Roman" w:cs="Times New Roman"/>
          <w:sz w:val="24"/>
          <w:szCs w:val="24"/>
          <w:lang w:eastAsia="en-GB"/>
        </w:rPr>
        <w:t xml:space="preserve"> side</w:t>
      </w:r>
      <w:r w:rsidR="002F24EF">
        <w:rPr>
          <w:rFonts w:ascii="Times New Roman" w:eastAsia="Times New Roman" w:hAnsi="Times New Roman" w:cs="Times New Roman"/>
          <w:sz w:val="24"/>
          <w:szCs w:val="24"/>
          <w:lang w:eastAsia="en-GB"/>
        </w:rPr>
        <w:t>, nationalism at that time</w:t>
      </w:r>
      <w:r w:rsidR="00797496">
        <w:rPr>
          <w:rFonts w:ascii="Times New Roman" w:eastAsia="Times New Roman" w:hAnsi="Times New Roman" w:cs="Times New Roman"/>
          <w:sz w:val="24"/>
          <w:szCs w:val="24"/>
          <w:lang w:eastAsia="en-GB"/>
        </w:rPr>
        <w:t xml:space="preserve"> could also have been an </w:t>
      </w:r>
      <w:r w:rsidR="002F24EF">
        <w:rPr>
          <w:rFonts w:ascii="Times New Roman" w:eastAsia="Times New Roman" w:hAnsi="Times New Roman" w:cs="Times New Roman"/>
          <w:sz w:val="24"/>
          <w:szCs w:val="24"/>
          <w:lang w:eastAsia="en-GB"/>
        </w:rPr>
        <w:t xml:space="preserve">Islamic nationalism </w:t>
      </w:r>
      <w:r w:rsidR="00797496">
        <w:rPr>
          <w:rFonts w:ascii="Times New Roman" w:eastAsia="Times New Roman" w:hAnsi="Times New Roman" w:cs="Times New Roman"/>
          <w:sz w:val="24"/>
          <w:szCs w:val="24"/>
          <w:lang w:eastAsia="en-GB"/>
        </w:rPr>
        <w:t>and not necessarily nationalism</w:t>
      </w:r>
      <w:r w:rsidR="002F24EF">
        <w:rPr>
          <w:rFonts w:ascii="Times New Roman" w:eastAsia="Times New Roman" w:hAnsi="Times New Roman" w:cs="Times New Roman"/>
          <w:sz w:val="24"/>
          <w:szCs w:val="24"/>
          <w:lang w:eastAsia="en-GB"/>
        </w:rPr>
        <w:t xml:space="preserve"> for the current Syrian borders, since within the same source there are countless references to God</w:t>
      </w:r>
      <w:r w:rsidR="3D8C58B7">
        <w:rPr>
          <w:rFonts w:ascii="Times New Roman" w:eastAsia="Times New Roman" w:hAnsi="Times New Roman" w:cs="Times New Roman"/>
          <w:sz w:val="24"/>
          <w:szCs w:val="24"/>
          <w:lang w:eastAsia="en-GB"/>
        </w:rPr>
        <w:t xml:space="preserve">. </w:t>
      </w:r>
    </w:p>
    <w:p w:rsidR="00F64623" w:rsidRDefault="00797496" w:rsidP="00E14104">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Similarly, a letter that is attributed to Hasan al-Kharrat in 1925, urged Damascenes to boycott the French High Commis</w:t>
      </w:r>
      <w:r w:rsidR="006016DD">
        <w:rPr>
          <w:rFonts w:ascii="Times New Roman" w:eastAsia="Times New Roman" w:hAnsi="Times New Roman" w:cs="Times New Roman"/>
          <w:sz w:val="24"/>
          <w:szCs w:val="24"/>
          <w:lang w:eastAsia="en-GB"/>
        </w:rPr>
        <w:t>s</w:t>
      </w:r>
      <w:r>
        <w:rPr>
          <w:rFonts w:ascii="Times New Roman" w:eastAsia="Times New Roman" w:hAnsi="Times New Roman" w:cs="Times New Roman"/>
          <w:sz w:val="24"/>
          <w:szCs w:val="24"/>
          <w:lang w:eastAsia="en-GB"/>
        </w:rPr>
        <w:t>ioner and reject colonial rule.</w:t>
      </w:r>
      <w:r>
        <w:rPr>
          <w:rStyle w:val="FootnoteReference"/>
          <w:rFonts w:ascii="Times New Roman" w:eastAsia="Times New Roman" w:hAnsi="Times New Roman" w:cs="Times New Roman"/>
          <w:sz w:val="24"/>
          <w:szCs w:val="24"/>
          <w:lang w:eastAsia="en-GB"/>
        </w:rPr>
        <w:footnoteReference w:id="45"/>
      </w:r>
      <w:r w:rsidR="008E6055">
        <w:rPr>
          <w:rFonts w:ascii="Times New Roman" w:eastAsia="Times New Roman" w:hAnsi="Times New Roman" w:cs="Times New Roman"/>
          <w:sz w:val="24"/>
          <w:szCs w:val="24"/>
          <w:lang w:eastAsia="en-GB"/>
        </w:rPr>
        <w:t xml:space="preserve"> Provence notes that Hasan al-Kharrat was</w:t>
      </w:r>
      <w:r w:rsidR="006016DD">
        <w:rPr>
          <w:rFonts w:ascii="Times New Roman" w:eastAsia="Times New Roman" w:hAnsi="Times New Roman" w:cs="Times New Roman"/>
          <w:sz w:val="24"/>
          <w:szCs w:val="24"/>
          <w:lang w:eastAsia="en-GB"/>
        </w:rPr>
        <w:t xml:space="preserve"> likely illiterate and probably </w:t>
      </w:r>
      <w:r w:rsidR="008E6055">
        <w:rPr>
          <w:rFonts w:ascii="Times New Roman" w:eastAsia="Times New Roman" w:hAnsi="Times New Roman" w:cs="Times New Roman"/>
          <w:sz w:val="24"/>
          <w:szCs w:val="24"/>
          <w:lang w:eastAsia="en-GB"/>
        </w:rPr>
        <w:t>d</w:t>
      </w:r>
      <w:r w:rsidR="006016DD">
        <w:rPr>
          <w:rFonts w:ascii="Times New Roman" w:eastAsia="Times New Roman" w:hAnsi="Times New Roman" w:cs="Times New Roman"/>
          <w:sz w:val="24"/>
          <w:szCs w:val="24"/>
          <w:lang w:eastAsia="en-GB"/>
        </w:rPr>
        <w:t>ictated the letter, which raises</w:t>
      </w:r>
      <w:r w:rsidR="008E6055">
        <w:rPr>
          <w:rFonts w:ascii="Times New Roman" w:eastAsia="Times New Roman" w:hAnsi="Times New Roman" w:cs="Times New Roman"/>
          <w:sz w:val="24"/>
          <w:szCs w:val="24"/>
          <w:lang w:eastAsia="en-GB"/>
        </w:rPr>
        <w:t xml:space="preserve"> questions about authorship and credibility of the source. However, this limitation is useful because it shows how nationalist discourse was collectively produced through resistance networks when there was a </w:t>
      </w:r>
      <w:r w:rsidR="006016DD">
        <w:rPr>
          <w:rFonts w:ascii="Times New Roman" w:eastAsia="Times New Roman" w:hAnsi="Times New Roman" w:cs="Times New Roman"/>
          <w:sz w:val="24"/>
          <w:szCs w:val="24"/>
          <w:lang w:eastAsia="en-GB"/>
        </w:rPr>
        <w:t xml:space="preserve">clear </w:t>
      </w:r>
      <w:r w:rsidR="008E6055">
        <w:rPr>
          <w:rFonts w:ascii="Times New Roman" w:eastAsia="Times New Roman" w:hAnsi="Times New Roman" w:cs="Times New Roman"/>
          <w:sz w:val="24"/>
          <w:szCs w:val="24"/>
          <w:lang w:eastAsia="en-GB"/>
        </w:rPr>
        <w:t xml:space="preserve">vacuum of legitimate native leadership. </w:t>
      </w:r>
    </w:p>
    <w:p w:rsidR="00880052" w:rsidRDefault="005D7D78" w:rsidP="392B512C">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French repression also revealed the extent of the coercive methods they were willing to take to quash and punish any form of resistance against the French and their Mandate. </w:t>
      </w:r>
      <w:r w:rsidR="00880052" w:rsidRPr="00880052">
        <w:rPr>
          <w:rFonts w:ascii="Times New Roman" w:eastAsia="Times New Roman" w:hAnsi="Times New Roman" w:cs="Times New Roman"/>
          <w:sz w:val="24"/>
          <w:szCs w:val="24"/>
          <w:lang w:eastAsia="en-GB"/>
        </w:rPr>
        <w:t xml:space="preserve">A photograph reproduced in Daniel Neep’s </w:t>
      </w:r>
      <w:r>
        <w:rPr>
          <w:rFonts w:ascii="Times New Roman" w:eastAsia="Times New Roman" w:hAnsi="Times New Roman" w:cs="Times New Roman"/>
          <w:sz w:val="24"/>
          <w:szCs w:val="24"/>
          <w:lang w:eastAsia="en-GB"/>
        </w:rPr>
        <w:t>‘</w:t>
      </w:r>
      <w:r w:rsidR="00880052" w:rsidRPr="392B512C">
        <w:rPr>
          <w:rFonts w:ascii="Times New Roman" w:eastAsia="Times New Roman" w:hAnsi="Times New Roman" w:cs="Times New Roman"/>
          <w:sz w:val="24"/>
          <w:szCs w:val="24"/>
          <w:lang w:eastAsia="en-GB"/>
        </w:rPr>
        <w:t>Occupying Syria under the French Mandate</w:t>
      </w:r>
      <w:r w:rsidRPr="392B512C">
        <w:rPr>
          <w:rFonts w:ascii="Times New Roman" w:eastAsia="Times New Roman" w:hAnsi="Times New Roman" w:cs="Times New Roman"/>
          <w:sz w:val="24"/>
          <w:szCs w:val="24"/>
          <w:lang w:eastAsia="en-GB"/>
        </w:rPr>
        <w:t>’</w:t>
      </w:r>
      <w:r w:rsidR="00880052" w:rsidRPr="00880052">
        <w:rPr>
          <w:rFonts w:ascii="Times New Roman" w:eastAsia="Times New Roman" w:hAnsi="Times New Roman" w:cs="Times New Roman"/>
          <w:sz w:val="24"/>
          <w:szCs w:val="24"/>
          <w:lang w:eastAsia="en-GB"/>
        </w:rPr>
        <w:t xml:space="preserve"> depicts Syrian resistance fighters publicly hanged in Marjeh Square durin</w:t>
      </w:r>
      <w:r>
        <w:rPr>
          <w:rFonts w:ascii="Times New Roman" w:eastAsia="Times New Roman" w:hAnsi="Times New Roman" w:cs="Times New Roman"/>
          <w:sz w:val="24"/>
          <w:szCs w:val="24"/>
          <w:lang w:eastAsia="en-GB"/>
        </w:rPr>
        <w:t xml:space="preserve">g the </w:t>
      </w:r>
      <w:bookmarkStart w:id="10" w:name="_Int_72Y9SeYx"/>
      <w:r>
        <w:rPr>
          <w:rFonts w:ascii="Times New Roman" w:eastAsia="Times New Roman" w:hAnsi="Times New Roman" w:cs="Times New Roman"/>
          <w:sz w:val="24"/>
          <w:szCs w:val="24"/>
          <w:lang w:eastAsia="en-GB"/>
        </w:rPr>
        <w:t>revolt</w:t>
      </w:r>
      <w:r w:rsidR="00880052" w:rsidRPr="00880052">
        <w:rPr>
          <w:rFonts w:ascii="Times New Roman" w:eastAsia="Times New Roman" w:hAnsi="Times New Roman" w:cs="Times New Roman"/>
          <w:sz w:val="24"/>
          <w:szCs w:val="24"/>
          <w:lang w:eastAsia="en-GB"/>
        </w:rPr>
        <w:t>.</w:t>
      </w:r>
      <w:r>
        <w:rPr>
          <w:rStyle w:val="FootnoteReference"/>
          <w:rFonts w:ascii="Times New Roman" w:eastAsia="Times New Roman" w:hAnsi="Times New Roman" w:cs="Times New Roman"/>
          <w:sz w:val="24"/>
          <w:szCs w:val="24"/>
          <w:lang w:eastAsia="en-GB"/>
        </w:rPr>
        <w:footnoteReference w:id="46"/>
      </w:r>
      <w:bookmarkEnd w:id="10"/>
      <w:r w:rsidR="00880052" w:rsidRPr="00880052">
        <w:rPr>
          <w:rFonts w:ascii="Times New Roman" w:eastAsia="Times New Roman" w:hAnsi="Times New Roman" w:cs="Times New Roman"/>
          <w:sz w:val="24"/>
          <w:szCs w:val="24"/>
          <w:lang w:eastAsia="en-GB"/>
        </w:rPr>
        <w:t xml:space="preserve"> </w:t>
      </w:r>
      <w:r w:rsidR="00E00B19">
        <w:rPr>
          <w:rFonts w:ascii="Times New Roman" w:eastAsia="Times New Roman" w:hAnsi="Times New Roman" w:cs="Times New Roman"/>
          <w:sz w:val="24"/>
          <w:szCs w:val="24"/>
          <w:lang w:eastAsia="en-GB"/>
        </w:rPr>
        <w:t xml:space="preserve">This image shows how colonial authorities relied on public violence and intimidation alongside colonial governance to contain and control the masses. </w:t>
      </w:r>
      <w:r w:rsidR="00880052" w:rsidRPr="00880052">
        <w:rPr>
          <w:rFonts w:ascii="Times New Roman" w:eastAsia="Times New Roman" w:hAnsi="Times New Roman" w:cs="Times New Roman"/>
          <w:sz w:val="24"/>
          <w:szCs w:val="24"/>
          <w:lang w:eastAsia="en-GB"/>
        </w:rPr>
        <w:t>The image illustrates how colonial authority relied not only on administration but also on p</w:t>
      </w:r>
      <w:r>
        <w:rPr>
          <w:rFonts w:ascii="Times New Roman" w:eastAsia="Times New Roman" w:hAnsi="Times New Roman" w:cs="Times New Roman"/>
          <w:sz w:val="24"/>
          <w:szCs w:val="24"/>
          <w:lang w:eastAsia="en-GB"/>
        </w:rPr>
        <w:t xml:space="preserve">ublic violence and intimidation to contain and control the masses. </w:t>
      </w:r>
    </w:p>
    <w:p w:rsidR="00A551B7" w:rsidRDefault="00A551B7" w:rsidP="00E14104">
      <w:pPr>
        <w:spacing w:before="100" w:beforeAutospacing="1" w:after="100" w:afterAutospacing="1" w:line="240" w:lineRule="auto"/>
        <w:rPr>
          <w:rFonts w:ascii="Times New Roman" w:eastAsia="Times New Roman" w:hAnsi="Times New Roman" w:cs="Times New Roman"/>
          <w:sz w:val="24"/>
          <w:szCs w:val="24"/>
          <w:lang w:eastAsia="en-GB"/>
        </w:rPr>
      </w:pPr>
      <w:r>
        <w:rPr>
          <w:noProof/>
          <w:lang w:eastAsia="en-GB"/>
        </w:rPr>
        <w:lastRenderedPageBreak/>
        <w:drawing>
          <wp:inline distT="0" distB="0" distL="0" distR="0">
            <wp:extent cx="4310495" cy="2993879"/>
            <wp:effectExtent l="19050" t="0" r="0" b="0"/>
            <wp:docPr id="87" name="Picture 87" descr="File:Syriancorp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File:Syriancorpse.jpg"/>
                    <pic:cNvPicPr>
                      <a:picLocks noChangeAspect="1" noChangeArrowheads="1"/>
                    </pic:cNvPicPr>
                  </pic:nvPicPr>
                  <pic:blipFill>
                    <a:blip r:embed="rId12" cstate="print"/>
                    <a:srcRect/>
                    <a:stretch>
                      <a:fillRect/>
                    </a:stretch>
                  </pic:blipFill>
                  <pic:spPr bwMode="auto">
                    <a:xfrm>
                      <a:off x="0" y="0"/>
                      <a:ext cx="4310558" cy="2993923"/>
                    </a:xfrm>
                    <a:prstGeom prst="rect">
                      <a:avLst/>
                    </a:prstGeom>
                    <a:noFill/>
                    <a:ln w="9525">
                      <a:noFill/>
                      <a:miter lim="800000"/>
                      <a:headEnd/>
                      <a:tailEnd/>
                    </a:ln>
                  </pic:spPr>
                </pic:pic>
              </a:graphicData>
            </a:graphic>
          </wp:inline>
        </w:drawing>
      </w:r>
    </w:p>
    <w:p w:rsidR="00F64623" w:rsidRDefault="006A6E77" w:rsidP="392B512C">
      <w:pPr>
        <w:spacing w:before="100" w:beforeAutospacing="1" w:after="100" w:afterAutospacing="1"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Figure</w:t>
      </w:r>
      <w:r w:rsidR="00A21B23">
        <w:rPr>
          <w:rFonts w:ascii="Times New Roman" w:eastAsia="Times New Roman" w:hAnsi="Times New Roman" w:cs="Times New Roman"/>
          <w:sz w:val="20"/>
          <w:szCs w:val="20"/>
          <w:lang w:eastAsia="en-GB"/>
        </w:rPr>
        <w:t xml:space="preserve"> 4</w:t>
      </w:r>
      <w:r>
        <w:rPr>
          <w:rFonts w:ascii="Times New Roman" w:eastAsia="Times New Roman" w:hAnsi="Times New Roman" w:cs="Times New Roman"/>
          <w:sz w:val="20"/>
          <w:szCs w:val="20"/>
          <w:lang w:eastAsia="en-GB"/>
        </w:rPr>
        <w:t xml:space="preserve">: </w:t>
      </w:r>
      <w:r w:rsidR="006829B7" w:rsidRPr="006A6E77">
        <w:rPr>
          <w:rFonts w:ascii="Times New Roman" w:eastAsia="Times New Roman" w:hAnsi="Times New Roman" w:cs="Times New Roman"/>
          <w:sz w:val="20"/>
          <w:szCs w:val="20"/>
          <w:lang w:eastAsia="en-GB"/>
        </w:rPr>
        <w:t>The corpses of three members of the Syrian resistance, hanged in Marjeh Square</w:t>
      </w:r>
      <w:r>
        <w:rPr>
          <w:rFonts w:ascii="Times New Roman" w:eastAsia="Times New Roman" w:hAnsi="Times New Roman" w:cs="Times New Roman"/>
          <w:sz w:val="20"/>
          <w:szCs w:val="20"/>
          <w:lang w:eastAsia="en-GB"/>
        </w:rPr>
        <w:t xml:space="preserve"> </w:t>
      </w:r>
      <w:r w:rsidR="006829B7" w:rsidRPr="006A6E77">
        <w:rPr>
          <w:rFonts w:ascii="Times New Roman" w:eastAsia="Times New Roman" w:hAnsi="Times New Roman" w:cs="Times New Roman"/>
          <w:sz w:val="20"/>
          <w:szCs w:val="20"/>
          <w:lang w:eastAsia="en-GB"/>
        </w:rPr>
        <w:t xml:space="preserve">during the Arab </w:t>
      </w:r>
      <w:bookmarkStart w:id="11" w:name="_Int_T5HQdI6v"/>
      <w:r w:rsidR="006829B7" w:rsidRPr="006A6E77">
        <w:rPr>
          <w:rFonts w:ascii="Times New Roman" w:eastAsia="Times New Roman" w:hAnsi="Times New Roman" w:cs="Times New Roman"/>
          <w:sz w:val="20"/>
          <w:szCs w:val="20"/>
          <w:lang w:eastAsia="en-GB"/>
        </w:rPr>
        <w:t>Revolt.</w:t>
      </w:r>
      <w:r w:rsidR="00E00B19">
        <w:rPr>
          <w:rStyle w:val="FootnoteReference"/>
          <w:rFonts w:ascii="Times New Roman" w:eastAsia="Times New Roman" w:hAnsi="Times New Roman" w:cs="Times New Roman"/>
          <w:sz w:val="20"/>
          <w:szCs w:val="20"/>
          <w:lang w:eastAsia="en-GB"/>
        </w:rPr>
        <w:footnoteReference w:id="47"/>
      </w:r>
      <w:bookmarkEnd w:id="11"/>
    </w:p>
    <w:p w:rsidR="00880052" w:rsidRPr="00F64623" w:rsidRDefault="00880052" w:rsidP="392B512C">
      <w:pPr>
        <w:spacing w:before="100" w:beforeAutospacing="1" w:after="100" w:afterAutospacing="1" w:line="240" w:lineRule="auto"/>
        <w:rPr>
          <w:rFonts w:ascii="Times New Roman" w:eastAsia="Times New Roman" w:hAnsi="Times New Roman" w:cs="Times New Roman"/>
          <w:sz w:val="20"/>
          <w:szCs w:val="20"/>
          <w:lang w:eastAsia="en-GB"/>
        </w:rPr>
      </w:pPr>
      <w:r w:rsidRPr="392B512C">
        <w:rPr>
          <w:rFonts w:ascii="Times New Roman" w:eastAsia="Times New Roman" w:hAnsi="Times New Roman" w:cs="Times New Roman"/>
          <w:sz w:val="24"/>
          <w:szCs w:val="24"/>
          <w:lang w:eastAsia="en-GB"/>
        </w:rPr>
        <w:t xml:space="preserve">Photographs, however, </w:t>
      </w:r>
      <w:r w:rsidR="0084766C" w:rsidRPr="392B512C">
        <w:rPr>
          <w:rFonts w:ascii="Times New Roman" w:eastAsia="Times New Roman" w:hAnsi="Times New Roman" w:cs="Times New Roman"/>
          <w:sz w:val="24"/>
          <w:szCs w:val="24"/>
          <w:lang w:eastAsia="en-GB"/>
        </w:rPr>
        <w:t xml:space="preserve">also </w:t>
      </w:r>
      <w:r w:rsidRPr="392B512C">
        <w:rPr>
          <w:rFonts w:ascii="Times New Roman" w:eastAsia="Times New Roman" w:hAnsi="Times New Roman" w:cs="Times New Roman"/>
          <w:sz w:val="24"/>
          <w:szCs w:val="24"/>
          <w:lang w:eastAsia="en-GB"/>
        </w:rPr>
        <w:t xml:space="preserve">have limitations as historical evidence. They capture </w:t>
      </w:r>
      <w:r w:rsidR="0084766C" w:rsidRPr="392B512C">
        <w:rPr>
          <w:rFonts w:ascii="Times New Roman" w:eastAsia="Times New Roman" w:hAnsi="Times New Roman" w:cs="Times New Roman"/>
          <w:sz w:val="24"/>
          <w:szCs w:val="24"/>
          <w:lang w:eastAsia="en-GB"/>
        </w:rPr>
        <w:t xml:space="preserve">moments that are emotionally powerful but do not always reveal the wider context. Nevertheless, the source remains important </w:t>
      </w:r>
      <w:bookmarkStart w:id="12" w:name="_Int_5MbhnJR3"/>
      <w:r w:rsidR="0084766C" w:rsidRPr="392B512C">
        <w:rPr>
          <w:rFonts w:ascii="Times New Roman" w:eastAsia="Times New Roman" w:hAnsi="Times New Roman" w:cs="Times New Roman"/>
          <w:sz w:val="24"/>
          <w:szCs w:val="24"/>
          <w:lang w:eastAsia="en-GB"/>
        </w:rPr>
        <w:t>insofar</w:t>
      </w:r>
      <w:r w:rsidR="34118215" w:rsidRPr="392B512C">
        <w:rPr>
          <w:rFonts w:ascii="Times New Roman" w:eastAsia="Times New Roman" w:hAnsi="Times New Roman" w:cs="Times New Roman"/>
          <w:sz w:val="24"/>
          <w:szCs w:val="24"/>
          <w:lang w:eastAsia="en-GB"/>
        </w:rPr>
        <w:t>,</w:t>
      </w:r>
      <w:r w:rsidR="0084766C" w:rsidRPr="392B512C">
        <w:rPr>
          <w:rFonts w:ascii="Times New Roman" w:eastAsia="Times New Roman" w:hAnsi="Times New Roman" w:cs="Times New Roman"/>
          <w:sz w:val="24"/>
          <w:szCs w:val="24"/>
          <w:lang w:eastAsia="en-GB"/>
        </w:rPr>
        <w:t xml:space="preserve"> as</w:t>
      </w:r>
      <w:bookmarkEnd w:id="12"/>
      <w:r w:rsidR="0084766C" w:rsidRPr="392B512C">
        <w:rPr>
          <w:rFonts w:ascii="Times New Roman" w:eastAsia="Times New Roman" w:hAnsi="Times New Roman" w:cs="Times New Roman"/>
          <w:sz w:val="24"/>
          <w:szCs w:val="24"/>
          <w:lang w:eastAsia="en-GB"/>
        </w:rPr>
        <w:t xml:space="preserve"> it exposes coercive methods of French </w:t>
      </w:r>
      <w:r w:rsidR="000E7F2E" w:rsidRPr="392B512C">
        <w:rPr>
          <w:rFonts w:ascii="Times New Roman" w:eastAsia="Times New Roman" w:hAnsi="Times New Roman" w:cs="Times New Roman"/>
          <w:sz w:val="24"/>
          <w:szCs w:val="24"/>
          <w:lang w:eastAsia="en-GB"/>
        </w:rPr>
        <w:t xml:space="preserve">colonial rule. </w:t>
      </w:r>
      <w:r w:rsidRPr="392B512C">
        <w:rPr>
          <w:rFonts w:ascii="Times New Roman" w:eastAsia="Times New Roman" w:hAnsi="Times New Roman" w:cs="Times New Roman"/>
          <w:sz w:val="24"/>
          <w:szCs w:val="24"/>
          <w:lang w:eastAsia="en-GB"/>
        </w:rPr>
        <w:t xml:space="preserve">Together, these sources challenge interpretations of the Mandate as simply administrative or developmental. Instead, they </w:t>
      </w:r>
      <w:r w:rsidR="000E7F2E" w:rsidRPr="392B512C">
        <w:rPr>
          <w:rFonts w:ascii="Times New Roman" w:eastAsia="Times New Roman" w:hAnsi="Times New Roman" w:cs="Times New Roman"/>
          <w:sz w:val="24"/>
          <w:szCs w:val="24"/>
          <w:lang w:eastAsia="en-GB"/>
        </w:rPr>
        <w:t xml:space="preserve">highlight a system which used classification alongside repression. </w:t>
      </w:r>
    </w:p>
    <w:p w:rsidR="00E00B19" w:rsidRDefault="00880052" w:rsidP="00E00B19">
      <w:pPr>
        <w:spacing w:before="100" w:beforeAutospacing="1" w:after="100" w:afterAutospacing="1" w:line="240" w:lineRule="auto"/>
        <w:outlineLvl w:val="1"/>
        <w:rPr>
          <w:rFonts w:ascii="Times New Roman" w:eastAsia="Times New Roman" w:hAnsi="Times New Roman" w:cs="Times New Roman"/>
          <w:b/>
          <w:bCs/>
          <w:sz w:val="24"/>
          <w:szCs w:val="24"/>
          <w:lang w:eastAsia="en-GB"/>
        </w:rPr>
      </w:pPr>
      <w:r w:rsidRPr="00880052">
        <w:rPr>
          <w:rFonts w:ascii="Times New Roman" w:eastAsia="Times New Roman" w:hAnsi="Times New Roman" w:cs="Times New Roman"/>
          <w:b/>
          <w:bCs/>
          <w:sz w:val="24"/>
          <w:szCs w:val="24"/>
          <w:lang w:eastAsia="en-GB"/>
        </w:rPr>
        <w:t>5. Hierarchies of Incorporation and Colonial Governance</w:t>
      </w:r>
    </w:p>
    <w:p w:rsidR="00FD7A04" w:rsidRPr="007A5864" w:rsidRDefault="000E7F2E" w:rsidP="007A5864">
      <w:pPr>
        <w:spacing w:before="100" w:beforeAutospacing="1" w:after="100" w:afterAutospacing="1" w:line="240" w:lineRule="auto"/>
        <w:outlineLvl w:val="1"/>
        <w:rPr>
          <w:rFonts w:ascii="Times New Roman" w:eastAsia="Times New Roman" w:hAnsi="Times New Roman" w:cs="Times New Roman"/>
          <w:b/>
          <w:bCs/>
          <w:sz w:val="24"/>
          <w:szCs w:val="24"/>
          <w:lang w:eastAsia="en-GB"/>
        </w:rPr>
      </w:pPr>
      <w:r>
        <w:rPr>
          <w:rFonts w:ascii="Times New Roman" w:eastAsia="Times New Roman" w:hAnsi="Times New Roman" w:cs="Times New Roman"/>
          <w:sz w:val="24"/>
          <w:szCs w:val="24"/>
          <w:lang w:eastAsia="en-GB"/>
        </w:rPr>
        <w:t>One of the</w:t>
      </w:r>
      <w:r w:rsidR="00880052" w:rsidRPr="00880052">
        <w:rPr>
          <w:rFonts w:ascii="Times New Roman" w:eastAsia="Times New Roman" w:hAnsi="Times New Roman" w:cs="Times New Roman"/>
          <w:sz w:val="24"/>
          <w:szCs w:val="24"/>
          <w:lang w:eastAsia="en-GB"/>
        </w:rPr>
        <w:t xml:space="preserve"> most important </w:t>
      </w:r>
      <w:r w:rsidRPr="00880052">
        <w:rPr>
          <w:rFonts w:ascii="Times New Roman" w:eastAsia="Times New Roman" w:hAnsi="Times New Roman" w:cs="Times New Roman"/>
          <w:sz w:val="24"/>
          <w:szCs w:val="24"/>
          <w:lang w:eastAsia="en-GB"/>
        </w:rPr>
        <w:t>transformations</w:t>
      </w:r>
      <w:r w:rsidR="00880052" w:rsidRPr="00880052">
        <w:rPr>
          <w:rFonts w:ascii="Times New Roman" w:eastAsia="Times New Roman" w:hAnsi="Times New Roman" w:cs="Times New Roman"/>
          <w:sz w:val="24"/>
          <w:szCs w:val="24"/>
          <w:lang w:eastAsia="en-GB"/>
        </w:rPr>
        <w:t xml:space="preserve"> under t</w:t>
      </w:r>
      <w:r>
        <w:rPr>
          <w:rFonts w:ascii="Times New Roman" w:eastAsia="Times New Roman" w:hAnsi="Times New Roman" w:cs="Times New Roman"/>
          <w:sz w:val="24"/>
          <w:szCs w:val="24"/>
          <w:lang w:eastAsia="en-GB"/>
        </w:rPr>
        <w:t xml:space="preserve">he French Mandate was </w:t>
      </w:r>
      <w:r w:rsidR="00880052" w:rsidRPr="00880052">
        <w:rPr>
          <w:rFonts w:ascii="Times New Roman" w:eastAsia="Times New Roman" w:hAnsi="Times New Roman" w:cs="Times New Roman"/>
          <w:sz w:val="24"/>
          <w:szCs w:val="24"/>
          <w:lang w:eastAsia="en-GB"/>
        </w:rPr>
        <w:t>the emergence of differentiated political incorporation. Some communities were integrated into educational, administrative, and mi</w:t>
      </w:r>
      <w:r>
        <w:rPr>
          <w:rFonts w:ascii="Times New Roman" w:eastAsia="Times New Roman" w:hAnsi="Times New Roman" w:cs="Times New Roman"/>
          <w:sz w:val="24"/>
          <w:szCs w:val="24"/>
          <w:lang w:eastAsia="en-GB"/>
        </w:rPr>
        <w:t>litary structures, while others, in particular</w:t>
      </w:r>
      <w:r w:rsidR="00880052" w:rsidRPr="00880052">
        <w:rPr>
          <w:rFonts w:ascii="Times New Roman" w:eastAsia="Times New Roman" w:hAnsi="Times New Roman" w:cs="Times New Roman"/>
          <w:sz w:val="24"/>
          <w:szCs w:val="24"/>
          <w:lang w:eastAsia="en-GB"/>
        </w:rPr>
        <w:t xml:space="preserve"> urban Sunni national</w:t>
      </w:r>
      <w:r>
        <w:rPr>
          <w:rFonts w:ascii="Times New Roman" w:eastAsia="Times New Roman" w:hAnsi="Times New Roman" w:cs="Times New Roman"/>
          <w:sz w:val="24"/>
          <w:szCs w:val="24"/>
          <w:lang w:eastAsia="en-GB"/>
        </w:rPr>
        <w:t xml:space="preserve">ist centres, </w:t>
      </w:r>
      <w:r w:rsidR="00880052" w:rsidRPr="00880052">
        <w:rPr>
          <w:rFonts w:ascii="Times New Roman" w:eastAsia="Times New Roman" w:hAnsi="Times New Roman" w:cs="Times New Roman"/>
          <w:sz w:val="24"/>
          <w:szCs w:val="24"/>
          <w:lang w:eastAsia="en-GB"/>
        </w:rPr>
        <w:t xml:space="preserve">were </w:t>
      </w:r>
      <w:r>
        <w:rPr>
          <w:rFonts w:ascii="Times New Roman" w:eastAsia="Times New Roman" w:hAnsi="Times New Roman" w:cs="Times New Roman"/>
          <w:sz w:val="24"/>
          <w:szCs w:val="24"/>
          <w:lang w:eastAsia="en-GB"/>
        </w:rPr>
        <w:t xml:space="preserve">neglected, </w:t>
      </w:r>
      <w:r w:rsidR="00880052" w:rsidRPr="00880052">
        <w:rPr>
          <w:rFonts w:ascii="Times New Roman" w:eastAsia="Times New Roman" w:hAnsi="Times New Roman" w:cs="Times New Roman"/>
          <w:sz w:val="24"/>
          <w:szCs w:val="24"/>
          <w:lang w:eastAsia="en-GB"/>
        </w:rPr>
        <w:t>politically marginalised and securitised.</w:t>
      </w:r>
      <w:r w:rsidR="0017766B">
        <w:rPr>
          <w:rFonts w:ascii="Times New Roman" w:eastAsia="Times New Roman" w:hAnsi="Times New Roman" w:cs="Times New Roman"/>
          <w:sz w:val="24"/>
          <w:szCs w:val="24"/>
          <w:lang w:eastAsia="en-GB"/>
        </w:rPr>
        <w:t xml:space="preserve"> </w:t>
      </w:r>
      <w:r w:rsidR="00880052" w:rsidRPr="00880052">
        <w:rPr>
          <w:rFonts w:ascii="Times New Roman" w:eastAsia="Times New Roman" w:hAnsi="Times New Roman" w:cs="Times New Roman"/>
          <w:sz w:val="24"/>
          <w:szCs w:val="24"/>
          <w:lang w:eastAsia="en-GB"/>
        </w:rPr>
        <w:t>Frantz Fanon’s observation</w:t>
      </w:r>
      <w:r w:rsidR="0017766B">
        <w:rPr>
          <w:rFonts w:ascii="Times New Roman" w:eastAsia="Times New Roman" w:hAnsi="Times New Roman" w:cs="Times New Roman"/>
          <w:sz w:val="24"/>
          <w:szCs w:val="24"/>
          <w:lang w:eastAsia="en-GB"/>
        </w:rPr>
        <w:t xml:space="preserve"> that colonial society becomes ‘</w:t>
      </w:r>
      <w:r w:rsidR="00880052" w:rsidRPr="00880052">
        <w:rPr>
          <w:rFonts w:ascii="Times New Roman" w:eastAsia="Times New Roman" w:hAnsi="Times New Roman" w:cs="Times New Roman"/>
          <w:sz w:val="24"/>
          <w:szCs w:val="24"/>
          <w:lang w:eastAsia="en-GB"/>
        </w:rPr>
        <w:t xml:space="preserve">a </w:t>
      </w:r>
      <w:r w:rsidR="0017766B">
        <w:rPr>
          <w:rFonts w:ascii="Times New Roman" w:eastAsia="Times New Roman" w:hAnsi="Times New Roman" w:cs="Times New Roman"/>
          <w:sz w:val="24"/>
          <w:szCs w:val="24"/>
          <w:lang w:eastAsia="en-GB"/>
        </w:rPr>
        <w:t xml:space="preserve">world divided into compartments’ is useful here as it shows two different worlds; one for the French and their favoured and incorporated sects, and the </w:t>
      </w:r>
      <w:bookmarkStart w:id="13" w:name="_Int_xVUc4Adj"/>
      <w:r w:rsidR="0017766B">
        <w:rPr>
          <w:rFonts w:ascii="Times New Roman" w:eastAsia="Times New Roman" w:hAnsi="Times New Roman" w:cs="Times New Roman"/>
          <w:sz w:val="24"/>
          <w:szCs w:val="24"/>
          <w:lang w:eastAsia="en-GB"/>
        </w:rPr>
        <w:t>rest.</w:t>
      </w:r>
      <w:r w:rsidR="0017766B">
        <w:rPr>
          <w:rStyle w:val="FootnoteReference"/>
          <w:rFonts w:ascii="Times New Roman" w:eastAsia="Times New Roman" w:hAnsi="Times New Roman" w:cs="Times New Roman"/>
          <w:sz w:val="24"/>
          <w:szCs w:val="24"/>
          <w:lang w:eastAsia="en-GB"/>
        </w:rPr>
        <w:footnoteReference w:id="48"/>
      </w:r>
      <w:bookmarkEnd w:id="13"/>
      <w:r w:rsidR="00880052" w:rsidRPr="00880052">
        <w:rPr>
          <w:rFonts w:ascii="Times New Roman" w:eastAsia="Times New Roman" w:hAnsi="Times New Roman" w:cs="Times New Roman"/>
          <w:sz w:val="24"/>
          <w:szCs w:val="24"/>
          <w:lang w:eastAsia="en-GB"/>
        </w:rPr>
        <w:t xml:space="preserve"> Under the Mandat</w:t>
      </w:r>
      <w:r w:rsidR="0017766B">
        <w:rPr>
          <w:rFonts w:ascii="Times New Roman" w:eastAsia="Times New Roman" w:hAnsi="Times New Roman" w:cs="Times New Roman"/>
          <w:sz w:val="24"/>
          <w:szCs w:val="24"/>
          <w:lang w:eastAsia="en-GB"/>
        </w:rPr>
        <w:t xml:space="preserve">e, these compartments were not only spatial but also institutional. </w:t>
      </w:r>
    </w:p>
    <w:p w:rsidR="00FD7A04" w:rsidRDefault="007A5864" w:rsidP="00E14104">
      <w:pPr>
        <w:spacing w:before="100" w:beforeAutospacing="1" w:after="100" w:afterAutospacing="1" w:line="240" w:lineRule="auto"/>
        <w:rPr>
          <w:rFonts w:ascii="Times New Roman" w:eastAsia="Times New Roman" w:hAnsi="Times New Roman" w:cs="Times New Roman"/>
          <w:sz w:val="24"/>
          <w:szCs w:val="24"/>
          <w:lang w:eastAsia="en-GB"/>
        </w:rPr>
      </w:pPr>
      <w:r w:rsidRPr="004007F7">
        <w:rPr>
          <w:rFonts w:ascii="Times New Roman" w:eastAsia="Times New Roman" w:hAnsi="Times New Roman" w:cs="Times New Roman"/>
          <w:sz w:val="24"/>
          <w:szCs w:val="24"/>
          <w:lang w:eastAsia="en-GB"/>
        </w:rPr>
        <w:pict>
          <v:shape id="_x0000_i1027" type="#_x0000_t75" style="width:345.8pt;height:104.75pt">
            <v:imagedata r:id="rId13" o:title="Article 22"/>
          </v:shape>
        </w:pict>
      </w:r>
    </w:p>
    <w:p w:rsidR="00404A73" w:rsidRPr="00FD7A04" w:rsidRDefault="0027012E" w:rsidP="392B512C">
      <w:pPr>
        <w:spacing w:before="100" w:beforeAutospacing="1" w:after="100" w:afterAutospacing="1" w:line="240" w:lineRule="auto"/>
        <w:rPr>
          <w:rFonts w:ascii="Times New Roman" w:eastAsia="Times New Roman" w:hAnsi="Times New Roman" w:cs="Times New Roman"/>
          <w:sz w:val="20"/>
          <w:szCs w:val="20"/>
          <w:lang w:eastAsia="en-GB"/>
        </w:rPr>
      </w:pPr>
      <w:r w:rsidRPr="00FD7A04">
        <w:rPr>
          <w:rFonts w:ascii="Times New Roman" w:eastAsia="Times New Roman" w:hAnsi="Times New Roman" w:cs="Times New Roman"/>
          <w:sz w:val="20"/>
          <w:szCs w:val="20"/>
          <w:lang w:eastAsia="en-GB"/>
        </w:rPr>
        <w:lastRenderedPageBreak/>
        <w:t>Figure</w:t>
      </w:r>
      <w:r w:rsidR="00A21B23">
        <w:rPr>
          <w:rFonts w:ascii="Times New Roman" w:eastAsia="Times New Roman" w:hAnsi="Times New Roman" w:cs="Times New Roman"/>
          <w:sz w:val="20"/>
          <w:szCs w:val="20"/>
          <w:lang w:eastAsia="en-GB"/>
        </w:rPr>
        <w:t xml:space="preserve"> 5</w:t>
      </w:r>
      <w:r w:rsidRPr="00FD7A04">
        <w:rPr>
          <w:rFonts w:ascii="Times New Roman" w:eastAsia="Times New Roman" w:hAnsi="Times New Roman" w:cs="Times New Roman"/>
          <w:sz w:val="20"/>
          <w:szCs w:val="20"/>
          <w:lang w:eastAsia="en-GB"/>
        </w:rPr>
        <w:t>: Exce</w:t>
      </w:r>
      <w:r w:rsidR="009B2E45">
        <w:rPr>
          <w:rFonts w:ascii="Times New Roman" w:eastAsia="Times New Roman" w:hAnsi="Times New Roman" w:cs="Times New Roman"/>
          <w:sz w:val="20"/>
          <w:szCs w:val="20"/>
          <w:lang w:eastAsia="en-GB"/>
        </w:rPr>
        <w:t>r</w:t>
      </w:r>
      <w:r w:rsidRPr="00FD7A04">
        <w:rPr>
          <w:rFonts w:ascii="Times New Roman" w:eastAsia="Times New Roman" w:hAnsi="Times New Roman" w:cs="Times New Roman"/>
          <w:sz w:val="20"/>
          <w:szCs w:val="20"/>
          <w:lang w:eastAsia="en-GB"/>
        </w:rPr>
        <w:t xml:space="preserve">pt of </w:t>
      </w:r>
      <w:r w:rsidR="00D70A93" w:rsidRPr="00FD7A04">
        <w:rPr>
          <w:rFonts w:ascii="Times New Roman" w:eastAsia="Times New Roman" w:hAnsi="Times New Roman" w:cs="Times New Roman"/>
          <w:sz w:val="20"/>
          <w:szCs w:val="20"/>
          <w:lang w:eastAsia="en-GB"/>
        </w:rPr>
        <w:t>section 4</w:t>
      </w:r>
      <w:r w:rsidR="00714A2E" w:rsidRPr="00FD7A04">
        <w:rPr>
          <w:rFonts w:ascii="Times New Roman" w:eastAsia="Times New Roman" w:hAnsi="Times New Roman" w:cs="Times New Roman"/>
          <w:sz w:val="20"/>
          <w:szCs w:val="20"/>
          <w:lang w:eastAsia="en-GB"/>
        </w:rPr>
        <w:t xml:space="preserve"> from </w:t>
      </w:r>
      <w:r w:rsidRPr="00FD7A04">
        <w:rPr>
          <w:rFonts w:ascii="Times New Roman" w:eastAsia="Times New Roman" w:hAnsi="Times New Roman" w:cs="Times New Roman"/>
          <w:sz w:val="20"/>
          <w:szCs w:val="20"/>
          <w:lang w:eastAsia="en-GB"/>
        </w:rPr>
        <w:t xml:space="preserve">Article 22 from the League of Nations Covenant for the </w:t>
      </w:r>
      <w:bookmarkStart w:id="14" w:name="_Int_4EVVdRtn"/>
      <w:r w:rsidRPr="00FD7A04">
        <w:rPr>
          <w:rFonts w:ascii="Times New Roman" w:eastAsia="Times New Roman" w:hAnsi="Times New Roman" w:cs="Times New Roman"/>
          <w:sz w:val="20"/>
          <w:szCs w:val="20"/>
          <w:lang w:eastAsia="en-GB"/>
        </w:rPr>
        <w:t>Mandate</w:t>
      </w:r>
      <w:r w:rsidR="00CD35A1">
        <w:rPr>
          <w:rFonts w:ascii="Times New Roman" w:eastAsia="Times New Roman" w:hAnsi="Times New Roman" w:cs="Times New Roman"/>
          <w:sz w:val="20"/>
          <w:szCs w:val="20"/>
          <w:lang w:eastAsia="en-GB"/>
        </w:rPr>
        <w:t>.</w:t>
      </w:r>
      <w:r w:rsidR="00E00B19" w:rsidRPr="00FD7A04">
        <w:rPr>
          <w:rStyle w:val="FootnoteReference"/>
          <w:rFonts w:ascii="Times New Roman" w:eastAsia="Times New Roman" w:hAnsi="Times New Roman" w:cs="Times New Roman"/>
          <w:sz w:val="20"/>
          <w:szCs w:val="20"/>
          <w:lang w:eastAsia="en-GB"/>
        </w:rPr>
        <w:footnoteReference w:id="49"/>
      </w:r>
      <w:bookmarkEnd w:id="14"/>
    </w:p>
    <w:p w:rsidR="00927AC4" w:rsidRDefault="00880052" w:rsidP="392B512C">
      <w:pPr>
        <w:spacing w:before="100" w:beforeAutospacing="1" w:after="100" w:afterAutospacing="1" w:line="240" w:lineRule="auto"/>
        <w:rPr>
          <w:rFonts w:ascii="Times New Roman" w:eastAsia="Times New Roman" w:hAnsi="Times New Roman" w:cs="Times New Roman"/>
          <w:sz w:val="24"/>
          <w:szCs w:val="24"/>
          <w:lang w:eastAsia="en-GB"/>
        </w:rPr>
      </w:pPr>
      <w:r w:rsidRPr="00880052">
        <w:rPr>
          <w:rFonts w:ascii="Times New Roman" w:eastAsia="Times New Roman" w:hAnsi="Times New Roman" w:cs="Times New Roman"/>
          <w:sz w:val="24"/>
          <w:szCs w:val="24"/>
          <w:lang w:eastAsia="en-GB"/>
        </w:rPr>
        <w:t>This logic was reinforced by the League o</w:t>
      </w:r>
      <w:r w:rsidR="00404A73">
        <w:rPr>
          <w:rFonts w:ascii="Times New Roman" w:eastAsia="Times New Roman" w:hAnsi="Times New Roman" w:cs="Times New Roman"/>
          <w:sz w:val="24"/>
          <w:szCs w:val="24"/>
          <w:lang w:eastAsia="en-GB"/>
        </w:rPr>
        <w:t>f Nations Mandate system itself in</w:t>
      </w:r>
      <w:r w:rsidRPr="00880052">
        <w:rPr>
          <w:rFonts w:ascii="Times New Roman" w:eastAsia="Times New Roman" w:hAnsi="Times New Roman" w:cs="Times New Roman"/>
          <w:sz w:val="24"/>
          <w:szCs w:val="24"/>
          <w:lang w:eastAsia="en-GB"/>
        </w:rPr>
        <w:t xml:space="preserve"> </w:t>
      </w:r>
      <w:r w:rsidR="00404A73">
        <w:rPr>
          <w:rFonts w:ascii="Times New Roman" w:eastAsia="Times New Roman" w:hAnsi="Times New Roman" w:cs="Times New Roman"/>
          <w:sz w:val="24"/>
          <w:szCs w:val="24"/>
          <w:lang w:eastAsia="en-GB"/>
        </w:rPr>
        <w:t>‘</w:t>
      </w:r>
      <w:r w:rsidRPr="00880052">
        <w:rPr>
          <w:rFonts w:ascii="Times New Roman" w:eastAsia="Times New Roman" w:hAnsi="Times New Roman" w:cs="Times New Roman"/>
          <w:sz w:val="24"/>
          <w:szCs w:val="24"/>
          <w:lang w:eastAsia="en-GB"/>
        </w:rPr>
        <w:t>Article 22</w:t>
      </w:r>
      <w:r w:rsidR="00404A73">
        <w:rPr>
          <w:rFonts w:ascii="Times New Roman" w:eastAsia="Times New Roman" w:hAnsi="Times New Roman" w:cs="Times New Roman"/>
          <w:sz w:val="24"/>
          <w:szCs w:val="24"/>
          <w:lang w:eastAsia="en-GB"/>
        </w:rPr>
        <w:t>’</w:t>
      </w:r>
      <w:r w:rsidRPr="00880052">
        <w:rPr>
          <w:rFonts w:ascii="Times New Roman" w:eastAsia="Times New Roman" w:hAnsi="Times New Roman" w:cs="Times New Roman"/>
          <w:sz w:val="24"/>
          <w:szCs w:val="24"/>
          <w:lang w:eastAsia="en-GB"/>
        </w:rPr>
        <w:t xml:space="preserve"> </w:t>
      </w:r>
      <w:r w:rsidR="00404A73">
        <w:rPr>
          <w:rFonts w:ascii="Times New Roman" w:eastAsia="Times New Roman" w:hAnsi="Times New Roman" w:cs="Times New Roman"/>
          <w:sz w:val="24"/>
          <w:szCs w:val="24"/>
          <w:lang w:eastAsia="en-GB"/>
        </w:rPr>
        <w:t xml:space="preserve">which </w:t>
      </w:r>
      <w:r w:rsidRPr="00880052">
        <w:rPr>
          <w:rFonts w:ascii="Times New Roman" w:eastAsia="Times New Roman" w:hAnsi="Times New Roman" w:cs="Times New Roman"/>
          <w:sz w:val="24"/>
          <w:szCs w:val="24"/>
          <w:lang w:eastAsia="en-GB"/>
        </w:rPr>
        <w:t>declared that fo</w:t>
      </w:r>
      <w:r w:rsidR="00404A73">
        <w:rPr>
          <w:rFonts w:ascii="Times New Roman" w:eastAsia="Times New Roman" w:hAnsi="Times New Roman" w:cs="Times New Roman"/>
          <w:sz w:val="24"/>
          <w:szCs w:val="24"/>
          <w:lang w:eastAsia="en-GB"/>
        </w:rPr>
        <w:t>rmerly Ottoman territories had ‘reached a stage of development’ requiring ‘</w:t>
      </w:r>
      <w:r w:rsidRPr="00880052">
        <w:rPr>
          <w:rFonts w:ascii="Times New Roman" w:eastAsia="Times New Roman" w:hAnsi="Times New Roman" w:cs="Times New Roman"/>
          <w:sz w:val="24"/>
          <w:szCs w:val="24"/>
          <w:lang w:eastAsia="en-GB"/>
        </w:rPr>
        <w:t>administrative advic</w:t>
      </w:r>
      <w:r w:rsidR="00404A73">
        <w:rPr>
          <w:rFonts w:ascii="Times New Roman" w:eastAsia="Times New Roman" w:hAnsi="Times New Roman" w:cs="Times New Roman"/>
          <w:sz w:val="24"/>
          <w:szCs w:val="24"/>
          <w:lang w:eastAsia="en-GB"/>
        </w:rPr>
        <w:t>e and assistance by a Mandatory’</w:t>
      </w:r>
      <w:r w:rsidRPr="00880052">
        <w:rPr>
          <w:rFonts w:ascii="Times New Roman" w:eastAsia="Times New Roman" w:hAnsi="Times New Roman" w:cs="Times New Roman"/>
          <w:sz w:val="24"/>
          <w:szCs w:val="24"/>
          <w:lang w:eastAsia="en-GB"/>
        </w:rPr>
        <w:t xml:space="preserve"> before they could govern themselves</w:t>
      </w:r>
      <w:r w:rsidR="00404A73">
        <w:rPr>
          <w:rFonts w:ascii="Times New Roman" w:eastAsia="Times New Roman" w:hAnsi="Times New Roman" w:cs="Times New Roman"/>
          <w:sz w:val="24"/>
          <w:szCs w:val="24"/>
          <w:lang w:eastAsia="en-GB"/>
        </w:rPr>
        <w:t>.’</w:t>
      </w:r>
      <w:r w:rsidR="00472BBF">
        <w:rPr>
          <w:rStyle w:val="FootnoteReference"/>
          <w:rFonts w:ascii="Times New Roman" w:eastAsia="Times New Roman" w:hAnsi="Times New Roman" w:cs="Times New Roman"/>
          <w:sz w:val="24"/>
          <w:szCs w:val="24"/>
          <w:lang w:eastAsia="en-GB"/>
        </w:rPr>
        <w:footnoteReference w:id="50"/>
      </w:r>
      <w:r w:rsidR="0027012E">
        <w:rPr>
          <w:rFonts w:ascii="Times New Roman" w:eastAsia="Times New Roman" w:hAnsi="Times New Roman" w:cs="Times New Roman"/>
          <w:sz w:val="24"/>
          <w:szCs w:val="24"/>
          <w:lang w:eastAsia="en-GB"/>
        </w:rPr>
        <w:t xml:space="preserve"> </w:t>
      </w:r>
      <w:r w:rsidR="00E65C67">
        <w:rPr>
          <w:rFonts w:ascii="Times New Roman" w:eastAsia="Times New Roman" w:hAnsi="Times New Roman" w:cs="Times New Roman"/>
          <w:sz w:val="24"/>
          <w:szCs w:val="24"/>
          <w:lang w:eastAsia="en-GB"/>
        </w:rPr>
        <w:t xml:space="preserve">This is an important source in that it exposes the paternalistic assumptions of colonial powers. French governance was framed internationally as ‘tutelage’ rather than ‘domination’ since the former is based more on the language of care and </w:t>
      </w:r>
      <w:r w:rsidR="790FC521">
        <w:rPr>
          <w:rFonts w:ascii="Times New Roman" w:eastAsia="Times New Roman" w:hAnsi="Times New Roman" w:cs="Times New Roman"/>
          <w:sz w:val="24"/>
          <w:szCs w:val="24"/>
          <w:lang w:eastAsia="en-GB"/>
        </w:rPr>
        <w:t>concern,</w:t>
      </w:r>
      <w:r w:rsidR="00E65C67">
        <w:rPr>
          <w:rFonts w:ascii="Times New Roman" w:eastAsia="Times New Roman" w:hAnsi="Times New Roman" w:cs="Times New Roman"/>
          <w:sz w:val="24"/>
          <w:szCs w:val="24"/>
          <w:lang w:eastAsia="en-GB"/>
        </w:rPr>
        <w:t xml:space="preserve"> but </w:t>
      </w:r>
      <w:r w:rsidR="005716FF">
        <w:rPr>
          <w:rFonts w:ascii="Times New Roman" w:eastAsia="Times New Roman" w:hAnsi="Times New Roman" w:cs="Times New Roman"/>
          <w:sz w:val="24"/>
          <w:szCs w:val="24"/>
          <w:lang w:eastAsia="en-GB"/>
        </w:rPr>
        <w:t>the latter is linked to control. In addition to the language of care, the language of ‘development’</w:t>
      </w:r>
      <w:r w:rsidRPr="00880052">
        <w:rPr>
          <w:rFonts w:ascii="Times New Roman" w:eastAsia="Times New Roman" w:hAnsi="Times New Roman" w:cs="Times New Roman"/>
          <w:sz w:val="24"/>
          <w:szCs w:val="24"/>
          <w:lang w:eastAsia="en-GB"/>
        </w:rPr>
        <w:t xml:space="preserve"> </w:t>
      </w:r>
      <w:r w:rsidR="005716FF">
        <w:rPr>
          <w:rFonts w:ascii="Times New Roman" w:eastAsia="Times New Roman" w:hAnsi="Times New Roman" w:cs="Times New Roman"/>
          <w:sz w:val="24"/>
          <w:szCs w:val="24"/>
          <w:lang w:eastAsia="en-GB"/>
        </w:rPr>
        <w:t xml:space="preserve">hides the realities of coercive colonial rule and instead presents itself as politically neutral. </w:t>
      </w:r>
      <w:r w:rsidRPr="00880052">
        <w:rPr>
          <w:rFonts w:ascii="Times New Roman" w:eastAsia="Times New Roman" w:hAnsi="Times New Roman" w:cs="Times New Roman"/>
          <w:sz w:val="24"/>
          <w:szCs w:val="24"/>
          <w:lang w:eastAsia="en-GB"/>
        </w:rPr>
        <w:t>Edward Said’s critique of Orientalism is relevant here. Said argues that colonial power relied upon representations of Middle Eastern societies as fragmented and incapable of self-</w:t>
      </w:r>
      <w:bookmarkStart w:id="15" w:name="_Int_9Q6aP2LV"/>
      <w:r w:rsidRPr="00880052">
        <w:rPr>
          <w:rFonts w:ascii="Times New Roman" w:eastAsia="Times New Roman" w:hAnsi="Times New Roman" w:cs="Times New Roman"/>
          <w:sz w:val="24"/>
          <w:szCs w:val="24"/>
          <w:lang w:eastAsia="en-GB"/>
        </w:rPr>
        <w:t>government.</w:t>
      </w:r>
      <w:r w:rsidR="005716FF">
        <w:rPr>
          <w:rStyle w:val="FootnoteReference"/>
          <w:rFonts w:ascii="Times New Roman" w:eastAsia="Times New Roman" w:hAnsi="Times New Roman" w:cs="Times New Roman"/>
          <w:sz w:val="24"/>
          <w:szCs w:val="24"/>
          <w:lang w:eastAsia="en-GB"/>
        </w:rPr>
        <w:footnoteReference w:id="51"/>
      </w:r>
      <w:bookmarkEnd w:id="15"/>
      <w:r w:rsidRPr="00880052">
        <w:rPr>
          <w:rFonts w:ascii="Times New Roman" w:eastAsia="Times New Roman" w:hAnsi="Times New Roman" w:cs="Times New Roman"/>
          <w:sz w:val="24"/>
          <w:szCs w:val="24"/>
          <w:lang w:eastAsia="en-GB"/>
        </w:rPr>
        <w:t xml:space="preserve"> The Mandate institutionalised </w:t>
      </w:r>
      <w:r w:rsidR="00927AC4">
        <w:rPr>
          <w:rFonts w:ascii="Times New Roman" w:eastAsia="Times New Roman" w:hAnsi="Times New Roman" w:cs="Times New Roman"/>
          <w:sz w:val="24"/>
          <w:szCs w:val="24"/>
          <w:lang w:eastAsia="en-GB"/>
        </w:rPr>
        <w:t>exactly this logic by treating communal populations as administratively manageable categories requiring outside supervision.</w:t>
      </w:r>
      <w:r w:rsidR="006217C1">
        <w:rPr>
          <w:rFonts w:ascii="Times New Roman" w:eastAsia="Times New Roman" w:hAnsi="Times New Roman" w:cs="Times New Roman"/>
          <w:sz w:val="24"/>
          <w:szCs w:val="24"/>
          <w:lang w:eastAsia="en-GB"/>
        </w:rPr>
        <w:t xml:space="preserve"> So while the League of Nations justified colonial rule through the idea of ‘guidance’ and ‘development,’ and the French then governed different communities according to their own assumptions and categorisations, some communities gained better access to power and made their way up the hierarchy with ease, while for those not favoured, it produced long term effects that endure today, especially hierarchical incorporation through Mandate governance. </w:t>
      </w:r>
    </w:p>
    <w:p w:rsidR="00880052" w:rsidRPr="00880052" w:rsidRDefault="00880052" w:rsidP="00CD1260">
      <w:pPr>
        <w:spacing w:before="100" w:beforeAutospacing="1" w:after="100" w:afterAutospacing="1" w:line="240" w:lineRule="auto"/>
        <w:outlineLvl w:val="1"/>
        <w:rPr>
          <w:rFonts w:ascii="Times New Roman" w:eastAsia="Times New Roman" w:hAnsi="Times New Roman" w:cs="Times New Roman"/>
          <w:b/>
          <w:bCs/>
          <w:sz w:val="24"/>
          <w:szCs w:val="24"/>
          <w:lang w:eastAsia="en-GB"/>
        </w:rPr>
      </w:pPr>
      <w:r w:rsidRPr="00880052">
        <w:rPr>
          <w:rFonts w:ascii="Times New Roman" w:eastAsia="Times New Roman" w:hAnsi="Times New Roman" w:cs="Times New Roman"/>
          <w:b/>
          <w:bCs/>
          <w:sz w:val="24"/>
          <w:szCs w:val="24"/>
          <w:lang w:eastAsia="en-GB"/>
        </w:rPr>
        <w:t>6. Conclusion</w:t>
      </w:r>
    </w:p>
    <w:p w:rsidR="00055F08" w:rsidRDefault="00CD1260" w:rsidP="00E14104">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This chapter has argued that the French </w:t>
      </w:r>
      <w:r w:rsidR="00E00B19">
        <w:rPr>
          <w:rFonts w:ascii="Times New Roman" w:eastAsia="Times New Roman" w:hAnsi="Times New Roman" w:cs="Times New Roman"/>
          <w:sz w:val="24"/>
          <w:szCs w:val="24"/>
          <w:lang w:eastAsia="en-GB"/>
        </w:rPr>
        <w:t>Mandate</w:t>
      </w:r>
      <w:r>
        <w:rPr>
          <w:rFonts w:ascii="Times New Roman" w:eastAsia="Times New Roman" w:hAnsi="Times New Roman" w:cs="Times New Roman"/>
          <w:sz w:val="24"/>
          <w:szCs w:val="24"/>
          <w:lang w:eastAsia="en-GB"/>
        </w:rPr>
        <w:t xml:space="preserve"> essentially transformed communal distinctions in Syria and Lebanon</w:t>
      </w:r>
      <w:r w:rsidR="00E00B19">
        <w:rPr>
          <w:rFonts w:ascii="Times New Roman" w:eastAsia="Times New Roman" w:hAnsi="Times New Roman" w:cs="Times New Roman"/>
          <w:sz w:val="24"/>
          <w:szCs w:val="24"/>
          <w:lang w:eastAsia="en-GB"/>
        </w:rPr>
        <w:t xml:space="preserve"> into institutionalised forms of political governance. </w:t>
      </w:r>
      <w:r w:rsidR="00A0547A">
        <w:rPr>
          <w:rFonts w:ascii="Times New Roman" w:eastAsia="Times New Roman" w:hAnsi="Times New Roman" w:cs="Times New Roman"/>
          <w:sz w:val="24"/>
          <w:szCs w:val="24"/>
          <w:lang w:eastAsia="en-GB"/>
        </w:rPr>
        <w:t xml:space="preserve">Ottoman reforms had already to a certain degree embedded sectarian identity within political life, but these structures were still quite fluid. Under the Mandate, however, communal identity became inextricable linked to territorial administration, education, political representation, and security management. </w:t>
      </w:r>
    </w:p>
    <w:p w:rsidR="00880052" w:rsidRPr="00880052" w:rsidRDefault="008E20C6" w:rsidP="00E14104">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primary sources analysed strongly support this arguments. Demographic maps show that populations were historically more mixed as opposed to completely segregated, while missionary school networks highlight selective investment in minority regions. National writings condemned French fragmentation initiatives, and League of Nations discourse exposed a paternalistic mindset that set the basis and justification for colonial governance. Combined together, these sources suggest that the French Mandate did not simply create sectarianism. But rather, it actually transformed communal identity into a hierarchy of governance which was based on differentiated political incorporation. Some communities were cultivated and selectively chosen to act as intermediaries and partners helping the French to stabilise the region and maintain control, while other groups such as the Sunni and Arab Nationalist populations were excluded, disciplined and marginalised. </w:t>
      </w:r>
      <w:r w:rsidR="00880052" w:rsidRPr="00880052">
        <w:rPr>
          <w:rFonts w:ascii="Times New Roman" w:eastAsia="Times New Roman" w:hAnsi="Times New Roman" w:cs="Times New Roman"/>
          <w:sz w:val="24"/>
          <w:szCs w:val="24"/>
          <w:lang w:eastAsia="en-GB"/>
        </w:rPr>
        <w:t>This institutional hierarchy would shape the divergent state trajectories of Syria and Lebanon examined in the following chapter.</w:t>
      </w:r>
    </w:p>
    <w:p w:rsidR="00D63A63" w:rsidRPr="00D63A63" w:rsidRDefault="00D63A63" w:rsidP="00E14104">
      <w:pPr>
        <w:spacing w:before="100" w:beforeAutospacing="1" w:after="100" w:afterAutospacing="1" w:line="240" w:lineRule="auto"/>
        <w:outlineLvl w:val="0"/>
        <w:rPr>
          <w:rFonts w:ascii="Times New Roman" w:eastAsia="Times New Roman" w:hAnsi="Times New Roman" w:cs="Times New Roman"/>
          <w:b/>
          <w:bCs/>
          <w:kern w:val="36"/>
          <w:sz w:val="24"/>
          <w:szCs w:val="24"/>
          <w:lang w:eastAsia="en-GB"/>
        </w:rPr>
      </w:pPr>
      <w:r w:rsidRPr="00D63A63">
        <w:rPr>
          <w:rFonts w:ascii="Times New Roman" w:eastAsia="Times New Roman" w:hAnsi="Times New Roman" w:cs="Times New Roman"/>
          <w:b/>
          <w:bCs/>
          <w:kern w:val="36"/>
          <w:sz w:val="24"/>
          <w:szCs w:val="24"/>
          <w:lang w:eastAsia="en-GB"/>
        </w:rPr>
        <w:t>Chapter 2: Divergent State Formation in Syria and Lebanon under the French Mandate</w:t>
      </w:r>
    </w:p>
    <w:p w:rsidR="00D63A63" w:rsidRPr="00D63A63" w:rsidRDefault="00D63A63" w:rsidP="00E14104">
      <w:pPr>
        <w:spacing w:before="100" w:beforeAutospacing="1" w:after="100" w:afterAutospacing="1" w:line="240" w:lineRule="auto"/>
        <w:outlineLvl w:val="1"/>
        <w:rPr>
          <w:rFonts w:ascii="Times New Roman" w:eastAsia="Times New Roman" w:hAnsi="Times New Roman" w:cs="Times New Roman"/>
          <w:b/>
          <w:bCs/>
          <w:sz w:val="24"/>
          <w:szCs w:val="24"/>
          <w:lang w:eastAsia="en-GB"/>
        </w:rPr>
      </w:pPr>
      <w:r w:rsidRPr="00D63A63">
        <w:rPr>
          <w:rFonts w:ascii="Times New Roman" w:eastAsia="Times New Roman" w:hAnsi="Times New Roman" w:cs="Times New Roman"/>
          <w:b/>
          <w:bCs/>
          <w:sz w:val="24"/>
          <w:szCs w:val="24"/>
          <w:lang w:eastAsia="en-GB"/>
        </w:rPr>
        <w:lastRenderedPageBreak/>
        <w:t>1. Introduction: Shared Colonial Logic, Divergent Outcomes</w:t>
      </w:r>
    </w:p>
    <w:p w:rsidR="008E20C6" w:rsidRDefault="00B402CD" w:rsidP="00E14104">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Building on the previous chapter’s argument that the French Mandate transformed communal distinctions into hierarchical systems of political incorporation, this chapter examines how that logic produced two distinctly different state trajectories in Syria and Lebanon. </w:t>
      </w:r>
      <w:r w:rsidR="006A4539">
        <w:rPr>
          <w:rFonts w:ascii="Times New Roman" w:eastAsia="Times New Roman" w:hAnsi="Times New Roman" w:cs="Times New Roman"/>
          <w:sz w:val="24"/>
          <w:szCs w:val="24"/>
          <w:lang w:eastAsia="en-GB"/>
        </w:rPr>
        <w:t>Instead of treating both countries as completely different cases, this chapter argues that both emerged from the same Mandate framework of communal classification and differentiated incorporation. However, this framework was not implemented evenly. In Lebanon, sectarian hierarchy became formally institutionalised through a constitutional power-sharing system. Conversely, in Syria, sectarian hierarchy was more indirect, and operated through exclusion, military recruitment, and authoritarian centralisation. As Philip Khoury argues, French authorities followed a strategy that ‘courted potentially Francophile minorities’ while damaging national cohesion and unity.</w:t>
      </w:r>
      <w:r w:rsidR="00A92D57">
        <w:rPr>
          <w:rStyle w:val="FootnoteReference"/>
          <w:rFonts w:ascii="Times New Roman" w:eastAsia="Times New Roman" w:hAnsi="Times New Roman" w:cs="Times New Roman"/>
          <w:sz w:val="24"/>
          <w:szCs w:val="24"/>
          <w:lang w:eastAsia="en-GB"/>
        </w:rPr>
        <w:footnoteReference w:id="52"/>
      </w:r>
      <w:r w:rsidR="006A4539">
        <w:rPr>
          <w:rFonts w:ascii="Times New Roman" w:eastAsia="Times New Roman" w:hAnsi="Times New Roman" w:cs="Times New Roman"/>
          <w:sz w:val="24"/>
          <w:szCs w:val="24"/>
          <w:lang w:eastAsia="en-GB"/>
        </w:rPr>
        <w:t xml:space="preserve"> This resulted in not a single sectarian model, but rather, produced different institutional expressions of the same colonial thinking: governance through differentiated communal incorporation. </w:t>
      </w:r>
    </w:p>
    <w:p w:rsidR="00D63A63" w:rsidRPr="00A92D57" w:rsidRDefault="00D63A63" w:rsidP="00A92D57">
      <w:pPr>
        <w:tabs>
          <w:tab w:val="left" w:pos="1440"/>
        </w:tabs>
        <w:spacing w:before="100" w:beforeAutospacing="1" w:after="100" w:afterAutospacing="1" w:line="240" w:lineRule="auto"/>
        <w:rPr>
          <w:rFonts w:ascii="Times New Roman" w:eastAsia="Times New Roman" w:hAnsi="Times New Roman" w:cs="Times New Roman"/>
          <w:sz w:val="24"/>
          <w:szCs w:val="24"/>
          <w:lang w:eastAsia="en-GB"/>
        </w:rPr>
      </w:pPr>
      <w:r w:rsidRPr="00D63A63">
        <w:rPr>
          <w:rFonts w:ascii="Times New Roman" w:eastAsia="Times New Roman" w:hAnsi="Times New Roman" w:cs="Times New Roman"/>
          <w:b/>
          <w:bCs/>
          <w:sz w:val="24"/>
          <w:szCs w:val="24"/>
          <w:lang w:eastAsia="en-GB"/>
        </w:rPr>
        <w:t>2. Syria: Fragmentation, Exclusion, and Indirect Sectarianisation</w:t>
      </w:r>
    </w:p>
    <w:p w:rsidR="00A92D57" w:rsidRDefault="00A92D57" w:rsidP="00E14104">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 Syria, French rule depended heavily on fragmentation and the exclusion of nationalist urban elites. Michael Provence notes that French authorities viewed Damascus, Aleppo, and Hama as ‘hotbeds of ant</w:t>
      </w:r>
      <w:r w:rsidR="00BE6D57">
        <w:rPr>
          <w:rFonts w:ascii="Times New Roman" w:eastAsia="Times New Roman" w:hAnsi="Times New Roman" w:cs="Times New Roman"/>
          <w:sz w:val="24"/>
          <w:szCs w:val="24"/>
          <w:lang w:eastAsia="en-GB"/>
        </w:rPr>
        <w:t>i-</w:t>
      </w:r>
      <w:r>
        <w:rPr>
          <w:rFonts w:ascii="Times New Roman" w:eastAsia="Times New Roman" w:hAnsi="Times New Roman" w:cs="Times New Roman"/>
          <w:sz w:val="24"/>
          <w:szCs w:val="24"/>
          <w:lang w:eastAsia="en-GB"/>
        </w:rPr>
        <w:t>colonial</w:t>
      </w:r>
      <w:r w:rsidR="00A74490">
        <w:rPr>
          <w:rFonts w:ascii="Times New Roman" w:eastAsia="Times New Roman" w:hAnsi="Times New Roman" w:cs="Times New Roman"/>
          <w:sz w:val="24"/>
          <w:szCs w:val="24"/>
          <w:lang w:eastAsia="en-GB"/>
        </w:rPr>
        <w:t xml:space="preserve"> nationalist resistance</w:t>
      </w:r>
      <w:r>
        <w:rPr>
          <w:rFonts w:ascii="Times New Roman" w:eastAsia="Times New Roman" w:hAnsi="Times New Roman" w:cs="Times New Roman"/>
          <w:sz w:val="24"/>
          <w:szCs w:val="24"/>
          <w:lang w:eastAsia="en-GB"/>
        </w:rPr>
        <w:t>’</w:t>
      </w:r>
      <w:r w:rsidR="00A74490">
        <w:rPr>
          <w:rFonts w:ascii="Times New Roman" w:eastAsia="Times New Roman" w:hAnsi="Times New Roman" w:cs="Times New Roman"/>
          <w:sz w:val="24"/>
          <w:szCs w:val="24"/>
          <w:lang w:eastAsia="en-GB"/>
        </w:rPr>
        <w:t xml:space="preserve"> and therefore denied their elites any worthwhile participation in governance.</w:t>
      </w:r>
      <w:r w:rsidR="00A74490">
        <w:rPr>
          <w:rStyle w:val="FootnoteReference"/>
          <w:rFonts w:ascii="Times New Roman" w:eastAsia="Times New Roman" w:hAnsi="Times New Roman" w:cs="Times New Roman"/>
          <w:sz w:val="24"/>
          <w:szCs w:val="24"/>
          <w:lang w:eastAsia="en-GB"/>
        </w:rPr>
        <w:footnoteReference w:id="53"/>
      </w:r>
      <w:r w:rsidR="00A74490">
        <w:rPr>
          <w:rFonts w:ascii="Times New Roman" w:eastAsia="Times New Roman" w:hAnsi="Times New Roman" w:cs="Times New Roman"/>
          <w:sz w:val="24"/>
          <w:szCs w:val="24"/>
          <w:lang w:eastAsia="en-GB"/>
        </w:rPr>
        <w:t xml:space="preserve"> </w:t>
      </w:r>
      <w:r w:rsidR="000E21C9">
        <w:rPr>
          <w:rFonts w:ascii="Times New Roman" w:eastAsia="Times New Roman" w:hAnsi="Times New Roman" w:cs="Times New Roman"/>
          <w:sz w:val="24"/>
          <w:szCs w:val="24"/>
          <w:lang w:eastAsia="en-GB"/>
        </w:rPr>
        <w:t>This exclusion was extremely widespread within the Nationalist and Sunni communities. It represented a wider colonial strategy of reorganising political authority away from urban Sunni and Nationalist centres, and towards alternative intermediaries. Nadine Meouchy similarly argues that ‘minorities became the instrument of divide and rule.’</w:t>
      </w:r>
      <w:r w:rsidR="000E21C9">
        <w:rPr>
          <w:rStyle w:val="FootnoteReference"/>
          <w:rFonts w:ascii="Times New Roman" w:eastAsia="Times New Roman" w:hAnsi="Times New Roman" w:cs="Times New Roman"/>
          <w:sz w:val="24"/>
          <w:szCs w:val="24"/>
          <w:lang w:eastAsia="en-GB"/>
        </w:rPr>
        <w:footnoteReference w:id="54"/>
      </w:r>
      <w:r w:rsidR="000E21C9">
        <w:rPr>
          <w:rFonts w:ascii="Times New Roman" w:eastAsia="Times New Roman" w:hAnsi="Times New Roman" w:cs="Times New Roman"/>
          <w:sz w:val="24"/>
          <w:szCs w:val="24"/>
          <w:lang w:eastAsia="en-GB"/>
        </w:rPr>
        <w:t xml:space="preserve"> </w:t>
      </w:r>
    </w:p>
    <w:p w:rsidR="006E671B" w:rsidRDefault="00102455" w:rsidP="00E14104">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Analysis of primary source material, specifically, demographic evidence as observed earlier, makes the territorial dimension to this strategy </w:t>
      </w:r>
      <w:r w:rsidR="00047B71">
        <w:rPr>
          <w:rFonts w:ascii="Times New Roman" w:eastAsia="Times New Roman" w:hAnsi="Times New Roman" w:cs="Times New Roman"/>
          <w:sz w:val="24"/>
          <w:szCs w:val="24"/>
          <w:lang w:eastAsia="en-GB"/>
        </w:rPr>
        <w:t xml:space="preserve">visible. Kerr and Larkin’s reproduced map of coastal Syria shows that the coastal region remained religiously mixed during the Mandate period. It shows substantial Sunni and Christian populations alongside </w:t>
      </w:r>
      <w:r w:rsidR="006E671B">
        <w:rPr>
          <w:rFonts w:ascii="Times New Roman" w:eastAsia="Times New Roman" w:hAnsi="Times New Roman" w:cs="Times New Roman"/>
          <w:sz w:val="24"/>
          <w:szCs w:val="24"/>
          <w:lang w:eastAsia="en-GB"/>
        </w:rPr>
        <w:t xml:space="preserve">the </w:t>
      </w:r>
      <w:r w:rsidR="00E0210F">
        <w:rPr>
          <w:rFonts w:ascii="Times New Roman" w:eastAsia="Times New Roman" w:hAnsi="Times New Roman" w:cs="Times New Roman"/>
          <w:sz w:val="24"/>
          <w:szCs w:val="24"/>
          <w:lang w:eastAsia="en-GB"/>
        </w:rPr>
        <w:t>Alawaite</w:t>
      </w:r>
      <w:r w:rsidR="00370836">
        <w:rPr>
          <w:rFonts w:ascii="Times New Roman" w:eastAsia="Times New Roman" w:hAnsi="Times New Roman" w:cs="Times New Roman"/>
          <w:sz w:val="24"/>
          <w:szCs w:val="24"/>
          <w:lang w:eastAsia="en-GB"/>
        </w:rPr>
        <w:t>s</w:t>
      </w:r>
      <w:r w:rsidR="00E0210F">
        <w:rPr>
          <w:rFonts w:ascii="Times New Roman" w:eastAsia="Times New Roman" w:hAnsi="Times New Roman" w:cs="Times New Roman"/>
          <w:sz w:val="24"/>
          <w:szCs w:val="24"/>
          <w:lang w:eastAsia="en-GB"/>
        </w:rPr>
        <w:t>, visible in f</w:t>
      </w:r>
      <w:r w:rsidR="0091604E">
        <w:rPr>
          <w:rFonts w:ascii="Times New Roman" w:eastAsia="Times New Roman" w:hAnsi="Times New Roman" w:cs="Times New Roman"/>
          <w:sz w:val="24"/>
          <w:szCs w:val="24"/>
          <w:lang w:eastAsia="en-GB"/>
        </w:rPr>
        <w:t xml:space="preserve">igure 6 below. </w:t>
      </w:r>
      <w:r w:rsidR="00047B71">
        <w:rPr>
          <w:rFonts w:ascii="Times New Roman" w:eastAsia="Times New Roman" w:hAnsi="Times New Roman" w:cs="Times New Roman"/>
          <w:sz w:val="24"/>
          <w:szCs w:val="24"/>
          <w:lang w:eastAsia="en-GB"/>
        </w:rPr>
        <w:t xml:space="preserve"> </w:t>
      </w:r>
    </w:p>
    <w:p w:rsidR="007A5864" w:rsidRDefault="006E671B" w:rsidP="00E14104">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lastRenderedPageBreak/>
        <w:drawing>
          <wp:inline distT="0" distB="0" distL="0" distR="0">
            <wp:extent cx="2627168" cy="4828869"/>
            <wp:effectExtent l="19050" t="0" r="1732" b="0"/>
            <wp:docPr id="122" name="Picture 122" descr="C:\Users\Ali\AppData\Local\Microsoft\Windows\INetCache\Content.Word\100011026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Users\Ali\AppData\Local\Microsoft\Windows\INetCache\Content.Word\1000110262 (1).jpg"/>
                    <pic:cNvPicPr>
                      <a:picLocks noChangeAspect="1" noChangeArrowheads="1"/>
                    </pic:cNvPicPr>
                  </pic:nvPicPr>
                  <pic:blipFill>
                    <a:blip r:embed="rId14" cstate="print"/>
                    <a:srcRect/>
                    <a:stretch>
                      <a:fillRect/>
                    </a:stretch>
                  </pic:blipFill>
                  <pic:spPr bwMode="auto">
                    <a:xfrm>
                      <a:off x="0" y="0"/>
                      <a:ext cx="2627043" cy="4828639"/>
                    </a:xfrm>
                    <a:prstGeom prst="rect">
                      <a:avLst/>
                    </a:prstGeom>
                    <a:noFill/>
                    <a:ln w="9525">
                      <a:noFill/>
                      <a:miter lim="800000"/>
                      <a:headEnd/>
                      <a:tailEnd/>
                    </a:ln>
                  </pic:spPr>
                </pic:pic>
              </a:graphicData>
            </a:graphic>
          </wp:inline>
        </w:drawing>
      </w:r>
    </w:p>
    <w:p w:rsidR="006E671B" w:rsidRPr="007A5864" w:rsidRDefault="006E671B" w:rsidP="00E14104">
      <w:pPr>
        <w:spacing w:before="100" w:beforeAutospacing="1" w:after="100" w:afterAutospacing="1" w:line="240" w:lineRule="auto"/>
        <w:rPr>
          <w:rFonts w:ascii="Times New Roman" w:eastAsia="Times New Roman" w:hAnsi="Times New Roman" w:cs="Times New Roman"/>
          <w:sz w:val="24"/>
          <w:szCs w:val="24"/>
          <w:lang w:eastAsia="en-GB"/>
        </w:rPr>
      </w:pPr>
      <w:r w:rsidRPr="006E671B">
        <w:rPr>
          <w:rFonts w:ascii="Times New Roman" w:eastAsia="Times New Roman" w:hAnsi="Times New Roman" w:cs="Times New Roman"/>
          <w:sz w:val="20"/>
          <w:szCs w:val="20"/>
          <w:lang w:eastAsia="en-GB"/>
        </w:rPr>
        <w:t xml:space="preserve">Figure </w:t>
      </w:r>
      <w:r w:rsidR="0091604E">
        <w:rPr>
          <w:rFonts w:ascii="Times New Roman" w:eastAsia="Times New Roman" w:hAnsi="Times New Roman" w:cs="Times New Roman"/>
          <w:sz w:val="20"/>
          <w:szCs w:val="20"/>
          <w:lang w:eastAsia="en-GB"/>
        </w:rPr>
        <w:t>6</w:t>
      </w:r>
      <w:r w:rsidRPr="006E671B">
        <w:rPr>
          <w:rFonts w:ascii="Times New Roman" w:eastAsia="Times New Roman" w:hAnsi="Times New Roman" w:cs="Times New Roman"/>
          <w:sz w:val="20"/>
          <w:szCs w:val="20"/>
          <w:lang w:eastAsia="en-GB"/>
        </w:rPr>
        <w:t>: Map of The Alawite state from 1920-36, showing mixed populations on the coast.</w:t>
      </w:r>
      <w:r w:rsidR="00CD45FF">
        <w:rPr>
          <w:rStyle w:val="FootnoteReference"/>
          <w:rFonts w:ascii="Times New Roman" w:eastAsia="Times New Roman" w:hAnsi="Times New Roman" w:cs="Times New Roman"/>
          <w:sz w:val="20"/>
          <w:szCs w:val="20"/>
          <w:lang w:eastAsia="en-GB"/>
        </w:rPr>
        <w:footnoteReference w:id="55"/>
      </w:r>
    </w:p>
    <w:p w:rsidR="00D63A63" w:rsidRPr="00D63A63" w:rsidRDefault="0091604E" w:rsidP="00E14104">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This source is valuable because it</w:t>
      </w:r>
      <w:r w:rsidR="00D63A63" w:rsidRPr="00D63A63">
        <w:rPr>
          <w:rFonts w:ascii="Times New Roman" w:eastAsia="Times New Roman" w:hAnsi="Times New Roman" w:cs="Times New Roman"/>
          <w:sz w:val="24"/>
          <w:szCs w:val="24"/>
          <w:lang w:eastAsia="en-GB"/>
        </w:rPr>
        <w:t xml:space="preserve"> challenge</w:t>
      </w:r>
      <w:r>
        <w:rPr>
          <w:rFonts w:ascii="Times New Roman" w:eastAsia="Times New Roman" w:hAnsi="Times New Roman" w:cs="Times New Roman"/>
          <w:sz w:val="24"/>
          <w:szCs w:val="24"/>
          <w:lang w:eastAsia="en-GB"/>
        </w:rPr>
        <w:t>s</w:t>
      </w:r>
      <w:r w:rsidR="00D63A63" w:rsidRPr="00D63A63">
        <w:rPr>
          <w:rFonts w:ascii="Times New Roman" w:eastAsia="Times New Roman" w:hAnsi="Times New Roman" w:cs="Times New Roman"/>
          <w:sz w:val="24"/>
          <w:szCs w:val="24"/>
          <w:lang w:eastAsia="en-GB"/>
        </w:rPr>
        <w:t xml:space="preserve"> the assumption that French territorial divisions merely reflected demo</w:t>
      </w:r>
      <w:r>
        <w:rPr>
          <w:rFonts w:ascii="Times New Roman" w:eastAsia="Times New Roman" w:hAnsi="Times New Roman" w:cs="Times New Roman"/>
          <w:sz w:val="24"/>
          <w:szCs w:val="24"/>
          <w:lang w:eastAsia="en-GB"/>
        </w:rPr>
        <w:t>graphic realities. Instead, it</w:t>
      </w:r>
      <w:r w:rsidR="00D63A63" w:rsidRPr="00D63A63">
        <w:rPr>
          <w:rFonts w:ascii="Times New Roman" w:eastAsia="Times New Roman" w:hAnsi="Times New Roman" w:cs="Times New Roman"/>
          <w:sz w:val="24"/>
          <w:szCs w:val="24"/>
          <w:lang w:eastAsia="en-GB"/>
        </w:rPr>
        <w:t xml:space="preserve"> suggest</w:t>
      </w:r>
      <w:r>
        <w:rPr>
          <w:rFonts w:ascii="Times New Roman" w:eastAsia="Times New Roman" w:hAnsi="Times New Roman" w:cs="Times New Roman"/>
          <w:sz w:val="24"/>
          <w:szCs w:val="24"/>
          <w:lang w:eastAsia="en-GB"/>
        </w:rPr>
        <w:t>s</w:t>
      </w:r>
      <w:r w:rsidR="00D63A63" w:rsidRPr="00D63A63">
        <w:rPr>
          <w:rFonts w:ascii="Times New Roman" w:eastAsia="Times New Roman" w:hAnsi="Times New Roman" w:cs="Times New Roman"/>
          <w:sz w:val="24"/>
          <w:szCs w:val="24"/>
          <w:lang w:eastAsia="en-GB"/>
        </w:rPr>
        <w:t xml:space="preserve"> that the Mandate politically privileged certain communal identities within strategically important </w:t>
      </w:r>
      <w:r>
        <w:rPr>
          <w:rFonts w:ascii="Times New Roman" w:eastAsia="Times New Roman" w:hAnsi="Times New Roman" w:cs="Times New Roman"/>
          <w:sz w:val="24"/>
          <w:szCs w:val="24"/>
          <w:lang w:eastAsia="en-GB"/>
        </w:rPr>
        <w:t xml:space="preserve">and often diverse </w:t>
      </w:r>
      <w:r w:rsidR="00D63A63" w:rsidRPr="00D63A63">
        <w:rPr>
          <w:rFonts w:ascii="Times New Roman" w:eastAsia="Times New Roman" w:hAnsi="Times New Roman" w:cs="Times New Roman"/>
          <w:sz w:val="24"/>
          <w:szCs w:val="24"/>
          <w:lang w:eastAsia="en-GB"/>
        </w:rPr>
        <w:t>regions</w:t>
      </w:r>
      <w:r>
        <w:rPr>
          <w:rFonts w:ascii="Times New Roman" w:eastAsia="Times New Roman" w:hAnsi="Times New Roman" w:cs="Times New Roman"/>
          <w:sz w:val="24"/>
          <w:szCs w:val="24"/>
          <w:lang w:eastAsia="en-GB"/>
        </w:rPr>
        <w:t>. However, the source also has</w:t>
      </w:r>
      <w:r w:rsidR="00D63A63" w:rsidRPr="00D63A63">
        <w:rPr>
          <w:rFonts w:ascii="Times New Roman" w:eastAsia="Times New Roman" w:hAnsi="Times New Roman" w:cs="Times New Roman"/>
          <w:sz w:val="24"/>
          <w:szCs w:val="24"/>
          <w:lang w:eastAsia="en-GB"/>
        </w:rPr>
        <w:t xml:space="preserve"> limitations. Demographic data a</w:t>
      </w:r>
      <w:r w:rsidR="007D482E">
        <w:rPr>
          <w:rFonts w:ascii="Times New Roman" w:eastAsia="Times New Roman" w:hAnsi="Times New Roman" w:cs="Times New Roman"/>
          <w:sz w:val="24"/>
          <w:szCs w:val="24"/>
          <w:lang w:eastAsia="en-GB"/>
        </w:rPr>
        <w:t>lone cannot prove the idea of deliberate colonial engineering</w:t>
      </w:r>
      <w:r w:rsidR="00D63A63" w:rsidRPr="00D63A63">
        <w:rPr>
          <w:rFonts w:ascii="Times New Roman" w:eastAsia="Times New Roman" w:hAnsi="Times New Roman" w:cs="Times New Roman"/>
          <w:sz w:val="24"/>
          <w:szCs w:val="24"/>
          <w:lang w:eastAsia="en-GB"/>
        </w:rPr>
        <w:t>, and urban statistics may n</w:t>
      </w:r>
      <w:r w:rsidR="007D482E">
        <w:rPr>
          <w:rFonts w:ascii="Times New Roman" w:eastAsia="Times New Roman" w:hAnsi="Times New Roman" w:cs="Times New Roman"/>
          <w:sz w:val="24"/>
          <w:szCs w:val="24"/>
          <w:lang w:eastAsia="en-GB"/>
        </w:rPr>
        <w:t>ot fully reflect the real rural picture</w:t>
      </w:r>
      <w:r w:rsidR="00D63A63" w:rsidRPr="00D63A63">
        <w:rPr>
          <w:rFonts w:ascii="Times New Roman" w:eastAsia="Times New Roman" w:hAnsi="Times New Roman" w:cs="Times New Roman"/>
          <w:sz w:val="24"/>
          <w:szCs w:val="24"/>
          <w:lang w:eastAsia="en-GB"/>
        </w:rPr>
        <w:t>. Nevertheless, when read alongside Fr</w:t>
      </w:r>
      <w:r>
        <w:rPr>
          <w:rFonts w:ascii="Times New Roman" w:eastAsia="Times New Roman" w:hAnsi="Times New Roman" w:cs="Times New Roman"/>
          <w:sz w:val="24"/>
          <w:szCs w:val="24"/>
          <w:lang w:eastAsia="en-GB"/>
        </w:rPr>
        <w:t xml:space="preserve">ench administrative policy, this demographic source </w:t>
      </w:r>
      <w:r w:rsidR="00D63A63" w:rsidRPr="00D63A63">
        <w:rPr>
          <w:rFonts w:ascii="Times New Roman" w:eastAsia="Times New Roman" w:hAnsi="Times New Roman" w:cs="Times New Roman"/>
          <w:sz w:val="24"/>
          <w:szCs w:val="24"/>
          <w:lang w:eastAsia="en-GB"/>
        </w:rPr>
        <w:t>strongly support</w:t>
      </w:r>
      <w:r>
        <w:rPr>
          <w:rFonts w:ascii="Times New Roman" w:eastAsia="Times New Roman" w:hAnsi="Times New Roman" w:cs="Times New Roman"/>
          <w:sz w:val="24"/>
          <w:szCs w:val="24"/>
          <w:lang w:eastAsia="en-GB"/>
        </w:rPr>
        <w:t>s</w:t>
      </w:r>
      <w:r w:rsidR="00D63A63" w:rsidRPr="00D63A63">
        <w:rPr>
          <w:rFonts w:ascii="Times New Roman" w:eastAsia="Times New Roman" w:hAnsi="Times New Roman" w:cs="Times New Roman"/>
          <w:sz w:val="24"/>
          <w:szCs w:val="24"/>
          <w:lang w:eastAsia="en-GB"/>
        </w:rPr>
        <w:t xml:space="preserve"> the argument that territorial division was politically selective rather than neutral.</w:t>
      </w:r>
    </w:p>
    <w:p w:rsidR="00BD5D71" w:rsidRDefault="00BD5D71" w:rsidP="00E14104">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French Mandate governance also relied heavily on coercion</w:t>
      </w:r>
      <w:r w:rsidR="00D63A63" w:rsidRPr="00D63A63">
        <w:rPr>
          <w:rFonts w:ascii="Times New Roman" w:eastAsia="Times New Roman" w:hAnsi="Times New Roman" w:cs="Times New Roman"/>
          <w:sz w:val="24"/>
          <w:szCs w:val="24"/>
          <w:lang w:eastAsia="en-GB"/>
        </w:rPr>
        <w:t xml:space="preserve">. </w:t>
      </w:r>
      <w:r w:rsidR="00E0210F">
        <w:rPr>
          <w:rFonts w:ascii="Times New Roman" w:eastAsia="Times New Roman" w:hAnsi="Times New Roman" w:cs="Times New Roman"/>
          <w:sz w:val="24"/>
          <w:szCs w:val="24"/>
          <w:lang w:eastAsia="en-GB"/>
        </w:rPr>
        <w:t>The photo from figure 2</w:t>
      </w:r>
      <w:r w:rsidR="00F82BE6">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shows </w:t>
      </w:r>
      <w:r w:rsidR="00D63A63" w:rsidRPr="00D63A63">
        <w:rPr>
          <w:rFonts w:ascii="Times New Roman" w:eastAsia="Times New Roman" w:hAnsi="Times New Roman" w:cs="Times New Roman"/>
          <w:sz w:val="24"/>
          <w:szCs w:val="24"/>
          <w:lang w:eastAsia="en-GB"/>
        </w:rPr>
        <w:t xml:space="preserve">three Syrian resistance fighters </w:t>
      </w:r>
      <w:r>
        <w:rPr>
          <w:rFonts w:ascii="Times New Roman" w:eastAsia="Times New Roman" w:hAnsi="Times New Roman" w:cs="Times New Roman"/>
          <w:sz w:val="24"/>
          <w:szCs w:val="24"/>
          <w:lang w:eastAsia="en-GB"/>
        </w:rPr>
        <w:t>publicly hanged</w:t>
      </w:r>
      <w:r w:rsidR="00D63A63" w:rsidRPr="00D63A63">
        <w:rPr>
          <w:rFonts w:ascii="Times New Roman" w:eastAsia="Times New Roman" w:hAnsi="Times New Roman" w:cs="Times New Roman"/>
          <w:sz w:val="24"/>
          <w:szCs w:val="24"/>
          <w:lang w:eastAsia="en-GB"/>
        </w:rPr>
        <w:t xml:space="preserve"> during the Great Syrian Revo</w:t>
      </w:r>
      <w:r w:rsidR="00F82BE6">
        <w:rPr>
          <w:rFonts w:ascii="Times New Roman" w:eastAsia="Times New Roman" w:hAnsi="Times New Roman" w:cs="Times New Roman"/>
          <w:sz w:val="24"/>
          <w:szCs w:val="24"/>
          <w:lang w:eastAsia="en-GB"/>
        </w:rPr>
        <w:t>lt. Archival evidence like this illustrates</w:t>
      </w:r>
      <w:r w:rsidR="00D63A63" w:rsidRPr="00D63A63">
        <w:rPr>
          <w:rFonts w:ascii="Times New Roman" w:eastAsia="Times New Roman" w:hAnsi="Times New Roman" w:cs="Times New Roman"/>
          <w:sz w:val="24"/>
          <w:szCs w:val="24"/>
          <w:lang w:eastAsia="en-GB"/>
        </w:rPr>
        <w:t xml:space="preserve"> how colonial authority depended upon public vio</w:t>
      </w:r>
      <w:r w:rsidR="00F82BE6">
        <w:rPr>
          <w:rFonts w:ascii="Times New Roman" w:eastAsia="Times New Roman" w:hAnsi="Times New Roman" w:cs="Times New Roman"/>
          <w:sz w:val="24"/>
          <w:szCs w:val="24"/>
          <w:lang w:eastAsia="en-GB"/>
        </w:rPr>
        <w:t xml:space="preserve">lence as well as </w:t>
      </w:r>
      <w:r w:rsidR="00D032BE">
        <w:rPr>
          <w:rFonts w:ascii="Times New Roman" w:eastAsia="Times New Roman" w:hAnsi="Times New Roman" w:cs="Times New Roman"/>
          <w:sz w:val="24"/>
          <w:szCs w:val="24"/>
          <w:lang w:eastAsia="en-GB"/>
        </w:rPr>
        <w:t>hierarchical administrative structures and incorporation</w:t>
      </w:r>
      <w:r w:rsidR="00F82BE6">
        <w:rPr>
          <w:rFonts w:ascii="Times New Roman" w:eastAsia="Times New Roman" w:hAnsi="Times New Roman" w:cs="Times New Roman"/>
          <w:sz w:val="24"/>
          <w:szCs w:val="24"/>
          <w:lang w:eastAsia="en-GB"/>
        </w:rPr>
        <w:t xml:space="preserve"> to maintain its grip on power. </w:t>
      </w:r>
      <w:r w:rsidR="00D032BE">
        <w:rPr>
          <w:rFonts w:ascii="Times New Roman" w:eastAsia="Times New Roman" w:hAnsi="Times New Roman" w:cs="Times New Roman"/>
          <w:sz w:val="24"/>
          <w:szCs w:val="24"/>
          <w:lang w:eastAsia="en-GB"/>
        </w:rPr>
        <w:t xml:space="preserve">However, again, it is a photo source which has its limitations as it captured an isolated moment and not an entire era. </w:t>
      </w:r>
      <w:r w:rsidR="00D63A63" w:rsidRPr="00D63A63">
        <w:rPr>
          <w:rFonts w:ascii="Times New Roman" w:eastAsia="Times New Roman" w:hAnsi="Times New Roman" w:cs="Times New Roman"/>
          <w:sz w:val="24"/>
          <w:szCs w:val="24"/>
          <w:lang w:eastAsia="en-GB"/>
        </w:rPr>
        <w:t>Even so, the image reinforces the argument that colonial governance in Syria operated through both fragmentation and discipline.</w:t>
      </w:r>
      <w:r w:rsidR="00370836">
        <w:rPr>
          <w:rFonts w:ascii="Times New Roman" w:eastAsia="Times New Roman" w:hAnsi="Times New Roman" w:cs="Times New Roman"/>
          <w:sz w:val="24"/>
          <w:szCs w:val="24"/>
          <w:lang w:eastAsia="en-GB"/>
        </w:rPr>
        <w:t xml:space="preserve"> As mentioned in chapter 1, nationalist opposition sources such as the letter attributed to Hasan al-Kharrat and </w:t>
      </w:r>
      <w:r w:rsidR="00370836">
        <w:rPr>
          <w:rFonts w:ascii="Times New Roman" w:eastAsia="Times New Roman" w:hAnsi="Times New Roman" w:cs="Times New Roman"/>
          <w:sz w:val="24"/>
          <w:szCs w:val="24"/>
          <w:lang w:eastAsia="en-GB"/>
        </w:rPr>
        <w:lastRenderedPageBreak/>
        <w:t>the revolutionary proclamation by Sultan al-Atrash, where he states they ‘separated the nation into religious sects and states,’ further reveal how Syrians felt about the French and how they viewed the fragmentation of their lands and th</w:t>
      </w:r>
      <w:r w:rsidR="004939E2">
        <w:rPr>
          <w:rFonts w:ascii="Times New Roman" w:eastAsia="Times New Roman" w:hAnsi="Times New Roman" w:cs="Times New Roman"/>
          <w:sz w:val="24"/>
          <w:szCs w:val="24"/>
          <w:lang w:eastAsia="en-GB"/>
        </w:rPr>
        <w:t>e sectarianisation being advanced.</w:t>
      </w:r>
      <w:r w:rsidR="00AE6E10">
        <w:rPr>
          <w:rStyle w:val="FootnoteReference"/>
          <w:rFonts w:ascii="Times New Roman" w:eastAsia="Times New Roman" w:hAnsi="Times New Roman" w:cs="Times New Roman"/>
          <w:sz w:val="24"/>
          <w:szCs w:val="24"/>
          <w:lang w:eastAsia="en-GB"/>
        </w:rPr>
        <w:footnoteReference w:id="56"/>
      </w:r>
      <w:r w:rsidR="004939E2">
        <w:rPr>
          <w:rFonts w:ascii="Times New Roman" w:eastAsia="Times New Roman" w:hAnsi="Times New Roman" w:cs="Times New Roman"/>
          <w:sz w:val="24"/>
          <w:szCs w:val="24"/>
          <w:lang w:eastAsia="en-GB"/>
        </w:rPr>
        <w:t xml:space="preserve"> These sources are an insightful window into the lived experiences of the lives of underprivileged and marginalised locals. </w:t>
      </w:r>
      <w:r w:rsidR="002A3054">
        <w:rPr>
          <w:rFonts w:ascii="Times New Roman" w:eastAsia="Times New Roman" w:hAnsi="Times New Roman" w:cs="Times New Roman"/>
          <w:sz w:val="24"/>
          <w:szCs w:val="24"/>
          <w:lang w:eastAsia="en-GB"/>
        </w:rPr>
        <w:t xml:space="preserve">Nevertheless, there may be an element of exaggeration or perhaps propaganda in both sources and therefore they need to be treated with caution. </w:t>
      </w:r>
    </w:p>
    <w:p w:rsidR="00D63A63" w:rsidRPr="00D63A63" w:rsidRDefault="002A3054" w:rsidP="00E14104">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Unlike Lebanon, Syria did not institutionalise formal confessional representation within parliament. Instead, sectarian hierarchy manifested itself through uneven recruitment within the military and key administrative positions, through selective alliances, and exclusionary governance practices. Mitchell’s concept of colonial ‘legibility’ is highly relevant here as he defines with clarity in one word how the French authorities attempted to make Syrian society governable a</w:t>
      </w:r>
      <w:r w:rsidR="00C65841">
        <w:rPr>
          <w:rFonts w:ascii="Times New Roman" w:eastAsia="Times New Roman" w:hAnsi="Times New Roman" w:cs="Times New Roman"/>
          <w:sz w:val="24"/>
          <w:szCs w:val="24"/>
          <w:lang w:eastAsia="en-GB"/>
        </w:rPr>
        <w:t xml:space="preserve"> through categorisation, classification, and territorial simplification.</w:t>
      </w:r>
      <w:r w:rsidR="00C65841">
        <w:rPr>
          <w:rStyle w:val="FootnoteReference"/>
          <w:rFonts w:ascii="Times New Roman" w:eastAsia="Times New Roman" w:hAnsi="Times New Roman" w:cs="Times New Roman"/>
          <w:sz w:val="24"/>
          <w:szCs w:val="24"/>
          <w:lang w:eastAsia="en-GB"/>
        </w:rPr>
        <w:footnoteReference w:id="57"/>
      </w:r>
      <w:r w:rsidR="00C65841">
        <w:rPr>
          <w:rFonts w:ascii="Times New Roman" w:eastAsia="Times New Roman" w:hAnsi="Times New Roman" w:cs="Times New Roman"/>
          <w:sz w:val="24"/>
          <w:szCs w:val="24"/>
          <w:lang w:eastAsia="en-GB"/>
        </w:rPr>
        <w:t xml:space="preserve"> However, caution again is necessary as he was writing within the context of the colonisation of Egypt. Having said that, Egypt and Syria and not too different, and have shared a similar history and where at one point under nationalist governments, became one county in the twentieth century. </w:t>
      </w:r>
      <w:r w:rsidR="00D63A63" w:rsidRPr="00D63A63">
        <w:rPr>
          <w:rFonts w:ascii="Times New Roman" w:eastAsia="Times New Roman" w:hAnsi="Times New Roman" w:cs="Times New Roman"/>
          <w:sz w:val="24"/>
          <w:szCs w:val="24"/>
          <w:lang w:eastAsia="en-GB"/>
        </w:rPr>
        <w:t>Thus, Syria’s trajectory reflects not the absence of sectarian governance, but its informalisation within a fragmented and increasingly authoritarian political structure.</w:t>
      </w:r>
    </w:p>
    <w:p w:rsidR="00D63A63" w:rsidRPr="00D63A63" w:rsidRDefault="00D63A63" w:rsidP="00E14104">
      <w:pPr>
        <w:spacing w:before="100" w:beforeAutospacing="1" w:after="100" w:afterAutospacing="1" w:line="240" w:lineRule="auto"/>
        <w:outlineLvl w:val="1"/>
        <w:rPr>
          <w:rFonts w:ascii="Times New Roman" w:eastAsia="Times New Roman" w:hAnsi="Times New Roman" w:cs="Times New Roman"/>
          <w:b/>
          <w:bCs/>
          <w:sz w:val="24"/>
          <w:szCs w:val="24"/>
          <w:lang w:eastAsia="en-GB"/>
        </w:rPr>
      </w:pPr>
      <w:r w:rsidRPr="00D63A63">
        <w:rPr>
          <w:rFonts w:ascii="Times New Roman" w:eastAsia="Times New Roman" w:hAnsi="Times New Roman" w:cs="Times New Roman"/>
          <w:b/>
          <w:bCs/>
          <w:sz w:val="24"/>
          <w:szCs w:val="24"/>
          <w:lang w:eastAsia="en-GB"/>
        </w:rPr>
        <w:t>3. Lebanon: Institutionalising Sectarian Hierarchy</w:t>
      </w:r>
    </w:p>
    <w:p w:rsidR="005345D0" w:rsidRDefault="00C65841" w:rsidP="00E14104">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 contrast to Syria, Lebanon represents the formal institutionalisation of the Mandate’s system of differentiated incorporation. Right from its inception as a modern nation</w:t>
      </w:r>
      <w:r w:rsidR="005251DF">
        <w:rPr>
          <w:rFonts w:ascii="Times New Roman" w:eastAsia="Times New Roman" w:hAnsi="Times New Roman" w:cs="Times New Roman"/>
          <w:sz w:val="24"/>
          <w:szCs w:val="24"/>
          <w:lang w:eastAsia="en-GB"/>
        </w:rPr>
        <w:t>-state</w:t>
      </w:r>
      <w:r>
        <w:rPr>
          <w:rFonts w:ascii="Times New Roman" w:eastAsia="Times New Roman" w:hAnsi="Times New Roman" w:cs="Times New Roman"/>
          <w:sz w:val="24"/>
          <w:szCs w:val="24"/>
          <w:lang w:eastAsia="en-GB"/>
        </w:rPr>
        <w:t>, in 1920, Greater Lebanon was organise</w:t>
      </w:r>
      <w:r w:rsidR="005251DF">
        <w:rPr>
          <w:rFonts w:ascii="Times New Roman" w:eastAsia="Times New Roman" w:hAnsi="Times New Roman" w:cs="Times New Roman"/>
          <w:sz w:val="24"/>
          <w:szCs w:val="24"/>
          <w:lang w:eastAsia="en-GB"/>
        </w:rPr>
        <w:t>d based around the idea that</w:t>
      </w:r>
      <w:r w:rsidR="00EF2923">
        <w:rPr>
          <w:rFonts w:ascii="Times New Roman" w:eastAsia="Times New Roman" w:hAnsi="Times New Roman" w:cs="Times New Roman"/>
          <w:sz w:val="24"/>
          <w:szCs w:val="24"/>
          <w:lang w:eastAsia="en-GB"/>
        </w:rPr>
        <w:t xml:space="preserve"> communal identity should guide, shape and structure political repres</w:t>
      </w:r>
      <w:r w:rsidR="005251DF">
        <w:rPr>
          <w:rFonts w:ascii="Times New Roman" w:eastAsia="Times New Roman" w:hAnsi="Times New Roman" w:cs="Times New Roman"/>
          <w:sz w:val="24"/>
          <w:szCs w:val="24"/>
          <w:lang w:eastAsia="en-GB"/>
        </w:rPr>
        <w:t>entation and access to state structures</w:t>
      </w:r>
      <w:r w:rsidR="00EF2923">
        <w:rPr>
          <w:rFonts w:ascii="Times New Roman" w:eastAsia="Times New Roman" w:hAnsi="Times New Roman" w:cs="Times New Roman"/>
          <w:sz w:val="24"/>
          <w:szCs w:val="24"/>
          <w:lang w:eastAsia="en-GB"/>
        </w:rPr>
        <w:t>.</w:t>
      </w:r>
      <w:r w:rsidR="000818CE">
        <w:rPr>
          <w:rFonts w:ascii="Times New Roman" w:eastAsia="Times New Roman" w:hAnsi="Times New Roman" w:cs="Times New Roman"/>
          <w:sz w:val="24"/>
          <w:szCs w:val="24"/>
          <w:lang w:eastAsia="en-GB"/>
        </w:rPr>
        <w:t xml:space="preserve"> </w:t>
      </w:r>
      <w:r w:rsidR="005251DF">
        <w:rPr>
          <w:rFonts w:ascii="Times New Roman" w:eastAsia="Times New Roman" w:hAnsi="Times New Roman" w:cs="Times New Roman"/>
          <w:sz w:val="24"/>
          <w:szCs w:val="24"/>
          <w:lang w:eastAsia="en-GB"/>
        </w:rPr>
        <w:t>A strong</w:t>
      </w:r>
      <w:r w:rsidR="00D63A63" w:rsidRPr="00D63A63">
        <w:rPr>
          <w:rFonts w:ascii="Times New Roman" w:eastAsia="Times New Roman" w:hAnsi="Times New Roman" w:cs="Times New Roman"/>
          <w:sz w:val="24"/>
          <w:szCs w:val="24"/>
          <w:lang w:eastAsia="en-GB"/>
        </w:rPr>
        <w:t xml:space="preserve"> primar</w:t>
      </w:r>
      <w:r w:rsidR="005251DF">
        <w:rPr>
          <w:rFonts w:ascii="Times New Roman" w:eastAsia="Times New Roman" w:hAnsi="Times New Roman" w:cs="Times New Roman"/>
          <w:sz w:val="24"/>
          <w:szCs w:val="24"/>
          <w:lang w:eastAsia="en-GB"/>
        </w:rPr>
        <w:t>y source showing this</w:t>
      </w:r>
      <w:r w:rsidR="00D63A63" w:rsidRPr="00D63A63">
        <w:rPr>
          <w:rFonts w:ascii="Times New Roman" w:eastAsia="Times New Roman" w:hAnsi="Times New Roman" w:cs="Times New Roman"/>
          <w:sz w:val="24"/>
          <w:szCs w:val="24"/>
          <w:lang w:eastAsia="en-GB"/>
        </w:rPr>
        <w:t xml:space="preserve"> is Article 24 of the Lebanese Constitution of 1926. The article states that parliamentary representation shou</w:t>
      </w:r>
      <w:r w:rsidR="000818CE">
        <w:rPr>
          <w:rFonts w:ascii="Times New Roman" w:eastAsia="Times New Roman" w:hAnsi="Times New Roman" w:cs="Times New Roman"/>
          <w:sz w:val="24"/>
          <w:szCs w:val="24"/>
          <w:lang w:eastAsia="en-GB"/>
        </w:rPr>
        <w:t>ld be distributed according to ‘</w:t>
      </w:r>
      <w:r w:rsidR="00D63A63" w:rsidRPr="00D63A63">
        <w:rPr>
          <w:rFonts w:ascii="Times New Roman" w:eastAsia="Times New Roman" w:hAnsi="Times New Roman" w:cs="Times New Roman"/>
          <w:sz w:val="24"/>
          <w:szCs w:val="24"/>
          <w:lang w:eastAsia="en-GB"/>
        </w:rPr>
        <w:t>equal representation</w:t>
      </w:r>
      <w:r w:rsidR="000818CE">
        <w:rPr>
          <w:rFonts w:ascii="Times New Roman" w:eastAsia="Times New Roman" w:hAnsi="Times New Roman" w:cs="Times New Roman"/>
          <w:sz w:val="24"/>
          <w:szCs w:val="24"/>
          <w:lang w:eastAsia="en-GB"/>
        </w:rPr>
        <w:t xml:space="preserve"> between Christians and Muslims’</w:t>
      </w:r>
      <w:r w:rsidR="00D63A63" w:rsidRPr="00D63A63">
        <w:rPr>
          <w:rFonts w:ascii="Times New Roman" w:eastAsia="Times New Roman" w:hAnsi="Times New Roman" w:cs="Times New Roman"/>
          <w:sz w:val="24"/>
          <w:szCs w:val="24"/>
          <w:lang w:eastAsia="en-GB"/>
        </w:rPr>
        <w:t xml:space="preserve"> and proportional representation among confessional groups.</w:t>
      </w:r>
      <w:r w:rsidR="005345D0">
        <w:rPr>
          <w:rStyle w:val="FootnoteReference"/>
          <w:rFonts w:ascii="Times New Roman" w:eastAsia="Times New Roman" w:hAnsi="Times New Roman" w:cs="Times New Roman"/>
          <w:sz w:val="24"/>
          <w:szCs w:val="24"/>
          <w:lang w:eastAsia="en-GB"/>
        </w:rPr>
        <w:footnoteReference w:id="58"/>
      </w:r>
    </w:p>
    <w:p w:rsidR="005345D0" w:rsidRDefault="007A5864" w:rsidP="00E14104">
      <w:pPr>
        <w:spacing w:before="100" w:beforeAutospacing="1" w:after="100" w:afterAutospacing="1" w:line="240" w:lineRule="auto"/>
        <w:rPr>
          <w:rFonts w:ascii="Times New Roman" w:eastAsia="Times New Roman" w:hAnsi="Times New Roman" w:cs="Times New Roman"/>
          <w:sz w:val="24"/>
          <w:szCs w:val="24"/>
          <w:lang w:eastAsia="en-GB"/>
        </w:rPr>
      </w:pPr>
      <w:r w:rsidRPr="004007F7">
        <w:rPr>
          <w:rFonts w:ascii="Times New Roman" w:eastAsia="Times New Roman" w:hAnsi="Times New Roman" w:cs="Times New Roman"/>
          <w:sz w:val="24"/>
          <w:szCs w:val="24"/>
          <w:lang w:eastAsia="en-GB"/>
        </w:rPr>
        <w:pict>
          <v:shape id="_x0000_i1028" type="#_x0000_t75" style="width:373.1pt;height:75.25pt">
            <v:imagedata r:id="rId15" o:title="article 24"/>
          </v:shape>
        </w:pict>
      </w:r>
    </w:p>
    <w:p w:rsidR="005345D0" w:rsidRPr="00CD45FF" w:rsidRDefault="005345D0" w:rsidP="00E14104">
      <w:pPr>
        <w:spacing w:before="100" w:beforeAutospacing="1" w:after="100" w:afterAutospacing="1" w:line="240" w:lineRule="auto"/>
        <w:rPr>
          <w:rFonts w:ascii="Times New Roman" w:eastAsia="Times New Roman" w:hAnsi="Times New Roman" w:cs="Times New Roman"/>
          <w:sz w:val="20"/>
          <w:szCs w:val="20"/>
          <w:lang w:eastAsia="en-GB"/>
        </w:rPr>
      </w:pPr>
      <w:r w:rsidRPr="00CD45FF">
        <w:rPr>
          <w:rFonts w:ascii="Times New Roman" w:eastAsia="Times New Roman" w:hAnsi="Times New Roman" w:cs="Times New Roman"/>
          <w:sz w:val="20"/>
          <w:szCs w:val="20"/>
          <w:lang w:eastAsia="en-GB"/>
        </w:rPr>
        <w:t>Figure 7: Article 24 from the Lebanese constitution of 1926.</w:t>
      </w:r>
      <w:r w:rsidR="006650F3" w:rsidRPr="00CD45FF">
        <w:rPr>
          <w:rStyle w:val="FootnoteReference"/>
          <w:rFonts w:ascii="Times New Roman" w:eastAsia="Times New Roman" w:hAnsi="Times New Roman" w:cs="Times New Roman"/>
          <w:sz w:val="20"/>
          <w:szCs w:val="20"/>
          <w:lang w:eastAsia="en-GB"/>
        </w:rPr>
        <w:footnoteReference w:id="59"/>
      </w:r>
    </w:p>
    <w:p w:rsidR="00533B83" w:rsidRDefault="00A90553" w:rsidP="00E14104">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This sources is central because it because clearly shows how sectarian identity was formally embedded within state institutions. Political representation became married in the most rigid way to communal affiliation, as opposed to universal citizenship. However, the source must also be analysed critically. Although it presents itself as a mechanism for balanced representation, it entrenches sectarian identity as the organising and foundational principle of </w:t>
      </w:r>
      <w:r>
        <w:rPr>
          <w:rFonts w:ascii="Times New Roman" w:eastAsia="Times New Roman" w:hAnsi="Times New Roman" w:cs="Times New Roman"/>
          <w:sz w:val="24"/>
          <w:szCs w:val="24"/>
          <w:lang w:eastAsia="en-GB"/>
        </w:rPr>
        <w:lastRenderedPageBreak/>
        <w:t xml:space="preserve">governance. </w:t>
      </w:r>
      <w:r w:rsidR="00533B83">
        <w:rPr>
          <w:rFonts w:ascii="Times New Roman" w:eastAsia="Times New Roman" w:hAnsi="Times New Roman" w:cs="Times New Roman"/>
          <w:sz w:val="24"/>
          <w:szCs w:val="24"/>
          <w:lang w:eastAsia="en-GB"/>
        </w:rPr>
        <w:t>In a TRT World News You Tube video source, scholar Ussama Makdisi describes the situation as ‘a single identity, where one’s sect defines one’s involvement in the public sphere and one’s ability to be appointed to office, to govern, to collect taxes and to punish.’</w:t>
      </w:r>
      <w:r w:rsidR="00323B98">
        <w:rPr>
          <w:rStyle w:val="FootnoteReference"/>
          <w:rFonts w:ascii="Times New Roman" w:eastAsia="Times New Roman" w:hAnsi="Times New Roman" w:cs="Times New Roman"/>
          <w:sz w:val="24"/>
          <w:szCs w:val="24"/>
          <w:lang w:eastAsia="en-GB"/>
        </w:rPr>
        <w:footnoteReference w:id="60"/>
      </w:r>
      <w:r w:rsidR="00533B83">
        <w:rPr>
          <w:rFonts w:ascii="Times New Roman" w:eastAsia="Times New Roman" w:hAnsi="Times New Roman" w:cs="Times New Roman"/>
          <w:sz w:val="24"/>
          <w:szCs w:val="24"/>
          <w:lang w:eastAsia="en-GB"/>
        </w:rPr>
        <w:t xml:space="preserve"> This quote as confusing as it sounds, defines the problematic nature of the setup since he refers to it as one identity when in fact there are four major identities competing for that one identity but at the same time are competing for their own individual identities, all sect based. This highlights the flaw within the system which since is constitutional, cannot be changed. However, although Makdisi is one of the foremost scholars on this topic, he is essentially being interviewed by a Turkish news channel which may have a political motive to </w:t>
      </w:r>
      <w:r w:rsidR="003E1696">
        <w:rPr>
          <w:rFonts w:ascii="Times New Roman" w:eastAsia="Times New Roman" w:hAnsi="Times New Roman" w:cs="Times New Roman"/>
          <w:sz w:val="24"/>
          <w:szCs w:val="24"/>
          <w:lang w:eastAsia="en-GB"/>
        </w:rPr>
        <w:t xml:space="preserve">identify flaws within the Lebanese confessional system. On the flip side, it is the national news channel of Turkey, and is quite professional in its coverage and reporting, except of course for when the narrative does not fit its national agenda. </w:t>
      </w:r>
    </w:p>
    <w:p w:rsidR="00794D84" w:rsidRDefault="00D06784" w:rsidP="00E14104">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However</w:t>
      </w:r>
      <w:r w:rsidR="00794D84">
        <w:rPr>
          <w:rFonts w:ascii="Times New Roman" w:eastAsia="Times New Roman" w:hAnsi="Times New Roman" w:cs="Times New Roman"/>
          <w:sz w:val="24"/>
          <w:szCs w:val="24"/>
          <w:lang w:eastAsia="en-GB"/>
        </w:rPr>
        <w:t>, Carol Hakim argues that the 1926 constitution ‘provided for a strong presidency and a parliament in which different religious communities were represented, each according to its size.’</w:t>
      </w:r>
      <w:r w:rsidR="00794D84">
        <w:rPr>
          <w:rStyle w:val="FootnoteReference"/>
          <w:rFonts w:ascii="Times New Roman" w:eastAsia="Times New Roman" w:hAnsi="Times New Roman" w:cs="Times New Roman"/>
          <w:sz w:val="24"/>
          <w:szCs w:val="24"/>
          <w:lang w:eastAsia="en-GB"/>
        </w:rPr>
        <w:footnoteReference w:id="61"/>
      </w:r>
      <w:r>
        <w:rPr>
          <w:rFonts w:ascii="Times New Roman" w:eastAsia="Times New Roman" w:hAnsi="Times New Roman" w:cs="Times New Roman"/>
          <w:sz w:val="24"/>
          <w:szCs w:val="24"/>
          <w:lang w:eastAsia="en-GB"/>
        </w:rPr>
        <w:t xml:space="preserve"> Therefore, t</w:t>
      </w:r>
      <w:r w:rsidR="00794D84">
        <w:rPr>
          <w:rFonts w:ascii="Times New Roman" w:eastAsia="Times New Roman" w:hAnsi="Times New Roman" w:cs="Times New Roman"/>
          <w:sz w:val="24"/>
          <w:szCs w:val="24"/>
          <w:lang w:eastAsia="en-GB"/>
        </w:rPr>
        <w:t xml:space="preserve">his marks a decisive shift from fluid communal relations to institutionalised confessionalism. </w:t>
      </w:r>
    </w:p>
    <w:p w:rsidR="00BC5571" w:rsidRDefault="00BC5571" w:rsidP="00E14104">
      <w:pPr>
        <w:spacing w:before="100" w:beforeAutospacing="1" w:after="100" w:afterAutospacing="1" w:line="240" w:lineRule="auto"/>
        <w:rPr>
          <w:rFonts w:ascii="Times New Roman" w:eastAsia="Times New Roman" w:hAnsi="Times New Roman" w:cs="Times New Roman"/>
          <w:sz w:val="24"/>
          <w:szCs w:val="24"/>
          <w:lang w:eastAsia="en-GB"/>
        </w:rPr>
      </w:pPr>
    </w:p>
    <w:p w:rsidR="00BC5571" w:rsidRDefault="00BC5571" w:rsidP="00E14104">
      <w:pPr>
        <w:spacing w:before="100" w:beforeAutospacing="1" w:after="100" w:afterAutospacing="1" w:line="240" w:lineRule="auto"/>
        <w:rPr>
          <w:rFonts w:ascii="Times New Roman" w:eastAsia="Times New Roman" w:hAnsi="Times New Roman" w:cs="Times New Roman"/>
          <w:sz w:val="24"/>
          <w:szCs w:val="24"/>
          <w:lang w:eastAsia="en-GB"/>
        </w:rPr>
      </w:pPr>
      <w:r>
        <w:rPr>
          <w:noProof/>
          <w:lang w:eastAsia="en-GB"/>
        </w:rPr>
        <w:drawing>
          <wp:inline distT="0" distB="0" distL="0" distR="0">
            <wp:extent cx="3278332" cy="4223009"/>
            <wp:effectExtent l="19050" t="0" r="0" b="0"/>
            <wp:docPr id="126" name="Picture 126" descr="https://www.arabamerica.com/wp-content/uploads/2024/05/temp-12-795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ttps://www.arabamerica.com/wp-content/uploads/2024/05/temp-12-795x1024.jpg"/>
                    <pic:cNvPicPr>
                      <a:picLocks noChangeAspect="1" noChangeArrowheads="1"/>
                    </pic:cNvPicPr>
                  </pic:nvPicPr>
                  <pic:blipFill>
                    <a:blip r:embed="rId16" cstate="print"/>
                    <a:srcRect/>
                    <a:stretch>
                      <a:fillRect/>
                    </a:stretch>
                  </pic:blipFill>
                  <pic:spPr bwMode="auto">
                    <a:xfrm>
                      <a:off x="0" y="0"/>
                      <a:ext cx="3277720" cy="4222220"/>
                    </a:xfrm>
                    <a:prstGeom prst="rect">
                      <a:avLst/>
                    </a:prstGeom>
                    <a:noFill/>
                    <a:ln w="9525">
                      <a:noFill/>
                      <a:miter lim="800000"/>
                      <a:headEnd/>
                      <a:tailEnd/>
                    </a:ln>
                  </pic:spPr>
                </pic:pic>
              </a:graphicData>
            </a:graphic>
          </wp:inline>
        </w:drawing>
      </w:r>
    </w:p>
    <w:p w:rsidR="00BC5571" w:rsidRPr="00F62835" w:rsidRDefault="00BC5571" w:rsidP="00E14104">
      <w:pPr>
        <w:spacing w:before="100" w:beforeAutospacing="1" w:after="100" w:afterAutospacing="1" w:line="240" w:lineRule="auto"/>
        <w:rPr>
          <w:rFonts w:ascii="Times New Roman" w:eastAsia="Times New Roman" w:hAnsi="Times New Roman" w:cs="Times New Roman"/>
          <w:sz w:val="20"/>
          <w:szCs w:val="20"/>
          <w:lang w:eastAsia="en-GB"/>
        </w:rPr>
      </w:pPr>
      <w:r w:rsidRPr="00F62835">
        <w:rPr>
          <w:rFonts w:ascii="Times New Roman" w:eastAsia="Times New Roman" w:hAnsi="Times New Roman" w:cs="Times New Roman"/>
          <w:sz w:val="20"/>
          <w:szCs w:val="20"/>
          <w:lang w:eastAsia="en-GB"/>
        </w:rPr>
        <w:lastRenderedPageBreak/>
        <w:t xml:space="preserve">Figure 8: </w:t>
      </w:r>
      <w:r w:rsidR="00705D6E" w:rsidRPr="00F62835">
        <w:rPr>
          <w:rFonts w:ascii="Times New Roman" w:eastAsia="Times New Roman" w:hAnsi="Times New Roman" w:cs="Times New Roman"/>
          <w:sz w:val="20"/>
          <w:szCs w:val="20"/>
          <w:lang w:eastAsia="en-GB"/>
        </w:rPr>
        <w:t>Map of territorial concentrations of different religions and sects in Lebanon.</w:t>
      </w:r>
      <w:r w:rsidR="00705D6E" w:rsidRPr="00F62835">
        <w:rPr>
          <w:rStyle w:val="FootnoteReference"/>
          <w:rFonts w:ascii="Times New Roman" w:eastAsia="Times New Roman" w:hAnsi="Times New Roman" w:cs="Times New Roman"/>
          <w:sz w:val="20"/>
          <w:szCs w:val="20"/>
          <w:lang w:eastAsia="en-GB"/>
        </w:rPr>
        <w:footnoteReference w:id="62"/>
      </w:r>
      <w:r w:rsidR="00705D6E" w:rsidRPr="00F62835">
        <w:rPr>
          <w:rFonts w:ascii="Times New Roman" w:eastAsia="Times New Roman" w:hAnsi="Times New Roman" w:cs="Times New Roman"/>
          <w:sz w:val="20"/>
          <w:szCs w:val="20"/>
          <w:lang w:eastAsia="en-GB"/>
        </w:rPr>
        <w:t xml:space="preserve"> </w:t>
      </w:r>
    </w:p>
    <w:p w:rsidR="00BC5571" w:rsidRDefault="00BC5571" w:rsidP="00BC5571">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territorial or spatial logic behind this arrangement is also salient. Maps of Mandate-era Lebanon demonstrate that Christian populations were most heavily concentrated within the borders of Greater Lebanon, although large numbers of Muslims also existed within the new state. </w:t>
      </w:r>
      <w:r w:rsidR="00F62835">
        <w:rPr>
          <w:rFonts w:ascii="Times New Roman" w:eastAsia="Times New Roman" w:hAnsi="Times New Roman" w:cs="Times New Roman"/>
          <w:sz w:val="24"/>
          <w:szCs w:val="24"/>
          <w:lang w:eastAsia="en-GB"/>
        </w:rPr>
        <w:t xml:space="preserve">This can be viewed in two ways. The first is that the French did not create a purely Christian entity, but rather a state that was structured or built around communal representation while also maintaining and institutionalising a majority Christian population. On the flip side, there is the widely held view also that France did not want the original smaller land of the Maronite Mutassarifate which was the original district where Christians were concentrated as it would not be a nation that would be economically prosperous, and so they added extra portions of land from Sunni, Druze and Shia areas to create Greater Lebanon for economic advantage. </w:t>
      </w:r>
      <w:r w:rsidR="002D78C1">
        <w:rPr>
          <w:rFonts w:ascii="Times New Roman" w:eastAsia="Times New Roman" w:hAnsi="Times New Roman" w:cs="Times New Roman"/>
          <w:sz w:val="24"/>
          <w:szCs w:val="24"/>
          <w:lang w:eastAsia="en-GB"/>
        </w:rPr>
        <w:t>Additionally</w:t>
      </w:r>
      <w:r w:rsidR="00F62835">
        <w:rPr>
          <w:rFonts w:ascii="Times New Roman" w:eastAsia="Times New Roman" w:hAnsi="Times New Roman" w:cs="Times New Roman"/>
          <w:sz w:val="24"/>
          <w:szCs w:val="24"/>
          <w:lang w:eastAsia="en-GB"/>
        </w:rPr>
        <w:t xml:space="preserve">, the source of the map is an Arab American diaspora website but when compared with election data maps, it is an accurate representation. </w:t>
      </w:r>
    </w:p>
    <w:p w:rsidR="00BC5571" w:rsidRDefault="00D92816" w:rsidP="00E14104">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map in figure 2 in chapter one, of the concentrations of French Catholic missionary schools in Mandate Syria and Lebanon in the minority areas also demonstrates how educational institution networks operated as mechanisms for cultivating and producing local intermediaries loyal to the French cause. However, missionary schools do not definitively prove deliberate political engineering but when looked at from the perspective of wider Mandate policies, it supports the view that colonial governance relied on selective incorporation. </w:t>
      </w:r>
    </w:p>
    <w:p w:rsidR="00D30E34" w:rsidRDefault="00D30E34" w:rsidP="00E14104">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Kamal Salibi further argues that Maronite elites promoted the idea of a unique Lebanese identity that aligned with French strategic interests.</w:t>
      </w:r>
      <w:r>
        <w:rPr>
          <w:rStyle w:val="FootnoteReference"/>
          <w:rFonts w:ascii="Times New Roman" w:eastAsia="Times New Roman" w:hAnsi="Times New Roman" w:cs="Times New Roman"/>
          <w:sz w:val="24"/>
          <w:szCs w:val="24"/>
          <w:lang w:eastAsia="en-GB"/>
        </w:rPr>
        <w:footnoteReference w:id="63"/>
      </w:r>
      <w:r>
        <w:rPr>
          <w:rFonts w:ascii="Times New Roman" w:eastAsia="Times New Roman" w:hAnsi="Times New Roman" w:cs="Times New Roman"/>
          <w:sz w:val="24"/>
          <w:szCs w:val="24"/>
          <w:lang w:eastAsia="en-GB"/>
        </w:rPr>
        <w:t xml:space="preserve"> This suggests that sectarian governance was not imposed solely from above but that it was co-produced by the interactions of local elites with colonial authorities. </w:t>
      </w:r>
      <w:r w:rsidR="005251DF">
        <w:rPr>
          <w:rFonts w:ascii="Times New Roman" w:eastAsia="Times New Roman" w:hAnsi="Times New Roman" w:cs="Times New Roman"/>
          <w:sz w:val="24"/>
          <w:szCs w:val="24"/>
          <w:lang w:eastAsia="en-GB"/>
        </w:rPr>
        <w:t>Lebanon therefore represents the clearest institutional expression of what Nadine Meouchy describes as the ‘territorial parcelling up of minorities.’</w:t>
      </w:r>
      <w:r w:rsidR="005251DF">
        <w:rPr>
          <w:rStyle w:val="FootnoteReference"/>
          <w:rFonts w:ascii="Times New Roman" w:eastAsia="Times New Roman" w:hAnsi="Times New Roman" w:cs="Times New Roman"/>
          <w:sz w:val="24"/>
          <w:szCs w:val="24"/>
          <w:lang w:eastAsia="en-GB"/>
        </w:rPr>
        <w:footnoteReference w:id="64"/>
      </w:r>
      <w:r w:rsidR="005251DF">
        <w:rPr>
          <w:rFonts w:ascii="Times New Roman" w:eastAsia="Times New Roman" w:hAnsi="Times New Roman" w:cs="Times New Roman"/>
          <w:sz w:val="24"/>
          <w:szCs w:val="24"/>
          <w:lang w:eastAsia="en-GB"/>
        </w:rPr>
        <w:t xml:space="preserve"> Sectarian identity became constitutionally embedded within political representation, producing a formal style of hierarchical incorporation. </w:t>
      </w:r>
    </w:p>
    <w:p w:rsidR="007D482E" w:rsidRPr="00A72CA8" w:rsidRDefault="00D63A63" w:rsidP="00E14104">
      <w:pPr>
        <w:spacing w:before="100" w:beforeAutospacing="1" w:after="100" w:afterAutospacing="1" w:line="240" w:lineRule="auto"/>
        <w:outlineLvl w:val="1"/>
        <w:rPr>
          <w:rFonts w:ascii="Times New Roman" w:eastAsia="Times New Roman" w:hAnsi="Times New Roman" w:cs="Times New Roman"/>
          <w:b/>
          <w:bCs/>
          <w:sz w:val="24"/>
          <w:szCs w:val="24"/>
          <w:lang w:eastAsia="en-GB"/>
        </w:rPr>
      </w:pPr>
      <w:r w:rsidRPr="00D63A63">
        <w:rPr>
          <w:rFonts w:ascii="Times New Roman" w:eastAsia="Times New Roman" w:hAnsi="Times New Roman" w:cs="Times New Roman"/>
          <w:b/>
          <w:bCs/>
          <w:sz w:val="24"/>
          <w:szCs w:val="24"/>
          <w:lang w:eastAsia="en-GB"/>
        </w:rPr>
        <w:t>4. Explaining Divergence: Why Different Outcomes?</w:t>
      </w:r>
    </w:p>
    <w:p w:rsidR="004A1F83" w:rsidRDefault="007D482E" w:rsidP="00E14104">
      <w:pPr>
        <w:spacing w:before="100" w:beforeAutospacing="1" w:after="100" w:afterAutospacing="1" w:line="240" w:lineRule="auto"/>
        <w:outlineLvl w:val="1"/>
        <w:rPr>
          <w:rFonts w:ascii="Times New Roman" w:eastAsia="Times New Roman" w:hAnsi="Times New Roman" w:cs="Times New Roman"/>
          <w:bCs/>
          <w:sz w:val="24"/>
          <w:szCs w:val="24"/>
          <w:lang w:eastAsia="en-GB"/>
        </w:rPr>
      </w:pPr>
      <w:r>
        <w:rPr>
          <w:rFonts w:ascii="Times New Roman" w:eastAsia="Times New Roman" w:hAnsi="Times New Roman" w:cs="Times New Roman"/>
          <w:bCs/>
          <w:sz w:val="24"/>
          <w:szCs w:val="24"/>
          <w:lang w:eastAsia="en-GB"/>
        </w:rPr>
        <w:t>The divergent paths of Syria and Lebanon do n</w:t>
      </w:r>
      <w:r w:rsidR="007C4EA5">
        <w:rPr>
          <w:rFonts w:ascii="Times New Roman" w:eastAsia="Times New Roman" w:hAnsi="Times New Roman" w:cs="Times New Roman"/>
          <w:bCs/>
          <w:sz w:val="24"/>
          <w:szCs w:val="24"/>
          <w:lang w:eastAsia="en-GB"/>
        </w:rPr>
        <w:t xml:space="preserve">ot reflect completely different colonial </w:t>
      </w:r>
      <w:r w:rsidR="007C4EA5" w:rsidRPr="007C4EA5">
        <w:rPr>
          <w:rFonts w:ascii="Times New Roman" w:eastAsia="Times New Roman" w:hAnsi="Times New Roman" w:cs="Times New Roman"/>
          <w:bCs/>
          <w:sz w:val="24"/>
          <w:szCs w:val="24"/>
          <w:lang w:eastAsia="en-GB"/>
        </w:rPr>
        <w:t>intentions and motives, but rather differences in impl</w:t>
      </w:r>
      <w:r w:rsidR="00A72CA8">
        <w:rPr>
          <w:rFonts w:ascii="Times New Roman" w:eastAsia="Times New Roman" w:hAnsi="Times New Roman" w:cs="Times New Roman"/>
          <w:bCs/>
          <w:sz w:val="24"/>
          <w:szCs w:val="24"/>
          <w:lang w:eastAsia="en-GB"/>
        </w:rPr>
        <w:t>ementation and political intent</w:t>
      </w:r>
      <w:r w:rsidR="007C4EA5" w:rsidRPr="007C4EA5">
        <w:rPr>
          <w:rFonts w:ascii="Times New Roman" w:eastAsia="Times New Roman" w:hAnsi="Times New Roman" w:cs="Times New Roman"/>
          <w:bCs/>
          <w:sz w:val="24"/>
          <w:szCs w:val="24"/>
          <w:lang w:eastAsia="en-GB"/>
        </w:rPr>
        <w:t>. Firstly</w:t>
      </w:r>
      <w:r w:rsidR="007C4EA5">
        <w:rPr>
          <w:rFonts w:ascii="Times New Roman" w:eastAsia="Times New Roman" w:hAnsi="Times New Roman" w:cs="Times New Roman"/>
          <w:bCs/>
          <w:sz w:val="24"/>
          <w:szCs w:val="24"/>
          <w:lang w:eastAsia="en-GB"/>
        </w:rPr>
        <w:t>, geography played a large role as Lebanon’s smaller territory size made confessional institutionalisation more administratively realistic, whereas Syria’s larger and more d</w:t>
      </w:r>
      <w:r w:rsidR="00A72CA8">
        <w:rPr>
          <w:rFonts w:ascii="Times New Roman" w:eastAsia="Times New Roman" w:hAnsi="Times New Roman" w:cs="Times New Roman"/>
          <w:bCs/>
          <w:sz w:val="24"/>
          <w:szCs w:val="24"/>
          <w:lang w:eastAsia="en-GB"/>
        </w:rPr>
        <w:t xml:space="preserve">iverse political landscape </w:t>
      </w:r>
      <w:r w:rsidR="007C4EA5">
        <w:rPr>
          <w:rFonts w:ascii="Times New Roman" w:eastAsia="Times New Roman" w:hAnsi="Times New Roman" w:cs="Times New Roman"/>
          <w:bCs/>
          <w:sz w:val="24"/>
          <w:szCs w:val="24"/>
          <w:lang w:eastAsia="en-GB"/>
        </w:rPr>
        <w:t>problematised formal sectarian division. Secondly, elite cooperation also differed to a large degree. In Lebanon, Maronite elites largely worked with French authorities to institutionalise political autonomy. However, in Syria, French rule was resisted by Sunni and nationalist elites, thus limiting opportunities for formal incorporation. Thirdly, colonial priorities and motives varied. France viewed Lebanon as a relatively stable and reliable coastal ally, while Syria was seen as the centre of nationalist unrest and resi</w:t>
      </w:r>
      <w:r w:rsidR="00A72CA8">
        <w:rPr>
          <w:rFonts w:ascii="Times New Roman" w:eastAsia="Times New Roman" w:hAnsi="Times New Roman" w:cs="Times New Roman"/>
          <w:bCs/>
          <w:sz w:val="24"/>
          <w:szCs w:val="24"/>
          <w:lang w:eastAsia="en-GB"/>
        </w:rPr>
        <w:t>s</w:t>
      </w:r>
      <w:r w:rsidR="007C4EA5">
        <w:rPr>
          <w:rFonts w:ascii="Times New Roman" w:eastAsia="Times New Roman" w:hAnsi="Times New Roman" w:cs="Times New Roman"/>
          <w:bCs/>
          <w:sz w:val="24"/>
          <w:szCs w:val="24"/>
          <w:lang w:eastAsia="en-GB"/>
        </w:rPr>
        <w:t>tance which in turn required</w:t>
      </w:r>
      <w:r w:rsidR="00A72CA8">
        <w:rPr>
          <w:rFonts w:ascii="Times New Roman" w:eastAsia="Times New Roman" w:hAnsi="Times New Roman" w:cs="Times New Roman"/>
          <w:bCs/>
          <w:sz w:val="24"/>
          <w:szCs w:val="24"/>
          <w:lang w:eastAsia="en-GB"/>
        </w:rPr>
        <w:t xml:space="preserve"> coercive management. Despite these differences though, lay the underlying </w:t>
      </w:r>
      <w:r w:rsidR="00A72CA8">
        <w:rPr>
          <w:rFonts w:ascii="Times New Roman" w:eastAsia="Times New Roman" w:hAnsi="Times New Roman" w:cs="Times New Roman"/>
          <w:bCs/>
          <w:sz w:val="24"/>
          <w:szCs w:val="24"/>
          <w:lang w:eastAsia="en-GB"/>
        </w:rPr>
        <w:lastRenderedPageBreak/>
        <w:t>logic that remained consistent. In both states, populations were classified into communal categories that structured access to political power and authority. Fanon’s description of colonial society as ‘a world divided into compartments’ is a credible description of these divergent French governance styles.</w:t>
      </w:r>
      <w:r w:rsidR="00A72CA8">
        <w:rPr>
          <w:rStyle w:val="FootnoteReference"/>
          <w:rFonts w:ascii="Times New Roman" w:eastAsia="Times New Roman" w:hAnsi="Times New Roman" w:cs="Times New Roman"/>
          <w:bCs/>
          <w:sz w:val="24"/>
          <w:szCs w:val="24"/>
          <w:lang w:eastAsia="en-GB"/>
        </w:rPr>
        <w:footnoteReference w:id="65"/>
      </w:r>
      <w:r w:rsidR="00A72CA8">
        <w:rPr>
          <w:rFonts w:ascii="Times New Roman" w:eastAsia="Times New Roman" w:hAnsi="Times New Roman" w:cs="Times New Roman"/>
          <w:bCs/>
          <w:sz w:val="24"/>
          <w:szCs w:val="24"/>
          <w:lang w:eastAsia="en-GB"/>
        </w:rPr>
        <w:t xml:space="preserve">  It applies not only spatially but also in terms of institutionalisation and political incorporation. </w:t>
      </w:r>
    </w:p>
    <w:p w:rsidR="00D63A63" w:rsidRPr="004A1F83" w:rsidRDefault="00D63A63" w:rsidP="00E14104">
      <w:pPr>
        <w:spacing w:before="100" w:beforeAutospacing="1" w:after="100" w:afterAutospacing="1" w:line="240" w:lineRule="auto"/>
        <w:outlineLvl w:val="1"/>
        <w:rPr>
          <w:rFonts w:ascii="Times New Roman" w:eastAsia="Times New Roman" w:hAnsi="Times New Roman" w:cs="Times New Roman"/>
          <w:bCs/>
          <w:sz w:val="24"/>
          <w:szCs w:val="24"/>
          <w:lang w:eastAsia="en-GB"/>
        </w:rPr>
      </w:pPr>
      <w:r w:rsidRPr="00D63A63">
        <w:rPr>
          <w:rFonts w:ascii="Times New Roman" w:eastAsia="Times New Roman" w:hAnsi="Times New Roman" w:cs="Times New Roman"/>
          <w:b/>
          <w:bCs/>
          <w:sz w:val="24"/>
          <w:szCs w:val="24"/>
          <w:lang w:eastAsia="en-GB"/>
        </w:rPr>
        <w:t>5. Conclusion</w:t>
      </w:r>
    </w:p>
    <w:p w:rsidR="001953A7" w:rsidRDefault="006B61F0" w:rsidP="001953A7">
      <w:pPr>
        <w:spacing w:before="100" w:beforeAutospacing="1" w:after="100" w:afterAutospacing="1" w:line="240" w:lineRule="auto"/>
        <w:outlineLvl w:val="1"/>
        <w:rPr>
          <w:rFonts w:ascii="Times New Roman" w:eastAsia="Times New Roman" w:hAnsi="Times New Roman" w:cs="Times New Roman"/>
          <w:sz w:val="24"/>
          <w:szCs w:val="24"/>
          <w:lang w:eastAsia="en-GB"/>
        </w:rPr>
      </w:pPr>
      <w:r w:rsidRPr="006B61F0">
        <w:rPr>
          <w:rFonts w:ascii="Times New Roman" w:eastAsia="Times New Roman" w:hAnsi="Times New Roman" w:cs="Times New Roman"/>
          <w:bCs/>
          <w:sz w:val="24"/>
          <w:szCs w:val="24"/>
          <w:lang w:eastAsia="en-GB"/>
        </w:rPr>
        <w:t>This chapter has argued that Syria and Lebanon emerged from the same colonial logic of differentiated communal incorporation, but developed starkly different institutional results under the French Mandate.</w:t>
      </w:r>
      <w:r w:rsidR="00D07D9B">
        <w:rPr>
          <w:rFonts w:ascii="Times New Roman" w:eastAsia="Times New Roman" w:hAnsi="Times New Roman" w:cs="Times New Roman"/>
          <w:bCs/>
          <w:sz w:val="24"/>
          <w:szCs w:val="24"/>
          <w:lang w:eastAsia="en-GB"/>
        </w:rPr>
        <w:t xml:space="preserve"> </w:t>
      </w:r>
      <w:r>
        <w:rPr>
          <w:rFonts w:ascii="Times New Roman" w:eastAsia="Times New Roman" w:hAnsi="Times New Roman" w:cs="Times New Roman"/>
          <w:bCs/>
          <w:sz w:val="24"/>
          <w:szCs w:val="24"/>
          <w:lang w:eastAsia="en-GB"/>
        </w:rPr>
        <w:t>In Syria, sectarian hierarchy functioned through fragmentation, exclusion, and selective coercive methods of integration.</w:t>
      </w:r>
      <w:r w:rsidR="00D07D9B">
        <w:rPr>
          <w:rFonts w:ascii="Times New Roman" w:eastAsia="Times New Roman" w:hAnsi="Times New Roman" w:cs="Times New Roman"/>
          <w:bCs/>
          <w:sz w:val="24"/>
          <w:szCs w:val="24"/>
          <w:lang w:eastAsia="en-GB"/>
        </w:rPr>
        <w:t xml:space="preserve"> In Lebanon, sectarian, sectarian hierarchy became formally entrenched within the constitutional system. </w:t>
      </w:r>
      <w:r w:rsidRPr="006B61F0">
        <w:rPr>
          <w:rFonts w:ascii="Times New Roman" w:eastAsia="Times New Roman" w:hAnsi="Times New Roman" w:cs="Times New Roman"/>
          <w:bCs/>
          <w:sz w:val="24"/>
          <w:szCs w:val="24"/>
          <w:lang w:eastAsia="en-GB"/>
        </w:rPr>
        <w:t xml:space="preserve"> </w:t>
      </w:r>
      <w:r w:rsidR="00D07D9B">
        <w:rPr>
          <w:rFonts w:ascii="Times New Roman" w:eastAsia="Times New Roman" w:hAnsi="Times New Roman" w:cs="Times New Roman"/>
          <w:sz w:val="24"/>
          <w:szCs w:val="24"/>
          <w:lang w:eastAsia="en-GB"/>
        </w:rPr>
        <w:t xml:space="preserve">The primary sources strong anchor the arguments with evidence and support this interpretation. Demographic maps challenge ideas of primordially segregated populations, nationalist writings highlight </w:t>
      </w:r>
      <w:r w:rsidR="00302C6F">
        <w:rPr>
          <w:rFonts w:ascii="Times New Roman" w:eastAsia="Times New Roman" w:hAnsi="Times New Roman" w:cs="Times New Roman"/>
          <w:sz w:val="24"/>
          <w:szCs w:val="24"/>
          <w:lang w:eastAsia="en-GB"/>
        </w:rPr>
        <w:t xml:space="preserve">resistance to colonial fragmentation, and constitutional documents clearly demonstrate the institutionalisation of confessionalism in Lebanon. </w:t>
      </w:r>
      <w:r w:rsidR="004A1F83">
        <w:rPr>
          <w:rFonts w:ascii="Times New Roman" w:eastAsia="Times New Roman" w:hAnsi="Times New Roman" w:cs="Times New Roman"/>
          <w:sz w:val="24"/>
          <w:szCs w:val="24"/>
          <w:lang w:eastAsia="en-GB"/>
        </w:rPr>
        <w:t xml:space="preserve">Taken together, these sources suggest that the Mandate did not simply divide populations, but rather, it transformed communal identity into mechanisms and methods for organising political authority. They main difference between Syria and Lebanon therefore, not the actual existence of sectarian governance itself, but the way it was institutionalised. This legacy of differentiated incorporation continued to shape postcolonial governance, as is examined in the following chapter. </w:t>
      </w:r>
    </w:p>
    <w:p w:rsidR="001953A7" w:rsidRDefault="001953A7" w:rsidP="001953A7">
      <w:pPr>
        <w:spacing w:before="100" w:beforeAutospacing="1" w:after="100" w:afterAutospacing="1" w:line="240" w:lineRule="auto"/>
        <w:outlineLvl w:val="1"/>
        <w:rPr>
          <w:rFonts w:ascii="Times New Roman" w:eastAsia="Times New Roman" w:hAnsi="Times New Roman" w:cs="Times New Roman"/>
          <w:bCs/>
          <w:sz w:val="24"/>
          <w:szCs w:val="24"/>
          <w:lang w:eastAsia="en-GB"/>
        </w:rPr>
      </w:pPr>
    </w:p>
    <w:p w:rsidR="001E0215" w:rsidRPr="001953A7" w:rsidRDefault="001E0215" w:rsidP="001953A7">
      <w:pPr>
        <w:spacing w:before="100" w:beforeAutospacing="1" w:after="100" w:afterAutospacing="1" w:line="240" w:lineRule="auto"/>
        <w:outlineLvl w:val="1"/>
        <w:rPr>
          <w:rFonts w:ascii="Times New Roman" w:eastAsia="Times New Roman" w:hAnsi="Times New Roman" w:cs="Times New Roman"/>
          <w:bCs/>
          <w:sz w:val="24"/>
          <w:szCs w:val="24"/>
          <w:lang w:eastAsia="en-GB"/>
        </w:rPr>
      </w:pPr>
      <w:r w:rsidRPr="001953A7">
        <w:rPr>
          <w:rFonts w:ascii="Times New Roman" w:eastAsia="Times New Roman" w:hAnsi="Times New Roman" w:cs="Times New Roman"/>
          <w:b/>
          <w:bCs/>
          <w:kern w:val="36"/>
          <w:sz w:val="24"/>
          <w:szCs w:val="24"/>
          <w:lang w:eastAsia="en-GB"/>
        </w:rPr>
        <w:t>Chapter 3: Persistence and Contemporary Sectarian Governance</w:t>
      </w:r>
    </w:p>
    <w:p w:rsidR="001E0215" w:rsidRDefault="001E0215" w:rsidP="001E0215">
      <w:pPr>
        <w:spacing w:before="100" w:beforeAutospacing="1" w:after="100" w:afterAutospacing="1" w:line="240" w:lineRule="auto"/>
        <w:outlineLvl w:val="1"/>
        <w:rPr>
          <w:rFonts w:ascii="Times New Roman" w:eastAsia="Times New Roman" w:hAnsi="Times New Roman" w:cs="Times New Roman"/>
          <w:b/>
          <w:bCs/>
          <w:sz w:val="24"/>
          <w:szCs w:val="24"/>
          <w:lang w:eastAsia="en-GB"/>
        </w:rPr>
      </w:pPr>
      <w:r w:rsidRPr="001953A7">
        <w:rPr>
          <w:rFonts w:ascii="Times New Roman" w:eastAsia="Times New Roman" w:hAnsi="Times New Roman" w:cs="Times New Roman"/>
          <w:b/>
          <w:bCs/>
          <w:sz w:val="24"/>
          <w:szCs w:val="24"/>
          <w:lang w:eastAsia="en-GB"/>
        </w:rPr>
        <w:t>1. Introduction: Mandate Legacies and Postcolonial Transformation</w:t>
      </w:r>
    </w:p>
    <w:p w:rsidR="00864889" w:rsidRDefault="00FD7B2D" w:rsidP="001E0215">
      <w:pPr>
        <w:spacing w:before="100" w:beforeAutospacing="1" w:after="100" w:afterAutospacing="1" w:line="240" w:lineRule="auto"/>
        <w:outlineLvl w:val="1"/>
        <w:rPr>
          <w:rFonts w:ascii="Times New Roman" w:eastAsia="Times New Roman" w:hAnsi="Times New Roman" w:cs="Times New Roman"/>
          <w:bCs/>
          <w:sz w:val="24"/>
          <w:szCs w:val="24"/>
          <w:lang w:eastAsia="en-GB"/>
        </w:rPr>
      </w:pPr>
      <w:r w:rsidRPr="00FD7B2D">
        <w:rPr>
          <w:rFonts w:ascii="Times New Roman" w:eastAsia="Times New Roman" w:hAnsi="Times New Roman" w:cs="Times New Roman"/>
          <w:bCs/>
          <w:sz w:val="24"/>
          <w:szCs w:val="24"/>
          <w:lang w:eastAsia="en-GB"/>
        </w:rPr>
        <w:t>The previous chapters argued that the French Mandate</w:t>
      </w:r>
      <w:r>
        <w:rPr>
          <w:rFonts w:ascii="Times New Roman" w:eastAsia="Times New Roman" w:hAnsi="Times New Roman" w:cs="Times New Roman"/>
          <w:bCs/>
          <w:sz w:val="24"/>
          <w:szCs w:val="24"/>
          <w:lang w:eastAsia="en-GB"/>
        </w:rPr>
        <w:t xml:space="preserve"> transformed communal difference into systems and structures of political incorporation through administrative classification, territorial division, and selective elite integration. However, the relation</w:t>
      </w:r>
      <w:r w:rsidR="00E9246B">
        <w:rPr>
          <w:rFonts w:ascii="Times New Roman" w:eastAsia="Times New Roman" w:hAnsi="Times New Roman" w:cs="Times New Roman"/>
          <w:bCs/>
          <w:sz w:val="24"/>
          <w:szCs w:val="24"/>
          <w:lang w:eastAsia="en-GB"/>
        </w:rPr>
        <w:t xml:space="preserve">ship between Mandate governance and contemporary sectarian politics is not one of simple continuity. Instead of reproducing colonial institutions that were unchanged, postcolonial regimes in Syria and Lebanon adapted and reshaped these already existing structures in different ways. </w:t>
      </w:r>
    </w:p>
    <w:p w:rsidR="009118DB" w:rsidRDefault="00E9246B" w:rsidP="009118DB">
      <w:pPr>
        <w:spacing w:before="100" w:beforeAutospacing="1" w:after="100" w:afterAutospacing="1" w:line="240" w:lineRule="auto"/>
        <w:outlineLvl w:val="1"/>
        <w:rPr>
          <w:rFonts w:ascii="Times New Roman" w:eastAsia="Times New Roman" w:hAnsi="Times New Roman" w:cs="Times New Roman"/>
          <w:bCs/>
          <w:sz w:val="24"/>
          <w:szCs w:val="24"/>
          <w:lang w:eastAsia="en-GB"/>
        </w:rPr>
      </w:pPr>
      <w:r>
        <w:rPr>
          <w:rFonts w:ascii="Times New Roman" w:eastAsia="Times New Roman" w:hAnsi="Times New Roman" w:cs="Times New Roman"/>
          <w:bCs/>
          <w:sz w:val="24"/>
          <w:szCs w:val="24"/>
          <w:lang w:eastAsia="en-GB"/>
        </w:rPr>
        <w:t>This chapter argues that the Mandate’s most enduring legacy was not sectarianism itself, but the institutional logic behind it that linked political authority to communal identity through differentiated incorporation into state power. In Lebanon, this persisted through the paralysis of confessional politics</w:t>
      </w:r>
      <w:r w:rsidR="00CA5915">
        <w:rPr>
          <w:rFonts w:ascii="Times New Roman" w:eastAsia="Times New Roman" w:hAnsi="Times New Roman" w:cs="Times New Roman"/>
          <w:bCs/>
          <w:sz w:val="24"/>
          <w:szCs w:val="24"/>
          <w:lang w:eastAsia="en-GB"/>
        </w:rPr>
        <w:t xml:space="preserve">. In Syria though, it survived more indirectly through authoritarian structures that denied sectarianism rhetorically but reproduced it through informal hierarchies within the military-security apparatus. </w:t>
      </w:r>
    </w:p>
    <w:p w:rsidR="00864889" w:rsidRPr="00CD45FF" w:rsidRDefault="00864889" w:rsidP="00CD45FF">
      <w:pPr>
        <w:spacing w:before="100" w:beforeAutospacing="1" w:after="100" w:afterAutospacing="1" w:line="240" w:lineRule="auto"/>
        <w:outlineLvl w:val="1"/>
        <w:rPr>
          <w:rFonts w:ascii="Times New Roman" w:eastAsia="Times New Roman" w:hAnsi="Times New Roman" w:cs="Times New Roman"/>
          <w:bCs/>
          <w:sz w:val="24"/>
          <w:szCs w:val="24"/>
          <w:lang w:eastAsia="en-GB"/>
        </w:rPr>
      </w:pPr>
      <w:r>
        <w:rPr>
          <w:rFonts w:ascii="Times New Roman" w:eastAsia="Times New Roman" w:hAnsi="Times New Roman" w:cs="Times New Roman"/>
          <w:sz w:val="24"/>
          <w:szCs w:val="24"/>
          <w:lang w:eastAsia="en-GB"/>
        </w:rPr>
        <w:t xml:space="preserve">At the same time, this chapter challenges deterministic interpretations that attribute contemporary governance solely to colonialism, Ottoman precedents, postcolonial nationalism, civil war, and regional intervention all played a part in shaping these systems after independence. </w:t>
      </w:r>
      <w:r w:rsidR="009118DB">
        <w:rPr>
          <w:rFonts w:ascii="Times New Roman" w:eastAsia="Times New Roman" w:hAnsi="Times New Roman" w:cs="Times New Roman"/>
          <w:sz w:val="24"/>
          <w:szCs w:val="24"/>
          <w:lang w:eastAsia="en-GB"/>
        </w:rPr>
        <w:t xml:space="preserve">The Mandate therefore created structures of political possibility rather than fully determining future outcomes. </w:t>
      </w:r>
    </w:p>
    <w:p w:rsidR="001E0215" w:rsidRPr="00094A26" w:rsidRDefault="001E0215" w:rsidP="001E0215">
      <w:pPr>
        <w:spacing w:before="100" w:beforeAutospacing="1" w:after="100" w:afterAutospacing="1" w:line="240" w:lineRule="auto"/>
        <w:outlineLvl w:val="1"/>
        <w:rPr>
          <w:rFonts w:ascii="Times New Roman" w:eastAsia="Times New Roman" w:hAnsi="Times New Roman" w:cs="Times New Roman"/>
          <w:b/>
          <w:bCs/>
          <w:sz w:val="24"/>
          <w:szCs w:val="24"/>
          <w:lang w:eastAsia="en-GB"/>
        </w:rPr>
      </w:pPr>
      <w:r w:rsidRPr="00094A26">
        <w:rPr>
          <w:rFonts w:ascii="Times New Roman" w:eastAsia="Times New Roman" w:hAnsi="Times New Roman" w:cs="Times New Roman"/>
          <w:b/>
          <w:bCs/>
          <w:sz w:val="24"/>
          <w:szCs w:val="24"/>
          <w:lang w:eastAsia="en-GB"/>
        </w:rPr>
        <w:lastRenderedPageBreak/>
        <w:t>2. Lebanon: Institutionalised Continuity and Confessional Governance</w:t>
      </w:r>
    </w:p>
    <w:p w:rsidR="00750A26" w:rsidRPr="00505BB7" w:rsidRDefault="00505BB7" w:rsidP="001E0215">
      <w:pPr>
        <w:spacing w:before="100" w:beforeAutospacing="1" w:after="100" w:afterAutospacing="1" w:line="240" w:lineRule="auto"/>
        <w:outlineLvl w:val="1"/>
        <w:rPr>
          <w:rFonts w:ascii="Times New Roman" w:eastAsia="Times New Roman" w:hAnsi="Times New Roman" w:cs="Times New Roman"/>
          <w:bCs/>
          <w:sz w:val="24"/>
          <w:szCs w:val="24"/>
          <w:lang w:eastAsia="en-GB"/>
        </w:rPr>
      </w:pPr>
      <w:r w:rsidRPr="00505BB7">
        <w:rPr>
          <w:rFonts w:ascii="Times New Roman" w:eastAsia="Times New Roman" w:hAnsi="Times New Roman" w:cs="Times New Roman"/>
          <w:bCs/>
          <w:sz w:val="24"/>
          <w:szCs w:val="24"/>
          <w:lang w:eastAsia="en-GB"/>
        </w:rPr>
        <w:t xml:space="preserve">Lebanon </w:t>
      </w:r>
      <w:r>
        <w:rPr>
          <w:rFonts w:ascii="Times New Roman" w:eastAsia="Times New Roman" w:hAnsi="Times New Roman" w:cs="Times New Roman"/>
          <w:bCs/>
          <w:sz w:val="24"/>
          <w:szCs w:val="24"/>
          <w:lang w:eastAsia="en-GB"/>
        </w:rPr>
        <w:t>represents the clearest example of continuity between mandate governance and contemporary sectarian political organisation. The French institutionalised communal representation through the 1926 Constitution, embedding sectarian identity directly into how the state was structured. As shown earlier in chapter two in figure 7, Article 24 formalised parliamentary representation according to confessional allocation quotas, establishing ‘equal representation between Christian and Muslims’ alongside proportional representation within the various confessional groups.</w:t>
      </w:r>
      <w:r>
        <w:rPr>
          <w:rStyle w:val="FootnoteReference"/>
          <w:rFonts w:ascii="Times New Roman" w:eastAsia="Times New Roman" w:hAnsi="Times New Roman" w:cs="Times New Roman"/>
          <w:bCs/>
          <w:sz w:val="24"/>
          <w:szCs w:val="24"/>
          <w:lang w:eastAsia="en-GB"/>
        </w:rPr>
        <w:footnoteReference w:id="66"/>
      </w:r>
      <w:r>
        <w:rPr>
          <w:rFonts w:ascii="Times New Roman" w:eastAsia="Times New Roman" w:hAnsi="Times New Roman" w:cs="Times New Roman"/>
          <w:bCs/>
          <w:sz w:val="24"/>
          <w:szCs w:val="24"/>
          <w:lang w:eastAsia="en-GB"/>
        </w:rPr>
        <w:t xml:space="preserve"> </w:t>
      </w:r>
    </w:p>
    <w:p w:rsidR="00505BB7" w:rsidRDefault="00505BB7" w:rsidP="001E0215">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This source is very important as it demonstrated the constitutionalisation of communal identity as the organising basis of governance. Unlike Syria, where sectarian differentiation often functioned indirectly, Lebanon institutionalised it rigidly. Its </w:t>
      </w:r>
      <w:r w:rsidR="005764D5">
        <w:rPr>
          <w:rFonts w:ascii="Times New Roman" w:eastAsia="Times New Roman" w:hAnsi="Times New Roman" w:cs="Times New Roman"/>
          <w:sz w:val="24"/>
          <w:szCs w:val="24"/>
          <w:lang w:eastAsia="en-GB"/>
        </w:rPr>
        <w:t xml:space="preserve">strength is in the official legal statues, revealing how sectarian hierarchy became embedded within the state itself. However, the constitutional text reflects formal institutional design rather than the actual practical political processes. </w:t>
      </w:r>
    </w:p>
    <w:p w:rsidR="005764D5" w:rsidRDefault="005764D5" w:rsidP="001E0215">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constitutional fra</w:t>
      </w:r>
      <w:r w:rsidR="00CC614F">
        <w:rPr>
          <w:rFonts w:ascii="Times New Roman" w:eastAsia="Times New Roman" w:hAnsi="Times New Roman" w:cs="Times New Roman"/>
          <w:sz w:val="24"/>
          <w:szCs w:val="24"/>
          <w:lang w:eastAsia="en-GB"/>
        </w:rPr>
        <w:t>mework established under the Man</w:t>
      </w:r>
      <w:r>
        <w:rPr>
          <w:rFonts w:ascii="Times New Roman" w:eastAsia="Times New Roman" w:hAnsi="Times New Roman" w:cs="Times New Roman"/>
          <w:sz w:val="24"/>
          <w:szCs w:val="24"/>
          <w:lang w:eastAsia="en-GB"/>
        </w:rPr>
        <w:t>date persisted after independence th</w:t>
      </w:r>
      <w:r w:rsidR="00CC614F">
        <w:rPr>
          <w:rFonts w:ascii="Times New Roman" w:eastAsia="Times New Roman" w:hAnsi="Times New Roman" w:cs="Times New Roman"/>
          <w:sz w:val="24"/>
          <w:szCs w:val="24"/>
          <w:lang w:eastAsia="en-GB"/>
        </w:rPr>
        <w:t xml:space="preserve">rough the National Pact of 1943. </w:t>
      </w:r>
      <w:r w:rsidR="00005C7B">
        <w:rPr>
          <w:rFonts w:ascii="Times New Roman" w:eastAsia="Times New Roman" w:hAnsi="Times New Roman" w:cs="Times New Roman"/>
          <w:sz w:val="24"/>
          <w:szCs w:val="24"/>
          <w:lang w:eastAsia="en-GB"/>
        </w:rPr>
        <w:t xml:space="preserve">Although it was uncodified, </w:t>
      </w:r>
      <w:r w:rsidR="00450444">
        <w:rPr>
          <w:rFonts w:ascii="Times New Roman" w:eastAsia="Times New Roman" w:hAnsi="Times New Roman" w:cs="Times New Roman"/>
          <w:sz w:val="24"/>
          <w:szCs w:val="24"/>
          <w:lang w:eastAsia="en-GB"/>
        </w:rPr>
        <w:t xml:space="preserve">so there </w:t>
      </w:r>
      <w:r w:rsidR="00005C7B">
        <w:rPr>
          <w:rFonts w:ascii="Times New Roman" w:eastAsia="Times New Roman" w:hAnsi="Times New Roman" w:cs="Times New Roman"/>
          <w:sz w:val="24"/>
          <w:szCs w:val="24"/>
          <w:lang w:eastAsia="en-GB"/>
        </w:rPr>
        <w:t>is not in existence</w:t>
      </w:r>
      <w:r w:rsidR="00450444">
        <w:rPr>
          <w:rFonts w:ascii="Times New Roman" w:eastAsia="Times New Roman" w:hAnsi="Times New Roman" w:cs="Times New Roman"/>
          <w:sz w:val="24"/>
          <w:szCs w:val="24"/>
          <w:lang w:eastAsia="en-GB"/>
        </w:rPr>
        <w:t xml:space="preserve"> </w:t>
      </w:r>
      <w:r w:rsidR="00005C7B">
        <w:rPr>
          <w:rFonts w:ascii="Times New Roman" w:eastAsia="Times New Roman" w:hAnsi="Times New Roman" w:cs="Times New Roman"/>
          <w:sz w:val="24"/>
          <w:szCs w:val="24"/>
          <w:lang w:eastAsia="en-GB"/>
        </w:rPr>
        <w:t>an</w:t>
      </w:r>
      <w:r w:rsidR="00450444">
        <w:rPr>
          <w:rFonts w:ascii="Times New Roman" w:eastAsia="Times New Roman" w:hAnsi="Times New Roman" w:cs="Times New Roman"/>
          <w:sz w:val="24"/>
          <w:szCs w:val="24"/>
          <w:lang w:eastAsia="en-GB"/>
        </w:rPr>
        <w:t xml:space="preserve"> original source document of it, it was extremely impactful and formalised the distribution of political offices according to sectarian identity and resulted in the following permanent setup:</w:t>
      </w:r>
    </w:p>
    <w:p w:rsidR="001E0215" w:rsidRPr="001E0215" w:rsidRDefault="001E0215" w:rsidP="001E0215">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GB"/>
        </w:rPr>
      </w:pPr>
      <w:r w:rsidRPr="001E0215">
        <w:rPr>
          <w:rFonts w:ascii="Times New Roman" w:eastAsia="Times New Roman" w:hAnsi="Times New Roman" w:cs="Times New Roman"/>
          <w:sz w:val="24"/>
          <w:szCs w:val="24"/>
          <w:lang w:eastAsia="en-GB"/>
        </w:rPr>
        <w:t xml:space="preserve">the President as a Maronite Christian, </w:t>
      </w:r>
    </w:p>
    <w:p w:rsidR="001E0215" w:rsidRPr="001E0215" w:rsidRDefault="001E0215" w:rsidP="001E0215">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GB"/>
        </w:rPr>
      </w:pPr>
      <w:r w:rsidRPr="001E0215">
        <w:rPr>
          <w:rFonts w:ascii="Times New Roman" w:eastAsia="Times New Roman" w:hAnsi="Times New Roman" w:cs="Times New Roman"/>
          <w:sz w:val="24"/>
          <w:szCs w:val="24"/>
          <w:lang w:eastAsia="en-GB"/>
        </w:rPr>
        <w:t xml:space="preserve">the Prime Minister as a Sunni Muslim, </w:t>
      </w:r>
    </w:p>
    <w:p w:rsidR="001E0215" w:rsidRDefault="001E0215" w:rsidP="001E0215">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GB"/>
        </w:rPr>
      </w:pPr>
      <w:r w:rsidRPr="001E0215">
        <w:rPr>
          <w:rFonts w:ascii="Times New Roman" w:eastAsia="Times New Roman" w:hAnsi="Times New Roman" w:cs="Times New Roman"/>
          <w:sz w:val="24"/>
          <w:szCs w:val="24"/>
          <w:lang w:eastAsia="en-GB"/>
        </w:rPr>
        <w:t>the Speaker of Parliament as a Sh</w:t>
      </w:r>
      <w:r w:rsidR="00450444">
        <w:rPr>
          <w:rFonts w:ascii="Times New Roman" w:eastAsia="Times New Roman" w:hAnsi="Times New Roman" w:cs="Times New Roman"/>
          <w:sz w:val="24"/>
          <w:szCs w:val="24"/>
          <w:lang w:eastAsia="en-GB"/>
        </w:rPr>
        <w:t>ia Muslim</w:t>
      </w:r>
      <w:r w:rsidRPr="001E0215">
        <w:rPr>
          <w:rFonts w:ascii="Times New Roman" w:eastAsia="Times New Roman" w:hAnsi="Times New Roman" w:cs="Times New Roman"/>
          <w:sz w:val="24"/>
          <w:szCs w:val="24"/>
          <w:lang w:eastAsia="en-GB"/>
        </w:rPr>
        <w:t xml:space="preserve"> </w:t>
      </w:r>
    </w:p>
    <w:p w:rsidR="00F74AE4" w:rsidRDefault="00450444" w:rsidP="001E0215">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This political arrangement demonstrates continuity through adaptation. The Pact did not abolish formal confessionalism that it inherited from the Mandate, but instead, it renegotiated it between Lebanese elites after French withdrawal. As Carol Hakim argues, the French Mandate ‘provided for a strong presidency and a parliament in which different religious communities were represented, each according to its size.’</w:t>
      </w:r>
      <w:r>
        <w:rPr>
          <w:rStyle w:val="FootnoteReference"/>
          <w:rFonts w:ascii="Times New Roman" w:eastAsia="Times New Roman" w:hAnsi="Times New Roman" w:cs="Times New Roman"/>
          <w:sz w:val="24"/>
          <w:szCs w:val="24"/>
          <w:lang w:eastAsia="en-GB"/>
        </w:rPr>
        <w:footnoteReference w:id="67"/>
      </w:r>
      <w:r w:rsidR="006856CE">
        <w:rPr>
          <w:rFonts w:ascii="Times New Roman" w:eastAsia="Times New Roman" w:hAnsi="Times New Roman" w:cs="Times New Roman"/>
          <w:sz w:val="24"/>
          <w:szCs w:val="24"/>
          <w:lang w:eastAsia="en-GB"/>
        </w:rPr>
        <w:t xml:space="preserve"> Therefore, sectarian governance survived and endured because postcolonial elites realised it was politically beneficial for them for only because it was externally imposed but because it helped maintain the status quo of power they enjoyed. </w:t>
      </w:r>
    </w:p>
    <w:p w:rsidR="001E0215" w:rsidRPr="001E0215" w:rsidRDefault="001E0215" w:rsidP="001E0215">
      <w:pPr>
        <w:spacing w:before="100" w:beforeAutospacing="1" w:after="100" w:afterAutospacing="1" w:line="240" w:lineRule="auto"/>
        <w:rPr>
          <w:rFonts w:ascii="Times New Roman" w:eastAsia="Times New Roman" w:hAnsi="Times New Roman" w:cs="Times New Roman"/>
          <w:sz w:val="24"/>
          <w:szCs w:val="24"/>
          <w:lang w:eastAsia="en-GB"/>
        </w:rPr>
      </w:pPr>
      <w:r w:rsidRPr="001E0215">
        <w:rPr>
          <w:rFonts w:ascii="Times New Roman" w:eastAsia="Times New Roman" w:hAnsi="Times New Roman" w:cs="Times New Roman"/>
          <w:sz w:val="24"/>
          <w:szCs w:val="24"/>
          <w:lang w:eastAsia="en-GB"/>
        </w:rPr>
        <w:t>The Taif Agree</w:t>
      </w:r>
      <w:r w:rsidR="00761A9E">
        <w:rPr>
          <w:rFonts w:ascii="Times New Roman" w:eastAsia="Times New Roman" w:hAnsi="Times New Roman" w:cs="Times New Roman"/>
          <w:sz w:val="24"/>
          <w:szCs w:val="24"/>
          <w:lang w:eastAsia="en-GB"/>
        </w:rPr>
        <w:t>ment of 1989 shows</w:t>
      </w:r>
      <w:r w:rsidRPr="001E0215">
        <w:rPr>
          <w:rFonts w:ascii="Times New Roman" w:eastAsia="Times New Roman" w:hAnsi="Times New Roman" w:cs="Times New Roman"/>
          <w:sz w:val="24"/>
          <w:szCs w:val="24"/>
          <w:lang w:eastAsia="en-GB"/>
        </w:rPr>
        <w:t xml:space="preserve"> this continuity</w:t>
      </w:r>
      <w:r w:rsidR="001D3C86">
        <w:rPr>
          <w:rFonts w:ascii="Times New Roman" w:eastAsia="Times New Roman" w:hAnsi="Times New Roman" w:cs="Times New Roman"/>
          <w:sz w:val="24"/>
          <w:szCs w:val="24"/>
          <w:lang w:eastAsia="en-GB"/>
        </w:rPr>
        <w:t xml:space="preserve"> ever further</w:t>
      </w:r>
      <w:r w:rsidRPr="001E0215">
        <w:rPr>
          <w:rFonts w:ascii="Times New Roman" w:eastAsia="Times New Roman" w:hAnsi="Times New Roman" w:cs="Times New Roman"/>
          <w:sz w:val="24"/>
          <w:szCs w:val="24"/>
          <w:lang w:eastAsia="en-GB"/>
        </w:rPr>
        <w:t xml:space="preserve">. Although </w:t>
      </w:r>
      <w:r w:rsidR="001D3C86">
        <w:rPr>
          <w:rFonts w:ascii="Times New Roman" w:eastAsia="Times New Roman" w:hAnsi="Times New Roman" w:cs="Times New Roman"/>
          <w:sz w:val="24"/>
          <w:szCs w:val="24"/>
          <w:lang w:eastAsia="en-GB"/>
        </w:rPr>
        <w:t xml:space="preserve">it was </w:t>
      </w:r>
      <w:r w:rsidRPr="001E0215">
        <w:rPr>
          <w:rFonts w:ascii="Times New Roman" w:eastAsia="Times New Roman" w:hAnsi="Times New Roman" w:cs="Times New Roman"/>
          <w:sz w:val="24"/>
          <w:szCs w:val="24"/>
          <w:lang w:eastAsia="en-GB"/>
        </w:rPr>
        <w:t>designed to end the Le</w:t>
      </w:r>
      <w:r w:rsidR="001D3C86">
        <w:rPr>
          <w:rFonts w:ascii="Times New Roman" w:eastAsia="Times New Roman" w:hAnsi="Times New Roman" w:cs="Times New Roman"/>
          <w:sz w:val="24"/>
          <w:szCs w:val="24"/>
          <w:lang w:eastAsia="en-GB"/>
        </w:rPr>
        <w:t xml:space="preserve">banese Civil War, Taif </w:t>
      </w:r>
      <w:r w:rsidR="00761A9E">
        <w:rPr>
          <w:rFonts w:ascii="Times New Roman" w:eastAsia="Times New Roman" w:hAnsi="Times New Roman" w:cs="Times New Roman"/>
          <w:sz w:val="24"/>
          <w:szCs w:val="24"/>
          <w:lang w:eastAsia="en-GB"/>
        </w:rPr>
        <w:t xml:space="preserve">actually maintained and preserved it with only a few adjustments made to reflect the growing Muslim population: </w:t>
      </w:r>
    </w:p>
    <w:p w:rsidR="001E0215" w:rsidRPr="001E0215" w:rsidRDefault="00005C7B" w:rsidP="001E0215">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w:t>
      </w:r>
      <w:r w:rsidR="001E0215" w:rsidRPr="001E0215">
        <w:rPr>
          <w:rFonts w:ascii="Times New Roman" w:eastAsia="Times New Roman" w:hAnsi="Times New Roman" w:cs="Times New Roman"/>
          <w:sz w:val="24"/>
          <w:szCs w:val="24"/>
          <w:lang w:eastAsia="en-GB"/>
        </w:rPr>
        <w:t xml:space="preserve">arliamentary representation shifted to Christian-Muslim parity, </w:t>
      </w:r>
    </w:p>
    <w:p w:rsidR="001E0215" w:rsidRPr="001E0215" w:rsidRDefault="00005C7B" w:rsidP="001E0215">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E</w:t>
      </w:r>
      <w:r w:rsidR="001E0215" w:rsidRPr="001E0215">
        <w:rPr>
          <w:rFonts w:ascii="Times New Roman" w:eastAsia="Times New Roman" w:hAnsi="Times New Roman" w:cs="Times New Roman"/>
          <w:sz w:val="24"/>
          <w:szCs w:val="24"/>
          <w:lang w:eastAsia="en-GB"/>
        </w:rPr>
        <w:t xml:space="preserve">xecutive authority moved away from the Maronite presidency, </w:t>
      </w:r>
    </w:p>
    <w:p w:rsidR="001E0215" w:rsidRDefault="00005C7B" w:rsidP="001E0215">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Y</w:t>
      </w:r>
      <w:r w:rsidR="001E0215" w:rsidRPr="001E0215">
        <w:rPr>
          <w:rFonts w:ascii="Times New Roman" w:eastAsia="Times New Roman" w:hAnsi="Times New Roman" w:cs="Times New Roman"/>
          <w:sz w:val="24"/>
          <w:szCs w:val="24"/>
          <w:lang w:eastAsia="en-GB"/>
        </w:rPr>
        <w:t>et sectarian office allocation remained intact (Taif Agreement source).</w:t>
      </w:r>
      <w:r w:rsidR="00F74AE4">
        <w:rPr>
          <w:rStyle w:val="FootnoteReference"/>
          <w:rFonts w:ascii="Times New Roman" w:eastAsia="Times New Roman" w:hAnsi="Times New Roman" w:cs="Times New Roman"/>
          <w:sz w:val="24"/>
          <w:szCs w:val="24"/>
          <w:lang w:eastAsia="en-GB"/>
        </w:rPr>
        <w:footnoteReference w:id="68"/>
      </w:r>
      <w:r w:rsidR="001E0215" w:rsidRPr="001E0215">
        <w:rPr>
          <w:rFonts w:ascii="Times New Roman" w:eastAsia="Times New Roman" w:hAnsi="Times New Roman" w:cs="Times New Roman"/>
          <w:sz w:val="24"/>
          <w:szCs w:val="24"/>
          <w:lang w:eastAsia="en-GB"/>
        </w:rPr>
        <w:t xml:space="preserve"> </w:t>
      </w:r>
    </w:p>
    <w:p w:rsidR="00697DD7" w:rsidRPr="001E0215" w:rsidRDefault="00697DD7" w:rsidP="00697DD7">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This source is useful as it demonstrated that even reform efforts could not move away from placing sectarian identity as the basis of political legitimacy. The agreement rhetorically called for the overturning of political sectarianism while at the same time reinforcing sectarian allocation quotas. This contradiction supports the argument that sectarian governance became self-reproducing beyond the French Mandate period. </w:t>
      </w:r>
    </w:p>
    <w:p w:rsidR="001E0215" w:rsidRDefault="004E5CD5" w:rsidP="001E0215">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However, </w:t>
      </w:r>
      <w:r w:rsidR="00FA724F">
        <w:rPr>
          <w:rFonts w:ascii="Times New Roman" w:eastAsia="Times New Roman" w:hAnsi="Times New Roman" w:cs="Times New Roman"/>
          <w:sz w:val="24"/>
          <w:szCs w:val="24"/>
          <w:lang w:eastAsia="en-GB"/>
        </w:rPr>
        <w:t xml:space="preserve">the </w:t>
      </w:r>
      <w:r>
        <w:rPr>
          <w:rFonts w:ascii="Times New Roman" w:eastAsia="Times New Roman" w:hAnsi="Times New Roman" w:cs="Times New Roman"/>
          <w:sz w:val="24"/>
          <w:szCs w:val="24"/>
          <w:lang w:eastAsia="en-GB"/>
        </w:rPr>
        <w:t>Taif a</w:t>
      </w:r>
      <w:r w:rsidR="00FA724F">
        <w:rPr>
          <w:rFonts w:ascii="Times New Roman" w:eastAsia="Times New Roman" w:hAnsi="Times New Roman" w:cs="Times New Roman"/>
          <w:sz w:val="24"/>
          <w:szCs w:val="24"/>
          <w:lang w:eastAsia="en-GB"/>
        </w:rPr>
        <w:t xml:space="preserve">lso reveals the limits to explaining the crisis purely through colonial determinism. By 1989, Lebanon had experienced a whirlwind of new crisis such as civil war, war with Israel, a new militia forming and demographic change. Therefore sectarian governance cannot be explained as solely originating from the Mandate.  </w:t>
      </w:r>
    </w:p>
    <w:p w:rsidR="00BC64A9" w:rsidRPr="001E0215" w:rsidRDefault="00A1287E" w:rsidP="001E0215">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Online news channel TLDR produced a report of the current state of the Lebanese political system and reported </w:t>
      </w:r>
      <w:r w:rsidR="00BC64A9">
        <w:rPr>
          <w:rFonts w:ascii="Times New Roman" w:eastAsia="Times New Roman" w:hAnsi="Times New Roman" w:cs="Times New Roman"/>
          <w:sz w:val="24"/>
          <w:szCs w:val="24"/>
          <w:lang w:eastAsia="en-GB"/>
        </w:rPr>
        <w:t xml:space="preserve">‘Lebanon is politically deadlocked’ and </w:t>
      </w:r>
      <w:r w:rsidR="009A6BDB">
        <w:rPr>
          <w:rFonts w:ascii="Times New Roman" w:eastAsia="Times New Roman" w:hAnsi="Times New Roman" w:cs="Times New Roman"/>
          <w:sz w:val="24"/>
          <w:szCs w:val="24"/>
          <w:lang w:eastAsia="en-GB"/>
        </w:rPr>
        <w:t>‘its Lebanon’s lack of state capacity eroded by years of political and economic crisis’ that has resulted in a ‘cruel paradox’ or a state of paralysis where due to the Taif agreement entrenching and reinforcing the confessional system along sectarian or communal lines, the state cannot make any effective changes thus finding itself in a constant state of crisis.</w:t>
      </w:r>
      <w:r>
        <w:rPr>
          <w:rStyle w:val="FootnoteReference"/>
          <w:rFonts w:ascii="Times New Roman" w:eastAsia="Times New Roman" w:hAnsi="Times New Roman" w:cs="Times New Roman"/>
          <w:sz w:val="24"/>
          <w:szCs w:val="24"/>
          <w:lang w:eastAsia="en-GB"/>
        </w:rPr>
        <w:footnoteReference w:id="69"/>
      </w:r>
      <w:r w:rsidR="009A6BDB">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Although this is a YouTube video analysis, it is from a reputable news source known for its fact based and neutral stance in reporting. </w:t>
      </w:r>
    </w:p>
    <w:p w:rsidR="001E0215" w:rsidRDefault="001E0215" w:rsidP="001E0215">
      <w:pPr>
        <w:spacing w:before="100" w:beforeAutospacing="1" w:after="100" w:afterAutospacing="1" w:line="240" w:lineRule="auto"/>
        <w:rPr>
          <w:rFonts w:ascii="Times New Roman" w:eastAsia="Times New Roman" w:hAnsi="Times New Roman" w:cs="Times New Roman"/>
          <w:sz w:val="24"/>
          <w:szCs w:val="24"/>
          <w:lang w:eastAsia="en-GB"/>
        </w:rPr>
      </w:pPr>
      <w:r w:rsidRPr="001E0215">
        <w:rPr>
          <w:rFonts w:ascii="Times New Roman" w:eastAsia="Times New Roman" w:hAnsi="Times New Roman" w:cs="Times New Roman"/>
          <w:sz w:val="24"/>
          <w:szCs w:val="24"/>
          <w:lang w:eastAsia="en-GB"/>
        </w:rPr>
        <w:t>This demographic transformation is illustrated by the contemporary religious map of Lebanon produced by the</w:t>
      </w:r>
      <w:r w:rsidR="00761A9E">
        <w:rPr>
          <w:rFonts w:ascii="Times New Roman" w:eastAsia="Times New Roman" w:hAnsi="Times New Roman" w:cs="Times New Roman"/>
          <w:sz w:val="24"/>
          <w:szCs w:val="24"/>
          <w:lang w:eastAsia="en-GB"/>
        </w:rPr>
        <w:t xml:space="preserve"> New Lines Institute on the Brilliant Maps website</w:t>
      </w:r>
      <w:r w:rsidRPr="001E0215">
        <w:rPr>
          <w:rFonts w:ascii="Times New Roman" w:eastAsia="Times New Roman" w:hAnsi="Times New Roman" w:cs="Times New Roman"/>
          <w:sz w:val="24"/>
          <w:szCs w:val="24"/>
          <w:lang w:eastAsia="en-GB"/>
        </w:rPr>
        <w:t>. The map suggests Muslims now form roughly 64 percent of the population, despite the political system still reflecting older confessional balances rooted in the Mandate era.</w:t>
      </w:r>
      <w:r w:rsidR="00082908">
        <w:rPr>
          <w:rStyle w:val="FootnoteReference"/>
          <w:rFonts w:ascii="Times New Roman" w:eastAsia="Times New Roman" w:hAnsi="Times New Roman" w:cs="Times New Roman"/>
          <w:sz w:val="24"/>
          <w:szCs w:val="24"/>
          <w:lang w:eastAsia="en-GB"/>
        </w:rPr>
        <w:footnoteReference w:id="70"/>
      </w:r>
    </w:p>
    <w:p w:rsidR="00761A9E" w:rsidRDefault="007A5864" w:rsidP="001E0215">
      <w:pPr>
        <w:spacing w:before="100" w:beforeAutospacing="1" w:after="100" w:afterAutospacing="1" w:line="240" w:lineRule="auto"/>
        <w:rPr>
          <w:rFonts w:ascii="Times New Roman" w:eastAsia="Times New Roman" w:hAnsi="Times New Roman" w:cs="Times New Roman"/>
          <w:sz w:val="24"/>
          <w:szCs w:val="24"/>
          <w:lang w:eastAsia="en-GB"/>
        </w:rPr>
      </w:pPr>
      <w:r w:rsidRPr="004007F7">
        <w:rPr>
          <w:rFonts w:ascii="Times New Roman" w:eastAsia="Times New Roman" w:hAnsi="Times New Roman" w:cs="Times New Roman"/>
          <w:sz w:val="24"/>
          <w:szCs w:val="24"/>
          <w:lang w:eastAsia="en-GB"/>
        </w:rPr>
        <w:lastRenderedPageBreak/>
        <w:pict>
          <v:shape id="_x0000_i1029" type="#_x0000_t75" style="width:274.9pt;height:296.75pt">
            <v:imagedata r:id="rId17" o:title="leb map"/>
          </v:shape>
        </w:pict>
      </w:r>
    </w:p>
    <w:p w:rsidR="00761A9E" w:rsidRPr="00FA724F" w:rsidRDefault="00761A9E" w:rsidP="001E0215">
      <w:pPr>
        <w:spacing w:before="100" w:beforeAutospacing="1" w:after="100" w:afterAutospacing="1" w:line="240" w:lineRule="auto"/>
        <w:rPr>
          <w:rFonts w:ascii="Times New Roman" w:eastAsia="Times New Roman" w:hAnsi="Times New Roman" w:cs="Times New Roman"/>
          <w:sz w:val="20"/>
          <w:szCs w:val="20"/>
          <w:lang w:eastAsia="en-GB"/>
        </w:rPr>
      </w:pPr>
      <w:r w:rsidRPr="00FA724F">
        <w:rPr>
          <w:rFonts w:ascii="Times New Roman" w:eastAsia="Times New Roman" w:hAnsi="Times New Roman" w:cs="Times New Roman"/>
          <w:sz w:val="20"/>
          <w:szCs w:val="20"/>
          <w:lang w:eastAsia="en-GB"/>
        </w:rPr>
        <w:t>Figure 9: Lebanon’s Religious Demographics map showing the increase of the Muslim population as compared to the previous Christian majority population.</w:t>
      </w:r>
      <w:r w:rsidRPr="00FA724F">
        <w:rPr>
          <w:rStyle w:val="FootnoteReference"/>
          <w:rFonts w:ascii="Times New Roman" w:eastAsia="Times New Roman" w:hAnsi="Times New Roman" w:cs="Times New Roman"/>
          <w:sz w:val="20"/>
          <w:szCs w:val="20"/>
          <w:lang w:eastAsia="en-GB"/>
        </w:rPr>
        <w:footnoteReference w:id="71"/>
      </w:r>
    </w:p>
    <w:p w:rsidR="001E0215" w:rsidRPr="001E0215" w:rsidRDefault="00FA724F" w:rsidP="001E0215">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This</w:t>
      </w:r>
      <w:r w:rsidR="001E0215" w:rsidRPr="001E0215">
        <w:rPr>
          <w:rFonts w:ascii="Times New Roman" w:eastAsia="Times New Roman" w:hAnsi="Times New Roman" w:cs="Times New Roman"/>
          <w:sz w:val="24"/>
          <w:szCs w:val="24"/>
          <w:lang w:eastAsia="en-GB"/>
        </w:rPr>
        <w:t xml:space="preserve"> source</w:t>
      </w:r>
      <w:r>
        <w:rPr>
          <w:rFonts w:ascii="Times New Roman" w:eastAsia="Times New Roman" w:hAnsi="Times New Roman" w:cs="Times New Roman"/>
          <w:sz w:val="24"/>
          <w:szCs w:val="24"/>
          <w:lang w:eastAsia="en-GB"/>
        </w:rPr>
        <w:t xml:space="preserve"> in figure 9</w:t>
      </w:r>
      <w:r w:rsidR="001E0215" w:rsidRPr="001E0215">
        <w:rPr>
          <w:rFonts w:ascii="Times New Roman" w:eastAsia="Times New Roman" w:hAnsi="Times New Roman" w:cs="Times New Roman"/>
          <w:sz w:val="24"/>
          <w:szCs w:val="24"/>
          <w:lang w:eastAsia="en-GB"/>
        </w:rPr>
        <w:t xml:space="preserve"> is analytically valuable because it </w:t>
      </w:r>
      <w:r>
        <w:rPr>
          <w:rFonts w:ascii="Times New Roman" w:eastAsia="Times New Roman" w:hAnsi="Times New Roman" w:cs="Times New Roman"/>
          <w:sz w:val="24"/>
          <w:szCs w:val="24"/>
          <w:lang w:eastAsia="en-GB"/>
        </w:rPr>
        <w:t xml:space="preserve">highlights the divide between demographic realities and the enduring political structure. </w:t>
      </w:r>
      <w:r w:rsidR="001E0215" w:rsidRPr="001E0215">
        <w:rPr>
          <w:rFonts w:ascii="Times New Roman" w:eastAsia="Times New Roman" w:hAnsi="Times New Roman" w:cs="Times New Roman"/>
          <w:sz w:val="24"/>
          <w:szCs w:val="24"/>
          <w:lang w:eastAsia="en-GB"/>
        </w:rPr>
        <w:t>However, Lebanon has not conducted an official census since 1932 due to the political sensitivity of sectarian demographics, meaning the map relies on estima</w:t>
      </w:r>
      <w:r w:rsidR="00974389">
        <w:rPr>
          <w:rFonts w:ascii="Times New Roman" w:eastAsia="Times New Roman" w:hAnsi="Times New Roman" w:cs="Times New Roman"/>
          <w:sz w:val="24"/>
          <w:szCs w:val="24"/>
          <w:lang w:eastAsia="en-GB"/>
        </w:rPr>
        <w:t xml:space="preserve">ted rather than definitively provable data unless one looks at election results that pain a closer picture to the new reality. </w:t>
      </w:r>
    </w:p>
    <w:p w:rsidR="001953A7" w:rsidRPr="00094A26" w:rsidRDefault="00974389" w:rsidP="00094A26">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Max Weiss’s argument that sectarianism emerged through ‘a dialectical relationship between attempts at divide and rule from above and clamorous demands from below’ becomes particularly relevant again here.</w:t>
      </w:r>
      <w:r w:rsidR="00047910">
        <w:rPr>
          <w:rStyle w:val="FootnoteReference"/>
          <w:rFonts w:ascii="Times New Roman" w:eastAsia="Times New Roman" w:hAnsi="Times New Roman" w:cs="Times New Roman"/>
          <w:sz w:val="24"/>
          <w:szCs w:val="24"/>
          <w:lang w:eastAsia="en-GB"/>
        </w:rPr>
        <w:footnoteReference w:id="72"/>
      </w:r>
      <w:r>
        <w:rPr>
          <w:rFonts w:ascii="Times New Roman" w:eastAsia="Times New Roman" w:hAnsi="Times New Roman" w:cs="Times New Roman"/>
          <w:sz w:val="24"/>
          <w:szCs w:val="24"/>
          <w:lang w:eastAsia="en-GB"/>
        </w:rPr>
        <w:t xml:space="preserve"> </w:t>
      </w:r>
      <w:r w:rsidR="00047910">
        <w:rPr>
          <w:rFonts w:ascii="Times New Roman" w:eastAsia="Times New Roman" w:hAnsi="Times New Roman" w:cs="Times New Roman"/>
          <w:sz w:val="24"/>
          <w:szCs w:val="24"/>
          <w:lang w:eastAsia="en-GB"/>
        </w:rPr>
        <w:t xml:space="preserve">Lebanese sectarian governance persisted not because communities were naturally divided, but differences were reproduced by the colonisers and the elites. </w:t>
      </w:r>
      <w:r w:rsidR="00094A26">
        <w:rPr>
          <w:rFonts w:ascii="Times New Roman" w:eastAsia="Times New Roman" w:hAnsi="Times New Roman" w:cs="Times New Roman"/>
          <w:sz w:val="24"/>
          <w:szCs w:val="24"/>
          <w:lang w:eastAsia="en-GB"/>
        </w:rPr>
        <w:t xml:space="preserve">Therefore Lebanon demonstrated strong institutional continuity of Mandate governance, which is reproduced and reinvented leading to a divided outcome as before. </w:t>
      </w:r>
    </w:p>
    <w:p w:rsidR="00CD45FF" w:rsidRDefault="00CD45FF" w:rsidP="001E0215">
      <w:pPr>
        <w:spacing w:before="100" w:beforeAutospacing="1" w:after="100" w:afterAutospacing="1" w:line="240" w:lineRule="auto"/>
        <w:outlineLvl w:val="1"/>
        <w:rPr>
          <w:rFonts w:ascii="Times New Roman" w:eastAsia="Times New Roman" w:hAnsi="Times New Roman" w:cs="Times New Roman"/>
          <w:b/>
          <w:bCs/>
          <w:sz w:val="24"/>
          <w:szCs w:val="24"/>
          <w:lang w:eastAsia="en-GB"/>
        </w:rPr>
      </w:pPr>
    </w:p>
    <w:p w:rsidR="00CD45FF" w:rsidRDefault="00CD45FF" w:rsidP="001E0215">
      <w:pPr>
        <w:spacing w:before="100" w:beforeAutospacing="1" w:after="100" w:afterAutospacing="1" w:line="240" w:lineRule="auto"/>
        <w:outlineLvl w:val="1"/>
        <w:rPr>
          <w:rFonts w:ascii="Times New Roman" w:eastAsia="Times New Roman" w:hAnsi="Times New Roman" w:cs="Times New Roman"/>
          <w:b/>
          <w:bCs/>
          <w:sz w:val="24"/>
          <w:szCs w:val="24"/>
          <w:lang w:eastAsia="en-GB"/>
        </w:rPr>
      </w:pPr>
    </w:p>
    <w:p w:rsidR="001E0215" w:rsidRPr="00094A26" w:rsidRDefault="001E0215" w:rsidP="001E0215">
      <w:pPr>
        <w:spacing w:before="100" w:beforeAutospacing="1" w:after="100" w:afterAutospacing="1" w:line="240" w:lineRule="auto"/>
        <w:outlineLvl w:val="1"/>
        <w:rPr>
          <w:rFonts w:ascii="Times New Roman" w:eastAsia="Times New Roman" w:hAnsi="Times New Roman" w:cs="Times New Roman"/>
          <w:b/>
          <w:bCs/>
          <w:sz w:val="24"/>
          <w:szCs w:val="24"/>
          <w:lang w:eastAsia="en-GB"/>
        </w:rPr>
      </w:pPr>
      <w:r w:rsidRPr="00094A26">
        <w:rPr>
          <w:rFonts w:ascii="Times New Roman" w:eastAsia="Times New Roman" w:hAnsi="Times New Roman" w:cs="Times New Roman"/>
          <w:b/>
          <w:bCs/>
          <w:sz w:val="24"/>
          <w:szCs w:val="24"/>
          <w:lang w:eastAsia="en-GB"/>
        </w:rPr>
        <w:t>3. Syria: Informal Sectarianism and Authoritarian Hierarchy</w:t>
      </w:r>
    </w:p>
    <w:p w:rsidR="00094A26" w:rsidRDefault="007474BF" w:rsidP="001E0215">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Unlike Lebanon, Syria did not institutionalise confessionalism constitutionally post independence. Officially, postcolonial Syrian regimes promoted Arab nationalism and anti-</w:t>
      </w:r>
      <w:r>
        <w:rPr>
          <w:rFonts w:ascii="Times New Roman" w:eastAsia="Times New Roman" w:hAnsi="Times New Roman" w:cs="Times New Roman"/>
          <w:sz w:val="24"/>
          <w:szCs w:val="24"/>
          <w:lang w:eastAsia="en-GB"/>
        </w:rPr>
        <w:lastRenderedPageBreak/>
        <w:t>sectarian rhetoric. However, sectarian hierarchy persisted informally through military structures and recruitment processes as well as security and authoritarian networks. This system was rooted in Mandate governance. As Michael Provence argues, French authorities viewed Damascus, Aleppo, and Hama, as ‘hotbeds of anti-colonial nationalist resistance’ and systematically marginalised and excluded urban nationalist elites from governance.’</w:t>
      </w:r>
      <w:r>
        <w:rPr>
          <w:rStyle w:val="FootnoteReference"/>
          <w:rFonts w:ascii="Times New Roman" w:eastAsia="Times New Roman" w:hAnsi="Times New Roman" w:cs="Times New Roman"/>
          <w:sz w:val="24"/>
          <w:szCs w:val="24"/>
          <w:lang w:eastAsia="en-GB"/>
        </w:rPr>
        <w:footnoteReference w:id="73"/>
      </w:r>
      <w:r>
        <w:rPr>
          <w:rFonts w:ascii="Times New Roman" w:eastAsia="Times New Roman" w:hAnsi="Times New Roman" w:cs="Times New Roman"/>
          <w:sz w:val="24"/>
          <w:szCs w:val="24"/>
          <w:lang w:eastAsia="en-GB"/>
        </w:rPr>
        <w:t xml:space="preserve"> Instead, colonial authorities depended on intermediaries and minority linked governance structures. </w:t>
      </w:r>
    </w:p>
    <w:p w:rsidR="001D3483" w:rsidRDefault="007810C6" w:rsidP="001E0215">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most significant continuity can be seen within the military-security apparatus</w:t>
      </w:r>
      <w:r w:rsidR="001D3483">
        <w:rPr>
          <w:rFonts w:ascii="Times New Roman" w:eastAsia="Times New Roman" w:hAnsi="Times New Roman" w:cs="Times New Roman"/>
          <w:sz w:val="24"/>
          <w:szCs w:val="24"/>
          <w:lang w:eastAsia="en-GB"/>
        </w:rPr>
        <w:t xml:space="preserve">. This is highlighted </w:t>
      </w:r>
      <w:r w:rsidR="001E0215" w:rsidRPr="001E0215">
        <w:rPr>
          <w:rFonts w:ascii="Times New Roman" w:eastAsia="Times New Roman" w:hAnsi="Times New Roman" w:cs="Times New Roman"/>
          <w:sz w:val="24"/>
          <w:szCs w:val="24"/>
          <w:lang w:eastAsia="en-GB"/>
        </w:rPr>
        <w:t xml:space="preserve">by the testimony recorded in Nikolaos van Dam’s </w:t>
      </w:r>
      <w:r w:rsidR="001E0215" w:rsidRPr="001D3483">
        <w:rPr>
          <w:rFonts w:ascii="Times New Roman" w:eastAsia="Times New Roman" w:hAnsi="Times New Roman" w:cs="Times New Roman"/>
          <w:iCs/>
          <w:sz w:val="24"/>
          <w:szCs w:val="24"/>
          <w:lang w:eastAsia="en-GB"/>
        </w:rPr>
        <w:t>The Struggle for Power in Syria</w:t>
      </w:r>
      <w:r w:rsidR="001E0215" w:rsidRPr="001D3483">
        <w:rPr>
          <w:rFonts w:ascii="Times New Roman" w:eastAsia="Times New Roman" w:hAnsi="Times New Roman" w:cs="Times New Roman"/>
          <w:sz w:val="24"/>
          <w:szCs w:val="24"/>
          <w:lang w:eastAsia="en-GB"/>
        </w:rPr>
        <w:t>. In the confession, First Sergeant ‘Ali Fadil describes</w:t>
      </w:r>
      <w:r w:rsidR="001E0215" w:rsidRPr="001E0215">
        <w:rPr>
          <w:rFonts w:ascii="Times New Roman" w:eastAsia="Times New Roman" w:hAnsi="Times New Roman" w:cs="Times New Roman"/>
          <w:sz w:val="24"/>
          <w:szCs w:val="24"/>
          <w:lang w:eastAsia="en-GB"/>
        </w:rPr>
        <w:t xml:space="preserve"> discussio</w:t>
      </w:r>
      <w:r w:rsidR="001D3483">
        <w:rPr>
          <w:rFonts w:ascii="Times New Roman" w:eastAsia="Times New Roman" w:hAnsi="Times New Roman" w:cs="Times New Roman"/>
          <w:sz w:val="24"/>
          <w:szCs w:val="24"/>
          <w:lang w:eastAsia="en-GB"/>
        </w:rPr>
        <w:t>ns within military units about ‘</w:t>
      </w:r>
      <w:r w:rsidR="001E0215" w:rsidRPr="001E0215">
        <w:rPr>
          <w:rFonts w:ascii="Times New Roman" w:eastAsia="Times New Roman" w:hAnsi="Times New Roman" w:cs="Times New Roman"/>
          <w:sz w:val="24"/>
          <w:szCs w:val="24"/>
          <w:lang w:eastAsia="en-GB"/>
        </w:rPr>
        <w:t>the</w:t>
      </w:r>
      <w:r w:rsidR="001D3483">
        <w:rPr>
          <w:rFonts w:ascii="Times New Roman" w:eastAsia="Times New Roman" w:hAnsi="Times New Roman" w:cs="Times New Roman"/>
          <w:sz w:val="24"/>
          <w:szCs w:val="24"/>
          <w:lang w:eastAsia="en-GB"/>
        </w:rPr>
        <w:t xml:space="preserve"> Sunni bloc and the Alawi bloc,’ warning that ‘</w:t>
      </w:r>
      <w:r w:rsidR="001E0215" w:rsidRPr="001E0215">
        <w:rPr>
          <w:rFonts w:ascii="Times New Roman" w:eastAsia="Times New Roman" w:hAnsi="Times New Roman" w:cs="Times New Roman"/>
          <w:sz w:val="24"/>
          <w:szCs w:val="24"/>
          <w:lang w:eastAsia="en-GB"/>
        </w:rPr>
        <w:t>the Alawis were forming a bloc</w:t>
      </w:r>
      <w:r w:rsidR="001D3483">
        <w:rPr>
          <w:rFonts w:ascii="Times New Roman" w:eastAsia="Times New Roman" w:hAnsi="Times New Roman" w:cs="Times New Roman"/>
          <w:sz w:val="24"/>
          <w:szCs w:val="24"/>
          <w:lang w:eastAsia="en-GB"/>
        </w:rPr>
        <w:t xml:space="preserve"> against Islam</w:t>
      </w:r>
      <w:r w:rsidR="001E0215" w:rsidRPr="001E0215">
        <w:rPr>
          <w:rFonts w:ascii="Times New Roman" w:eastAsia="Times New Roman" w:hAnsi="Times New Roman" w:cs="Times New Roman"/>
          <w:sz w:val="24"/>
          <w:szCs w:val="24"/>
          <w:lang w:eastAsia="en-GB"/>
        </w:rPr>
        <w:t>.</w:t>
      </w:r>
      <w:r w:rsidR="001D3483">
        <w:rPr>
          <w:rFonts w:ascii="Times New Roman" w:eastAsia="Times New Roman" w:hAnsi="Times New Roman" w:cs="Times New Roman"/>
          <w:sz w:val="24"/>
          <w:szCs w:val="24"/>
          <w:lang w:eastAsia="en-GB"/>
        </w:rPr>
        <w:t>’</w:t>
      </w:r>
      <w:r>
        <w:rPr>
          <w:rStyle w:val="FootnoteReference"/>
          <w:rFonts w:ascii="Times New Roman" w:eastAsia="Times New Roman" w:hAnsi="Times New Roman" w:cs="Times New Roman"/>
          <w:sz w:val="24"/>
          <w:szCs w:val="24"/>
          <w:lang w:eastAsia="en-GB"/>
        </w:rPr>
        <w:footnoteReference w:id="74"/>
      </w:r>
      <w:r w:rsidR="001D3483">
        <w:rPr>
          <w:rFonts w:ascii="Times New Roman" w:eastAsia="Times New Roman" w:hAnsi="Times New Roman" w:cs="Times New Roman"/>
          <w:sz w:val="24"/>
          <w:szCs w:val="24"/>
          <w:lang w:eastAsia="en-GB"/>
        </w:rPr>
        <w:t xml:space="preserve"> </w:t>
      </w:r>
      <w:r w:rsidR="001E0215" w:rsidRPr="001E0215">
        <w:rPr>
          <w:rFonts w:ascii="Times New Roman" w:eastAsia="Times New Roman" w:hAnsi="Times New Roman" w:cs="Times New Roman"/>
          <w:sz w:val="24"/>
          <w:szCs w:val="24"/>
          <w:lang w:eastAsia="en-GB"/>
        </w:rPr>
        <w:t>This source is valuable because it provides direct evidence of sectarian perception inside mili</w:t>
      </w:r>
      <w:r w:rsidR="001D3483">
        <w:rPr>
          <w:rFonts w:ascii="Times New Roman" w:eastAsia="Times New Roman" w:hAnsi="Times New Roman" w:cs="Times New Roman"/>
          <w:sz w:val="24"/>
          <w:szCs w:val="24"/>
          <w:lang w:eastAsia="en-GB"/>
        </w:rPr>
        <w:t>tary structures. It shows</w:t>
      </w:r>
      <w:r w:rsidR="001E0215" w:rsidRPr="001E0215">
        <w:rPr>
          <w:rFonts w:ascii="Times New Roman" w:eastAsia="Times New Roman" w:hAnsi="Times New Roman" w:cs="Times New Roman"/>
          <w:sz w:val="24"/>
          <w:szCs w:val="24"/>
          <w:lang w:eastAsia="en-GB"/>
        </w:rPr>
        <w:t xml:space="preserve"> that communal identity </w:t>
      </w:r>
      <w:r w:rsidR="001D3483">
        <w:rPr>
          <w:rFonts w:ascii="Times New Roman" w:eastAsia="Times New Roman" w:hAnsi="Times New Roman" w:cs="Times New Roman"/>
          <w:sz w:val="24"/>
          <w:szCs w:val="24"/>
          <w:lang w:eastAsia="en-GB"/>
        </w:rPr>
        <w:t xml:space="preserve">was a political reality despite the regimes stating otherwise. </w:t>
      </w:r>
    </w:p>
    <w:p w:rsidR="00C74C27" w:rsidRPr="001E0215" w:rsidRDefault="001E0215" w:rsidP="001E0215">
      <w:pPr>
        <w:spacing w:before="100" w:beforeAutospacing="1" w:after="100" w:afterAutospacing="1" w:line="240" w:lineRule="auto"/>
        <w:rPr>
          <w:rFonts w:ascii="Times New Roman" w:eastAsia="Times New Roman" w:hAnsi="Times New Roman" w:cs="Times New Roman"/>
          <w:sz w:val="24"/>
          <w:szCs w:val="24"/>
          <w:lang w:eastAsia="en-GB"/>
        </w:rPr>
      </w:pPr>
      <w:r w:rsidRPr="001E0215">
        <w:rPr>
          <w:rFonts w:ascii="Times New Roman" w:eastAsia="Times New Roman" w:hAnsi="Times New Roman" w:cs="Times New Roman"/>
          <w:sz w:val="24"/>
          <w:szCs w:val="24"/>
          <w:lang w:eastAsia="en-GB"/>
        </w:rPr>
        <w:t>However, the source also has limitations. The testimony emerged within a politically charged environment and may reflect fear, factionalism, or retrospective interpretation rather than objective truth. Van Dam’</w:t>
      </w:r>
      <w:r w:rsidR="001D3483">
        <w:rPr>
          <w:rFonts w:ascii="Times New Roman" w:eastAsia="Times New Roman" w:hAnsi="Times New Roman" w:cs="Times New Roman"/>
          <w:sz w:val="24"/>
          <w:szCs w:val="24"/>
          <w:lang w:eastAsia="en-GB"/>
        </w:rPr>
        <w:t xml:space="preserve">s work has also been critiqued </w:t>
      </w:r>
      <w:r w:rsidR="00B75E98">
        <w:rPr>
          <w:rFonts w:ascii="Times New Roman" w:eastAsia="Times New Roman" w:hAnsi="Times New Roman" w:cs="Times New Roman"/>
          <w:sz w:val="24"/>
          <w:szCs w:val="24"/>
          <w:lang w:eastAsia="en-GB"/>
        </w:rPr>
        <w:t xml:space="preserve">for his often over emphasis of sectarian structures and dynamics without </w:t>
      </w:r>
      <w:r w:rsidR="00BE6D57">
        <w:rPr>
          <w:rFonts w:ascii="Times New Roman" w:eastAsia="Times New Roman" w:hAnsi="Times New Roman" w:cs="Times New Roman"/>
          <w:sz w:val="24"/>
          <w:szCs w:val="24"/>
          <w:lang w:eastAsia="en-GB"/>
        </w:rPr>
        <w:t>focus</w:t>
      </w:r>
      <w:r w:rsidR="00B75E98">
        <w:rPr>
          <w:rFonts w:ascii="Times New Roman" w:eastAsia="Times New Roman" w:hAnsi="Times New Roman" w:cs="Times New Roman"/>
          <w:sz w:val="24"/>
          <w:szCs w:val="24"/>
          <w:lang w:eastAsia="en-GB"/>
        </w:rPr>
        <w:t xml:space="preserve">ing on ideology and patronage networks. Nevertheless, the source does strongly support the idea that postcolonial Syria reproduced informal communal hierarchies which were partly rooted in French Mandate recruitment and exclusion dynamics. </w:t>
      </w:r>
    </w:p>
    <w:p w:rsidR="001E0215" w:rsidRDefault="001E0215" w:rsidP="001E0215">
      <w:pPr>
        <w:spacing w:before="100" w:beforeAutospacing="1" w:after="100" w:afterAutospacing="1" w:line="240" w:lineRule="auto"/>
        <w:rPr>
          <w:rFonts w:ascii="Times New Roman" w:eastAsia="Times New Roman" w:hAnsi="Times New Roman" w:cs="Times New Roman"/>
          <w:sz w:val="24"/>
          <w:szCs w:val="24"/>
          <w:lang w:eastAsia="en-GB"/>
        </w:rPr>
      </w:pPr>
      <w:r w:rsidRPr="001E0215">
        <w:rPr>
          <w:rFonts w:ascii="Times New Roman" w:eastAsia="Times New Roman" w:hAnsi="Times New Roman" w:cs="Times New Roman"/>
          <w:sz w:val="24"/>
          <w:szCs w:val="24"/>
          <w:lang w:eastAsia="en-GB"/>
        </w:rPr>
        <w:t xml:space="preserve">This hierarchy became increasingly visible under Hafiz al-Asad. </w:t>
      </w:r>
      <w:r w:rsidR="00B75E98">
        <w:rPr>
          <w:rFonts w:ascii="Times New Roman" w:eastAsia="Times New Roman" w:hAnsi="Times New Roman" w:cs="Times New Roman"/>
          <w:sz w:val="24"/>
          <w:szCs w:val="24"/>
          <w:lang w:eastAsia="en-GB"/>
        </w:rPr>
        <w:t>The image of Asad in figure 10 illustrates how authoritarian rule was dependent on symbolism and domination and hierarchical structures or levels of loyalty.</w:t>
      </w:r>
      <w:r w:rsidR="00C74C27">
        <w:rPr>
          <w:rStyle w:val="FootnoteReference"/>
          <w:rFonts w:ascii="Times New Roman" w:eastAsia="Times New Roman" w:hAnsi="Times New Roman" w:cs="Times New Roman"/>
          <w:sz w:val="24"/>
          <w:szCs w:val="24"/>
          <w:lang w:eastAsia="en-GB"/>
        </w:rPr>
        <w:footnoteReference w:id="75"/>
      </w:r>
    </w:p>
    <w:p w:rsidR="00C74C27" w:rsidRDefault="00C74C27" w:rsidP="001E0215">
      <w:pPr>
        <w:spacing w:before="100" w:beforeAutospacing="1" w:after="100" w:afterAutospacing="1" w:line="240" w:lineRule="auto"/>
        <w:rPr>
          <w:rFonts w:ascii="Times New Roman" w:eastAsia="Times New Roman" w:hAnsi="Times New Roman" w:cs="Times New Roman"/>
          <w:sz w:val="24"/>
          <w:szCs w:val="24"/>
          <w:lang w:eastAsia="en-GB"/>
        </w:rPr>
      </w:pPr>
      <w:r>
        <w:rPr>
          <w:noProof/>
          <w:lang w:eastAsia="en-GB"/>
        </w:rPr>
        <w:drawing>
          <wp:inline distT="0" distB="0" distL="0" distR="0">
            <wp:extent cx="4836968" cy="2939602"/>
            <wp:effectExtent l="19050" t="0" r="1732" b="0"/>
            <wp:docPr id="132" name="Picture 132" descr="File:Portrait of Hafez al-Assad during the 1987 Mediterranean Games opening  ceremony (2).png -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File:Portrait of Hafez al-Assad during the 1987 Mediterranean Games opening  ceremony (2).png - Wikimedia Commons"/>
                    <pic:cNvPicPr>
                      <a:picLocks noChangeAspect="1" noChangeArrowheads="1"/>
                    </pic:cNvPicPr>
                  </pic:nvPicPr>
                  <pic:blipFill>
                    <a:blip r:embed="rId18" cstate="print"/>
                    <a:srcRect/>
                    <a:stretch>
                      <a:fillRect/>
                    </a:stretch>
                  </pic:blipFill>
                  <pic:spPr bwMode="auto">
                    <a:xfrm>
                      <a:off x="0" y="0"/>
                      <a:ext cx="4835344" cy="2938615"/>
                    </a:xfrm>
                    <a:prstGeom prst="rect">
                      <a:avLst/>
                    </a:prstGeom>
                    <a:noFill/>
                    <a:ln w="9525">
                      <a:noFill/>
                      <a:miter lim="800000"/>
                      <a:headEnd/>
                      <a:tailEnd/>
                    </a:ln>
                  </pic:spPr>
                </pic:pic>
              </a:graphicData>
            </a:graphic>
          </wp:inline>
        </w:drawing>
      </w:r>
    </w:p>
    <w:p w:rsidR="00C74C27" w:rsidRPr="00C74C27" w:rsidRDefault="00C74C27" w:rsidP="001E0215">
      <w:pPr>
        <w:spacing w:before="100" w:beforeAutospacing="1" w:after="100" w:afterAutospacing="1" w:line="240" w:lineRule="auto"/>
        <w:rPr>
          <w:rFonts w:ascii="Times New Roman" w:eastAsia="Times New Roman" w:hAnsi="Times New Roman" w:cs="Times New Roman"/>
          <w:sz w:val="20"/>
          <w:szCs w:val="20"/>
          <w:lang w:eastAsia="en-GB"/>
        </w:rPr>
      </w:pPr>
      <w:r w:rsidRPr="00C74C27">
        <w:rPr>
          <w:rFonts w:ascii="Times New Roman" w:eastAsia="Times New Roman" w:hAnsi="Times New Roman" w:cs="Times New Roman"/>
          <w:sz w:val="20"/>
          <w:szCs w:val="20"/>
          <w:lang w:eastAsia="en-GB"/>
        </w:rPr>
        <w:lastRenderedPageBreak/>
        <w:t xml:space="preserve">Figure 10: Opening Ceremony of the Mediterranean Games, </w:t>
      </w:r>
      <w:proofErr w:type="spellStart"/>
      <w:r w:rsidRPr="00C74C27">
        <w:rPr>
          <w:rFonts w:ascii="Times New Roman" w:eastAsia="Times New Roman" w:hAnsi="Times New Roman" w:cs="Times New Roman"/>
          <w:sz w:val="20"/>
          <w:szCs w:val="20"/>
          <w:lang w:eastAsia="en-GB"/>
        </w:rPr>
        <w:t>Lattakia</w:t>
      </w:r>
      <w:proofErr w:type="spellEnd"/>
      <w:r w:rsidRPr="00C74C27">
        <w:rPr>
          <w:rFonts w:ascii="Times New Roman" w:eastAsia="Times New Roman" w:hAnsi="Times New Roman" w:cs="Times New Roman"/>
          <w:sz w:val="20"/>
          <w:szCs w:val="20"/>
          <w:lang w:eastAsia="en-GB"/>
        </w:rPr>
        <w:t>, in 1987, depicting Hafiz al-</w:t>
      </w:r>
      <w:proofErr w:type="spellStart"/>
      <w:r w:rsidRPr="00C74C27">
        <w:rPr>
          <w:rFonts w:ascii="Times New Roman" w:eastAsia="Times New Roman" w:hAnsi="Times New Roman" w:cs="Times New Roman"/>
          <w:sz w:val="20"/>
          <w:szCs w:val="20"/>
          <w:lang w:eastAsia="en-GB"/>
        </w:rPr>
        <w:t>Asads</w:t>
      </w:r>
      <w:proofErr w:type="spellEnd"/>
      <w:r w:rsidRPr="00C74C27">
        <w:rPr>
          <w:rFonts w:ascii="Times New Roman" w:eastAsia="Times New Roman" w:hAnsi="Times New Roman" w:cs="Times New Roman"/>
          <w:sz w:val="20"/>
          <w:szCs w:val="20"/>
          <w:lang w:eastAsia="en-GB"/>
        </w:rPr>
        <w:t xml:space="preserve"> face as omnipotent.</w:t>
      </w:r>
      <w:r>
        <w:rPr>
          <w:rStyle w:val="FootnoteReference"/>
          <w:rFonts w:ascii="Times New Roman" w:eastAsia="Times New Roman" w:hAnsi="Times New Roman" w:cs="Times New Roman"/>
          <w:sz w:val="20"/>
          <w:szCs w:val="20"/>
          <w:lang w:eastAsia="en-GB"/>
        </w:rPr>
        <w:footnoteReference w:id="76"/>
      </w:r>
    </w:p>
    <w:p w:rsidR="001E0215" w:rsidRDefault="001E0215" w:rsidP="001E0215">
      <w:pPr>
        <w:spacing w:before="100" w:beforeAutospacing="1" w:after="100" w:afterAutospacing="1" w:line="240" w:lineRule="auto"/>
        <w:rPr>
          <w:rFonts w:ascii="Times New Roman" w:eastAsia="Times New Roman" w:hAnsi="Times New Roman" w:cs="Times New Roman"/>
          <w:sz w:val="24"/>
          <w:szCs w:val="24"/>
          <w:lang w:eastAsia="en-GB"/>
        </w:rPr>
      </w:pPr>
      <w:r w:rsidRPr="001E0215">
        <w:rPr>
          <w:rFonts w:ascii="Times New Roman" w:eastAsia="Times New Roman" w:hAnsi="Times New Roman" w:cs="Times New Roman"/>
          <w:sz w:val="24"/>
          <w:szCs w:val="24"/>
          <w:lang w:eastAsia="en-GB"/>
        </w:rPr>
        <w:t>The source is important because it visually demonstrates the personalisation of power. Wedeen argues that such spectacles enforced obedience through rituals of public submission.</w:t>
      </w:r>
      <w:r w:rsidR="001D3483">
        <w:rPr>
          <w:rStyle w:val="FootnoteReference"/>
          <w:rFonts w:ascii="Times New Roman" w:eastAsia="Times New Roman" w:hAnsi="Times New Roman" w:cs="Times New Roman"/>
          <w:sz w:val="24"/>
          <w:szCs w:val="24"/>
          <w:lang w:eastAsia="en-GB"/>
        </w:rPr>
        <w:footnoteReference w:id="77"/>
      </w:r>
      <w:r w:rsidR="001D3483">
        <w:rPr>
          <w:rFonts w:ascii="Times New Roman" w:eastAsia="Times New Roman" w:hAnsi="Times New Roman" w:cs="Times New Roman"/>
          <w:sz w:val="24"/>
          <w:szCs w:val="24"/>
          <w:lang w:eastAsia="en-GB"/>
        </w:rPr>
        <w:t xml:space="preserve"> </w:t>
      </w:r>
      <w:r w:rsidRPr="001E0215">
        <w:rPr>
          <w:rFonts w:ascii="Times New Roman" w:eastAsia="Times New Roman" w:hAnsi="Times New Roman" w:cs="Times New Roman"/>
          <w:sz w:val="24"/>
          <w:szCs w:val="24"/>
          <w:lang w:eastAsia="en-GB"/>
        </w:rPr>
        <w:t>However, the image does not directly prove sectarianism. Rather, it shows how authoritarian governance replaced formal sectarian representation with systems of symbolic control and managed loyalty</w:t>
      </w:r>
      <w:r w:rsidR="001D3483">
        <w:rPr>
          <w:rFonts w:ascii="Times New Roman" w:eastAsia="Times New Roman" w:hAnsi="Times New Roman" w:cs="Times New Roman"/>
          <w:sz w:val="24"/>
          <w:szCs w:val="24"/>
          <w:lang w:eastAsia="en-GB"/>
        </w:rPr>
        <w:t xml:space="preserve"> with omnipotence displays and military parades</w:t>
      </w:r>
      <w:r w:rsidRPr="001E0215">
        <w:rPr>
          <w:rFonts w:ascii="Times New Roman" w:eastAsia="Times New Roman" w:hAnsi="Times New Roman" w:cs="Times New Roman"/>
          <w:sz w:val="24"/>
          <w:szCs w:val="24"/>
          <w:lang w:eastAsia="en-GB"/>
        </w:rPr>
        <w:t>.</w:t>
      </w:r>
      <w:r w:rsidR="00DB5FA8">
        <w:rPr>
          <w:rFonts w:ascii="Times New Roman" w:eastAsia="Times New Roman" w:hAnsi="Times New Roman" w:cs="Times New Roman"/>
          <w:sz w:val="24"/>
          <w:szCs w:val="24"/>
          <w:lang w:eastAsia="en-GB"/>
        </w:rPr>
        <w:t xml:space="preserve"> </w:t>
      </w:r>
      <w:r w:rsidRPr="001E0215">
        <w:rPr>
          <w:rFonts w:ascii="Times New Roman" w:eastAsia="Times New Roman" w:hAnsi="Times New Roman" w:cs="Times New Roman"/>
          <w:sz w:val="24"/>
          <w:szCs w:val="24"/>
          <w:lang w:eastAsia="en-GB"/>
        </w:rPr>
        <w:t>Thus, Syria demonstrates continuity with Mandate governance not through formal institutions, but through latent hierarchies embedded within coercive state structures.</w:t>
      </w:r>
    </w:p>
    <w:p w:rsidR="00DB5FA8" w:rsidRDefault="00DB5FA8" w:rsidP="00DB5FA8">
      <w:pPr>
        <w:tabs>
          <w:tab w:val="left" w:pos="6011"/>
        </w:tabs>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Comparing Continuity and Postcolonial Transformation</w:t>
      </w:r>
      <w:r>
        <w:rPr>
          <w:rFonts w:ascii="Times New Roman" w:eastAsia="Times New Roman" w:hAnsi="Times New Roman" w:cs="Times New Roman"/>
          <w:sz w:val="24"/>
          <w:szCs w:val="24"/>
          <w:lang w:eastAsia="en-GB"/>
        </w:rPr>
        <w:tab/>
      </w:r>
    </w:p>
    <w:p w:rsidR="00DB5FA8" w:rsidRDefault="00DB5FA8" w:rsidP="00DB5FA8">
      <w:pPr>
        <w:tabs>
          <w:tab w:val="left" w:pos="6011"/>
        </w:tabs>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comparison between Syria and Lebanon has demonstrated two very divergent forms of postcolonial continuity, both of which were born out of the same Mandate era system. In Lebanon, sectarian governance remained very explicitly constitutional while elite formation and maintained and reproduced the confessional system after independence. Constitutional arrangements such as Article 24, along with the National Pact and later the Taif Agreement, all entrenched and embedded sectarian representation within the foundations of the political systems of governance. Instead of disappearing after independence, it evolved into a system that could endure. </w:t>
      </w:r>
    </w:p>
    <w:p w:rsidR="00DB5FA8" w:rsidRDefault="00044EA1" w:rsidP="00DB5FA8">
      <w:pPr>
        <w:pStyle w:val="NormalWeb"/>
      </w:pPr>
      <w:r>
        <w:t xml:space="preserve">By contrast, in Syria, formal sectarianism was publicly shunned but institutionally continuous through Arab nationalism and anti-confessional unity. However, communal hierarchy persisted indirectly through for example military networks, security networks, loyalty networks, and authoritarian patronage structures. Although the Syrian state had not </w:t>
      </w:r>
      <w:r w:rsidR="00ED7319">
        <w:t>institutionalised</w:t>
      </w:r>
      <w:r>
        <w:t xml:space="preserve"> </w:t>
      </w:r>
      <w:r w:rsidR="00ED7319">
        <w:t xml:space="preserve">sectarianism constitutionally, political power was based on a highly sectarian basis involving differentiated incorporation informal communal structures. Evidence such as the military confessions, Hafiz al-Asad’s political rhetoric, and Lisa Wedeen’s analysis of symbolic authoritarianism, all show how sectarian dynamics survived behind the fig leaf of national unity. </w:t>
      </w:r>
    </w:p>
    <w:p w:rsidR="00044EA1" w:rsidRDefault="00ED7319" w:rsidP="00DB5FA8">
      <w:pPr>
        <w:pStyle w:val="NormalWeb"/>
      </w:pPr>
      <w:r>
        <w:t>This divergence supports the dissertation’s broader claims that the French Mandate created not a single institutional blueprint to follow, but rather a hierarchy of governance whose mechanisms and structures could be adopted differently after independence. Timothy Mitchell’s concept of colonial ‘legibility’ is quite salient here as both Syria and Lebanon inherited systems designed to make them administratively manageable through communal categorisation and classification.</w:t>
      </w:r>
      <w:r>
        <w:rPr>
          <w:rStyle w:val="FootnoteReference"/>
        </w:rPr>
        <w:footnoteReference w:id="78"/>
      </w:r>
      <w:r>
        <w:t xml:space="preserve"> Yet, these categories were institutionalised in different ways with Lebanon following a formal confessional system and Syria through informal authoritarian and security structures. </w:t>
      </w:r>
    </w:p>
    <w:p w:rsidR="00ED7319" w:rsidRDefault="00ED7319" w:rsidP="00DB5FA8">
      <w:pPr>
        <w:pStyle w:val="NormalWeb"/>
      </w:pPr>
      <w:r>
        <w:t>At the same time</w:t>
      </w:r>
      <w:r w:rsidR="005559F3">
        <w:t xml:space="preserve">, the comparison also highlights the limits of colonial determinism. While Mandate institutions developed important structural foundations, postcolonial developments reshaped and built on these systems significantly. The ways that communal identities </w:t>
      </w:r>
      <w:r w:rsidR="005559F3">
        <w:lastRenderedPageBreak/>
        <w:t xml:space="preserve">operated were shaped by a variety of factors such as Ottoman administrative legacies, local elite agency, authoritarian state formation, civil war, regional geopolitics amongst other factors. Therefore, contemporary sectarian governance reflects not only the persistence of colonial institutions, but the interactions between colonial legacies and postcolonial transformations. </w:t>
      </w:r>
    </w:p>
    <w:p w:rsidR="0068725E" w:rsidRDefault="0068725E" w:rsidP="0068725E">
      <w:pPr>
        <w:pStyle w:val="Heading1"/>
        <w:rPr>
          <w:rStyle w:val="Strong"/>
          <w:b/>
          <w:bCs/>
          <w:sz w:val="24"/>
          <w:szCs w:val="24"/>
        </w:rPr>
      </w:pPr>
      <w:r w:rsidRPr="006B3DED">
        <w:rPr>
          <w:rStyle w:val="Strong"/>
          <w:b/>
          <w:bCs/>
          <w:sz w:val="24"/>
          <w:szCs w:val="24"/>
        </w:rPr>
        <w:t>Conclusion</w:t>
      </w:r>
    </w:p>
    <w:p w:rsidR="0068725E" w:rsidRPr="003172B6" w:rsidRDefault="0068725E" w:rsidP="0068725E">
      <w:pPr>
        <w:pStyle w:val="Heading1"/>
        <w:rPr>
          <w:rStyle w:val="Strong"/>
          <w:bCs/>
          <w:sz w:val="24"/>
          <w:szCs w:val="24"/>
        </w:rPr>
      </w:pPr>
      <w:r w:rsidRPr="003172B6">
        <w:rPr>
          <w:rStyle w:val="Strong"/>
          <w:bCs/>
          <w:sz w:val="24"/>
          <w:szCs w:val="24"/>
        </w:rPr>
        <w:t>This</w:t>
      </w:r>
      <w:r>
        <w:rPr>
          <w:rStyle w:val="Strong"/>
          <w:bCs/>
          <w:sz w:val="24"/>
          <w:szCs w:val="24"/>
        </w:rPr>
        <w:t xml:space="preserve"> dissertation has argued that the French Mandate for Syria and Lebanon significantly shaped contemporary sectarian governance, but not in the in the simplistic sense of either creating sectarian identities or even by employing ‘divide and rule’ tactics. Instead, the central claim is that the Mandate transformed pre-existing communal distinctions, already created in part, though to a much lighter degree, by late Ottoman governance and nineteenth-century reform, into a durable institutional logic of political organisation. This logic operated through what can be understood as and what this dissertation uniquely claims, as a system of hierarchical incorporation, whereby access to state power was mediated through communal categorisation and classification and unevenly distributed according to perceived political reliability. </w:t>
      </w:r>
    </w:p>
    <w:p w:rsidR="0068725E" w:rsidRDefault="0068725E" w:rsidP="0068725E">
      <w:pPr>
        <w:pStyle w:val="NormalWeb"/>
      </w:pPr>
      <w:r>
        <w:t xml:space="preserve">Rather than producing sectarianism as a fixed structure, the French Mandate system recalibrated and reconfigured how communal identity operated politically. Communities were not solely differentiated but actually ranked, resulting in the production of a hierarchy of incorporation in which certain groups, in particular Alawite and Christian minority groups were positioned as intermediaries and political partners of colonial authority. Left out were the Arab nationalists and Sunni majority populations who were marginalised, had their territories fragmented, and were subject to coercive control. This logic was expressed through a variety of mechanisms which included territorial reorganisation, selective military recruitment, educational networks, constitutional engineering in Lebanon, and more indirect modes of administrative control in Syria. Across these areas and domains, sectarian categories operated less as expressions and manifestations of social divisions but more as carefully constructed tools for the management of political access and consolidation of authority. </w:t>
      </w:r>
    </w:p>
    <w:p w:rsidR="00732C3B" w:rsidRDefault="0068725E" w:rsidP="0068725E">
      <w:pPr>
        <w:pStyle w:val="NormalWeb"/>
      </w:pPr>
      <w:r>
        <w:t xml:space="preserve">This argument challenges the two main strands of historiography that dominate the scholarly space on this topic by proposing a new lens to view Mandate era machinations and rule. </w:t>
      </w:r>
      <w:proofErr w:type="spellStart"/>
      <w:r>
        <w:t>Primordialist</w:t>
      </w:r>
      <w:proofErr w:type="spellEnd"/>
      <w:r>
        <w:t xml:space="preserve"> interpretations wrongly treat sectarianism as a long standing and enduring feature of Levantine society, obscuring the extent to which communal identities were historically based and politically reworked. At the same time, strictly colonial ‘divide and rule’ approaches tend to overstate the intentionality of French policy, and thereby reducing a complex process of governance to a strategy of fragmentation. As the dissertation has show, the Mandate era governance was not exactly completely pre-planned but did operate at a reactionary level too, including to rebellion, administrative constraints, and local collaboration. </w:t>
      </w:r>
      <w:r w:rsidR="00732C3B">
        <w:t xml:space="preserve">Therefore, the emergence of sectarian governances can be seen as the meeting and interaction of a variety of forces such as local elites, missionary networks, national resistance, and colonial administrators. </w:t>
      </w:r>
    </w:p>
    <w:p w:rsidR="0068725E" w:rsidRDefault="0068725E" w:rsidP="0068725E">
      <w:pPr>
        <w:pStyle w:val="NormalWeb"/>
      </w:pPr>
      <w:r>
        <w:t xml:space="preserve">The comparative analysis of Syria and Lebanon further shows that the Mandate did not produce a contiguous model of sectarian governance, even though both countries borders met, but rather two institutional versions of the same underlying logic. In Lebanon, hierarchical incorporation was formalised through constitutional confessionalism, thereby </w:t>
      </w:r>
      <w:r>
        <w:lastRenderedPageBreak/>
        <w:t xml:space="preserve">embedding communal identity directly within the architecture of the state. In Syria, by contrast, it operated more informally through marginalisation and exclusion from urban governance, selective incorporation, and the development of coercive military and security structures of an authoritarian nature. These differences reflect variations in geography, elite cooperation, and colonial priorities. But the same logic was applied in that political authority was distributed through differentiated communal categorisation as the base or foundational principle. </w:t>
      </w:r>
    </w:p>
    <w:p w:rsidR="0068725E" w:rsidRDefault="0068725E" w:rsidP="0068725E">
      <w:pPr>
        <w:pStyle w:val="NormalWeb"/>
      </w:pPr>
      <w:r>
        <w:t xml:space="preserve">The postcolonial trajectories of both states highlight the durability and adaptability of this inherited logic and structure. In Lebanon, confessional governance practices persisted through elite bargaining and were reproduced as opposed to dismantled by independence and later by the Taif Agreement, even as demographic realities changed. In Syria, formal anti-sectarian ideology acted as a fig leaf of unity, masking the persistence of informal hierarchies embedded within the security apparatus and state institutions. In both cases, sectarian governance endured not as a direct institutional inheritance, but as a flexible framework through which political authority continued to be organised, justified, contested and renewed. </w:t>
      </w:r>
    </w:p>
    <w:p w:rsidR="0068725E" w:rsidRDefault="0068725E" w:rsidP="0068725E">
      <w:pPr>
        <w:pStyle w:val="NormalWeb"/>
      </w:pPr>
      <w:r>
        <w:t>The main contribution of the dissertation therefore, is conceptual as much as it is historical. It proposes that the key legacy of the French Mandate was not sectarian division in itself, but the institutionalisation of differentiated incorporation into state power structures, a governing logic in which communal identity became the primary medium through which political inclusion and exclusion were decided. This framework helps to explain the divergence between Syria and Lebanon and their shared underlying patterns of governance. But it also highlights the salient role played by postcolonial elites in sustaining and reshaping these systems.</w:t>
      </w:r>
    </w:p>
    <w:p w:rsidR="0068725E" w:rsidRDefault="0068725E" w:rsidP="0068725E">
      <w:pPr>
        <w:pStyle w:val="NormalWeb"/>
      </w:pPr>
      <w:r>
        <w:t xml:space="preserve">Ultimately, contemporary sectarian governance in Syria and Lebanon should be understood as a layered process of history in which precedents set by the Ottomans, colonial machinations, local agency, and postcolonial state-building all contributed to different degrees, producing the outcome we have today. The French Mandate plays a major role in this since it embedded communal identity into how institutions function even today. Its most enduring and lingering impact was the creation and embedding of hierarchical structures of governance and incorporation into governing institutions that are crisis producing machines, but that cannot be easily overturned. </w:t>
      </w:r>
    </w:p>
    <w:p w:rsidR="0068725E" w:rsidRDefault="0068725E" w:rsidP="0068725E"/>
    <w:p w:rsidR="00DB5FA8" w:rsidRDefault="00DB5FA8" w:rsidP="00DB5FA8">
      <w:pPr>
        <w:pStyle w:val="NormalWeb"/>
      </w:pPr>
    </w:p>
    <w:p w:rsidR="00DB5FA8" w:rsidRDefault="00DB5FA8" w:rsidP="00DB5FA8">
      <w:pPr>
        <w:pStyle w:val="NormalWeb"/>
      </w:pPr>
    </w:p>
    <w:p w:rsidR="006577C7" w:rsidRDefault="006577C7" w:rsidP="001E0215">
      <w:pPr>
        <w:spacing w:before="100" w:beforeAutospacing="1" w:after="100" w:afterAutospacing="1" w:line="240" w:lineRule="auto"/>
        <w:rPr>
          <w:rFonts w:ascii="Times New Roman" w:eastAsia="Times New Roman" w:hAnsi="Times New Roman" w:cs="Times New Roman"/>
          <w:sz w:val="24"/>
          <w:szCs w:val="24"/>
          <w:lang w:eastAsia="en-GB"/>
        </w:rPr>
      </w:pPr>
    </w:p>
    <w:p w:rsidR="006577C7" w:rsidRDefault="006577C7" w:rsidP="001E0215">
      <w:pPr>
        <w:spacing w:before="100" w:beforeAutospacing="1" w:after="100" w:afterAutospacing="1" w:line="240" w:lineRule="auto"/>
        <w:rPr>
          <w:rFonts w:ascii="Times New Roman" w:eastAsia="Times New Roman" w:hAnsi="Times New Roman" w:cs="Times New Roman"/>
          <w:sz w:val="24"/>
          <w:szCs w:val="24"/>
          <w:lang w:eastAsia="en-GB"/>
        </w:rPr>
      </w:pPr>
    </w:p>
    <w:p w:rsidR="006577C7" w:rsidRDefault="006577C7" w:rsidP="001E0215">
      <w:pPr>
        <w:spacing w:before="100" w:beforeAutospacing="1" w:after="100" w:afterAutospacing="1" w:line="240" w:lineRule="auto"/>
        <w:rPr>
          <w:rFonts w:ascii="Times New Roman" w:eastAsia="Times New Roman" w:hAnsi="Times New Roman" w:cs="Times New Roman"/>
          <w:sz w:val="24"/>
          <w:szCs w:val="24"/>
          <w:lang w:eastAsia="en-GB"/>
        </w:rPr>
      </w:pPr>
    </w:p>
    <w:p w:rsidR="006577C7" w:rsidRDefault="006577C7" w:rsidP="001E0215">
      <w:pPr>
        <w:spacing w:before="100" w:beforeAutospacing="1" w:after="100" w:afterAutospacing="1" w:line="240" w:lineRule="auto"/>
        <w:rPr>
          <w:rFonts w:ascii="Times New Roman" w:eastAsia="Times New Roman" w:hAnsi="Times New Roman" w:cs="Times New Roman"/>
          <w:sz w:val="24"/>
          <w:szCs w:val="24"/>
          <w:lang w:eastAsia="en-GB"/>
        </w:rPr>
      </w:pPr>
    </w:p>
    <w:p w:rsidR="003E148F" w:rsidRDefault="003E148F" w:rsidP="00CB01FE">
      <w:pPr>
        <w:tabs>
          <w:tab w:val="left" w:pos="5727"/>
        </w:tabs>
        <w:spacing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Word count: 9687</w:t>
      </w:r>
    </w:p>
    <w:p w:rsidR="009A0BA5" w:rsidRDefault="00632598" w:rsidP="00CB01FE">
      <w:pPr>
        <w:tabs>
          <w:tab w:val="left" w:pos="5727"/>
        </w:tabs>
        <w:spacing w:line="240" w:lineRule="auto"/>
        <w:rPr>
          <w:sz w:val="24"/>
          <w:szCs w:val="24"/>
        </w:rPr>
      </w:pPr>
      <w:r>
        <w:rPr>
          <w:sz w:val="24"/>
          <w:szCs w:val="24"/>
        </w:rPr>
        <w:lastRenderedPageBreak/>
        <w:t>Notes</w:t>
      </w:r>
    </w:p>
    <w:p w:rsidR="005C439E" w:rsidRPr="003E148F" w:rsidRDefault="003E148F" w:rsidP="003E148F">
      <w:pPr>
        <w:pStyle w:val="ListParagraph"/>
        <w:numPr>
          <w:ilvl w:val="0"/>
          <w:numId w:val="26"/>
        </w:numPr>
        <w:spacing w:line="240" w:lineRule="auto"/>
        <w:rPr>
          <w:sz w:val="24"/>
          <w:szCs w:val="24"/>
        </w:rPr>
      </w:pPr>
      <w:r>
        <w:t xml:space="preserve">Religious Demographics of Lebanon Map’, </w:t>
      </w:r>
      <w:r>
        <w:rPr>
          <w:rStyle w:val="Emphasis"/>
        </w:rPr>
        <w:t>Brilliant Maps</w:t>
      </w:r>
      <w:r>
        <w:t xml:space="preserve">, 18 July 2024, </w:t>
      </w:r>
      <w:hyperlink r:id="rId19" w:tgtFrame="_new" w:history="1">
        <w:r>
          <w:rPr>
            <w:rStyle w:val="Hyperlink"/>
          </w:rPr>
          <w:t>https://brilliantmaps.com/lebanon-religion/</w:t>
        </w:r>
      </w:hyperlink>
      <w:r>
        <w:t xml:space="preserve"> [accessed 16 May 2026].</w:t>
      </w:r>
    </w:p>
    <w:p w:rsidR="005C439E" w:rsidRDefault="003E148F" w:rsidP="003E148F">
      <w:pPr>
        <w:spacing w:line="240" w:lineRule="auto"/>
        <w:ind w:left="720"/>
        <w:rPr>
          <w:sz w:val="24"/>
          <w:szCs w:val="24"/>
        </w:rPr>
      </w:pPr>
      <w:r>
        <w:rPr>
          <w:sz w:val="24"/>
          <w:szCs w:val="24"/>
        </w:rPr>
        <w:t>This source states a different origin but was found on the Brilliant Maps website.</w:t>
      </w:r>
    </w:p>
    <w:p w:rsidR="003E148F" w:rsidRPr="003E148F" w:rsidRDefault="003E148F" w:rsidP="003E148F">
      <w:pPr>
        <w:pStyle w:val="ListParagraph"/>
        <w:numPr>
          <w:ilvl w:val="0"/>
          <w:numId w:val="26"/>
        </w:numPr>
        <w:spacing w:line="240" w:lineRule="auto"/>
        <w:rPr>
          <w:sz w:val="24"/>
          <w:szCs w:val="24"/>
        </w:rPr>
      </w:pPr>
      <w:hyperlink r:id="rId20" w:tgtFrame="_new" w:history="1">
        <w:r w:rsidRPr="00F467E6">
          <w:rPr>
            <w:rStyle w:val="Hyperlink"/>
            <w:sz w:val="20"/>
            <w:szCs w:val="20"/>
          </w:rPr>
          <w:t>https://anayasa.gen.tr/gulhane.htm</w:t>
        </w:r>
      </w:hyperlink>
    </w:p>
    <w:p w:rsidR="003E148F" w:rsidRDefault="003E148F" w:rsidP="003E148F">
      <w:pPr>
        <w:pStyle w:val="ListParagraph"/>
        <w:spacing w:line="240" w:lineRule="auto"/>
      </w:pPr>
      <w:r>
        <w:t>This is the web link from where I obtained the primary source for the Tanzimat reforms</w:t>
      </w:r>
    </w:p>
    <w:p w:rsidR="003E148F" w:rsidRPr="003E148F" w:rsidRDefault="003E148F" w:rsidP="003E148F">
      <w:pPr>
        <w:pStyle w:val="ListParagraph"/>
        <w:spacing w:line="240" w:lineRule="auto"/>
        <w:rPr>
          <w:sz w:val="24"/>
          <w:szCs w:val="24"/>
        </w:rPr>
      </w:pPr>
      <w:proofErr w:type="gramStart"/>
      <w:r>
        <w:t xml:space="preserve">which is another word for </w:t>
      </w:r>
      <w:proofErr w:type="spellStart"/>
      <w:r>
        <w:t>Gulhane</w:t>
      </w:r>
      <w:proofErr w:type="spellEnd"/>
      <w:r>
        <w:t xml:space="preserve"> Edict.</w:t>
      </w:r>
      <w:proofErr w:type="gramEnd"/>
      <w:r>
        <w:t xml:space="preserve"> </w:t>
      </w:r>
    </w:p>
    <w:p w:rsidR="003E148F" w:rsidRDefault="003E148F" w:rsidP="003E148F">
      <w:pPr>
        <w:spacing w:line="240" w:lineRule="auto"/>
        <w:ind w:left="720"/>
        <w:rPr>
          <w:sz w:val="24"/>
          <w:szCs w:val="24"/>
        </w:rPr>
      </w:pPr>
    </w:p>
    <w:p w:rsidR="005C439E" w:rsidRDefault="005C439E" w:rsidP="00E14104">
      <w:pPr>
        <w:spacing w:line="240" w:lineRule="auto"/>
        <w:rPr>
          <w:sz w:val="24"/>
          <w:szCs w:val="24"/>
        </w:rPr>
      </w:pPr>
    </w:p>
    <w:p w:rsidR="005C439E" w:rsidRDefault="005C439E" w:rsidP="00E14104">
      <w:pPr>
        <w:spacing w:line="240" w:lineRule="auto"/>
        <w:rPr>
          <w:sz w:val="24"/>
          <w:szCs w:val="24"/>
        </w:rPr>
      </w:pPr>
    </w:p>
    <w:p w:rsidR="005C439E" w:rsidRDefault="005C439E" w:rsidP="00E14104">
      <w:pPr>
        <w:spacing w:line="240" w:lineRule="auto"/>
        <w:rPr>
          <w:sz w:val="24"/>
          <w:szCs w:val="24"/>
        </w:rPr>
      </w:pPr>
    </w:p>
    <w:p w:rsidR="005C439E" w:rsidRDefault="005C439E" w:rsidP="00E14104">
      <w:pPr>
        <w:spacing w:line="240" w:lineRule="auto"/>
        <w:rPr>
          <w:sz w:val="24"/>
          <w:szCs w:val="24"/>
        </w:rPr>
      </w:pPr>
    </w:p>
    <w:p w:rsidR="005C439E" w:rsidRDefault="005C439E" w:rsidP="00E14104">
      <w:pPr>
        <w:spacing w:line="240" w:lineRule="auto"/>
        <w:rPr>
          <w:sz w:val="24"/>
          <w:szCs w:val="24"/>
        </w:rPr>
      </w:pPr>
    </w:p>
    <w:p w:rsidR="003E148F" w:rsidRDefault="003E148F" w:rsidP="00E14104">
      <w:pPr>
        <w:spacing w:line="240" w:lineRule="auto"/>
        <w:rPr>
          <w:sz w:val="24"/>
          <w:szCs w:val="24"/>
        </w:rPr>
      </w:pPr>
    </w:p>
    <w:p w:rsidR="003E148F" w:rsidRDefault="003E148F" w:rsidP="00E14104">
      <w:pPr>
        <w:spacing w:line="240" w:lineRule="auto"/>
        <w:rPr>
          <w:sz w:val="24"/>
          <w:szCs w:val="24"/>
        </w:rPr>
      </w:pPr>
    </w:p>
    <w:p w:rsidR="003E148F" w:rsidRDefault="003E148F" w:rsidP="00E14104">
      <w:pPr>
        <w:spacing w:line="240" w:lineRule="auto"/>
        <w:rPr>
          <w:sz w:val="24"/>
          <w:szCs w:val="24"/>
        </w:rPr>
      </w:pPr>
    </w:p>
    <w:p w:rsidR="003E148F" w:rsidRDefault="003E148F" w:rsidP="00E14104">
      <w:pPr>
        <w:spacing w:line="240" w:lineRule="auto"/>
        <w:rPr>
          <w:sz w:val="24"/>
          <w:szCs w:val="24"/>
        </w:rPr>
      </w:pPr>
    </w:p>
    <w:p w:rsidR="003E148F" w:rsidRDefault="003E148F" w:rsidP="00E14104">
      <w:pPr>
        <w:spacing w:line="240" w:lineRule="auto"/>
        <w:rPr>
          <w:sz w:val="24"/>
          <w:szCs w:val="24"/>
        </w:rPr>
      </w:pPr>
    </w:p>
    <w:p w:rsidR="003E148F" w:rsidRDefault="003E148F" w:rsidP="00E14104">
      <w:pPr>
        <w:spacing w:line="240" w:lineRule="auto"/>
        <w:rPr>
          <w:sz w:val="24"/>
          <w:szCs w:val="24"/>
        </w:rPr>
      </w:pPr>
    </w:p>
    <w:p w:rsidR="003E148F" w:rsidRDefault="003E148F" w:rsidP="00E14104">
      <w:pPr>
        <w:spacing w:line="240" w:lineRule="auto"/>
        <w:rPr>
          <w:sz w:val="24"/>
          <w:szCs w:val="24"/>
        </w:rPr>
      </w:pPr>
    </w:p>
    <w:p w:rsidR="003E148F" w:rsidRDefault="003E148F" w:rsidP="00E14104">
      <w:pPr>
        <w:spacing w:line="240" w:lineRule="auto"/>
        <w:rPr>
          <w:sz w:val="24"/>
          <w:szCs w:val="24"/>
        </w:rPr>
      </w:pPr>
    </w:p>
    <w:p w:rsidR="003E148F" w:rsidRDefault="003E148F" w:rsidP="00E14104">
      <w:pPr>
        <w:spacing w:line="240" w:lineRule="auto"/>
        <w:rPr>
          <w:sz w:val="24"/>
          <w:szCs w:val="24"/>
        </w:rPr>
      </w:pPr>
    </w:p>
    <w:p w:rsidR="003E148F" w:rsidRDefault="003E148F" w:rsidP="00E14104">
      <w:pPr>
        <w:spacing w:line="240" w:lineRule="auto"/>
        <w:rPr>
          <w:sz w:val="24"/>
          <w:szCs w:val="24"/>
        </w:rPr>
      </w:pPr>
    </w:p>
    <w:p w:rsidR="003E148F" w:rsidRDefault="003E148F" w:rsidP="00E14104">
      <w:pPr>
        <w:spacing w:line="240" w:lineRule="auto"/>
        <w:rPr>
          <w:sz w:val="24"/>
          <w:szCs w:val="24"/>
        </w:rPr>
      </w:pPr>
    </w:p>
    <w:p w:rsidR="003E148F" w:rsidRDefault="003E148F" w:rsidP="00E14104">
      <w:pPr>
        <w:spacing w:line="240" w:lineRule="auto"/>
        <w:rPr>
          <w:sz w:val="24"/>
          <w:szCs w:val="24"/>
        </w:rPr>
      </w:pPr>
    </w:p>
    <w:p w:rsidR="003E148F" w:rsidRDefault="003E148F" w:rsidP="00E14104">
      <w:pPr>
        <w:spacing w:line="240" w:lineRule="auto"/>
        <w:rPr>
          <w:sz w:val="24"/>
          <w:szCs w:val="24"/>
        </w:rPr>
      </w:pPr>
    </w:p>
    <w:p w:rsidR="003E148F" w:rsidRDefault="003E148F" w:rsidP="00E14104">
      <w:pPr>
        <w:spacing w:line="240" w:lineRule="auto"/>
        <w:rPr>
          <w:sz w:val="24"/>
          <w:szCs w:val="24"/>
        </w:rPr>
      </w:pPr>
    </w:p>
    <w:p w:rsidR="003E148F" w:rsidRDefault="003E148F" w:rsidP="00E14104">
      <w:pPr>
        <w:spacing w:line="240" w:lineRule="auto"/>
        <w:rPr>
          <w:sz w:val="24"/>
          <w:szCs w:val="24"/>
        </w:rPr>
      </w:pPr>
    </w:p>
    <w:p w:rsidR="005C439E" w:rsidRDefault="005C439E" w:rsidP="00E14104">
      <w:pPr>
        <w:spacing w:line="240" w:lineRule="auto"/>
        <w:rPr>
          <w:sz w:val="24"/>
          <w:szCs w:val="24"/>
        </w:rPr>
      </w:pPr>
    </w:p>
    <w:p w:rsidR="00536351" w:rsidRDefault="00536351" w:rsidP="00536351">
      <w:pPr>
        <w:pStyle w:val="Heading1"/>
      </w:pPr>
      <w:r>
        <w:lastRenderedPageBreak/>
        <w:t>Primary Sources</w:t>
      </w:r>
    </w:p>
    <w:p w:rsidR="00536351" w:rsidRDefault="00536351" w:rsidP="00536351">
      <w:pPr>
        <w:pStyle w:val="NormalWeb"/>
      </w:pPr>
      <w:r>
        <w:br/>
        <w:t xml:space="preserve">League of Nations, </w:t>
      </w:r>
      <w:r>
        <w:rPr>
          <w:rStyle w:val="Emphasis"/>
        </w:rPr>
        <w:t>The Covenant of the League of Nations</w:t>
      </w:r>
      <w:r>
        <w:t xml:space="preserve">, Article 22, in </w:t>
      </w:r>
      <w:r>
        <w:rPr>
          <w:rStyle w:val="Emphasis"/>
        </w:rPr>
        <w:t>The Avalon Project</w:t>
      </w:r>
      <w:r>
        <w:t xml:space="preserve">, Yale Law School </w:t>
      </w:r>
      <w:hyperlink r:id="rId21" w:anchor="art22" w:history="1">
        <w:r>
          <w:rPr>
            <w:rStyle w:val="Hyperlink"/>
          </w:rPr>
          <w:t>https://avalon.law.yale.edu/20th_century/leagcov.asp#art22</w:t>
        </w:r>
      </w:hyperlink>
      <w:r w:rsidR="003E148F">
        <w:t xml:space="preserve"> [accessed 03</w:t>
      </w:r>
      <w:r>
        <w:t xml:space="preserve"> May 2026].</w:t>
      </w:r>
    </w:p>
    <w:p w:rsidR="00536351" w:rsidRDefault="00536351" w:rsidP="003E148F">
      <w:pPr>
        <w:pStyle w:val="NormalWeb"/>
        <w:tabs>
          <w:tab w:val="left" w:pos="3382"/>
        </w:tabs>
      </w:pPr>
      <w:r>
        <w:br/>
      </w:r>
      <w:r>
        <w:rPr>
          <w:rStyle w:val="Emphasis"/>
        </w:rPr>
        <w:t>Lebanese Constitution</w:t>
      </w:r>
      <w:r>
        <w:t xml:space="preserve"> (1926), Presidency of the Lebanese Republic </w:t>
      </w:r>
      <w:hyperlink r:id="rId22" w:history="1">
        <w:r>
          <w:rPr>
            <w:rStyle w:val="Hyperlink"/>
          </w:rPr>
          <w:t>https://www.presidency.gov.lb/English/LebaneseSystem/Documents/Lebanese%20Constitution.pdf</w:t>
        </w:r>
      </w:hyperlink>
      <w:r w:rsidR="003E148F">
        <w:t xml:space="preserve"> [accessed 17</w:t>
      </w:r>
      <w:r>
        <w:t xml:space="preserve"> May 2026].</w:t>
      </w:r>
    </w:p>
    <w:p w:rsidR="00536351" w:rsidRDefault="00536351" w:rsidP="00536351">
      <w:pPr>
        <w:pStyle w:val="NormalWeb"/>
      </w:pPr>
      <w:r>
        <w:br/>
        <w:t>‘</w:t>
      </w:r>
      <w:proofErr w:type="spellStart"/>
      <w:r>
        <w:t>Gülhane</w:t>
      </w:r>
      <w:proofErr w:type="spellEnd"/>
      <w:r>
        <w:t xml:space="preserve"> </w:t>
      </w:r>
      <w:proofErr w:type="spellStart"/>
      <w:r>
        <w:t>Hatt</w:t>
      </w:r>
      <w:proofErr w:type="spellEnd"/>
      <w:r>
        <w:t xml:space="preserve">-ı </w:t>
      </w:r>
      <w:proofErr w:type="spellStart"/>
      <w:r>
        <w:t>Şerif</w:t>
      </w:r>
      <w:proofErr w:type="spellEnd"/>
      <w:r>
        <w:t xml:space="preserve"> (Tanzimat </w:t>
      </w:r>
      <w:proofErr w:type="spellStart"/>
      <w:r>
        <w:t>Fermanı</w:t>
      </w:r>
      <w:proofErr w:type="spellEnd"/>
      <w:r>
        <w:t xml:space="preserve">)’, </w:t>
      </w:r>
      <w:proofErr w:type="spellStart"/>
      <w:r>
        <w:rPr>
          <w:rStyle w:val="Emphasis"/>
        </w:rPr>
        <w:t>Anayasa</w:t>
      </w:r>
      <w:proofErr w:type="spellEnd"/>
      <w:r>
        <w:rPr>
          <w:rStyle w:val="Emphasis"/>
        </w:rPr>
        <w:t xml:space="preserve"> Gen</w:t>
      </w:r>
      <w:r>
        <w:t xml:space="preserve"> </w:t>
      </w:r>
      <w:hyperlink r:id="rId23" w:history="1">
        <w:r>
          <w:rPr>
            <w:rStyle w:val="Hyperlink"/>
          </w:rPr>
          <w:t>https://www.anayasa.gen.tr/gulhane.htm</w:t>
        </w:r>
      </w:hyperlink>
      <w:r w:rsidR="003E148F">
        <w:t xml:space="preserve"> [accessed 08</w:t>
      </w:r>
      <w:r>
        <w:t xml:space="preserve"> May 2026].</w:t>
      </w:r>
    </w:p>
    <w:p w:rsidR="00536351" w:rsidRDefault="00536351" w:rsidP="00536351">
      <w:pPr>
        <w:pStyle w:val="NormalWeb"/>
      </w:pPr>
      <w:r>
        <w:br/>
        <w:t>Sultan al-Atrash, revolutionary proclamation during the Great Syrian Revolt, quoted in The Great Syrian Revolt (Austin: University of Texas Press, 2005).</w:t>
      </w:r>
    </w:p>
    <w:p w:rsidR="00536351" w:rsidRDefault="00536351" w:rsidP="00536351">
      <w:pPr>
        <w:pStyle w:val="NormalWeb"/>
      </w:pPr>
      <w:r>
        <w:br/>
        <w:t>Hasan al-Kharrat, letter circulated during the Great Syrian Revolt, quoted in The Great Syrian Revolt (Austin: University of Texas Press, 2005).</w:t>
      </w:r>
    </w:p>
    <w:p w:rsidR="00536351" w:rsidRDefault="00536351" w:rsidP="00536351">
      <w:pPr>
        <w:pStyle w:val="NormalWeb"/>
      </w:pPr>
      <w:r>
        <w:br/>
        <w:t xml:space="preserve">Ussama Makdisi, interview on Lebanese confessionalism, </w:t>
      </w:r>
      <w:r>
        <w:rPr>
          <w:rStyle w:val="Emphasis"/>
        </w:rPr>
        <w:t>TRT World</w:t>
      </w:r>
      <w:r>
        <w:t xml:space="preserve">, YouTube video </w:t>
      </w:r>
      <w:hyperlink r:id="rId24" w:history="1">
        <w:r>
          <w:rPr>
            <w:rStyle w:val="Hyperlink"/>
          </w:rPr>
          <w:t>https://www.youtube.com/watch?v=JQ8PpS1m7nE</w:t>
        </w:r>
      </w:hyperlink>
      <w:r>
        <w:t xml:space="preserve"> [accessed </w:t>
      </w:r>
      <w:r w:rsidR="003E148F">
        <w:t>16</w:t>
      </w:r>
      <w:r>
        <w:t xml:space="preserve"> May 2026].</w:t>
      </w:r>
    </w:p>
    <w:p w:rsidR="00536351" w:rsidRDefault="00536351" w:rsidP="00536351">
      <w:pPr>
        <w:pStyle w:val="NormalWeb"/>
      </w:pPr>
      <w:r>
        <w:br/>
        <w:t xml:space="preserve">‘Why Lebanon Is Politically Deadlocked’, </w:t>
      </w:r>
      <w:r>
        <w:rPr>
          <w:rStyle w:val="Emphasis"/>
        </w:rPr>
        <w:t>TLDR News Global</w:t>
      </w:r>
      <w:r>
        <w:t xml:space="preserve">, YouTube video </w:t>
      </w:r>
      <w:hyperlink r:id="rId25" w:history="1">
        <w:r>
          <w:rPr>
            <w:rStyle w:val="Hyperlink"/>
          </w:rPr>
          <w:t>https://www.youtube.com/watch?v=JdX8HNOlYSE</w:t>
        </w:r>
      </w:hyperlink>
      <w:r w:rsidR="003E148F">
        <w:t xml:space="preserve"> [accessed 10</w:t>
      </w:r>
      <w:r>
        <w:t xml:space="preserve"> May 2026].</w:t>
      </w:r>
    </w:p>
    <w:p w:rsidR="00536351" w:rsidRDefault="00536351" w:rsidP="00536351">
      <w:pPr>
        <w:pStyle w:val="NormalWeb"/>
      </w:pPr>
      <w:r>
        <w:br/>
        <w:t xml:space="preserve">‘Religious Demographics of Lebanon’, </w:t>
      </w:r>
      <w:r>
        <w:rPr>
          <w:rStyle w:val="Emphasis"/>
        </w:rPr>
        <w:t>Brilliant Maps</w:t>
      </w:r>
      <w:r>
        <w:t xml:space="preserve"> </w:t>
      </w:r>
      <w:hyperlink r:id="rId26" w:history="1">
        <w:r>
          <w:rPr>
            <w:rStyle w:val="Hyperlink"/>
          </w:rPr>
          <w:t>https://brilliantmaps.com/lebanon-religion-map/</w:t>
        </w:r>
      </w:hyperlink>
      <w:r w:rsidR="003E148F">
        <w:t xml:space="preserve"> [accessed 10</w:t>
      </w:r>
      <w:r>
        <w:t xml:space="preserve"> May 2026].</w:t>
      </w:r>
    </w:p>
    <w:p w:rsidR="00536351" w:rsidRDefault="00536351" w:rsidP="003E148F">
      <w:pPr>
        <w:pStyle w:val="NormalWeb"/>
      </w:pPr>
      <w:r>
        <w:br/>
        <w:t xml:space="preserve">‘Ethnic and Religious Demographic Map of Syria and Lebanon, 1935’, </w:t>
      </w:r>
      <w:r>
        <w:rPr>
          <w:rStyle w:val="Emphasis"/>
        </w:rPr>
        <w:t>The Atlas Bookshelf</w:t>
      </w:r>
      <w:r>
        <w:t xml:space="preserve">, Facebook cartography page </w:t>
      </w:r>
      <w:hyperlink r:id="rId27" w:history="1">
        <w:r>
          <w:rPr>
            <w:rStyle w:val="Hyperlink"/>
          </w:rPr>
          <w:t>https://www.facebook.com/theatlasbookshelf/</w:t>
        </w:r>
      </w:hyperlink>
      <w:r w:rsidR="003E148F">
        <w:t xml:space="preserve"> [accessed 10</w:t>
      </w:r>
      <w:r>
        <w:t xml:space="preserve"> May 2026].</w:t>
      </w:r>
    </w:p>
    <w:p w:rsidR="00536351" w:rsidRPr="00536351" w:rsidRDefault="00536351" w:rsidP="00536351">
      <w:pPr>
        <w:pStyle w:val="Heading1"/>
        <w:rPr>
          <w:sz w:val="24"/>
          <w:szCs w:val="24"/>
        </w:rPr>
      </w:pPr>
      <w:r w:rsidRPr="00536351">
        <w:rPr>
          <w:sz w:val="24"/>
          <w:szCs w:val="24"/>
        </w:rPr>
        <w:t>Secondary Sources</w:t>
      </w:r>
    </w:p>
    <w:p w:rsidR="00536351" w:rsidRDefault="00536351" w:rsidP="00536351">
      <w:pPr>
        <w:pStyle w:val="NormalWeb"/>
      </w:pPr>
      <w:r>
        <w:br/>
        <w:t xml:space="preserve">Frantz Fanon, </w:t>
      </w:r>
      <w:r>
        <w:rPr>
          <w:rStyle w:val="Emphasis"/>
        </w:rPr>
        <w:t>The Wretched of the Earth</w:t>
      </w:r>
      <w:r>
        <w:t>, trans. by Constance Farrington (New York: Grove Press, 1963).</w:t>
      </w:r>
    </w:p>
    <w:p w:rsidR="00536351" w:rsidRDefault="00536351" w:rsidP="00536351">
      <w:pPr>
        <w:pStyle w:val="NormalWeb"/>
      </w:pPr>
      <w:r>
        <w:lastRenderedPageBreak/>
        <w:br/>
        <w:t xml:space="preserve">James </w:t>
      </w:r>
      <w:proofErr w:type="gramStart"/>
      <w:r>
        <w:t>Gelvin,</w:t>
      </w:r>
      <w:proofErr w:type="gramEnd"/>
      <w:r>
        <w:t xml:space="preserve"> </w:t>
      </w:r>
      <w:r>
        <w:rPr>
          <w:rStyle w:val="Emphasis"/>
        </w:rPr>
        <w:t>Divided Loyalties: Nationalism and Mass Politics in Syria at the Close of Empire</w:t>
      </w:r>
      <w:r>
        <w:t xml:space="preserve"> (Berkeley: University of California Press, 1998).</w:t>
      </w:r>
    </w:p>
    <w:p w:rsidR="00536351" w:rsidRDefault="00536351" w:rsidP="00536351">
      <w:pPr>
        <w:pStyle w:val="NormalWeb"/>
      </w:pPr>
      <w:r>
        <w:br/>
        <w:t xml:space="preserve">Carol Hakim, </w:t>
      </w:r>
      <w:r>
        <w:rPr>
          <w:rStyle w:val="Emphasis"/>
        </w:rPr>
        <w:t>The Origins of the Lebanese National Idea, 1840–1920</w:t>
      </w:r>
      <w:r>
        <w:t xml:space="preserve"> (Berkeley: University of California Press, 2013).</w:t>
      </w:r>
    </w:p>
    <w:p w:rsidR="00536351" w:rsidRDefault="00536351" w:rsidP="00536351">
      <w:pPr>
        <w:pStyle w:val="NormalWeb"/>
      </w:pPr>
      <w:r>
        <w:br/>
        <w:t xml:space="preserve">Michael Kerr and Craig Larkin, </w:t>
      </w:r>
      <w:r>
        <w:rPr>
          <w:rStyle w:val="Emphasis"/>
        </w:rPr>
        <w:t xml:space="preserve">The </w:t>
      </w:r>
      <w:proofErr w:type="spellStart"/>
      <w:r>
        <w:rPr>
          <w:rStyle w:val="Emphasis"/>
        </w:rPr>
        <w:t>Alawis</w:t>
      </w:r>
      <w:proofErr w:type="spellEnd"/>
      <w:r>
        <w:rPr>
          <w:rStyle w:val="Emphasis"/>
        </w:rPr>
        <w:t xml:space="preserve"> of Syria: War, Faith and Politics in the Levant</w:t>
      </w:r>
      <w:r>
        <w:t xml:space="preserve"> (London: Hurst, 2015).</w:t>
      </w:r>
    </w:p>
    <w:p w:rsidR="00536351" w:rsidRDefault="00536351" w:rsidP="00536351">
      <w:pPr>
        <w:pStyle w:val="NormalWeb"/>
      </w:pPr>
      <w:r>
        <w:br/>
        <w:t xml:space="preserve">Philip S. Khoury, </w:t>
      </w:r>
      <w:r>
        <w:rPr>
          <w:rStyle w:val="Emphasis"/>
        </w:rPr>
        <w:t>Syria and the French Mandate: The Politics of Arab Nationalism, 1920–1945</w:t>
      </w:r>
      <w:r>
        <w:t xml:space="preserve"> (Princeton: Princeton University Press, 1987).</w:t>
      </w:r>
    </w:p>
    <w:p w:rsidR="00536351" w:rsidRDefault="00536351" w:rsidP="00536351">
      <w:pPr>
        <w:pStyle w:val="NormalWeb"/>
      </w:pPr>
      <w:r>
        <w:br/>
        <w:t xml:space="preserve">David W. </w:t>
      </w:r>
      <w:proofErr w:type="spellStart"/>
      <w:r>
        <w:t>Lesch</w:t>
      </w:r>
      <w:proofErr w:type="spellEnd"/>
      <w:r>
        <w:t xml:space="preserve">, </w:t>
      </w:r>
      <w:r>
        <w:rPr>
          <w:rStyle w:val="Emphasis"/>
        </w:rPr>
        <w:t xml:space="preserve">The New Lion of Damascus: </w:t>
      </w:r>
      <w:proofErr w:type="spellStart"/>
      <w:r>
        <w:rPr>
          <w:rStyle w:val="Emphasis"/>
        </w:rPr>
        <w:t>Bashar</w:t>
      </w:r>
      <w:proofErr w:type="spellEnd"/>
      <w:r>
        <w:rPr>
          <w:rStyle w:val="Emphasis"/>
        </w:rPr>
        <w:t xml:space="preserve"> al-Asad and Modern Syria</w:t>
      </w:r>
      <w:r>
        <w:t xml:space="preserve"> (New Haven: Yale University Press, 2005).</w:t>
      </w:r>
    </w:p>
    <w:p w:rsidR="00536351" w:rsidRDefault="00536351" w:rsidP="00536351">
      <w:pPr>
        <w:pStyle w:val="NormalWeb"/>
      </w:pPr>
      <w:r>
        <w:br/>
        <w:t xml:space="preserve">Nadine </w:t>
      </w:r>
      <w:proofErr w:type="spellStart"/>
      <w:r>
        <w:t>Méouchy</w:t>
      </w:r>
      <w:proofErr w:type="spellEnd"/>
      <w:r>
        <w:t xml:space="preserve">, ‘The British and French Mandates in Comparative Perspectives’, in </w:t>
      </w:r>
      <w:r>
        <w:rPr>
          <w:rStyle w:val="Emphasis"/>
        </w:rPr>
        <w:t>The British and French Mandates in Comparative Perspectives</w:t>
      </w:r>
      <w:r>
        <w:t xml:space="preserve">, ed. by Nadine </w:t>
      </w:r>
      <w:proofErr w:type="spellStart"/>
      <w:r>
        <w:t>Méouchy</w:t>
      </w:r>
      <w:proofErr w:type="spellEnd"/>
      <w:r>
        <w:t xml:space="preserve"> and Peter </w:t>
      </w:r>
      <w:proofErr w:type="spellStart"/>
      <w:r>
        <w:t>Sluglett</w:t>
      </w:r>
      <w:proofErr w:type="spellEnd"/>
      <w:r>
        <w:t xml:space="preserve"> (Leiden: Brill, 2004), pp. 413–26.</w:t>
      </w:r>
    </w:p>
    <w:p w:rsidR="00536351" w:rsidRDefault="00536351" w:rsidP="00536351">
      <w:pPr>
        <w:pStyle w:val="NormalWeb"/>
      </w:pPr>
      <w:r>
        <w:br/>
        <w:t xml:space="preserve">Timothy Mitchell, </w:t>
      </w:r>
      <w:r>
        <w:rPr>
          <w:rStyle w:val="Emphasis"/>
        </w:rPr>
        <w:t>Colonising Egypt</w:t>
      </w:r>
      <w:r>
        <w:t xml:space="preserve"> (Berkeley: University of California Press, 1988).</w:t>
      </w:r>
    </w:p>
    <w:p w:rsidR="00536351" w:rsidRDefault="00536351" w:rsidP="00536351">
      <w:pPr>
        <w:pStyle w:val="NormalWeb"/>
      </w:pPr>
      <w:r>
        <w:br/>
        <w:t xml:space="preserve">Daniel </w:t>
      </w:r>
      <w:proofErr w:type="spellStart"/>
      <w:r>
        <w:t>Neep</w:t>
      </w:r>
      <w:proofErr w:type="spellEnd"/>
      <w:r>
        <w:t xml:space="preserve">, </w:t>
      </w:r>
      <w:r>
        <w:rPr>
          <w:rStyle w:val="Emphasis"/>
        </w:rPr>
        <w:t>Occupying Syria under the French Mandate: Insurgency, Space and State Formation</w:t>
      </w:r>
      <w:r>
        <w:t xml:space="preserve"> (Cambridge: Cambridge University Press, 2012).</w:t>
      </w:r>
    </w:p>
    <w:p w:rsidR="00536351" w:rsidRDefault="00536351" w:rsidP="00536351">
      <w:pPr>
        <w:pStyle w:val="NormalWeb"/>
      </w:pPr>
      <w:r>
        <w:br/>
      </w:r>
      <w:proofErr w:type="spellStart"/>
      <w:r>
        <w:t>Idir</w:t>
      </w:r>
      <w:proofErr w:type="spellEnd"/>
      <w:r>
        <w:t xml:space="preserve"> Ouahes, ‘Catholic Missionary Education in Early Mandate Syria and Lebanon’, </w:t>
      </w:r>
      <w:r>
        <w:rPr>
          <w:rStyle w:val="Emphasis"/>
        </w:rPr>
        <w:t xml:space="preserve">Revue des </w:t>
      </w:r>
      <w:proofErr w:type="spellStart"/>
      <w:r>
        <w:rPr>
          <w:rStyle w:val="Emphasis"/>
        </w:rPr>
        <w:t>mondes</w:t>
      </w:r>
      <w:proofErr w:type="spellEnd"/>
      <w:r>
        <w:rPr>
          <w:rStyle w:val="Emphasis"/>
        </w:rPr>
        <w:t xml:space="preserve"> </w:t>
      </w:r>
      <w:proofErr w:type="spellStart"/>
      <w:r>
        <w:rPr>
          <w:rStyle w:val="Emphasis"/>
        </w:rPr>
        <w:t>musulmans</w:t>
      </w:r>
      <w:proofErr w:type="spellEnd"/>
      <w:r>
        <w:rPr>
          <w:rStyle w:val="Emphasis"/>
        </w:rPr>
        <w:t xml:space="preserve"> et de la </w:t>
      </w:r>
      <w:proofErr w:type="spellStart"/>
      <w:r>
        <w:rPr>
          <w:rStyle w:val="Emphasis"/>
        </w:rPr>
        <w:t>Méditerranée</w:t>
      </w:r>
      <w:proofErr w:type="spellEnd"/>
      <w:r>
        <w:t>, 151 (2022), 221–42.</w:t>
      </w:r>
    </w:p>
    <w:p w:rsidR="00536351" w:rsidRDefault="00536351" w:rsidP="00536351">
      <w:pPr>
        <w:pStyle w:val="NormalWeb"/>
      </w:pPr>
      <w:r>
        <w:br/>
        <w:t xml:space="preserve">Michael Provence, </w:t>
      </w:r>
      <w:r>
        <w:rPr>
          <w:rStyle w:val="Emphasis"/>
        </w:rPr>
        <w:t>The Great Syrian Revolt and the Rise of Arab Nationalism</w:t>
      </w:r>
      <w:r>
        <w:t xml:space="preserve"> (Austin: University of Texas Press, 2005).</w:t>
      </w:r>
    </w:p>
    <w:p w:rsidR="00536351" w:rsidRDefault="00536351" w:rsidP="00536351">
      <w:pPr>
        <w:pStyle w:val="NormalWeb"/>
      </w:pPr>
      <w:r>
        <w:br/>
        <w:t xml:space="preserve">Edward Said, </w:t>
      </w:r>
      <w:r>
        <w:rPr>
          <w:rStyle w:val="Emphasis"/>
        </w:rPr>
        <w:t>Orientalism</w:t>
      </w:r>
      <w:r>
        <w:t xml:space="preserve"> (New York: Pantheon Books, 1978).</w:t>
      </w:r>
    </w:p>
    <w:p w:rsidR="00536351" w:rsidRDefault="00536351" w:rsidP="00536351">
      <w:pPr>
        <w:pStyle w:val="NormalWeb"/>
      </w:pPr>
      <w:r>
        <w:br/>
        <w:t xml:space="preserve">Kamal Salibi, </w:t>
      </w:r>
      <w:r>
        <w:rPr>
          <w:rStyle w:val="Emphasis"/>
        </w:rPr>
        <w:t>A House of Many Mansions: The History of Lebanon Reconsidered</w:t>
      </w:r>
      <w:r>
        <w:t xml:space="preserve"> (Berkeley: University of California Press, 1988).</w:t>
      </w:r>
    </w:p>
    <w:p w:rsidR="00536351" w:rsidRDefault="00536351" w:rsidP="00536351">
      <w:pPr>
        <w:pStyle w:val="NormalWeb"/>
      </w:pPr>
      <w:r>
        <w:br/>
        <w:t xml:space="preserve">Elizabeth Thompson, </w:t>
      </w:r>
      <w:r>
        <w:rPr>
          <w:rStyle w:val="Emphasis"/>
        </w:rPr>
        <w:t>Colonial Citizens: Republican Rights, Paternal Privilege, and Gender in French Syria and Lebanon</w:t>
      </w:r>
      <w:r>
        <w:t xml:space="preserve"> (New York: Columbia University Press, 2000).</w:t>
      </w:r>
    </w:p>
    <w:p w:rsidR="00536351" w:rsidRDefault="00536351" w:rsidP="00536351">
      <w:pPr>
        <w:pStyle w:val="NormalWeb"/>
      </w:pPr>
      <w:r>
        <w:lastRenderedPageBreak/>
        <w:br/>
      </w:r>
      <w:proofErr w:type="spellStart"/>
      <w:r>
        <w:t>Nikolaos</w:t>
      </w:r>
      <w:proofErr w:type="spellEnd"/>
      <w:r>
        <w:t xml:space="preserve"> van Dam, </w:t>
      </w:r>
      <w:r>
        <w:rPr>
          <w:rStyle w:val="Emphasis"/>
        </w:rPr>
        <w:t xml:space="preserve">The Struggle for Power in Syria: Politics and Society under Asad and the </w:t>
      </w:r>
      <w:proofErr w:type="spellStart"/>
      <w:r>
        <w:rPr>
          <w:rStyle w:val="Emphasis"/>
        </w:rPr>
        <w:t>Ba‘th</w:t>
      </w:r>
      <w:proofErr w:type="spellEnd"/>
      <w:r>
        <w:rPr>
          <w:rStyle w:val="Emphasis"/>
        </w:rPr>
        <w:t xml:space="preserve"> Party</w:t>
      </w:r>
      <w:r>
        <w:t xml:space="preserve"> (London: I.B. </w:t>
      </w:r>
      <w:proofErr w:type="spellStart"/>
      <w:r>
        <w:t>Tauris</w:t>
      </w:r>
      <w:proofErr w:type="spellEnd"/>
      <w:r>
        <w:t>, 2011).</w:t>
      </w:r>
    </w:p>
    <w:p w:rsidR="00536351" w:rsidRDefault="00536351" w:rsidP="00536351">
      <w:pPr>
        <w:pStyle w:val="NormalWeb"/>
      </w:pPr>
      <w:r>
        <w:br/>
        <w:t xml:space="preserve">Lisa Wedeen, </w:t>
      </w:r>
      <w:r>
        <w:rPr>
          <w:rStyle w:val="Emphasis"/>
        </w:rPr>
        <w:t>Ambiguities of Domination: Politics, Rhetoric, and Symbols in Contemporary Syria</w:t>
      </w:r>
      <w:r>
        <w:t xml:space="preserve"> (Chicago: University of Chicago Press, 1999).</w:t>
      </w:r>
    </w:p>
    <w:p w:rsidR="00667883" w:rsidRPr="00E067CA" w:rsidRDefault="00536351" w:rsidP="003E148F">
      <w:pPr>
        <w:pStyle w:val="NormalWeb"/>
      </w:pPr>
      <w:r>
        <w:br/>
        <w:t xml:space="preserve">Max Weiss, </w:t>
      </w:r>
      <w:r>
        <w:rPr>
          <w:rStyle w:val="Emphasis"/>
        </w:rPr>
        <w:t xml:space="preserve">In the Shadow of Sectarianism: Law, </w:t>
      </w:r>
      <w:proofErr w:type="spellStart"/>
      <w:proofErr w:type="gramStart"/>
      <w:r>
        <w:rPr>
          <w:rStyle w:val="Emphasis"/>
        </w:rPr>
        <w:t>Shi‘ism</w:t>
      </w:r>
      <w:proofErr w:type="spellEnd"/>
      <w:r>
        <w:rPr>
          <w:rStyle w:val="Emphasis"/>
        </w:rPr>
        <w:t>,</w:t>
      </w:r>
      <w:proofErr w:type="gramEnd"/>
      <w:r>
        <w:rPr>
          <w:rStyle w:val="Emphasis"/>
        </w:rPr>
        <w:t xml:space="preserve"> and the Making of Modern Lebanon</w:t>
      </w:r>
      <w:r>
        <w:t xml:space="preserve"> (Cambridge, MA: Harvard University Press, 2010).</w:t>
      </w:r>
    </w:p>
    <w:sectPr w:rsidR="00667883" w:rsidRPr="00E067CA" w:rsidSect="00DD0ADF">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3B54" w:rsidRDefault="00653B54" w:rsidP="006C6312">
      <w:pPr>
        <w:spacing w:after="0" w:line="240" w:lineRule="auto"/>
      </w:pPr>
      <w:r>
        <w:separator/>
      </w:r>
    </w:p>
  </w:endnote>
  <w:endnote w:type="continuationSeparator" w:id="0">
    <w:p w:rsidR="00653B54" w:rsidRDefault="00653B54" w:rsidP="006C63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6A0"/>
    </w:tblPr>
    <w:tblGrid>
      <w:gridCol w:w="3005"/>
      <w:gridCol w:w="3005"/>
      <w:gridCol w:w="3005"/>
    </w:tblGrid>
    <w:tr w:rsidR="392B512C" w:rsidTr="392B512C">
      <w:trPr>
        <w:trHeight w:val="300"/>
      </w:trPr>
      <w:tc>
        <w:tcPr>
          <w:tcW w:w="3005" w:type="dxa"/>
        </w:tcPr>
        <w:p w:rsidR="392B512C" w:rsidRDefault="392B512C" w:rsidP="392B512C">
          <w:pPr>
            <w:pStyle w:val="Header"/>
            <w:ind w:left="-115"/>
          </w:pPr>
        </w:p>
      </w:tc>
      <w:tc>
        <w:tcPr>
          <w:tcW w:w="3005" w:type="dxa"/>
        </w:tcPr>
        <w:p w:rsidR="392B512C" w:rsidRDefault="392B512C" w:rsidP="392B512C">
          <w:pPr>
            <w:pStyle w:val="Header"/>
            <w:jc w:val="center"/>
          </w:pPr>
        </w:p>
      </w:tc>
      <w:tc>
        <w:tcPr>
          <w:tcW w:w="3005" w:type="dxa"/>
        </w:tcPr>
        <w:p w:rsidR="392B512C" w:rsidRDefault="392B512C" w:rsidP="392B512C">
          <w:pPr>
            <w:pStyle w:val="Header"/>
            <w:ind w:right="-115"/>
            <w:jc w:val="right"/>
          </w:pPr>
        </w:p>
      </w:tc>
    </w:tr>
  </w:tbl>
  <w:p w:rsidR="392B512C" w:rsidRDefault="392B512C" w:rsidP="392B512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3B54" w:rsidRDefault="00653B54" w:rsidP="006C6312">
      <w:pPr>
        <w:spacing w:after="0" w:line="240" w:lineRule="auto"/>
      </w:pPr>
      <w:r>
        <w:separator/>
      </w:r>
    </w:p>
  </w:footnote>
  <w:footnote w:type="continuationSeparator" w:id="0">
    <w:p w:rsidR="00653B54" w:rsidRDefault="00653B54" w:rsidP="006C6312">
      <w:pPr>
        <w:spacing w:after="0" w:line="240" w:lineRule="auto"/>
      </w:pPr>
      <w:r>
        <w:continuationSeparator/>
      </w:r>
    </w:p>
  </w:footnote>
  <w:footnote w:id="1">
    <w:p w:rsidR="007474BF" w:rsidRPr="00F467E6" w:rsidRDefault="007474BF" w:rsidP="009B14DB">
      <w:pPr>
        <w:pStyle w:val="NormalWeb"/>
        <w:rPr>
          <w:sz w:val="20"/>
          <w:szCs w:val="20"/>
        </w:rPr>
      </w:pPr>
      <w:r>
        <w:rPr>
          <w:rStyle w:val="FootnoteReference"/>
        </w:rPr>
        <w:footnoteRef/>
      </w:r>
      <w:r>
        <w:t xml:space="preserve"> </w:t>
      </w:r>
      <w:proofErr w:type="spellStart"/>
      <w:r w:rsidRPr="00F467E6">
        <w:rPr>
          <w:sz w:val="20"/>
          <w:szCs w:val="20"/>
        </w:rPr>
        <w:t>Gulhane</w:t>
      </w:r>
      <w:proofErr w:type="spellEnd"/>
      <w:r w:rsidRPr="00F467E6">
        <w:rPr>
          <w:sz w:val="20"/>
          <w:szCs w:val="20"/>
        </w:rPr>
        <w:t xml:space="preserve"> Edict (Tanzimat </w:t>
      </w:r>
      <w:proofErr w:type="spellStart"/>
      <w:r w:rsidRPr="00F467E6">
        <w:rPr>
          <w:sz w:val="20"/>
          <w:szCs w:val="20"/>
        </w:rPr>
        <w:t>Fermani</w:t>
      </w:r>
      <w:proofErr w:type="spellEnd"/>
      <w:r w:rsidRPr="00F467E6">
        <w:rPr>
          <w:sz w:val="20"/>
          <w:szCs w:val="20"/>
        </w:rPr>
        <w:t>), ‘</w:t>
      </w:r>
      <w:proofErr w:type="spellStart"/>
      <w:r w:rsidRPr="00F467E6">
        <w:rPr>
          <w:sz w:val="20"/>
          <w:szCs w:val="20"/>
        </w:rPr>
        <w:t>Gulhane</w:t>
      </w:r>
      <w:proofErr w:type="spellEnd"/>
      <w:r w:rsidRPr="00F467E6">
        <w:rPr>
          <w:sz w:val="20"/>
          <w:szCs w:val="20"/>
        </w:rPr>
        <w:t xml:space="preserve"> Edict (Tanzimat </w:t>
      </w:r>
      <w:proofErr w:type="spellStart"/>
      <w:r w:rsidRPr="00F467E6">
        <w:rPr>
          <w:sz w:val="20"/>
          <w:szCs w:val="20"/>
        </w:rPr>
        <w:t>Fermani</w:t>
      </w:r>
      <w:proofErr w:type="spellEnd"/>
      <w:r w:rsidRPr="00F467E6">
        <w:rPr>
          <w:sz w:val="20"/>
          <w:szCs w:val="20"/>
        </w:rPr>
        <w:t xml:space="preserve">) (1839)’, </w:t>
      </w:r>
      <w:proofErr w:type="spellStart"/>
      <w:r w:rsidRPr="00F467E6">
        <w:rPr>
          <w:rStyle w:val="Emphasis"/>
          <w:sz w:val="20"/>
          <w:szCs w:val="20"/>
        </w:rPr>
        <w:t>Anayasa</w:t>
      </w:r>
      <w:proofErr w:type="spellEnd"/>
      <w:r w:rsidRPr="00F467E6">
        <w:rPr>
          <w:rStyle w:val="Emphasis"/>
          <w:sz w:val="20"/>
          <w:szCs w:val="20"/>
        </w:rPr>
        <w:t xml:space="preserve"> Gen </w:t>
      </w:r>
      <w:proofErr w:type="spellStart"/>
      <w:r w:rsidRPr="00F467E6">
        <w:rPr>
          <w:rStyle w:val="Emphasis"/>
          <w:sz w:val="20"/>
          <w:szCs w:val="20"/>
        </w:rPr>
        <w:t>Tr</w:t>
      </w:r>
      <w:proofErr w:type="spellEnd"/>
      <w:r w:rsidRPr="00F467E6">
        <w:rPr>
          <w:sz w:val="20"/>
          <w:szCs w:val="20"/>
        </w:rPr>
        <w:t xml:space="preserve">, </w:t>
      </w:r>
      <w:hyperlink r:id="rId1" w:tgtFrame="_new" w:history="1">
        <w:r w:rsidRPr="00F467E6">
          <w:rPr>
            <w:rStyle w:val="Hyperlink"/>
            <w:sz w:val="20"/>
            <w:szCs w:val="20"/>
          </w:rPr>
          <w:t>https://anayasa.gen.tr/gulhane.htm</w:t>
        </w:r>
      </w:hyperlink>
      <w:r w:rsidRPr="00F467E6">
        <w:rPr>
          <w:sz w:val="20"/>
          <w:szCs w:val="20"/>
        </w:rPr>
        <w:t xml:space="preserve"> (Accessed 12 May 2026).</w:t>
      </w:r>
    </w:p>
  </w:footnote>
  <w:footnote w:id="2">
    <w:p w:rsidR="007474BF" w:rsidRPr="00F467E6" w:rsidRDefault="007474BF">
      <w:pPr>
        <w:pStyle w:val="FootnoteText"/>
        <w:rPr>
          <w:rFonts w:ascii="Times New Roman" w:hAnsi="Times New Roman" w:cs="Times New Roman"/>
        </w:rPr>
      </w:pPr>
      <w:r w:rsidRPr="00F467E6">
        <w:rPr>
          <w:rStyle w:val="FootnoteReference"/>
          <w:rFonts w:ascii="Times New Roman" w:hAnsi="Times New Roman" w:cs="Times New Roman"/>
        </w:rPr>
        <w:footnoteRef/>
      </w:r>
      <w:r w:rsidRPr="00F467E6">
        <w:rPr>
          <w:rFonts w:ascii="Times New Roman" w:hAnsi="Times New Roman" w:cs="Times New Roman"/>
        </w:rPr>
        <w:t xml:space="preserve"> Max Weiss, </w:t>
      </w:r>
      <w:r w:rsidRPr="00F467E6">
        <w:rPr>
          <w:rStyle w:val="Emphasis"/>
          <w:rFonts w:ascii="Times New Roman" w:hAnsi="Times New Roman" w:cs="Times New Roman"/>
        </w:rPr>
        <w:t xml:space="preserve">In the Shadow of Sectarianism: Law, </w:t>
      </w:r>
      <w:proofErr w:type="spellStart"/>
      <w:r w:rsidRPr="00F467E6">
        <w:rPr>
          <w:rStyle w:val="Emphasis"/>
          <w:rFonts w:ascii="Times New Roman" w:hAnsi="Times New Roman" w:cs="Times New Roman"/>
        </w:rPr>
        <w:t>Shi‘ism</w:t>
      </w:r>
      <w:proofErr w:type="spellEnd"/>
      <w:r w:rsidRPr="00F467E6">
        <w:rPr>
          <w:rStyle w:val="Emphasis"/>
          <w:rFonts w:ascii="Times New Roman" w:hAnsi="Times New Roman" w:cs="Times New Roman"/>
        </w:rPr>
        <w:t>, and the Making of Modern Lebanon</w:t>
      </w:r>
      <w:r w:rsidRPr="00F467E6">
        <w:rPr>
          <w:rFonts w:ascii="Times New Roman" w:hAnsi="Times New Roman" w:cs="Times New Roman"/>
        </w:rPr>
        <w:t xml:space="preserve"> (Cambridge, MA: Harvard University Press, 2010), p. 77.</w:t>
      </w:r>
    </w:p>
  </w:footnote>
  <w:footnote w:id="3">
    <w:p w:rsidR="007474BF" w:rsidRDefault="007474BF">
      <w:pPr>
        <w:pStyle w:val="FootnoteText"/>
      </w:pPr>
      <w:r>
        <w:rPr>
          <w:rStyle w:val="FootnoteReference"/>
        </w:rPr>
        <w:footnoteRef/>
      </w:r>
      <w:r>
        <w:t xml:space="preserve"> </w:t>
      </w:r>
      <w:proofErr w:type="spellStart"/>
      <w:r>
        <w:t>Idir</w:t>
      </w:r>
      <w:proofErr w:type="spellEnd"/>
      <w:r>
        <w:t xml:space="preserve"> Ouahes, ‘Catholic Missionary Education in Early Mandate Syria and Lebanon’, </w:t>
      </w:r>
      <w:r>
        <w:rPr>
          <w:rStyle w:val="Emphasis"/>
        </w:rPr>
        <w:t>Social Sciences and Missions</w:t>
      </w:r>
      <w:r>
        <w:t>, 30.3–4 (2017), p. 234.</w:t>
      </w:r>
    </w:p>
  </w:footnote>
  <w:footnote w:id="4">
    <w:p w:rsidR="007474BF" w:rsidRPr="004B1864" w:rsidRDefault="007474BF" w:rsidP="004B1864">
      <w:pPr>
        <w:pStyle w:val="NormalWeb"/>
        <w:rPr>
          <w:sz w:val="20"/>
          <w:szCs w:val="20"/>
        </w:rPr>
      </w:pPr>
      <w:r>
        <w:rPr>
          <w:rStyle w:val="FootnoteReference"/>
        </w:rPr>
        <w:footnoteRef/>
      </w:r>
      <w:r>
        <w:t xml:space="preserve"> </w:t>
      </w:r>
      <w:r w:rsidRPr="00D95281">
        <w:rPr>
          <w:sz w:val="20"/>
          <w:szCs w:val="20"/>
        </w:rPr>
        <w:t xml:space="preserve">Michael Kerr and Craig Larkin, </w:t>
      </w:r>
      <w:r w:rsidRPr="00D95281">
        <w:rPr>
          <w:rStyle w:val="Emphasis"/>
          <w:sz w:val="20"/>
          <w:szCs w:val="20"/>
        </w:rPr>
        <w:t>The Alawites of Syria: War, Faith and Politics in the Levant</w:t>
      </w:r>
      <w:r w:rsidRPr="00D95281">
        <w:rPr>
          <w:sz w:val="20"/>
          <w:szCs w:val="20"/>
        </w:rPr>
        <w:t xml:space="preserve"> (London: Hurst &amp; Company, 2015), pp. 84–85.</w:t>
      </w:r>
    </w:p>
  </w:footnote>
  <w:footnote w:id="5">
    <w:p w:rsidR="007474BF" w:rsidRPr="004B1864" w:rsidRDefault="007474BF" w:rsidP="004B1864">
      <w:pPr>
        <w:rPr>
          <w:rFonts w:ascii="Times New Roman" w:eastAsia="Times New Roman" w:hAnsi="Times New Roman" w:cs="Times New Roman"/>
          <w:sz w:val="24"/>
          <w:szCs w:val="24"/>
          <w:lang w:eastAsia="en-GB"/>
        </w:rPr>
      </w:pPr>
      <w:r>
        <w:rPr>
          <w:rStyle w:val="FootnoteReference"/>
        </w:rPr>
        <w:footnoteRef/>
      </w:r>
      <w:r>
        <w:t xml:space="preserve"> </w:t>
      </w:r>
      <w:r w:rsidRPr="004B1864">
        <w:rPr>
          <w:rFonts w:ascii="Times New Roman" w:eastAsia="Times New Roman" w:hAnsi="Times New Roman" w:cs="Times New Roman"/>
          <w:sz w:val="20"/>
          <w:szCs w:val="20"/>
          <w:lang w:eastAsia="en-GB"/>
        </w:rPr>
        <w:t xml:space="preserve">Michael Provence, </w:t>
      </w:r>
      <w:r w:rsidRPr="004B1864">
        <w:rPr>
          <w:rFonts w:ascii="Times New Roman" w:eastAsia="Times New Roman" w:hAnsi="Times New Roman" w:cs="Times New Roman"/>
          <w:i/>
          <w:iCs/>
          <w:sz w:val="20"/>
          <w:szCs w:val="20"/>
          <w:lang w:eastAsia="en-GB"/>
        </w:rPr>
        <w:t>The Great Syrian Revolt and the Rise of Arab Nationalism</w:t>
      </w:r>
      <w:r w:rsidRPr="004B1864">
        <w:rPr>
          <w:rFonts w:ascii="Times New Roman" w:eastAsia="Times New Roman" w:hAnsi="Times New Roman" w:cs="Times New Roman"/>
          <w:sz w:val="20"/>
          <w:szCs w:val="20"/>
          <w:lang w:eastAsia="en-GB"/>
        </w:rPr>
        <w:t xml:space="preserve"> (Austin: U</w:t>
      </w:r>
      <w:r>
        <w:rPr>
          <w:rFonts w:ascii="Times New Roman" w:eastAsia="Times New Roman" w:hAnsi="Times New Roman" w:cs="Times New Roman"/>
          <w:sz w:val="20"/>
          <w:szCs w:val="20"/>
          <w:lang w:eastAsia="en-GB"/>
        </w:rPr>
        <w:t>niversity of Texas Press, 2005), p. 82.</w:t>
      </w:r>
      <w:r w:rsidRPr="004B1864">
        <w:rPr>
          <w:rFonts w:ascii="Times New Roman" w:eastAsia="Times New Roman" w:hAnsi="Times New Roman" w:cs="Times New Roman"/>
          <w:sz w:val="24"/>
          <w:szCs w:val="24"/>
          <w:lang w:eastAsia="en-GB"/>
        </w:rPr>
        <w:t xml:space="preserve"> </w:t>
      </w:r>
    </w:p>
    <w:p w:rsidR="007474BF" w:rsidRDefault="007474BF" w:rsidP="004B1864">
      <w:pPr>
        <w:pStyle w:val="FootnoteText"/>
      </w:pPr>
    </w:p>
  </w:footnote>
  <w:footnote w:id="6">
    <w:p w:rsidR="007474BF" w:rsidRPr="00A173E7" w:rsidRDefault="007474BF" w:rsidP="003C750E">
      <w:pPr>
        <w:pStyle w:val="NormalWeb"/>
        <w:rPr>
          <w:sz w:val="20"/>
          <w:szCs w:val="20"/>
        </w:rPr>
      </w:pPr>
      <w:r w:rsidRPr="00A173E7">
        <w:rPr>
          <w:rStyle w:val="FootnoteReference"/>
          <w:sz w:val="20"/>
          <w:szCs w:val="20"/>
        </w:rPr>
        <w:footnoteRef/>
      </w:r>
      <w:r w:rsidRPr="00A173E7">
        <w:rPr>
          <w:sz w:val="20"/>
          <w:szCs w:val="20"/>
        </w:rPr>
        <w:t xml:space="preserve"> </w:t>
      </w:r>
      <w:proofErr w:type="spellStart"/>
      <w:r w:rsidRPr="00A173E7">
        <w:rPr>
          <w:sz w:val="20"/>
          <w:szCs w:val="20"/>
        </w:rPr>
        <w:t>Gulhane</w:t>
      </w:r>
      <w:proofErr w:type="spellEnd"/>
      <w:r w:rsidRPr="00A173E7">
        <w:rPr>
          <w:sz w:val="20"/>
          <w:szCs w:val="20"/>
        </w:rPr>
        <w:t xml:space="preserve"> Edict (Tanzimat </w:t>
      </w:r>
      <w:proofErr w:type="spellStart"/>
      <w:r w:rsidRPr="00A173E7">
        <w:rPr>
          <w:sz w:val="20"/>
          <w:szCs w:val="20"/>
        </w:rPr>
        <w:t>Fermani</w:t>
      </w:r>
      <w:proofErr w:type="spellEnd"/>
      <w:r w:rsidRPr="00A173E7">
        <w:rPr>
          <w:sz w:val="20"/>
          <w:szCs w:val="20"/>
        </w:rPr>
        <w:t>), ‘</w:t>
      </w:r>
      <w:proofErr w:type="spellStart"/>
      <w:r w:rsidRPr="00A173E7">
        <w:rPr>
          <w:sz w:val="20"/>
          <w:szCs w:val="20"/>
        </w:rPr>
        <w:t>Gulhane</w:t>
      </w:r>
      <w:proofErr w:type="spellEnd"/>
      <w:r w:rsidRPr="00A173E7">
        <w:rPr>
          <w:sz w:val="20"/>
          <w:szCs w:val="20"/>
        </w:rPr>
        <w:t xml:space="preserve"> Edict (Tanzimat </w:t>
      </w:r>
      <w:proofErr w:type="spellStart"/>
      <w:r w:rsidRPr="00A173E7">
        <w:rPr>
          <w:sz w:val="20"/>
          <w:szCs w:val="20"/>
        </w:rPr>
        <w:t>Fermani</w:t>
      </w:r>
      <w:proofErr w:type="spellEnd"/>
      <w:r w:rsidRPr="00A173E7">
        <w:rPr>
          <w:sz w:val="20"/>
          <w:szCs w:val="20"/>
        </w:rPr>
        <w:t xml:space="preserve">) (1839)’, </w:t>
      </w:r>
      <w:proofErr w:type="spellStart"/>
      <w:r w:rsidRPr="00A173E7">
        <w:rPr>
          <w:rStyle w:val="Emphasis"/>
          <w:sz w:val="20"/>
          <w:szCs w:val="20"/>
        </w:rPr>
        <w:t>Anayasa</w:t>
      </w:r>
      <w:proofErr w:type="spellEnd"/>
      <w:r w:rsidRPr="00A173E7">
        <w:rPr>
          <w:rStyle w:val="Emphasis"/>
          <w:sz w:val="20"/>
          <w:szCs w:val="20"/>
        </w:rPr>
        <w:t xml:space="preserve"> Gen </w:t>
      </w:r>
      <w:proofErr w:type="spellStart"/>
      <w:r w:rsidRPr="00A173E7">
        <w:rPr>
          <w:rStyle w:val="Emphasis"/>
          <w:sz w:val="20"/>
          <w:szCs w:val="20"/>
        </w:rPr>
        <w:t>Tr</w:t>
      </w:r>
      <w:proofErr w:type="spellEnd"/>
      <w:r w:rsidRPr="00A173E7">
        <w:rPr>
          <w:sz w:val="20"/>
          <w:szCs w:val="20"/>
        </w:rPr>
        <w:t xml:space="preserve">, </w:t>
      </w:r>
      <w:hyperlink r:id="rId2" w:tgtFrame="_new" w:history="1">
        <w:r w:rsidRPr="00A173E7">
          <w:rPr>
            <w:rStyle w:val="Hyperlink"/>
            <w:sz w:val="20"/>
            <w:szCs w:val="20"/>
          </w:rPr>
          <w:t>https://anayasa.gen.tr/gulhane.htm</w:t>
        </w:r>
      </w:hyperlink>
      <w:r w:rsidRPr="00A173E7">
        <w:rPr>
          <w:sz w:val="20"/>
          <w:szCs w:val="20"/>
        </w:rPr>
        <w:t xml:space="preserve"> (Accessed 12 May 2026).</w:t>
      </w:r>
    </w:p>
  </w:footnote>
  <w:footnote w:id="7">
    <w:p w:rsidR="007474BF" w:rsidRDefault="007474BF">
      <w:pPr>
        <w:pStyle w:val="FootnoteText"/>
        <w:rPr>
          <w:rFonts w:ascii="Times New Roman" w:hAnsi="Times New Roman" w:cs="Times New Roman"/>
        </w:rPr>
      </w:pPr>
      <w:r w:rsidRPr="00A173E7">
        <w:rPr>
          <w:rStyle w:val="FootnoteReference"/>
          <w:rFonts w:ascii="Times New Roman" w:hAnsi="Times New Roman" w:cs="Times New Roman"/>
        </w:rPr>
        <w:footnoteRef/>
      </w:r>
      <w:r w:rsidRPr="00A173E7">
        <w:rPr>
          <w:rFonts w:ascii="Times New Roman" w:hAnsi="Times New Roman" w:cs="Times New Roman"/>
        </w:rPr>
        <w:t xml:space="preserve"> </w:t>
      </w:r>
      <w:proofErr w:type="spellStart"/>
      <w:r w:rsidRPr="00A173E7">
        <w:rPr>
          <w:rFonts w:ascii="Times New Roman" w:hAnsi="Times New Roman" w:cs="Times New Roman"/>
        </w:rPr>
        <w:t>Idir</w:t>
      </w:r>
      <w:proofErr w:type="spellEnd"/>
      <w:r w:rsidRPr="00A173E7">
        <w:rPr>
          <w:rFonts w:ascii="Times New Roman" w:hAnsi="Times New Roman" w:cs="Times New Roman"/>
        </w:rPr>
        <w:t xml:space="preserve"> Ouahes, ‘Catholic Missionary Education in Early Mandate Syria and Lebanon’, </w:t>
      </w:r>
      <w:r w:rsidRPr="00A173E7">
        <w:rPr>
          <w:rStyle w:val="Emphasis"/>
          <w:rFonts w:ascii="Times New Roman" w:hAnsi="Times New Roman" w:cs="Times New Roman"/>
        </w:rPr>
        <w:t>Social Sciences and Missions</w:t>
      </w:r>
      <w:r w:rsidRPr="00A173E7">
        <w:rPr>
          <w:rFonts w:ascii="Times New Roman" w:hAnsi="Times New Roman" w:cs="Times New Roman"/>
        </w:rPr>
        <w:t>, 30.3–4 (2017), p. 234.</w:t>
      </w:r>
    </w:p>
    <w:p w:rsidR="00A173E7" w:rsidRPr="00A173E7" w:rsidRDefault="00A173E7">
      <w:pPr>
        <w:pStyle w:val="FootnoteText"/>
        <w:rPr>
          <w:rFonts w:ascii="Times New Roman" w:hAnsi="Times New Roman" w:cs="Times New Roman"/>
        </w:rPr>
      </w:pPr>
    </w:p>
  </w:footnote>
  <w:footnote w:id="8">
    <w:p w:rsidR="007474BF" w:rsidRDefault="007474BF">
      <w:pPr>
        <w:pStyle w:val="FootnoteText"/>
      </w:pPr>
      <w:r w:rsidRPr="00A173E7">
        <w:rPr>
          <w:rStyle w:val="FootnoteReference"/>
          <w:rFonts w:ascii="Times New Roman" w:hAnsi="Times New Roman" w:cs="Times New Roman"/>
        </w:rPr>
        <w:footnoteRef/>
      </w:r>
      <w:r w:rsidRPr="00A173E7">
        <w:rPr>
          <w:rFonts w:ascii="Times New Roman" w:hAnsi="Times New Roman" w:cs="Times New Roman"/>
        </w:rPr>
        <w:t xml:space="preserve"> ‘Article 22 of the Covenant of the League of Nations’ (1924), United Nations Digital Library, A/297 </w:t>
      </w:r>
      <w:hyperlink r:id="rId3" w:tgtFrame="_new" w:history="1">
        <w:r w:rsidRPr="00A173E7">
          <w:rPr>
            <w:rStyle w:val="Hyperlink"/>
            <w:rFonts w:ascii="Times New Roman" w:hAnsi="Times New Roman" w:cs="Times New Roman"/>
          </w:rPr>
          <w:t>https://www.un.org/unispal/document/auto-insert-185531/</w:t>
        </w:r>
      </w:hyperlink>
      <w:r w:rsidR="00A173E7">
        <w:rPr>
          <w:rFonts w:ascii="Times New Roman" w:hAnsi="Times New Roman" w:cs="Times New Roman"/>
        </w:rPr>
        <w:t xml:space="preserve"> [A</w:t>
      </w:r>
      <w:r w:rsidRPr="00A173E7">
        <w:rPr>
          <w:rFonts w:ascii="Times New Roman" w:hAnsi="Times New Roman" w:cs="Times New Roman"/>
        </w:rPr>
        <w:t>ccessed 14 May 2026].</w:t>
      </w:r>
    </w:p>
  </w:footnote>
  <w:footnote w:id="9">
    <w:p w:rsidR="007474BF" w:rsidRDefault="007474BF">
      <w:pPr>
        <w:pStyle w:val="FootnoteText"/>
      </w:pPr>
      <w:r>
        <w:rPr>
          <w:rStyle w:val="FootnoteReference"/>
        </w:rPr>
        <w:footnoteRef/>
      </w:r>
      <w:r>
        <w:t xml:space="preserve"> Edward W. Said, </w:t>
      </w:r>
      <w:r>
        <w:rPr>
          <w:rStyle w:val="Emphasis"/>
        </w:rPr>
        <w:t>Orientalism</w:t>
      </w:r>
      <w:r>
        <w:t xml:space="preserve"> (London: </w:t>
      </w:r>
      <w:proofErr w:type="spellStart"/>
      <w:r>
        <w:t>Routledge</w:t>
      </w:r>
      <w:proofErr w:type="spellEnd"/>
      <w:r>
        <w:t xml:space="preserve"> &amp; </w:t>
      </w:r>
      <w:proofErr w:type="spellStart"/>
      <w:r>
        <w:t>Kegan</w:t>
      </w:r>
      <w:proofErr w:type="spellEnd"/>
      <w:r>
        <w:t xml:space="preserve"> Paul, 1978), p. 3.</w:t>
      </w:r>
    </w:p>
  </w:footnote>
  <w:footnote w:id="10">
    <w:p w:rsidR="007474BF" w:rsidRDefault="007474BF">
      <w:pPr>
        <w:pStyle w:val="FootnoteText"/>
      </w:pPr>
      <w:r>
        <w:rPr>
          <w:rStyle w:val="FootnoteReference"/>
        </w:rPr>
        <w:footnoteRef/>
      </w:r>
      <w:r>
        <w:t xml:space="preserve"> Michael Kerr and Craig Larkin, </w:t>
      </w:r>
      <w:r>
        <w:rPr>
          <w:rStyle w:val="Emphasis"/>
        </w:rPr>
        <w:t>The Alawites of Syria: War, Faith and Politics in the Levant</w:t>
      </w:r>
      <w:r>
        <w:t xml:space="preserve"> (Oxford: Oxford University Press, 2015), pp. 84-85.</w:t>
      </w:r>
    </w:p>
  </w:footnote>
  <w:footnote w:id="11">
    <w:p w:rsidR="007474BF" w:rsidRDefault="007474BF">
      <w:pPr>
        <w:pStyle w:val="FootnoteText"/>
      </w:pPr>
      <w:r>
        <w:rPr>
          <w:rStyle w:val="FootnoteReference"/>
        </w:rPr>
        <w:footnoteRef/>
      </w:r>
      <w:r>
        <w:t xml:space="preserve"> </w:t>
      </w:r>
      <w:proofErr w:type="gramStart"/>
      <w:r>
        <w:t>Ibid.,</w:t>
      </w:r>
      <w:proofErr w:type="gramEnd"/>
      <w:r>
        <w:t xml:space="preserve"> p. 85. </w:t>
      </w:r>
    </w:p>
  </w:footnote>
  <w:footnote w:id="12">
    <w:p w:rsidR="007474BF" w:rsidRDefault="007474BF">
      <w:pPr>
        <w:pStyle w:val="FootnoteText"/>
      </w:pPr>
      <w:r>
        <w:rPr>
          <w:rStyle w:val="FootnoteReference"/>
        </w:rPr>
        <w:footnoteRef/>
      </w:r>
      <w:r>
        <w:t xml:space="preserve"> Michael Provence, </w:t>
      </w:r>
      <w:r>
        <w:rPr>
          <w:rStyle w:val="Emphasis"/>
        </w:rPr>
        <w:t>The Great Syrian Revolt and the Rise of Arab Nationalism</w:t>
      </w:r>
      <w:r>
        <w:t xml:space="preserve"> (Austin: University of Texas Press, 2005), p. 82.</w:t>
      </w:r>
    </w:p>
  </w:footnote>
  <w:footnote w:id="13">
    <w:p w:rsidR="007474BF" w:rsidRDefault="007474BF">
      <w:pPr>
        <w:pStyle w:val="FootnoteText"/>
      </w:pPr>
      <w:r>
        <w:rPr>
          <w:rStyle w:val="FootnoteReference"/>
        </w:rPr>
        <w:footnoteRef/>
      </w:r>
      <w:r>
        <w:t xml:space="preserve"> Philip S. Khoury, </w:t>
      </w:r>
      <w:r>
        <w:rPr>
          <w:rStyle w:val="Emphasis"/>
        </w:rPr>
        <w:t>Syria and the French Mandate: The Politics of Arab Nationalism, 1920–1945</w:t>
      </w:r>
      <w:r>
        <w:t xml:space="preserve"> (Princeton: Princeton University Press, 1987), p. 58.</w:t>
      </w:r>
    </w:p>
  </w:footnote>
  <w:footnote w:id="14">
    <w:p w:rsidR="007474BF" w:rsidRDefault="007474BF">
      <w:pPr>
        <w:pStyle w:val="FootnoteText"/>
      </w:pPr>
      <w:r>
        <w:rPr>
          <w:rStyle w:val="FootnoteReference"/>
        </w:rPr>
        <w:footnoteRef/>
      </w:r>
      <w:r>
        <w:t xml:space="preserve"> Nadine Meouchy and Peter </w:t>
      </w:r>
      <w:proofErr w:type="spellStart"/>
      <w:r>
        <w:t>Sluglett</w:t>
      </w:r>
      <w:proofErr w:type="spellEnd"/>
      <w:r>
        <w:t xml:space="preserve"> (</w:t>
      </w:r>
      <w:proofErr w:type="spellStart"/>
      <w:r>
        <w:t>eds</w:t>
      </w:r>
      <w:proofErr w:type="spellEnd"/>
      <w:r>
        <w:t xml:space="preserve">), </w:t>
      </w:r>
      <w:r>
        <w:rPr>
          <w:rStyle w:val="Emphasis"/>
        </w:rPr>
        <w:t xml:space="preserve">The British and French </w:t>
      </w:r>
      <w:r w:rsidR="009B2E45">
        <w:rPr>
          <w:rStyle w:val="Emphasis"/>
        </w:rPr>
        <w:t>Mandate’s</w:t>
      </w:r>
      <w:r>
        <w:rPr>
          <w:rStyle w:val="Emphasis"/>
        </w:rPr>
        <w:t xml:space="preserve"> in Comparative Perspective</w:t>
      </w:r>
      <w:r>
        <w:t xml:space="preserve"> (Leiden: Brill, 2004), p. 586.</w:t>
      </w:r>
    </w:p>
  </w:footnote>
  <w:footnote w:id="15">
    <w:p w:rsidR="007474BF" w:rsidRDefault="007474BF">
      <w:pPr>
        <w:pStyle w:val="FootnoteText"/>
      </w:pPr>
      <w:r>
        <w:rPr>
          <w:rStyle w:val="FootnoteReference"/>
        </w:rPr>
        <w:footnoteRef/>
      </w:r>
      <w:r>
        <w:t xml:space="preserve"> Michael Provence, </w:t>
      </w:r>
      <w:r>
        <w:rPr>
          <w:rStyle w:val="Emphasis"/>
        </w:rPr>
        <w:t>The Great Syrian Revolt and the Rise of Arab Nationalism</w:t>
      </w:r>
      <w:r>
        <w:t xml:space="preserve"> (Austin: University of Texas Press, 2005), p. 13. </w:t>
      </w:r>
    </w:p>
  </w:footnote>
  <w:footnote w:id="16">
    <w:p w:rsidR="007474BF" w:rsidRDefault="007474BF">
      <w:pPr>
        <w:pStyle w:val="FootnoteText"/>
      </w:pPr>
      <w:r>
        <w:rPr>
          <w:rStyle w:val="FootnoteReference"/>
        </w:rPr>
        <w:footnoteRef/>
      </w:r>
      <w:r>
        <w:t xml:space="preserve"> Elizabeth Thompson, </w:t>
      </w:r>
      <w:r>
        <w:rPr>
          <w:rStyle w:val="Emphasis"/>
        </w:rPr>
        <w:t>Colonial Citizens: Republican Rights, Paternal Privilege, and Gender in French Syria and Lebanon</w:t>
      </w:r>
      <w:r>
        <w:t xml:space="preserve"> (New York: Columbia University Press, 2000), p. 53.</w:t>
      </w:r>
    </w:p>
  </w:footnote>
  <w:footnote w:id="17">
    <w:p w:rsidR="007474BF" w:rsidRDefault="007474BF">
      <w:pPr>
        <w:pStyle w:val="FootnoteText"/>
      </w:pPr>
      <w:r>
        <w:rPr>
          <w:rStyle w:val="FootnoteReference"/>
        </w:rPr>
        <w:footnoteRef/>
      </w:r>
      <w:r>
        <w:t xml:space="preserve"> </w:t>
      </w:r>
      <w:proofErr w:type="spellStart"/>
      <w:r w:rsidRPr="00F467E6">
        <w:t>Gulhane</w:t>
      </w:r>
      <w:proofErr w:type="spellEnd"/>
      <w:r w:rsidRPr="00F467E6">
        <w:t xml:space="preserve"> Edict (Tanzimat </w:t>
      </w:r>
      <w:proofErr w:type="spellStart"/>
      <w:r w:rsidRPr="00F467E6">
        <w:t>Fermani</w:t>
      </w:r>
      <w:proofErr w:type="spellEnd"/>
      <w:r w:rsidRPr="00F467E6">
        <w:t>), ‘</w:t>
      </w:r>
      <w:proofErr w:type="spellStart"/>
      <w:r w:rsidRPr="00F467E6">
        <w:t>Gulhane</w:t>
      </w:r>
      <w:proofErr w:type="spellEnd"/>
      <w:r w:rsidRPr="00F467E6">
        <w:t xml:space="preserve"> Edict (Tanzimat </w:t>
      </w:r>
      <w:proofErr w:type="spellStart"/>
      <w:r w:rsidRPr="00F467E6">
        <w:t>Fermani</w:t>
      </w:r>
      <w:proofErr w:type="spellEnd"/>
      <w:r w:rsidRPr="00F467E6">
        <w:t xml:space="preserve">) (1839)’, </w:t>
      </w:r>
      <w:proofErr w:type="spellStart"/>
      <w:r w:rsidRPr="00F467E6">
        <w:rPr>
          <w:rStyle w:val="Emphasis"/>
        </w:rPr>
        <w:t>Anayasa</w:t>
      </w:r>
      <w:proofErr w:type="spellEnd"/>
      <w:r w:rsidRPr="00F467E6">
        <w:rPr>
          <w:rStyle w:val="Emphasis"/>
        </w:rPr>
        <w:t xml:space="preserve"> Gen </w:t>
      </w:r>
      <w:proofErr w:type="spellStart"/>
      <w:r w:rsidRPr="00F467E6">
        <w:rPr>
          <w:rStyle w:val="Emphasis"/>
        </w:rPr>
        <w:t>Tr</w:t>
      </w:r>
      <w:proofErr w:type="spellEnd"/>
      <w:r w:rsidRPr="00F467E6">
        <w:t xml:space="preserve">, </w:t>
      </w:r>
      <w:hyperlink r:id="rId4" w:tgtFrame="_new" w:history="1">
        <w:r w:rsidRPr="00F467E6">
          <w:rPr>
            <w:rStyle w:val="Hyperlink"/>
          </w:rPr>
          <w:t>https://anayasa.gen.tr/gulhane.htm</w:t>
        </w:r>
      </w:hyperlink>
      <w:r w:rsidRPr="00F467E6">
        <w:t xml:space="preserve"> (Accessed 12 May 2026).</w:t>
      </w:r>
    </w:p>
  </w:footnote>
  <w:footnote w:id="18">
    <w:p w:rsidR="007474BF" w:rsidRDefault="007474BF">
      <w:pPr>
        <w:pStyle w:val="FootnoteText"/>
      </w:pPr>
      <w:r>
        <w:rPr>
          <w:rStyle w:val="FootnoteReference"/>
        </w:rPr>
        <w:footnoteRef/>
      </w:r>
      <w:r>
        <w:t xml:space="preserve"> James </w:t>
      </w:r>
      <w:proofErr w:type="gramStart"/>
      <w:r>
        <w:t>Gelvin,</w:t>
      </w:r>
      <w:proofErr w:type="gramEnd"/>
      <w:r>
        <w:t xml:space="preserve"> </w:t>
      </w:r>
      <w:r>
        <w:rPr>
          <w:rStyle w:val="Emphasis"/>
        </w:rPr>
        <w:t>Divided Loyalties: Nationalism and Mass Politics in Syria at the Close of Empire</w:t>
      </w:r>
      <w:r>
        <w:t xml:space="preserve"> (Berkeley: University of California Press, 1998), p. 52.</w:t>
      </w:r>
    </w:p>
  </w:footnote>
  <w:footnote w:id="19">
    <w:p w:rsidR="007474BF" w:rsidRDefault="007474BF">
      <w:pPr>
        <w:pStyle w:val="FootnoteText"/>
      </w:pPr>
      <w:r>
        <w:rPr>
          <w:rStyle w:val="FootnoteReference"/>
        </w:rPr>
        <w:footnoteRef/>
      </w:r>
      <w:r>
        <w:t xml:space="preserve"> </w:t>
      </w:r>
      <w:proofErr w:type="gramStart"/>
      <w:r>
        <w:t>Ibid.,</w:t>
      </w:r>
      <w:proofErr w:type="gramEnd"/>
      <w:r>
        <w:t xml:space="preserve"> p. 292. </w:t>
      </w:r>
    </w:p>
  </w:footnote>
  <w:footnote w:id="20">
    <w:p w:rsidR="007474BF" w:rsidRPr="00DB2CC3" w:rsidRDefault="007474BF">
      <w:pPr>
        <w:pStyle w:val="FootnoteText"/>
        <w:rPr>
          <w:rFonts w:ascii="Times New Roman" w:hAnsi="Times New Roman" w:cs="Times New Roman"/>
        </w:rPr>
      </w:pPr>
      <w:r>
        <w:rPr>
          <w:rStyle w:val="FootnoteReference"/>
        </w:rPr>
        <w:footnoteRef/>
      </w:r>
      <w:r>
        <w:t xml:space="preserve"> </w:t>
      </w:r>
      <w:r w:rsidRPr="00F467E6">
        <w:rPr>
          <w:rFonts w:ascii="Times New Roman" w:hAnsi="Times New Roman" w:cs="Times New Roman"/>
        </w:rPr>
        <w:t xml:space="preserve">Max Weiss, </w:t>
      </w:r>
      <w:r w:rsidRPr="00F467E6">
        <w:rPr>
          <w:rStyle w:val="Emphasis"/>
          <w:rFonts w:ascii="Times New Roman" w:hAnsi="Times New Roman" w:cs="Times New Roman"/>
        </w:rPr>
        <w:t xml:space="preserve">In the Shadow of Sectarianism: Law, </w:t>
      </w:r>
      <w:proofErr w:type="spellStart"/>
      <w:r w:rsidRPr="00F467E6">
        <w:rPr>
          <w:rStyle w:val="Emphasis"/>
          <w:rFonts w:ascii="Times New Roman" w:hAnsi="Times New Roman" w:cs="Times New Roman"/>
        </w:rPr>
        <w:t>Shi‘ism</w:t>
      </w:r>
      <w:proofErr w:type="spellEnd"/>
      <w:r w:rsidRPr="00F467E6">
        <w:rPr>
          <w:rStyle w:val="Emphasis"/>
          <w:rFonts w:ascii="Times New Roman" w:hAnsi="Times New Roman" w:cs="Times New Roman"/>
        </w:rPr>
        <w:t>, and the Making of Modern Lebanon</w:t>
      </w:r>
      <w:r w:rsidRPr="00F467E6">
        <w:rPr>
          <w:rFonts w:ascii="Times New Roman" w:hAnsi="Times New Roman" w:cs="Times New Roman"/>
        </w:rPr>
        <w:t xml:space="preserve"> (Cambridge, MA: Harvard </w:t>
      </w:r>
      <w:r>
        <w:rPr>
          <w:rFonts w:ascii="Times New Roman" w:hAnsi="Times New Roman" w:cs="Times New Roman"/>
        </w:rPr>
        <w:t>University Press, 2010), p. 77.</w:t>
      </w:r>
    </w:p>
  </w:footnote>
  <w:footnote w:id="21">
    <w:p w:rsidR="007474BF" w:rsidRDefault="007474BF">
      <w:pPr>
        <w:pStyle w:val="FootnoteText"/>
      </w:pPr>
      <w:r>
        <w:rPr>
          <w:rStyle w:val="FootnoteReference"/>
        </w:rPr>
        <w:footnoteRef/>
      </w:r>
      <w:r>
        <w:t xml:space="preserve"> Carol Hakim, </w:t>
      </w:r>
      <w:r>
        <w:rPr>
          <w:rStyle w:val="Emphasis"/>
        </w:rPr>
        <w:t>The Origins of Confessional Politics in Lebanon under the French Mandate</w:t>
      </w:r>
      <w:r>
        <w:t xml:space="preserve"> (London: I.B. </w:t>
      </w:r>
      <w:proofErr w:type="spellStart"/>
      <w:r>
        <w:t>Tauris</w:t>
      </w:r>
      <w:proofErr w:type="spellEnd"/>
      <w:r>
        <w:t>, 2019), p. 1692.</w:t>
      </w:r>
    </w:p>
  </w:footnote>
  <w:footnote w:id="22">
    <w:p w:rsidR="007474BF" w:rsidRDefault="007474BF">
      <w:pPr>
        <w:pStyle w:val="FootnoteText"/>
      </w:pPr>
      <w:r>
        <w:rPr>
          <w:rStyle w:val="FootnoteReference"/>
        </w:rPr>
        <w:footnoteRef/>
      </w:r>
      <w:r>
        <w:t xml:space="preserve"> Kamal Salibi, </w:t>
      </w:r>
      <w:r>
        <w:rPr>
          <w:rStyle w:val="Emphasis"/>
        </w:rPr>
        <w:t>A House of Many Mansions: The History of Lebanon Reconsidered</w:t>
      </w:r>
      <w:r>
        <w:t xml:space="preserve"> (London: I.B. </w:t>
      </w:r>
      <w:proofErr w:type="spellStart"/>
      <w:r>
        <w:t>Tauris</w:t>
      </w:r>
      <w:proofErr w:type="spellEnd"/>
      <w:r>
        <w:t>, 1988), p. 22-26.</w:t>
      </w:r>
    </w:p>
  </w:footnote>
  <w:footnote w:id="23">
    <w:p w:rsidR="007474BF" w:rsidRPr="007C797D" w:rsidRDefault="007474BF" w:rsidP="007C797D">
      <w:pPr>
        <w:rPr>
          <w:rFonts w:ascii="Times New Roman" w:eastAsia="Times New Roman" w:hAnsi="Times New Roman" w:cs="Times New Roman"/>
          <w:sz w:val="24"/>
          <w:szCs w:val="24"/>
          <w:lang w:eastAsia="en-GB"/>
        </w:rPr>
      </w:pPr>
      <w:r>
        <w:rPr>
          <w:rStyle w:val="FootnoteReference"/>
        </w:rPr>
        <w:footnoteRef/>
      </w:r>
      <w:r>
        <w:t xml:space="preserve"> </w:t>
      </w:r>
      <w:proofErr w:type="spellStart"/>
      <w:r w:rsidRPr="007C797D">
        <w:rPr>
          <w:rFonts w:ascii="Times New Roman" w:eastAsia="Times New Roman" w:hAnsi="Times New Roman" w:cs="Times New Roman"/>
          <w:sz w:val="20"/>
          <w:szCs w:val="20"/>
          <w:lang w:eastAsia="en-GB"/>
        </w:rPr>
        <w:t>Nikolaos</w:t>
      </w:r>
      <w:proofErr w:type="spellEnd"/>
      <w:r w:rsidRPr="007C797D">
        <w:rPr>
          <w:rFonts w:ascii="Times New Roman" w:eastAsia="Times New Roman" w:hAnsi="Times New Roman" w:cs="Times New Roman"/>
          <w:sz w:val="20"/>
          <w:szCs w:val="20"/>
          <w:lang w:eastAsia="en-GB"/>
        </w:rPr>
        <w:t xml:space="preserve"> van Dam, </w:t>
      </w:r>
      <w:r w:rsidRPr="007C797D">
        <w:rPr>
          <w:rFonts w:ascii="Times New Roman" w:eastAsia="Times New Roman" w:hAnsi="Times New Roman" w:cs="Times New Roman"/>
          <w:i/>
          <w:iCs/>
          <w:sz w:val="20"/>
          <w:szCs w:val="20"/>
          <w:lang w:eastAsia="en-GB"/>
        </w:rPr>
        <w:t>The Struggle for Power in Syria</w:t>
      </w:r>
      <w:r>
        <w:rPr>
          <w:rFonts w:ascii="Times New Roman" w:eastAsia="Times New Roman" w:hAnsi="Times New Roman" w:cs="Times New Roman"/>
          <w:sz w:val="20"/>
          <w:szCs w:val="20"/>
          <w:lang w:eastAsia="en-GB"/>
        </w:rPr>
        <w:t xml:space="preserve"> (London: I.B. </w:t>
      </w:r>
      <w:proofErr w:type="spellStart"/>
      <w:r>
        <w:rPr>
          <w:rFonts w:ascii="Times New Roman" w:eastAsia="Times New Roman" w:hAnsi="Times New Roman" w:cs="Times New Roman"/>
          <w:sz w:val="20"/>
          <w:szCs w:val="20"/>
          <w:lang w:eastAsia="en-GB"/>
        </w:rPr>
        <w:t>Tauris</w:t>
      </w:r>
      <w:proofErr w:type="spellEnd"/>
      <w:r>
        <w:rPr>
          <w:rFonts w:ascii="Times New Roman" w:eastAsia="Times New Roman" w:hAnsi="Times New Roman" w:cs="Times New Roman"/>
          <w:sz w:val="20"/>
          <w:szCs w:val="20"/>
          <w:lang w:eastAsia="en-GB"/>
        </w:rPr>
        <w:t>, 2011), p. 68.</w:t>
      </w:r>
    </w:p>
  </w:footnote>
  <w:footnote w:id="24">
    <w:p w:rsidR="007474BF" w:rsidRDefault="007474BF">
      <w:pPr>
        <w:pStyle w:val="FootnoteText"/>
      </w:pPr>
      <w:r>
        <w:rPr>
          <w:rStyle w:val="FootnoteReference"/>
        </w:rPr>
        <w:footnoteRef/>
      </w:r>
      <w:r>
        <w:t xml:space="preserve"> David W. </w:t>
      </w:r>
      <w:proofErr w:type="spellStart"/>
      <w:r>
        <w:t>Lesch</w:t>
      </w:r>
      <w:proofErr w:type="spellEnd"/>
      <w:r>
        <w:t xml:space="preserve">, </w:t>
      </w:r>
      <w:r>
        <w:rPr>
          <w:rStyle w:val="Emphasis"/>
        </w:rPr>
        <w:t xml:space="preserve">The New Lion of Damascus: </w:t>
      </w:r>
      <w:proofErr w:type="spellStart"/>
      <w:r>
        <w:rPr>
          <w:rStyle w:val="Emphasis"/>
        </w:rPr>
        <w:t>Bashar</w:t>
      </w:r>
      <w:proofErr w:type="spellEnd"/>
      <w:r>
        <w:rPr>
          <w:rStyle w:val="Emphasis"/>
        </w:rPr>
        <w:t xml:space="preserve"> al-Asad and Modern Syria</w:t>
      </w:r>
      <w:r>
        <w:t xml:space="preserve"> (New Haven: Yale University Press, 2005), p. 76. </w:t>
      </w:r>
    </w:p>
  </w:footnote>
  <w:footnote w:id="25">
    <w:p w:rsidR="007474BF" w:rsidRDefault="007474BF">
      <w:pPr>
        <w:pStyle w:val="FootnoteText"/>
      </w:pPr>
      <w:r>
        <w:rPr>
          <w:rStyle w:val="FootnoteReference"/>
        </w:rPr>
        <w:footnoteRef/>
      </w:r>
      <w:r>
        <w:t xml:space="preserve"> Lisa Wedeen, </w:t>
      </w:r>
      <w:r>
        <w:rPr>
          <w:rStyle w:val="Emphasis"/>
        </w:rPr>
        <w:t>Ambiguities of Domination: Politics, Rhetoric, and Symbols in Contemporary Syria</w:t>
      </w:r>
      <w:r>
        <w:t xml:space="preserve"> (Chicago: University of Chicago Press, 2015), p. 6. </w:t>
      </w:r>
    </w:p>
  </w:footnote>
  <w:footnote w:id="26">
    <w:p w:rsidR="007474BF" w:rsidRDefault="007474BF">
      <w:pPr>
        <w:pStyle w:val="FootnoteText"/>
      </w:pPr>
      <w:r>
        <w:rPr>
          <w:rStyle w:val="FootnoteReference"/>
        </w:rPr>
        <w:footnoteRef/>
      </w:r>
      <w:r>
        <w:t xml:space="preserve"> Timothy Mitchell, </w:t>
      </w:r>
      <w:r>
        <w:rPr>
          <w:rStyle w:val="Emphasis"/>
        </w:rPr>
        <w:t>Colonising Egypt</w:t>
      </w:r>
      <w:r>
        <w:t xml:space="preserve"> (Cambridge: Cambridge University Press, 1988), p. 33. </w:t>
      </w:r>
    </w:p>
  </w:footnote>
  <w:footnote w:id="27">
    <w:p w:rsidR="007474BF" w:rsidRPr="00D665AA" w:rsidRDefault="007474BF" w:rsidP="00D665AA">
      <w:pPr>
        <w:rPr>
          <w:rFonts w:ascii="Times New Roman" w:eastAsia="Times New Roman" w:hAnsi="Times New Roman" w:cs="Times New Roman"/>
          <w:sz w:val="20"/>
          <w:szCs w:val="20"/>
          <w:lang w:eastAsia="en-GB"/>
        </w:rPr>
      </w:pPr>
      <w:r w:rsidRPr="00C9745D">
        <w:rPr>
          <w:rStyle w:val="FootnoteReference"/>
          <w:sz w:val="20"/>
          <w:szCs w:val="20"/>
        </w:rPr>
        <w:footnoteRef/>
      </w:r>
      <w:r w:rsidRPr="00C9745D">
        <w:rPr>
          <w:rFonts w:ascii="Times New Roman" w:eastAsia="Times New Roman" w:hAnsi="Times New Roman" w:cs="Times New Roman"/>
          <w:sz w:val="20"/>
          <w:szCs w:val="20"/>
          <w:lang w:eastAsia="en-GB"/>
        </w:rPr>
        <w:t xml:space="preserve"> Edward W. Said, </w:t>
      </w:r>
      <w:r w:rsidRPr="00C9745D">
        <w:rPr>
          <w:rFonts w:ascii="Times New Roman" w:eastAsia="Times New Roman" w:hAnsi="Times New Roman" w:cs="Times New Roman"/>
          <w:i/>
          <w:iCs/>
          <w:sz w:val="20"/>
          <w:szCs w:val="20"/>
          <w:lang w:eastAsia="en-GB"/>
        </w:rPr>
        <w:t>Orientalism</w:t>
      </w:r>
      <w:r w:rsidRPr="00C9745D">
        <w:rPr>
          <w:rFonts w:ascii="Times New Roman" w:eastAsia="Times New Roman" w:hAnsi="Times New Roman" w:cs="Times New Roman"/>
          <w:sz w:val="20"/>
          <w:szCs w:val="20"/>
          <w:lang w:eastAsia="en-GB"/>
        </w:rPr>
        <w:t xml:space="preserve"> (London: </w:t>
      </w:r>
      <w:proofErr w:type="spellStart"/>
      <w:r w:rsidRPr="00C9745D">
        <w:rPr>
          <w:rFonts w:ascii="Times New Roman" w:eastAsia="Times New Roman" w:hAnsi="Times New Roman" w:cs="Times New Roman"/>
          <w:sz w:val="20"/>
          <w:szCs w:val="20"/>
          <w:lang w:eastAsia="en-GB"/>
        </w:rPr>
        <w:t>Routl</w:t>
      </w:r>
      <w:r>
        <w:rPr>
          <w:rFonts w:ascii="Times New Roman" w:eastAsia="Times New Roman" w:hAnsi="Times New Roman" w:cs="Times New Roman"/>
          <w:sz w:val="20"/>
          <w:szCs w:val="20"/>
          <w:lang w:eastAsia="en-GB"/>
        </w:rPr>
        <w:t>edge</w:t>
      </w:r>
      <w:proofErr w:type="spellEnd"/>
      <w:r>
        <w:rPr>
          <w:rFonts w:ascii="Times New Roman" w:eastAsia="Times New Roman" w:hAnsi="Times New Roman" w:cs="Times New Roman"/>
          <w:sz w:val="20"/>
          <w:szCs w:val="20"/>
          <w:lang w:eastAsia="en-GB"/>
        </w:rPr>
        <w:t xml:space="preserve"> &amp; </w:t>
      </w:r>
      <w:proofErr w:type="spellStart"/>
      <w:r>
        <w:rPr>
          <w:rFonts w:ascii="Times New Roman" w:eastAsia="Times New Roman" w:hAnsi="Times New Roman" w:cs="Times New Roman"/>
          <w:sz w:val="20"/>
          <w:szCs w:val="20"/>
          <w:lang w:eastAsia="en-GB"/>
        </w:rPr>
        <w:t>Kegan</w:t>
      </w:r>
      <w:proofErr w:type="spellEnd"/>
      <w:r>
        <w:rPr>
          <w:rFonts w:ascii="Times New Roman" w:eastAsia="Times New Roman" w:hAnsi="Times New Roman" w:cs="Times New Roman"/>
          <w:sz w:val="20"/>
          <w:szCs w:val="20"/>
          <w:lang w:eastAsia="en-GB"/>
        </w:rPr>
        <w:t xml:space="preserve"> Paul, 1978), p. 3.</w:t>
      </w:r>
    </w:p>
  </w:footnote>
  <w:footnote w:id="28">
    <w:p w:rsidR="007474BF" w:rsidRDefault="007474BF">
      <w:pPr>
        <w:pStyle w:val="FootnoteText"/>
      </w:pPr>
      <w:r>
        <w:rPr>
          <w:rStyle w:val="FootnoteReference"/>
        </w:rPr>
        <w:footnoteRef/>
      </w:r>
      <w:r>
        <w:t xml:space="preserve"> Frantz Fanon, </w:t>
      </w:r>
      <w:r>
        <w:rPr>
          <w:rStyle w:val="Emphasis"/>
        </w:rPr>
        <w:t>The Wretched of the Earth</w:t>
      </w:r>
      <w:r>
        <w:t xml:space="preserve"> (London: Penguin, 1963), p. 37. </w:t>
      </w:r>
    </w:p>
  </w:footnote>
  <w:footnote w:id="29">
    <w:p w:rsidR="007474BF" w:rsidRDefault="007474BF">
      <w:pPr>
        <w:pStyle w:val="FootnoteText"/>
      </w:pPr>
      <w:r>
        <w:rPr>
          <w:rStyle w:val="FootnoteReference"/>
        </w:rPr>
        <w:footnoteRef/>
      </w:r>
      <w:r>
        <w:t xml:space="preserve"> Elizabeth Thompson, </w:t>
      </w:r>
      <w:r>
        <w:rPr>
          <w:rStyle w:val="Emphasis"/>
        </w:rPr>
        <w:t>Colonial Citizens: Republican Rights, Paternal Privilege, and Gender in French Syria and Lebanon</w:t>
      </w:r>
      <w:r>
        <w:t xml:space="preserve"> (New York: Columbia University Press, 2000), p. 53. </w:t>
      </w:r>
    </w:p>
  </w:footnote>
  <w:footnote w:id="30">
    <w:p w:rsidR="007474BF" w:rsidRDefault="007474BF">
      <w:pPr>
        <w:pStyle w:val="FootnoteText"/>
      </w:pPr>
      <w:r>
        <w:rPr>
          <w:rStyle w:val="FootnoteReference"/>
        </w:rPr>
        <w:footnoteRef/>
      </w:r>
      <w:r>
        <w:t xml:space="preserve"> </w:t>
      </w:r>
      <w:r w:rsidRPr="00F467E6">
        <w:rPr>
          <w:rFonts w:ascii="Times New Roman" w:hAnsi="Times New Roman" w:cs="Times New Roman"/>
        </w:rPr>
        <w:t xml:space="preserve">Max Weiss, </w:t>
      </w:r>
      <w:r w:rsidRPr="00F467E6">
        <w:rPr>
          <w:rStyle w:val="Emphasis"/>
          <w:rFonts w:ascii="Times New Roman" w:hAnsi="Times New Roman" w:cs="Times New Roman"/>
        </w:rPr>
        <w:t xml:space="preserve">In the Shadow of Sectarianism: Law, </w:t>
      </w:r>
      <w:proofErr w:type="spellStart"/>
      <w:r w:rsidRPr="00F467E6">
        <w:rPr>
          <w:rStyle w:val="Emphasis"/>
          <w:rFonts w:ascii="Times New Roman" w:hAnsi="Times New Roman" w:cs="Times New Roman"/>
        </w:rPr>
        <w:t>Shi‘ism</w:t>
      </w:r>
      <w:proofErr w:type="spellEnd"/>
      <w:r w:rsidRPr="00F467E6">
        <w:rPr>
          <w:rStyle w:val="Emphasis"/>
          <w:rFonts w:ascii="Times New Roman" w:hAnsi="Times New Roman" w:cs="Times New Roman"/>
        </w:rPr>
        <w:t>, and the Making of Modern Lebanon</w:t>
      </w:r>
      <w:r w:rsidRPr="00F467E6">
        <w:rPr>
          <w:rFonts w:ascii="Times New Roman" w:hAnsi="Times New Roman" w:cs="Times New Roman"/>
        </w:rPr>
        <w:t xml:space="preserve"> (Cambridge, MA: Harvard </w:t>
      </w:r>
      <w:r>
        <w:rPr>
          <w:rFonts w:ascii="Times New Roman" w:hAnsi="Times New Roman" w:cs="Times New Roman"/>
        </w:rPr>
        <w:t>University Press, 2010), p. 77.</w:t>
      </w:r>
    </w:p>
  </w:footnote>
  <w:footnote w:id="31">
    <w:p w:rsidR="007474BF" w:rsidRDefault="007474BF">
      <w:pPr>
        <w:pStyle w:val="FootnoteText"/>
      </w:pPr>
      <w:r>
        <w:rPr>
          <w:rStyle w:val="FootnoteReference"/>
        </w:rPr>
        <w:footnoteRef/>
      </w:r>
      <w:r>
        <w:t xml:space="preserve"> </w:t>
      </w:r>
      <w:proofErr w:type="spellStart"/>
      <w:r w:rsidRPr="00F467E6">
        <w:t>Gulhane</w:t>
      </w:r>
      <w:proofErr w:type="spellEnd"/>
      <w:r w:rsidRPr="00F467E6">
        <w:t xml:space="preserve"> Edict (Tanzimat </w:t>
      </w:r>
      <w:proofErr w:type="spellStart"/>
      <w:r w:rsidRPr="00F467E6">
        <w:t>Fermani</w:t>
      </w:r>
      <w:proofErr w:type="spellEnd"/>
      <w:r w:rsidRPr="00F467E6">
        <w:t>), ‘</w:t>
      </w:r>
      <w:proofErr w:type="spellStart"/>
      <w:r w:rsidRPr="00F467E6">
        <w:t>Gulhane</w:t>
      </w:r>
      <w:proofErr w:type="spellEnd"/>
      <w:r w:rsidRPr="00F467E6">
        <w:t xml:space="preserve"> Edict (Tanzimat </w:t>
      </w:r>
      <w:proofErr w:type="spellStart"/>
      <w:r w:rsidRPr="00F467E6">
        <w:t>Fermani</w:t>
      </w:r>
      <w:proofErr w:type="spellEnd"/>
      <w:r w:rsidRPr="00F467E6">
        <w:t xml:space="preserve">) (1839)’, </w:t>
      </w:r>
      <w:proofErr w:type="spellStart"/>
      <w:r w:rsidRPr="00F467E6">
        <w:rPr>
          <w:rStyle w:val="Emphasis"/>
        </w:rPr>
        <w:t>Anayasa</w:t>
      </w:r>
      <w:proofErr w:type="spellEnd"/>
      <w:r w:rsidRPr="00F467E6">
        <w:rPr>
          <w:rStyle w:val="Emphasis"/>
        </w:rPr>
        <w:t xml:space="preserve"> Gen </w:t>
      </w:r>
      <w:proofErr w:type="spellStart"/>
      <w:r w:rsidRPr="00F467E6">
        <w:rPr>
          <w:rStyle w:val="Emphasis"/>
        </w:rPr>
        <w:t>Tr</w:t>
      </w:r>
      <w:proofErr w:type="spellEnd"/>
      <w:r w:rsidRPr="00F467E6">
        <w:t xml:space="preserve">, </w:t>
      </w:r>
      <w:hyperlink r:id="rId5" w:tgtFrame="_new" w:history="1">
        <w:r w:rsidRPr="00F467E6">
          <w:rPr>
            <w:rStyle w:val="Hyperlink"/>
          </w:rPr>
          <w:t>https://anayasa.gen.tr/gulhane.htm</w:t>
        </w:r>
      </w:hyperlink>
      <w:r w:rsidRPr="00F467E6">
        <w:t xml:space="preserve"> (Accessed 12 May 2026).</w:t>
      </w:r>
    </w:p>
  </w:footnote>
  <w:footnote w:id="32">
    <w:p w:rsidR="007474BF" w:rsidRDefault="007474BF">
      <w:pPr>
        <w:pStyle w:val="FootnoteText"/>
      </w:pPr>
      <w:r>
        <w:rPr>
          <w:rStyle w:val="FootnoteReference"/>
        </w:rPr>
        <w:footnoteRef/>
      </w:r>
      <w:r>
        <w:t xml:space="preserve"> Elizabeth Thompson, </w:t>
      </w:r>
      <w:r>
        <w:rPr>
          <w:rStyle w:val="Emphasis"/>
        </w:rPr>
        <w:t>Colonial Citizens: Republican Rights, Paternal Privilege, and Gender in French Syria and Lebanon</w:t>
      </w:r>
      <w:r>
        <w:t xml:space="preserve"> (New York: Columbia University Press, 2000), p. 53. </w:t>
      </w:r>
    </w:p>
  </w:footnote>
  <w:footnote w:id="33">
    <w:p w:rsidR="007474BF" w:rsidRDefault="007474BF">
      <w:pPr>
        <w:pStyle w:val="FootnoteText"/>
      </w:pPr>
      <w:r>
        <w:rPr>
          <w:rStyle w:val="FootnoteReference"/>
        </w:rPr>
        <w:footnoteRef/>
      </w:r>
      <w:r>
        <w:t xml:space="preserve"> James Gelvin, </w:t>
      </w:r>
      <w:r>
        <w:rPr>
          <w:rStyle w:val="Emphasis"/>
        </w:rPr>
        <w:t>Divided Loyalties: Nationalism and Mass Politics in Syria at the Close of Empire</w:t>
      </w:r>
      <w:r>
        <w:t xml:space="preserve"> (Berkeley: University of California Press, 1998)</w:t>
      </w:r>
      <w:proofErr w:type="gramStart"/>
      <w:r>
        <w:t>.,</w:t>
      </w:r>
      <w:proofErr w:type="gramEnd"/>
      <w:r>
        <w:t xml:space="preserve"> p. 52. </w:t>
      </w:r>
    </w:p>
  </w:footnote>
  <w:footnote w:id="34">
    <w:p w:rsidR="007474BF" w:rsidRDefault="007474BF">
      <w:pPr>
        <w:pStyle w:val="FootnoteText"/>
      </w:pPr>
      <w:r>
        <w:rPr>
          <w:rStyle w:val="FootnoteReference"/>
        </w:rPr>
        <w:footnoteRef/>
      </w:r>
      <w:r>
        <w:t xml:space="preserve"> ‘Religious and Ethnic Groups in Syria and Lebanon under the French Mandate’, </w:t>
      </w:r>
      <w:r>
        <w:rPr>
          <w:rStyle w:val="Emphasis"/>
        </w:rPr>
        <w:t>The Atlas Bookshelf</w:t>
      </w:r>
      <w:r>
        <w:t xml:space="preserve"> (Facebook post, 2023) </w:t>
      </w:r>
      <w:hyperlink r:id="rId6" w:tgtFrame="_new" w:history="1">
        <w:r>
          <w:rPr>
            <w:rStyle w:val="Hyperlink"/>
          </w:rPr>
          <w:t>https://www.facebook.com/photo/?fbid=1349685063627602&amp;set=a.527495192513264</w:t>
        </w:r>
      </w:hyperlink>
      <w:r>
        <w:t xml:space="preserve"> [accessed 15 May 2026].</w:t>
      </w:r>
    </w:p>
  </w:footnote>
  <w:footnote w:id="35">
    <w:p w:rsidR="007474BF" w:rsidRDefault="007474BF">
      <w:pPr>
        <w:pStyle w:val="FootnoteText"/>
      </w:pPr>
      <w:r>
        <w:rPr>
          <w:rStyle w:val="FootnoteReference"/>
        </w:rPr>
        <w:footnoteRef/>
      </w:r>
      <w:r>
        <w:t xml:space="preserve"> Michael Kerr and Craig Larkin, </w:t>
      </w:r>
      <w:r>
        <w:rPr>
          <w:rStyle w:val="Emphasis"/>
        </w:rPr>
        <w:t>The Alawites of Syria: War, Faith and Politics in the Levant</w:t>
      </w:r>
      <w:r>
        <w:t xml:space="preserve"> (Oxford: Oxford University Press, 2015), p. 84. </w:t>
      </w:r>
    </w:p>
  </w:footnote>
  <w:footnote w:id="36">
    <w:p w:rsidR="007474BF" w:rsidRDefault="007474BF">
      <w:pPr>
        <w:pStyle w:val="FootnoteText"/>
      </w:pPr>
      <w:r>
        <w:rPr>
          <w:rStyle w:val="FootnoteReference"/>
        </w:rPr>
        <w:footnoteRef/>
      </w:r>
      <w:r>
        <w:t xml:space="preserve"> ‘Religious and Ethnic Groups in Syria and Lebanon under the French Mandate’, </w:t>
      </w:r>
      <w:r>
        <w:rPr>
          <w:rStyle w:val="Emphasis"/>
        </w:rPr>
        <w:t>The Atlas Bookshelf</w:t>
      </w:r>
      <w:r>
        <w:t xml:space="preserve"> (Facebook post, 2023) </w:t>
      </w:r>
      <w:hyperlink r:id="rId7" w:tgtFrame="_new" w:history="1">
        <w:r>
          <w:rPr>
            <w:rStyle w:val="Hyperlink"/>
          </w:rPr>
          <w:t>https://www.facebook.com/photo/?fbid=1349685063627602&amp;set=a.527495192513264</w:t>
        </w:r>
      </w:hyperlink>
      <w:r>
        <w:t xml:space="preserve"> [accessed 15 May 2026].</w:t>
      </w:r>
    </w:p>
  </w:footnote>
  <w:footnote w:id="37">
    <w:p w:rsidR="007474BF" w:rsidRDefault="007474BF">
      <w:pPr>
        <w:pStyle w:val="FootnoteText"/>
      </w:pPr>
      <w:r>
        <w:rPr>
          <w:rStyle w:val="FootnoteReference"/>
        </w:rPr>
        <w:footnoteRef/>
      </w:r>
      <w:r>
        <w:t xml:space="preserve"> Nadine Meouchy and Peter </w:t>
      </w:r>
      <w:proofErr w:type="spellStart"/>
      <w:r>
        <w:t>Sluglett</w:t>
      </w:r>
      <w:proofErr w:type="spellEnd"/>
      <w:r>
        <w:t xml:space="preserve"> (</w:t>
      </w:r>
      <w:proofErr w:type="spellStart"/>
      <w:r>
        <w:t>eds</w:t>
      </w:r>
      <w:proofErr w:type="spellEnd"/>
      <w:r>
        <w:t xml:space="preserve">), </w:t>
      </w:r>
      <w:r>
        <w:rPr>
          <w:rStyle w:val="Emphasis"/>
        </w:rPr>
        <w:t xml:space="preserve">The British and French </w:t>
      </w:r>
      <w:r w:rsidR="009B2E45">
        <w:rPr>
          <w:rStyle w:val="Emphasis"/>
        </w:rPr>
        <w:t>Mandate’s</w:t>
      </w:r>
      <w:r>
        <w:rPr>
          <w:rStyle w:val="Emphasis"/>
        </w:rPr>
        <w:t xml:space="preserve"> in Comparative Perspective</w:t>
      </w:r>
      <w:r>
        <w:t xml:space="preserve"> (Leiden: Brill, 2004), pp. 586-587.</w:t>
      </w:r>
    </w:p>
  </w:footnote>
  <w:footnote w:id="38">
    <w:p w:rsidR="007474BF" w:rsidRDefault="007474BF">
      <w:pPr>
        <w:pStyle w:val="FootnoteText"/>
      </w:pPr>
      <w:r>
        <w:rPr>
          <w:rStyle w:val="FootnoteReference"/>
        </w:rPr>
        <w:footnoteRef/>
      </w:r>
      <w:r>
        <w:t xml:space="preserve"> </w:t>
      </w:r>
      <w:proofErr w:type="spellStart"/>
      <w:r>
        <w:t>Idir</w:t>
      </w:r>
      <w:proofErr w:type="spellEnd"/>
      <w:r>
        <w:t xml:space="preserve"> Ouahes, ‘Catholic Missionary Education in Early Mandate Syria and Lebanon’, </w:t>
      </w:r>
      <w:r>
        <w:rPr>
          <w:rStyle w:val="Emphasis"/>
        </w:rPr>
        <w:t>Social Sciences and Missions</w:t>
      </w:r>
      <w:r>
        <w:t xml:space="preserve">, 30.3–4 (2017), p. 234. </w:t>
      </w:r>
    </w:p>
  </w:footnote>
  <w:footnote w:id="39">
    <w:p w:rsidR="007474BF" w:rsidRDefault="007474BF">
      <w:pPr>
        <w:pStyle w:val="FootnoteText"/>
      </w:pPr>
      <w:r>
        <w:rPr>
          <w:rStyle w:val="FootnoteReference"/>
        </w:rPr>
        <w:footnoteRef/>
      </w:r>
      <w:r>
        <w:t xml:space="preserve"> Ibid.</w:t>
      </w:r>
    </w:p>
  </w:footnote>
  <w:footnote w:id="40">
    <w:p w:rsidR="007474BF" w:rsidRDefault="007474BF">
      <w:pPr>
        <w:pStyle w:val="FootnoteText"/>
      </w:pPr>
      <w:r>
        <w:rPr>
          <w:rStyle w:val="FootnoteReference"/>
        </w:rPr>
        <w:footnoteRef/>
      </w:r>
      <w:r>
        <w:t xml:space="preserve"> Michael Kerr and Craig Larkin, </w:t>
      </w:r>
      <w:r>
        <w:rPr>
          <w:rStyle w:val="Emphasis"/>
        </w:rPr>
        <w:t>The Alawites of Syria: War, Faith and Politics in the Levant</w:t>
      </w:r>
      <w:r>
        <w:t xml:space="preserve"> (Oxford: Oxford University Press, 2015), p. 85. </w:t>
      </w:r>
    </w:p>
  </w:footnote>
  <w:footnote w:id="41">
    <w:p w:rsidR="007474BF" w:rsidRDefault="007474BF">
      <w:pPr>
        <w:pStyle w:val="FootnoteText"/>
      </w:pPr>
      <w:r>
        <w:rPr>
          <w:rStyle w:val="FootnoteReference"/>
        </w:rPr>
        <w:footnoteRef/>
      </w:r>
      <w:r>
        <w:t xml:space="preserve"> Michael Kerr and Craig Larkin, </w:t>
      </w:r>
      <w:r>
        <w:rPr>
          <w:rStyle w:val="Emphasis"/>
        </w:rPr>
        <w:t>The Alawites of Syria: War, Faith and Politics in the Levant</w:t>
      </w:r>
      <w:r>
        <w:t xml:space="preserve"> (Oxford: Oxford University Press, 2015), p. 85. </w:t>
      </w:r>
    </w:p>
  </w:footnote>
  <w:footnote w:id="42">
    <w:p w:rsidR="007474BF" w:rsidRDefault="007474BF">
      <w:pPr>
        <w:pStyle w:val="FootnoteText"/>
      </w:pPr>
      <w:r>
        <w:rPr>
          <w:rStyle w:val="FootnoteReference"/>
        </w:rPr>
        <w:footnoteRef/>
      </w:r>
      <w:r>
        <w:t xml:space="preserve"> Philip S. Khoury, </w:t>
      </w:r>
      <w:r>
        <w:rPr>
          <w:rStyle w:val="Emphasis"/>
        </w:rPr>
        <w:t>Syria and the French Mandate: The Politics of Arab Nationalism, 1920–1945</w:t>
      </w:r>
      <w:r>
        <w:t xml:space="preserve"> (Princeton: Princeton University Press, 1987), p. 58. </w:t>
      </w:r>
    </w:p>
  </w:footnote>
  <w:footnote w:id="43">
    <w:p w:rsidR="007474BF" w:rsidRDefault="007474BF">
      <w:pPr>
        <w:pStyle w:val="FootnoteText"/>
      </w:pPr>
      <w:r>
        <w:rPr>
          <w:rStyle w:val="FootnoteReference"/>
        </w:rPr>
        <w:footnoteRef/>
      </w:r>
      <w:r>
        <w:t xml:space="preserve"> Timothy Mitchell, </w:t>
      </w:r>
      <w:r>
        <w:rPr>
          <w:rStyle w:val="Emphasis"/>
        </w:rPr>
        <w:t>Colonising Egypt</w:t>
      </w:r>
      <w:r>
        <w:t xml:space="preserve"> (Cambridge: Cambridge University Press, 1988), p. 33. </w:t>
      </w:r>
    </w:p>
  </w:footnote>
  <w:footnote w:id="44">
    <w:p w:rsidR="007474BF" w:rsidRDefault="007474BF">
      <w:pPr>
        <w:pStyle w:val="FootnoteText"/>
      </w:pPr>
      <w:r>
        <w:rPr>
          <w:rStyle w:val="FootnoteReference"/>
        </w:rPr>
        <w:footnoteRef/>
      </w:r>
      <w:r>
        <w:t xml:space="preserve"> Michael Provence, </w:t>
      </w:r>
      <w:r>
        <w:rPr>
          <w:rStyle w:val="Emphasis"/>
        </w:rPr>
        <w:t>The Great Syrian Revolt and the Rise of Arab Nationalism</w:t>
      </w:r>
      <w:r>
        <w:t xml:space="preserve"> (Austin: University of Texas Press, 2005), p. 82. </w:t>
      </w:r>
    </w:p>
  </w:footnote>
  <w:footnote w:id="45">
    <w:p w:rsidR="007474BF" w:rsidRDefault="007474BF">
      <w:pPr>
        <w:pStyle w:val="FootnoteText"/>
      </w:pPr>
      <w:r>
        <w:rPr>
          <w:rStyle w:val="FootnoteReference"/>
        </w:rPr>
        <w:footnoteRef/>
      </w:r>
      <w:r>
        <w:t xml:space="preserve"> </w:t>
      </w:r>
      <w:proofErr w:type="gramStart"/>
      <w:r>
        <w:t>Ibid.,</w:t>
      </w:r>
      <w:proofErr w:type="gramEnd"/>
      <w:r>
        <w:t xml:space="preserve"> p. 119.</w:t>
      </w:r>
    </w:p>
  </w:footnote>
  <w:footnote w:id="46">
    <w:p w:rsidR="007474BF" w:rsidRDefault="007474BF">
      <w:pPr>
        <w:pStyle w:val="FootnoteText"/>
      </w:pPr>
      <w:r>
        <w:rPr>
          <w:rStyle w:val="FootnoteReference"/>
        </w:rPr>
        <w:footnoteRef/>
      </w:r>
      <w:r>
        <w:t xml:space="preserve"> Daniel </w:t>
      </w:r>
      <w:proofErr w:type="spellStart"/>
      <w:r>
        <w:t>Neep</w:t>
      </w:r>
      <w:proofErr w:type="spellEnd"/>
      <w:r>
        <w:t xml:space="preserve">, </w:t>
      </w:r>
      <w:r>
        <w:rPr>
          <w:rStyle w:val="Emphasis"/>
        </w:rPr>
        <w:t>Occupying Syria under the French Mandate: Insurgency, Space and State Formation</w:t>
      </w:r>
      <w:r>
        <w:t xml:space="preserve"> (Cambridge: Cambridge University Press, 2012), p. 56. </w:t>
      </w:r>
    </w:p>
  </w:footnote>
  <w:footnote w:id="47">
    <w:p w:rsidR="007474BF" w:rsidRDefault="007474BF">
      <w:pPr>
        <w:pStyle w:val="FootnoteText"/>
      </w:pPr>
      <w:r>
        <w:rPr>
          <w:rStyle w:val="FootnoteReference"/>
        </w:rPr>
        <w:footnoteRef/>
      </w:r>
      <w:r>
        <w:t xml:space="preserve"> Daniel </w:t>
      </w:r>
      <w:proofErr w:type="spellStart"/>
      <w:r>
        <w:t>Neep</w:t>
      </w:r>
      <w:proofErr w:type="spellEnd"/>
      <w:r>
        <w:t xml:space="preserve">, </w:t>
      </w:r>
      <w:r>
        <w:rPr>
          <w:rStyle w:val="Emphasis"/>
        </w:rPr>
        <w:t>Occupying Syria under the French Mandate: Insurgency, Space and State Formation</w:t>
      </w:r>
      <w:r>
        <w:t xml:space="preserve"> (Cambridge: Cambridge University Press, 2012), p. 56. </w:t>
      </w:r>
    </w:p>
  </w:footnote>
  <w:footnote w:id="48">
    <w:p w:rsidR="007474BF" w:rsidRDefault="007474BF">
      <w:pPr>
        <w:pStyle w:val="FootnoteText"/>
      </w:pPr>
      <w:r>
        <w:rPr>
          <w:rStyle w:val="FootnoteReference"/>
        </w:rPr>
        <w:footnoteRef/>
      </w:r>
      <w:r>
        <w:t xml:space="preserve"> Frantz Fanon, </w:t>
      </w:r>
      <w:r>
        <w:rPr>
          <w:rStyle w:val="Emphasis"/>
        </w:rPr>
        <w:t>The Wretched of the Earth</w:t>
      </w:r>
      <w:r>
        <w:t xml:space="preserve"> (London: Penguin, 1963), p. 37. </w:t>
      </w:r>
    </w:p>
  </w:footnote>
  <w:footnote w:id="49">
    <w:p w:rsidR="007474BF" w:rsidRDefault="007474BF">
      <w:pPr>
        <w:pStyle w:val="FootnoteText"/>
      </w:pPr>
      <w:r>
        <w:rPr>
          <w:rStyle w:val="FootnoteReference"/>
        </w:rPr>
        <w:footnoteRef/>
      </w:r>
      <w:r>
        <w:t xml:space="preserve"> </w:t>
      </w:r>
      <w:hyperlink r:id="rId8" w:tgtFrame="_blank" w:history="1">
        <w:r>
          <w:rPr>
            <w:rStyle w:val="Hyperlink"/>
          </w:rPr>
          <w:t>United Nations Digital Library</w:t>
        </w:r>
      </w:hyperlink>
      <w:r>
        <w:t xml:space="preserve">, </w:t>
      </w:r>
      <w:r>
        <w:rPr>
          <w:rStyle w:val="Emphasis"/>
        </w:rPr>
        <w:t>Article 22 of the Covenant of the League of Nations</w:t>
      </w:r>
      <w:r>
        <w:t>, League of Nations, A/297 (New York: United Nations, 30 April 1947), p. 1.</w:t>
      </w:r>
    </w:p>
  </w:footnote>
  <w:footnote w:id="50">
    <w:p w:rsidR="007474BF" w:rsidRDefault="007474BF">
      <w:pPr>
        <w:pStyle w:val="FootnoteText"/>
      </w:pPr>
      <w:r>
        <w:rPr>
          <w:rStyle w:val="FootnoteReference"/>
        </w:rPr>
        <w:footnoteRef/>
      </w:r>
      <w:r>
        <w:t xml:space="preserve"> Ibid.</w:t>
      </w:r>
    </w:p>
  </w:footnote>
  <w:footnote w:id="51">
    <w:p w:rsidR="007474BF" w:rsidRDefault="007474BF">
      <w:pPr>
        <w:pStyle w:val="FootnoteText"/>
      </w:pPr>
      <w:r>
        <w:rPr>
          <w:rStyle w:val="FootnoteReference"/>
        </w:rPr>
        <w:footnoteRef/>
      </w:r>
      <w:r>
        <w:t xml:space="preserve"> Edward W. Said, </w:t>
      </w:r>
      <w:r>
        <w:rPr>
          <w:rStyle w:val="Emphasis"/>
        </w:rPr>
        <w:t>Orientalism</w:t>
      </w:r>
      <w:r>
        <w:t xml:space="preserve"> (London: </w:t>
      </w:r>
      <w:proofErr w:type="spellStart"/>
      <w:r>
        <w:t>Routledge</w:t>
      </w:r>
      <w:proofErr w:type="spellEnd"/>
      <w:r>
        <w:t xml:space="preserve"> &amp; </w:t>
      </w:r>
      <w:proofErr w:type="spellStart"/>
      <w:r>
        <w:t>Kegan</w:t>
      </w:r>
      <w:proofErr w:type="spellEnd"/>
      <w:r>
        <w:t xml:space="preserve"> Paul, 1978), p. 3. </w:t>
      </w:r>
    </w:p>
  </w:footnote>
  <w:footnote w:id="52">
    <w:p w:rsidR="007474BF" w:rsidRDefault="007474BF">
      <w:pPr>
        <w:pStyle w:val="FootnoteText"/>
      </w:pPr>
      <w:r>
        <w:rPr>
          <w:rStyle w:val="FootnoteReference"/>
        </w:rPr>
        <w:footnoteRef/>
      </w:r>
      <w:r>
        <w:t xml:space="preserve"> Philip S. Khoury, </w:t>
      </w:r>
      <w:r>
        <w:rPr>
          <w:rStyle w:val="Emphasis"/>
        </w:rPr>
        <w:t>Syria and the French Mandate: The Politics of Arab Nationalism, 1920–1945</w:t>
      </w:r>
      <w:r>
        <w:t xml:space="preserve"> (Princeton: Princeton University Press, 1987), p. 58. </w:t>
      </w:r>
    </w:p>
  </w:footnote>
  <w:footnote w:id="53">
    <w:p w:rsidR="007474BF" w:rsidRDefault="007474BF">
      <w:pPr>
        <w:pStyle w:val="FootnoteText"/>
      </w:pPr>
      <w:r>
        <w:rPr>
          <w:rStyle w:val="FootnoteReference"/>
        </w:rPr>
        <w:footnoteRef/>
      </w:r>
      <w:r>
        <w:t xml:space="preserve"> Michael Provence, </w:t>
      </w:r>
      <w:r>
        <w:rPr>
          <w:rStyle w:val="Emphasis"/>
        </w:rPr>
        <w:t>The Great Syrian Revolt and the Rise of Arab Nationalism</w:t>
      </w:r>
      <w:r>
        <w:t xml:space="preserve"> (Austin: University of Texas Press, 2005), p. 13. </w:t>
      </w:r>
    </w:p>
  </w:footnote>
  <w:footnote w:id="54">
    <w:p w:rsidR="007474BF" w:rsidRDefault="007474BF">
      <w:pPr>
        <w:pStyle w:val="FootnoteText"/>
      </w:pPr>
      <w:r>
        <w:rPr>
          <w:rStyle w:val="FootnoteReference"/>
        </w:rPr>
        <w:footnoteRef/>
      </w:r>
      <w:r>
        <w:t xml:space="preserve"> Nadine Meouchy and Peter </w:t>
      </w:r>
      <w:proofErr w:type="spellStart"/>
      <w:r>
        <w:t>Sluglett</w:t>
      </w:r>
      <w:proofErr w:type="spellEnd"/>
      <w:r>
        <w:t xml:space="preserve"> (</w:t>
      </w:r>
      <w:proofErr w:type="spellStart"/>
      <w:r>
        <w:t>eds</w:t>
      </w:r>
      <w:proofErr w:type="spellEnd"/>
      <w:r>
        <w:t xml:space="preserve">), </w:t>
      </w:r>
      <w:r>
        <w:rPr>
          <w:rStyle w:val="Emphasis"/>
        </w:rPr>
        <w:t xml:space="preserve">The British and French </w:t>
      </w:r>
      <w:r w:rsidR="009B2E45">
        <w:rPr>
          <w:rStyle w:val="Emphasis"/>
        </w:rPr>
        <w:t>Mandate’s</w:t>
      </w:r>
      <w:r>
        <w:rPr>
          <w:rStyle w:val="Emphasis"/>
        </w:rPr>
        <w:t xml:space="preserve"> in Comparative Perspective</w:t>
      </w:r>
      <w:r>
        <w:t xml:space="preserve"> (Leiden: Brill, 2004), p. 583.</w:t>
      </w:r>
    </w:p>
  </w:footnote>
  <w:footnote w:id="55">
    <w:p w:rsidR="00CD45FF" w:rsidRDefault="00CD45FF">
      <w:pPr>
        <w:pStyle w:val="FootnoteText"/>
      </w:pPr>
      <w:r>
        <w:rPr>
          <w:rStyle w:val="FootnoteReference"/>
        </w:rPr>
        <w:footnoteRef/>
      </w:r>
      <w:r>
        <w:t xml:space="preserve"> Michael Kerr and Craig Larkin, </w:t>
      </w:r>
      <w:r>
        <w:rPr>
          <w:rStyle w:val="Emphasis"/>
        </w:rPr>
        <w:t>The Alawites of Syria: War, Faith and Politics in the Levant</w:t>
      </w:r>
      <w:r>
        <w:t xml:space="preserve"> (Oxford: Oxford University Press, 2015), p. 84.</w:t>
      </w:r>
    </w:p>
  </w:footnote>
  <w:footnote w:id="56">
    <w:p w:rsidR="007474BF" w:rsidRDefault="007474BF">
      <w:pPr>
        <w:pStyle w:val="FootnoteText"/>
      </w:pPr>
      <w:r>
        <w:rPr>
          <w:rStyle w:val="FootnoteReference"/>
        </w:rPr>
        <w:footnoteRef/>
      </w:r>
      <w:r>
        <w:t xml:space="preserve"> Michael Provence, </w:t>
      </w:r>
      <w:r>
        <w:rPr>
          <w:rStyle w:val="Emphasis"/>
        </w:rPr>
        <w:t>The Great Syrian Revolt and the Rise of Arab Nationalism</w:t>
      </w:r>
      <w:r>
        <w:t xml:space="preserve"> (Austin: University of Texas Press, 2005), p. 82.</w:t>
      </w:r>
    </w:p>
  </w:footnote>
  <w:footnote w:id="57">
    <w:p w:rsidR="007474BF" w:rsidRDefault="007474BF">
      <w:pPr>
        <w:pStyle w:val="FootnoteText"/>
      </w:pPr>
      <w:r>
        <w:rPr>
          <w:rStyle w:val="FootnoteReference"/>
        </w:rPr>
        <w:footnoteRef/>
      </w:r>
      <w:r>
        <w:t xml:space="preserve"> Timothy Mitchell, </w:t>
      </w:r>
      <w:r>
        <w:rPr>
          <w:rStyle w:val="Emphasis"/>
        </w:rPr>
        <w:t>Colonising Egypt</w:t>
      </w:r>
      <w:r>
        <w:t xml:space="preserve"> (Cambridge: Cambridge University Press, 1988), p. 33.</w:t>
      </w:r>
    </w:p>
  </w:footnote>
  <w:footnote w:id="58">
    <w:p w:rsidR="007474BF" w:rsidRDefault="007474BF">
      <w:pPr>
        <w:pStyle w:val="FootnoteText"/>
      </w:pPr>
      <w:r>
        <w:rPr>
          <w:rStyle w:val="FootnoteReference"/>
        </w:rPr>
        <w:footnoteRef/>
      </w:r>
      <w:r>
        <w:t xml:space="preserve"> </w:t>
      </w:r>
      <w:r>
        <w:rPr>
          <w:rStyle w:val="Emphasis"/>
        </w:rPr>
        <w:t>Lebanon’s Constitution of 1926 with Amendments through 2004</w:t>
      </w:r>
      <w:r>
        <w:t xml:space="preserve">, translated by </w:t>
      </w:r>
      <w:proofErr w:type="spellStart"/>
      <w:r>
        <w:t>Fouad</w:t>
      </w:r>
      <w:proofErr w:type="spellEnd"/>
      <w:r>
        <w:t xml:space="preserve"> </w:t>
      </w:r>
      <w:proofErr w:type="spellStart"/>
      <w:r>
        <w:t>Fahmy</w:t>
      </w:r>
      <w:proofErr w:type="spellEnd"/>
      <w:r>
        <w:t xml:space="preserve"> </w:t>
      </w:r>
      <w:proofErr w:type="spellStart"/>
      <w:r>
        <w:t>Shafik</w:t>
      </w:r>
      <w:proofErr w:type="spellEnd"/>
      <w:r>
        <w:t xml:space="preserve"> and Abed </w:t>
      </w:r>
      <w:proofErr w:type="spellStart"/>
      <w:r>
        <w:t>Awad</w:t>
      </w:r>
      <w:proofErr w:type="spellEnd"/>
      <w:r>
        <w:t xml:space="preserve"> (Oxford University Press, prepared for distribution on Constitute Project, </w:t>
      </w:r>
      <w:proofErr w:type="spellStart"/>
      <w:r>
        <w:t>n.d</w:t>
      </w:r>
      <w:proofErr w:type="spellEnd"/>
      <w:r>
        <w:t xml:space="preserve">.), art. 24, </w:t>
      </w:r>
      <w:hyperlink r:id="rId9" w:tgtFrame="_new" w:history="1">
        <w:r>
          <w:rPr>
            <w:rStyle w:val="Hyperlink"/>
          </w:rPr>
          <w:t>https://www.constituteproject.org/constitution/Lebanon_2004</w:t>
        </w:r>
      </w:hyperlink>
      <w:r>
        <w:t xml:space="preserve"> [accessed 16 May 2026].</w:t>
      </w:r>
    </w:p>
  </w:footnote>
  <w:footnote w:id="59">
    <w:p w:rsidR="007474BF" w:rsidRDefault="007474BF">
      <w:pPr>
        <w:pStyle w:val="FootnoteText"/>
      </w:pPr>
      <w:r>
        <w:rPr>
          <w:rStyle w:val="FootnoteReference"/>
        </w:rPr>
        <w:footnoteRef/>
      </w:r>
      <w:r>
        <w:t xml:space="preserve"> Ibid.</w:t>
      </w:r>
    </w:p>
  </w:footnote>
  <w:footnote w:id="60">
    <w:p w:rsidR="007474BF" w:rsidRDefault="007474BF">
      <w:pPr>
        <w:pStyle w:val="FootnoteText"/>
      </w:pPr>
      <w:r>
        <w:rPr>
          <w:rStyle w:val="FootnoteReference"/>
        </w:rPr>
        <w:footnoteRef/>
      </w:r>
      <w:r>
        <w:t xml:space="preserve"> </w:t>
      </w:r>
      <w:r>
        <w:rPr>
          <w:rStyle w:val="whitespace-normal"/>
        </w:rPr>
        <w:t>Ussama Makdisi</w:t>
      </w:r>
      <w:r>
        <w:t xml:space="preserve">, quoted in ‘It’s Complicated: Lebanon’s Political System’, </w:t>
      </w:r>
      <w:r>
        <w:rPr>
          <w:rStyle w:val="whitespace-normal"/>
        </w:rPr>
        <w:t>TRT World</w:t>
      </w:r>
      <w:r>
        <w:t>, YouTube video, 6 November 2019, https://www.youtube.com/watch?v=4WpTHy4Qj2M [accessed 16 May 2026].</w:t>
      </w:r>
    </w:p>
  </w:footnote>
  <w:footnote w:id="61">
    <w:p w:rsidR="007474BF" w:rsidRDefault="007474BF">
      <w:pPr>
        <w:pStyle w:val="FootnoteText"/>
      </w:pPr>
      <w:r>
        <w:rPr>
          <w:rStyle w:val="FootnoteReference"/>
        </w:rPr>
        <w:footnoteRef/>
      </w:r>
      <w:r>
        <w:t xml:space="preserve"> Carol Hakim, </w:t>
      </w:r>
      <w:r>
        <w:rPr>
          <w:rStyle w:val="Emphasis"/>
        </w:rPr>
        <w:t>The Origins of Confessional Politics in Lebanon under the French Mandate</w:t>
      </w:r>
      <w:r>
        <w:t xml:space="preserve"> (London: I.B. </w:t>
      </w:r>
      <w:proofErr w:type="spellStart"/>
      <w:r>
        <w:t>Tauris</w:t>
      </w:r>
      <w:proofErr w:type="spellEnd"/>
      <w:r>
        <w:t>, 2019), p. 1691.</w:t>
      </w:r>
    </w:p>
  </w:footnote>
  <w:footnote w:id="62">
    <w:p w:rsidR="007474BF" w:rsidRDefault="007474BF">
      <w:pPr>
        <w:pStyle w:val="FootnoteText"/>
      </w:pPr>
      <w:r>
        <w:rPr>
          <w:rStyle w:val="FootnoteReference"/>
        </w:rPr>
        <w:footnoteRef/>
      </w:r>
      <w:r>
        <w:t xml:space="preserve"> Liam Nagle, ‘Lebanon before Independence’, </w:t>
      </w:r>
      <w:r>
        <w:rPr>
          <w:rStyle w:val="Emphasis"/>
        </w:rPr>
        <w:t>Arab America</w:t>
      </w:r>
      <w:r>
        <w:t xml:space="preserve">, 22 May 2024, </w:t>
      </w:r>
      <w:hyperlink r:id="rId10" w:tgtFrame="_new" w:history="1">
        <w:r>
          <w:rPr>
            <w:rStyle w:val="Hyperlink"/>
          </w:rPr>
          <w:t>https://www.arabamerica.com/lebanon-before-independence/</w:t>
        </w:r>
      </w:hyperlink>
      <w:r>
        <w:t xml:space="preserve"> [accessed 18 May 2026].</w:t>
      </w:r>
    </w:p>
  </w:footnote>
  <w:footnote w:id="63">
    <w:p w:rsidR="007474BF" w:rsidRDefault="007474BF">
      <w:pPr>
        <w:pStyle w:val="FootnoteText"/>
      </w:pPr>
      <w:r>
        <w:rPr>
          <w:rStyle w:val="FootnoteReference"/>
        </w:rPr>
        <w:footnoteRef/>
      </w:r>
      <w:r>
        <w:t xml:space="preserve"> Kamal Salibi, </w:t>
      </w:r>
      <w:r>
        <w:rPr>
          <w:rStyle w:val="Emphasis"/>
        </w:rPr>
        <w:t>A House of Many Mansions: The History of Lebanon Reconsidered</w:t>
      </w:r>
      <w:r>
        <w:t xml:space="preserve"> (London: I.B. </w:t>
      </w:r>
      <w:proofErr w:type="spellStart"/>
      <w:r>
        <w:t>Tauris</w:t>
      </w:r>
      <w:proofErr w:type="spellEnd"/>
      <w:r>
        <w:t xml:space="preserve">, 1988), pp. 25-26. </w:t>
      </w:r>
    </w:p>
  </w:footnote>
  <w:footnote w:id="64">
    <w:p w:rsidR="007474BF" w:rsidRDefault="007474BF">
      <w:pPr>
        <w:pStyle w:val="FootnoteText"/>
      </w:pPr>
      <w:r>
        <w:rPr>
          <w:rStyle w:val="FootnoteReference"/>
        </w:rPr>
        <w:footnoteRef/>
      </w:r>
      <w:r>
        <w:t xml:space="preserve"> Nadine Meouchy and Peter </w:t>
      </w:r>
      <w:proofErr w:type="spellStart"/>
      <w:r>
        <w:t>Sluglett</w:t>
      </w:r>
      <w:proofErr w:type="spellEnd"/>
      <w:r>
        <w:t xml:space="preserve"> (</w:t>
      </w:r>
      <w:proofErr w:type="spellStart"/>
      <w:r>
        <w:t>eds</w:t>
      </w:r>
      <w:proofErr w:type="spellEnd"/>
      <w:r>
        <w:t xml:space="preserve">), </w:t>
      </w:r>
      <w:r>
        <w:rPr>
          <w:rStyle w:val="Emphasis"/>
        </w:rPr>
        <w:t xml:space="preserve">The British and French </w:t>
      </w:r>
      <w:r w:rsidR="009B2E45">
        <w:rPr>
          <w:rStyle w:val="Emphasis"/>
        </w:rPr>
        <w:t>Mandate’s</w:t>
      </w:r>
      <w:r>
        <w:rPr>
          <w:rStyle w:val="Emphasis"/>
        </w:rPr>
        <w:t xml:space="preserve"> in Comparative Perspective</w:t>
      </w:r>
      <w:r>
        <w:t xml:space="preserve"> (Leiden: Brill, 2004), pp. 586-587.</w:t>
      </w:r>
    </w:p>
  </w:footnote>
  <w:footnote w:id="65">
    <w:p w:rsidR="007474BF" w:rsidRDefault="007474BF">
      <w:pPr>
        <w:pStyle w:val="FootnoteText"/>
      </w:pPr>
      <w:r>
        <w:rPr>
          <w:rStyle w:val="FootnoteReference"/>
        </w:rPr>
        <w:footnoteRef/>
      </w:r>
      <w:r>
        <w:t xml:space="preserve"> Frantz Fanon, </w:t>
      </w:r>
      <w:r>
        <w:rPr>
          <w:rStyle w:val="Emphasis"/>
        </w:rPr>
        <w:t>The Wretched of the Earth</w:t>
      </w:r>
      <w:r>
        <w:t xml:space="preserve"> (London: Penguin, 1963), p. 37. </w:t>
      </w:r>
    </w:p>
  </w:footnote>
  <w:footnote w:id="66">
    <w:p w:rsidR="007474BF" w:rsidRDefault="007474BF" w:rsidP="00505BB7">
      <w:pPr>
        <w:pStyle w:val="FootnoteText"/>
      </w:pPr>
      <w:r>
        <w:rPr>
          <w:rStyle w:val="FootnoteReference"/>
        </w:rPr>
        <w:footnoteRef/>
      </w:r>
      <w:r>
        <w:t xml:space="preserve"> </w:t>
      </w:r>
      <w:r>
        <w:rPr>
          <w:rStyle w:val="Emphasis"/>
        </w:rPr>
        <w:t>Lebanon’s Constitution of 1926 with Amendments through 2004</w:t>
      </w:r>
      <w:r>
        <w:t xml:space="preserve">, translated by </w:t>
      </w:r>
      <w:proofErr w:type="spellStart"/>
      <w:r>
        <w:t>Fouad</w:t>
      </w:r>
      <w:proofErr w:type="spellEnd"/>
      <w:r>
        <w:t xml:space="preserve"> </w:t>
      </w:r>
      <w:proofErr w:type="spellStart"/>
      <w:r>
        <w:t>Fahmy</w:t>
      </w:r>
      <w:proofErr w:type="spellEnd"/>
      <w:r>
        <w:t xml:space="preserve"> </w:t>
      </w:r>
      <w:proofErr w:type="spellStart"/>
      <w:r>
        <w:t>Shafik</w:t>
      </w:r>
      <w:proofErr w:type="spellEnd"/>
      <w:r>
        <w:t xml:space="preserve"> and Abed </w:t>
      </w:r>
      <w:proofErr w:type="spellStart"/>
      <w:r>
        <w:t>Awad</w:t>
      </w:r>
      <w:proofErr w:type="spellEnd"/>
      <w:r>
        <w:t xml:space="preserve"> (Oxford University Press, prepared for distribution on Constitute Project, </w:t>
      </w:r>
      <w:proofErr w:type="spellStart"/>
      <w:r>
        <w:t>n.d</w:t>
      </w:r>
      <w:proofErr w:type="spellEnd"/>
      <w:r>
        <w:t xml:space="preserve">.), art. 24, </w:t>
      </w:r>
      <w:hyperlink r:id="rId11" w:tgtFrame="_new" w:history="1">
        <w:r>
          <w:rPr>
            <w:rStyle w:val="Hyperlink"/>
          </w:rPr>
          <w:t>https://www.constituteproject.org/constitution/Lebanon_2004</w:t>
        </w:r>
      </w:hyperlink>
      <w:r>
        <w:t xml:space="preserve"> [accessed 16 May 2026].</w:t>
      </w:r>
    </w:p>
    <w:p w:rsidR="007474BF" w:rsidRDefault="007474BF">
      <w:pPr>
        <w:pStyle w:val="FootnoteText"/>
      </w:pPr>
    </w:p>
  </w:footnote>
  <w:footnote w:id="67">
    <w:p w:rsidR="007474BF" w:rsidRDefault="007474BF">
      <w:pPr>
        <w:pStyle w:val="FootnoteText"/>
      </w:pPr>
      <w:r>
        <w:rPr>
          <w:rStyle w:val="FootnoteReference"/>
        </w:rPr>
        <w:footnoteRef/>
      </w:r>
      <w:r>
        <w:t xml:space="preserve"> Carol Hakim, </w:t>
      </w:r>
      <w:r>
        <w:rPr>
          <w:rStyle w:val="Emphasis"/>
        </w:rPr>
        <w:t>The Origins of Confessional Politics in Lebanon under the French Mandate</w:t>
      </w:r>
      <w:r>
        <w:t xml:space="preserve"> (London: I.B. </w:t>
      </w:r>
      <w:proofErr w:type="spellStart"/>
      <w:r>
        <w:t>Tauris</w:t>
      </w:r>
      <w:proofErr w:type="spellEnd"/>
      <w:r>
        <w:t>, 2019), p. 1691.</w:t>
      </w:r>
    </w:p>
  </w:footnote>
  <w:footnote w:id="68">
    <w:p w:rsidR="007474BF" w:rsidRDefault="007474BF">
      <w:pPr>
        <w:pStyle w:val="FootnoteText"/>
      </w:pPr>
      <w:r>
        <w:rPr>
          <w:rStyle w:val="FootnoteReference"/>
        </w:rPr>
        <w:footnoteRef/>
      </w:r>
      <w:r>
        <w:t xml:space="preserve"> ‘Lebanon: Taif Agreement To End the Lebanon Civil War (1989)’, </w:t>
      </w:r>
      <w:r>
        <w:rPr>
          <w:rStyle w:val="Emphasis"/>
        </w:rPr>
        <w:t>Jewish Virtual Library</w:t>
      </w:r>
      <w:r>
        <w:t xml:space="preserve">, </w:t>
      </w:r>
      <w:hyperlink r:id="rId12" w:tgtFrame="_new" w:history="1">
        <w:r>
          <w:rPr>
            <w:rStyle w:val="Hyperlink"/>
          </w:rPr>
          <w:t>https://jewishvirtuallibrary.org/taif-agreement-to-end-the-lebanon-civil-war-1989</w:t>
        </w:r>
      </w:hyperlink>
      <w:r>
        <w:t xml:space="preserve"> (Accessed 19 May 2026).</w:t>
      </w:r>
    </w:p>
  </w:footnote>
  <w:footnote w:id="69">
    <w:p w:rsidR="007474BF" w:rsidRDefault="007474BF">
      <w:pPr>
        <w:pStyle w:val="FootnoteText"/>
      </w:pPr>
      <w:r>
        <w:rPr>
          <w:rStyle w:val="FootnoteReference"/>
        </w:rPr>
        <w:footnoteRef/>
      </w:r>
      <w:r>
        <w:t xml:space="preserve"> ‘How Lebanon Became a Failed State’, </w:t>
      </w:r>
      <w:r>
        <w:rPr>
          <w:rStyle w:val="Emphasis"/>
        </w:rPr>
        <w:t>YouTube</w:t>
      </w:r>
      <w:r>
        <w:t xml:space="preserve">, uploaded by </w:t>
      </w:r>
      <w:r>
        <w:rPr>
          <w:rStyle w:val="whitespace-normal"/>
        </w:rPr>
        <w:t>TLDR News Global</w:t>
      </w:r>
      <w:r>
        <w:t xml:space="preserve">, 28 October 2023, </w:t>
      </w:r>
      <w:hyperlink r:id="rId13" w:tgtFrame="_new" w:history="1">
        <w:r>
          <w:rPr>
            <w:rStyle w:val="Hyperlink"/>
          </w:rPr>
          <w:t>https://www.youtube.com/watch?v=Ggyy8V97fe0</w:t>
        </w:r>
      </w:hyperlink>
      <w:r>
        <w:t xml:space="preserve"> [accessed 16 May 2026].</w:t>
      </w:r>
    </w:p>
  </w:footnote>
  <w:footnote w:id="70">
    <w:p w:rsidR="007474BF" w:rsidRDefault="007474BF">
      <w:pPr>
        <w:pStyle w:val="FootnoteText"/>
      </w:pPr>
      <w:r>
        <w:rPr>
          <w:rStyle w:val="FootnoteReference"/>
        </w:rPr>
        <w:footnoteRef/>
      </w:r>
      <w:r>
        <w:t xml:space="preserve"> ‘Religious Demographics of Lebanon Map’, </w:t>
      </w:r>
      <w:r>
        <w:rPr>
          <w:rStyle w:val="Emphasis"/>
        </w:rPr>
        <w:t>Brilliant Maps</w:t>
      </w:r>
      <w:r>
        <w:t xml:space="preserve">, 18 July 2024, </w:t>
      </w:r>
      <w:hyperlink r:id="rId14" w:tgtFrame="_new" w:history="1">
        <w:r>
          <w:rPr>
            <w:rStyle w:val="Hyperlink"/>
          </w:rPr>
          <w:t>https://brilliantmaps.com/lebanon-religion/</w:t>
        </w:r>
      </w:hyperlink>
      <w:r>
        <w:t xml:space="preserve"> [accessed 16 May 2026].</w:t>
      </w:r>
    </w:p>
  </w:footnote>
  <w:footnote w:id="71">
    <w:p w:rsidR="007474BF" w:rsidRDefault="007474BF">
      <w:pPr>
        <w:pStyle w:val="FootnoteText"/>
      </w:pPr>
      <w:r>
        <w:rPr>
          <w:rStyle w:val="FootnoteReference"/>
        </w:rPr>
        <w:footnoteRef/>
      </w:r>
      <w:r>
        <w:t xml:space="preserve"> Ibid.</w:t>
      </w:r>
    </w:p>
  </w:footnote>
  <w:footnote w:id="72">
    <w:p w:rsidR="007474BF" w:rsidRDefault="007474BF">
      <w:pPr>
        <w:pStyle w:val="FootnoteText"/>
      </w:pPr>
      <w:r>
        <w:rPr>
          <w:rStyle w:val="FootnoteReference"/>
        </w:rPr>
        <w:footnoteRef/>
      </w:r>
      <w:r>
        <w:t xml:space="preserve"> Max Weiss, </w:t>
      </w:r>
      <w:r>
        <w:rPr>
          <w:rStyle w:val="Emphasis"/>
        </w:rPr>
        <w:t xml:space="preserve">In the Shadow of Sectarianism: Law, </w:t>
      </w:r>
      <w:proofErr w:type="spellStart"/>
      <w:r>
        <w:rPr>
          <w:rStyle w:val="Emphasis"/>
        </w:rPr>
        <w:t>Shi‘ism</w:t>
      </w:r>
      <w:proofErr w:type="spellEnd"/>
      <w:r>
        <w:rPr>
          <w:rStyle w:val="Emphasis"/>
        </w:rPr>
        <w:t>, and the Making of Modern Lebanon</w:t>
      </w:r>
      <w:r>
        <w:t xml:space="preserve"> (Cambridge, MA: Harvard University Press, 2010), p. 77. </w:t>
      </w:r>
    </w:p>
  </w:footnote>
  <w:footnote w:id="73">
    <w:p w:rsidR="007474BF" w:rsidRDefault="007474BF">
      <w:pPr>
        <w:pStyle w:val="FootnoteText"/>
      </w:pPr>
      <w:r>
        <w:rPr>
          <w:rStyle w:val="FootnoteReference"/>
        </w:rPr>
        <w:footnoteRef/>
      </w:r>
      <w:r>
        <w:t xml:space="preserve"> Michael Provence, </w:t>
      </w:r>
      <w:r>
        <w:rPr>
          <w:rStyle w:val="Emphasis"/>
        </w:rPr>
        <w:t>The Great Syrian Revolt and the Rise of Arab Nationalism</w:t>
      </w:r>
      <w:r>
        <w:t xml:space="preserve"> (Austin: University of Texas Press, 2005), p. 13. </w:t>
      </w:r>
    </w:p>
  </w:footnote>
  <w:footnote w:id="74">
    <w:p w:rsidR="007810C6" w:rsidRDefault="007810C6">
      <w:pPr>
        <w:pStyle w:val="FootnoteText"/>
      </w:pPr>
      <w:r>
        <w:rPr>
          <w:rStyle w:val="FootnoteReference"/>
        </w:rPr>
        <w:footnoteRef/>
      </w:r>
      <w:r>
        <w:t xml:space="preserve"> </w:t>
      </w:r>
      <w:proofErr w:type="spellStart"/>
      <w:r>
        <w:t>Nikolaos</w:t>
      </w:r>
      <w:proofErr w:type="spellEnd"/>
      <w:r>
        <w:t xml:space="preserve"> van Dam, </w:t>
      </w:r>
      <w:r>
        <w:rPr>
          <w:rStyle w:val="Emphasis"/>
        </w:rPr>
        <w:t>The Struggle for Power in Syria</w:t>
      </w:r>
      <w:r>
        <w:t xml:space="preserve"> (London: I.B. </w:t>
      </w:r>
      <w:proofErr w:type="spellStart"/>
      <w:r>
        <w:t>Tauris</w:t>
      </w:r>
      <w:proofErr w:type="spellEnd"/>
      <w:r>
        <w:t xml:space="preserve">, 2011), p. 186. </w:t>
      </w:r>
    </w:p>
  </w:footnote>
  <w:footnote w:id="75">
    <w:p w:rsidR="00C74C27" w:rsidRDefault="00C74C27">
      <w:pPr>
        <w:pStyle w:val="FootnoteText"/>
      </w:pPr>
      <w:r>
        <w:rPr>
          <w:rStyle w:val="FootnoteReference"/>
        </w:rPr>
        <w:footnoteRef/>
      </w:r>
      <w:r>
        <w:t xml:space="preserve"> Lisa Wedeen, </w:t>
      </w:r>
      <w:r>
        <w:rPr>
          <w:rStyle w:val="Emphasis"/>
        </w:rPr>
        <w:t>Ambiguities of Domination: Politics, Rhetoric, and Symbols in Contemporary Syria</w:t>
      </w:r>
      <w:r>
        <w:t xml:space="preserve"> (Chicago: University of Chicago Press, 2015), p. 23. </w:t>
      </w:r>
    </w:p>
  </w:footnote>
  <w:footnote w:id="76">
    <w:p w:rsidR="00C74C27" w:rsidRDefault="00C74C27" w:rsidP="00C74C27">
      <w:pPr>
        <w:pStyle w:val="FootnoteText"/>
      </w:pPr>
      <w:r>
        <w:rPr>
          <w:rStyle w:val="FootnoteReference"/>
        </w:rPr>
        <w:footnoteRef/>
      </w:r>
      <w:r>
        <w:t xml:space="preserve"> Lisa Wedeen, </w:t>
      </w:r>
      <w:r>
        <w:rPr>
          <w:rStyle w:val="Emphasis"/>
        </w:rPr>
        <w:t>Ambiguities of Domination: Politics, Rhetoric, and Symbols in Contemporary Syria</w:t>
      </w:r>
      <w:r>
        <w:t xml:space="preserve"> (Chicago: University of Chicago Press, 2015), p. 23. </w:t>
      </w:r>
    </w:p>
    <w:p w:rsidR="00C74C27" w:rsidRDefault="00C74C27">
      <w:pPr>
        <w:pStyle w:val="FootnoteText"/>
      </w:pPr>
    </w:p>
  </w:footnote>
  <w:footnote w:id="77">
    <w:p w:rsidR="001D3483" w:rsidRDefault="001D3483">
      <w:pPr>
        <w:pStyle w:val="FootnoteText"/>
      </w:pPr>
      <w:r>
        <w:rPr>
          <w:rStyle w:val="FootnoteReference"/>
        </w:rPr>
        <w:footnoteRef/>
      </w:r>
      <w:r>
        <w:t xml:space="preserve"> Ibid.</w:t>
      </w:r>
    </w:p>
  </w:footnote>
  <w:footnote w:id="78">
    <w:p w:rsidR="00ED7319" w:rsidRDefault="00ED7319" w:rsidP="00ED7319">
      <w:pPr>
        <w:pStyle w:val="FootnoteText"/>
      </w:pPr>
      <w:r>
        <w:rPr>
          <w:rStyle w:val="FootnoteReference"/>
        </w:rPr>
        <w:footnoteRef/>
      </w:r>
      <w:r>
        <w:t xml:space="preserve"> Timothy Mitchell, </w:t>
      </w:r>
      <w:r>
        <w:rPr>
          <w:rStyle w:val="Emphasis"/>
        </w:rPr>
        <w:t>Colonising Egypt</w:t>
      </w:r>
      <w:r>
        <w:t xml:space="preserve"> (Cambridge: Cambridge University Press, 1988), p. 33.</w:t>
      </w:r>
    </w:p>
    <w:p w:rsidR="00ED7319" w:rsidRDefault="00ED7319">
      <w:pPr>
        <w:pStyle w:val="FootnoteTex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6A0"/>
    </w:tblPr>
    <w:tblGrid>
      <w:gridCol w:w="3005"/>
      <w:gridCol w:w="3005"/>
      <w:gridCol w:w="3005"/>
    </w:tblGrid>
    <w:tr w:rsidR="392B512C" w:rsidTr="392B512C">
      <w:trPr>
        <w:trHeight w:val="300"/>
      </w:trPr>
      <w:tc>
        <w:tcPr>
          <w:tcW w:w="3005" w:type="dxa"/>
        </w:tcPr>
        <w:p w:rsidR="392B512C" w:rsidRDefault="392B512C" w:rsidP="392B512C">
          <w:pPr>
            <w:pStyle w:val="Header"/>
            <w:ind w:left="-115"/>
          </w:pPr>
        </w:p>
      </w:tc>
      <w:tc>
        <w:tcPr>
          <w:tcW w:w="3005" w:type="dxa"/>
        </w:tcPr>
        <w:p w:rsidR="392B512C" w:rsidRDefault="392B512C" w:rsidP="392B512C">
          <w:pPr>
            <w:pStyle w:val="Header"/>
            <w:jc w:val="center"/>
          </w:pPr>
        </w:p>
      </w:tc>
      <w:tc>
        <w:tcPr>
          <w:tcW w:w="3005" w:type="dxa"/>
        </w:tcPr>
        <w:p w:rsidR="392B512C" w:rsidRDefault="392B512C" w:rsidP="392B512C">
          <w:pPr>
            <w:pStyle w:val="Header"/>
            <w:ind w:right="-115"/>
            <w:jc w:val="right"/>
          </w:pPr>
        </w:p>
      </w:tc>
    </w:tr>
  </w:tbl>
  <w:p w:rsidR="392B512C" w:rsidRDefault="392B512C" w:rsidP="392B512C">
    <w:pPr>
      <w:pStyle w:val="Header"/>
    </w:pPr>
  </w:p>
</w:hdr>
</file>

<file path=word/intelligence2.xml><?xml version="1.0" encoding="utf-8"?>
<int2:intelligence xmlns:int2="http://schemas.microsoft.com/office/intelligence/2020/intelligence">
  <int2:observations>
    <int2:textHash int2:hashCode="wTXo3AaxmY64AA" int2:id="ZigKPJNO">
      <int2:state int2:type="spell" int2:value="Rejected"/>
    </int2:textHash>
    <int2:textHash int2:hashCode="1cXa8BVCfdsH3C" int2:id="HUyiBtmG">
      <int2:state int2:type="spell" int2:value="Rejected"/>
    </int2:textHash>
    <int2:textHash int2:hashCode="iKn0ypbl38MViF" int2:id="FAS3MPFS">
      <int2:state int2:type="spell" int2:value="Rejected"/>
    </int2:textHash>
    <int2:textHash int2:hashCode="m7CC1yQsU8wFzN" int2:id="sXFXyXGL">
      <int2:state int2:type="spell" int2:value="Rejected"/>
    </int2:textHash>
    <int2:bookmark int2:bookmarkName="_Int_9Q6aP2LV" int2:invalidationBookmarkName="" int2:hashCode="uTrn68/s/zYnyT" int2:id="sN561Fmf">
      <int2:state int2:type="gram" int2:value="Rejected"/>
    </int2:bookmark>
    <int2:bookmark int2:bookmarkName="_Int_4EVVdRtn" int2:invalidationBookmarkName="" int2:hashCode="Ec6appSfkImHoQ" int2:id="LuPytLLW">
      <int2:state int2:type="gram" int2:value="Rejected"/>
    </int2:bookmark>
    <int2:bookmark int2:bookmarkName="_Int_xVUc4Adj" int2:invalidationBookmarkName="" int2:hashCode="Ii3NeNPCQcq5NU" int2:id="kS3khVPQ">
      <int2:state int2:type="gram" int2:value="Rejected"/>
    </int2:bookmark>
    <int2:bookmark int2:bookmarkName="_Int_5MbhnJR3" int2:invalidationBookmarkName="" int2:hashCode="raJL3H++7s0IPH" int2:id="L9kYjXn9">
      <int2:state int2:type="style" int2:value="Rejected"/>
    </int2:bookmark>
    <int2:bookmark int2:bookmarkName="_Int_T5HQdI6v" int2:invalidationBookmarkName="" int2:hashCode="Y9tueFId933ijf" int2:id="pdBhuQxo">
      <int2:state int2:type="gram" int2:value="Rejected"/>
    </int2:bookmark>
    <int2:bookmark int2:bookmarkName="_Int_72Y9SeYx" int2:invalidationBookmarkName="" int2:hashCode="QsnxJhPtdEdqLU" int2:id="txl8UZ3F">
      <int2:state int2:type="gram" int2:value="Rejected"/>
    </int2:bookmark>
    <int2:bookmark int2:bookmarkName="_Int_Z0sFbKIx" int2:invalidationBookmarkName="" int2:hashCode="dbaWd8jQxYtjzJ" int2:id="ZbBcVxGD">
      <int2:state int2:type="gram" int2:value="Rejected"/>
    </int2:bookmark>
    <int2:bookmark int2:bookmarkName="_Int_zndKSH08" int2:invalidationBookmarkName="" int2:hashCode="7z3DmJNnWKVAJD" int2:id="uaT8me1k">
      <int2:state int2:type="gram" int2:value="Rejected"/>
    </int2:bookmark>
    <int2:bookmark int2:bookmarkName="_Int_tvZB2Kp3" int2:invalidationBookmarkName="" int2:hashCode="5tv7OPjnUPWCaU" int2:id="o6VqY9h7">
      <int2:state int2:type="gram" int2:value="Rejected"/>
    </int2:bookmark>
    <int2:bookmark int2:bookmarkName="_Int_34XzU4wr" int2:invalidationBookmarkName="" int2:hashCode="1lvW7oPH12x6Zc" int2:id="ClnlmPlM">
      <int2:state int2:type="style" int2:value="Rejected"/>
    </int2:bookmark>
    <int2:bookmark int2:bookmarkName="_Int_AKSoVXyV" int2:invalidationBookmarkName="" int2:hashCode="GWbOv7T09bAw3i" int2:id="MkZr0wfN">
      <int2:state int2:type="gram" int2:value="Rejected"/>
    </int2:bookmark>
    <int2:bookmark int2:bookmarkName="_Int_ehzsTFMp" int2:invalidationBookmarkName="" int2:hashCode="VfjaAMxNvT/T60" int2:id="yFrzfZlJ">
      <int2:state int2:type="gram" int2:value="Rejected"/>
    </int2:bookmark>
    <int2:bookmark int2:bookmarkName="_Int_UCIFSHbw" int2:invalidationBookmarkName="" int2:hashCode="ctRGXcUvWQLnmK" int2:id="7FgxQICE">
      <int2:state int2:type="style" int2:value="Rejected"/>
    </int2:bookmark>
    <int2:bookmark int2:bookmarkName="_Int_uNManPmD" int2:invalidationBookmarkName="" int2:hashCode="VRd/LyDcPFdCnc" int2:id="lCjlJKhq">
      <int2:state int2:type="style" int2:value="Rejected"/>
    </int2:bookmark>
    <int2:bookmark int2:bookmarkName="_Int_KK8aStor" int2:invalidationBookmarkName="" int2:hashCode="bPaDFrF/2zIviu" int2:id="LwuM7t42">
      <int2:state int2:type="style" int2:value="Rejected"/>
    </int2:bookmark>
    <int2:bookmark int2:bookmarkName="_Int_aKUlMloN" int2:invalidationBookmarkName="" int2:hashCode="y5Dzc8p64T2agu" int2:id="UX3xzMEX">
      <int2:state int2:type="style" int2:value="Rejected"/>
    </int2:bookmark>
  </int2:observations>
  <int2:intelligenceSettings/>
</int2:intelligence>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F66F73"/>
    <w:multiLevelType w:val="multilevel"/>
    <w:tmpl w:val="97FA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F75F8D"/>
    <w:multiLevelType w:val="multilevel"/>
    <w:tmpl w:val="0148A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3435AE"/>
    <w:multiLevelType w:val="multilevel"/>
    <w:tmpl w:val="31E6B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297DDC"/>
    <w:multiLevelType w:val="multilevel"/>
    <w:tmpl w:val="4E105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A914A39"/>
    <w:multiLevelType w:val="multilevel"/>
    <w:tmpl w:val="7C044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B1D26F9"/>
    <w:multiLevelType w:val="multilevel"/>
    <w:tmpl w:val="CC60F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B896D88"/>
    <w:multiLevelType w:val="multilevel"/>
    <w:tmpl w:val="82081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F934E79"/>
    <w:multiLevelType w:val="multilevel"/>
    <w:tmpl w:val="94FAC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6E11FBB"/>
    <w:multiLevelType w:val="multilevel"/>
    <w:tmpl w:val="0B866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0360B63"/>
    <w:multiLevelType w:val="multilevel"/>
    <w:tmpl w:val="FD868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3E5387E"/>
    <w:multiLevelType w:val="multilevel"/>
    <w:tmpl w:val="ECFAF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8CA0588"/>
    <w:multiLevelType w:val="multilevel"/>
    <w:tmpl w:val="DDBAD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EDB298D"/>
    <w:multiLevelType w:val="multilevel"/>
    <w:tmpl w:val="79263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0663842"/>
    <w:multiLevelType w:val="multilevel"/>
    <w:tmpl w:val="167CF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2C94FC6"/>
    <w:multiLevelType w:val="multilevel"/>
    <w:tmpl w:val="357C4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2EC2431"/>
    <w:multiLevelType w:val="multilevel"/>
    <w:tmpl w:val="30ACB0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3560DDD"/>
    <w:multiLevelType w:val="multilevel"/>
    <w:tmpl w:val="256CF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4302777"/>
    <w:multiLevelType w:val="multilevel"/>
    <w:tmpl w:val="53C2B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49F3D16"/>
    <w:multiLevelType w:val="multilevel"/>
    <w:tmpl w:val="7632D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4EF4A82"/>
    <w:multiLevelType w:val="multilevel"/>
    <w:tmpl w:val="56160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52C58B2"/>
    <w:multiLevelType w:val="multilevel"/>
    <w:tmpl w:val="E864F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5A0405C"/>
    <w:multiLevelType w:val="multilevel"/>
    <w:tmpl w:val="78CEF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5E10243"/>
    <w:multiLevelType w:val="hybridMultilevel"/>
    <w:tmpl w:val="3CA85B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93A787D"/>
    <w:multiLevelType w:val="multilevel"/>
    <w:tmpl w:val="3B327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A3A65C2"/>
    <w:multiLevelType w:val="multilevel"/>
    <w:tmpl w:val="0636B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D480001"/>
    <w:multiLevelType w:val="multilevel"/>
    <w:tmpl w:val="934A1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25"/>
  </w:num>
  <w:num w:numId="3">
    <w:abstractNumId w:val="3"/>
  </w:num>
  <w:num w:numId="4">
    <w:abstractNumId w:val="16"/>
  </w:num>
  <w:num w:numId="5">
    <w:abstractNumId w:val="12"/>
  </w:num>
  <w:num w:numId="6">
    <w:abstractNumId w:val="2"/>
  </w:num>
  <w:num w:numId="7">
    <w:abstractNumId w:val="14"/>
  </w:num>
  <w:num w:numId="8">
    <w:abstractNumId w:val="15"/>
  </w:num>
  <w:num w:numId="9">
    <w:abstractNumId w:val="9"/>
  </w:num>
  <w:num w:numId="10">
    <w:abstractNumId w:val="1"/>
  </w:num>
  <w:num w:numId="11">
    <w:abstractNumId w:val="13"/>
  </w:num>
  <w:num w:numId="12">
    <w:abstractNumId w:val="5"/>
  </w:num>
  <w:num w:numId="13">
    <w:abstractNumId w:val="0"/>
  </w:num>
  <w:num w:numId="14">
    <w:abstractNumId w:val="19"/>
  </w:num>
  <w:num w:numId="15">
    <w:abstractNumId w:val="6"/>
  </w:num>
  <w:num w:numId="16">
    <w:abstractNumId w:val="23"/>
  </w:num>
  <w:num w:numId="17">
    <w:abstractNumId w:val="17"/>
  </w:num>
  <w:num w:numId="18">
    <w:abstractNumId w:val="24"/>
  </w:num>
  <w:num w:numId="19">
    <w:abstractNumId w:val="7"/>
  </w:num>
  <w:num w:numId="20">
    <w:abstractNumId w:val="21"/>
  </w:num>
  <w:num w:numId="21">
    <w:abstractNumId w:val="4"/>
  </w:num>
  <w:num w:numId="22">
    <w:abstractNumId w:val="20"/>
  </w:num>
  <w:num w:numId="23">
    <w:abstractNumId w:val="8"/>
  </w:num>
  <w:num w:numId="24">
    <w:abstractNumId w:val="11"/>
  </w:num>
  <w:num w:numId="25">
    <w:abstractNumId w:val="18"/>
  </w:num>
  <w:num w:numId="26">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880052"/>
    <w:rsid w:val="00005C7B"/>
    <w:rsid w:val="000064D5"/>
    <w:rsid w:val="000252CD"/>
    <w:rsid w:val="00044EA1"/>
    <w:rsid w:val="00047910"/>
    <w:rsid w:val="00047B71"/>
    <w:rsid w:val="00055F08"/>
    <w:rsid w:val="000818CE"/>
    <w:rsid w:val="00082908"/>
    <w:rsid w:val="00092E75"/>
    <w:rsid w:val="00094A26"/>
    <w:rsid w:val="000E21C9"/>
    <w:rsid w:val="000E7F2E"/>
    <w:rsid w:val="000F1FA1"/>
    <w:rsid w:val="000F6CC0"/>
    <w:rsid w:val="00102455"/>
    <w:rsid w:val="00114243"/>
    <w:rsid w:val="001216CE"/>
    <w:rsid w:val="0012655B"/>
    <w:rsid w:val="00170165"/>
    <w:rsid w:val="0017300B"/>
    <w:rsid w:val="0017766B"/>
    <w:rsid w:val="001953A7"/>
    <w:rsid w:val="0019584E"/>
    <w:rsid w:val="001B1481"/>
    <w:rsid w:val="001B6329"/>
    <w:rsid w:val="001D3483"/>
    <w:rsid w:val="001D3C86"/>
    <w:rsid w:val="001E0215"/>
    <w:rsid w:val="001E2773"/>
    <w:rsid w:val="001E3BC0"/>
    <w:rsid w:val="00250B9F"/>
    <w:rsid w:val="00264ED8"/>
    <w:rsid w:val="0027012E"/>
    <w:rsid w:val="002711CF"/>
    <w:rsid w:val="00281116"/>
    <w:rsid w:val="002A3054"/>
    <w:rsid w:val="002B43F2"/>
    <w:rsid w:val="002D78C1"/>
    <w:rsid w:val="002F24EF"/>
    <w:rsid w:val="00302C6F"/>
    <w:rsid w:val="003128E3"/>
    <w:rsid w:val="00321618"/>
    <w:rsid w:val="003234DF"/>
    <w:rsid w:val="00323B98"/>
    <w:rsid w:val="003315D7"/>
    <w:rsid w:val="00333127"/>
    <w:rsid w:val="00334B56"/>
    <w:rsid w:val="00341287"/>
    <w:rsid w:val="0034371A"/>
    <w:rsid w:val="00347BE2"/>
    <w:rsid w:val="00370836"/>
    <w:rsid w:val="003C6142"/>
    <w:rsid w:val="003C750E"/>
    <w:rsid w:val="003E0D32"/>
    <w:rsid w:val="003E148F"/>
    <w:rsid w:val="003E1696"/>
    <w:rsid w:val="004007F7"/>
    <w:rsid w:val="00404A73"/>
    <w:rsid w:val="0041043C"/>
    <w:rsid w:val="004135AB"/>
    <w:rsid w:val="00414381"/>
    <w:rsid w:val="00416F4C"/>
    <w:rsid w:val="00431439"/>
    <w:rsid w:val="00450444"/>
    <w:rsid w:val="00472BBF"/>
    <w:rsid w:val="004879E5"/>
    <w:rsid w:val="004939E2"/>
    <w:rsid w:val="004A1F83"/>
    <w:rsid w:val="004B1864"/>
    <w:rsid w:val="004B3DBA"/>
    <w:rsid w:val="004C1C11"/>
    <w:rsid w:val="004E5CD5"/>
    <w:rsid w:val="004E630A"/>
    <w:rsid w:val="00505BB7"/>
    <w:rsid w:val="00513C3C"/>
    <w:rsid w:val="005251DF"/>
    <w:rsid w:val="00533B83"/>
    <w:rsid w:val="005345D0"/>
    <w:rsid w:val="00534E18"/>
    <w:rsid w:val="00536351"/>
    <w:rsid w:val="005559F3"/>
    <w:rsid w:val="005716FF"/>
    <w:rsid w:val="005764D5"/>
    <w:rsid w:val="005A7703"/>
    <w:rsid w:val="005B4A3A"/>
    <w:rsid w:val="005C439E"/>
    <w:rsid w:val="005D7D78"/>
    <w:rsid w:val="005E3EEF"/>
    <w:rsid w:val="006016DD"/>
    <w:rsid w:val="006110E5"/>
    <w:rsid w:val="00615438"/>
    <w:rsid w:val="006217C1"/>
    <w:rsid w:val="00632598"/>
    <w:rsid w:val="00635A81"/>
    <w:rsid w:val="00653B54"/>
    <w:rsid w:val="00654C9D"/>
    <w:rsid w:val="00657331"/>
    <w:rsid w:val="0065755C"/>
    <w:rsid w:val="006577C7"/>
    <w:rsid w:val="00663533"/>
    <w:rsid w:val="006650F3"/>
    <w:rsid w:val="00667883"/>
    <w:rsid w:val="00670DF7"/>
    <w:rsid w:val="006829B7"/>
    <w:rsid w:val="006856CE"/>
    <w:rsid w:val="0068725E"/>
    <w:rsid w:val="0069054C"/>
    <w:rsid w:val="006942A1"/>
    <w:rsid w:val="00697DD7"/>
    <w:rsid w:val="006A4539"/>
    <w:rsid w:val="006A6E77"/>
    <w:rsid w:val="006B61F0"/>
    <w:rsid w:val="006C6312"/>
    <w:rsid w:val="006D5BBA"/>
    <w:rsid w:val="006E5973"/>
    <w:rsid w:val="006E671B"/>
    <w:rsid w:val="006F4FB9"/>
    <w:rsid w:val="006F60F7"/>
    <w:rsid w:val="00705D6E"/>
    <w:rsid w:val="00714514"/>
    <w:rsid w:val="00714A2E"/>
    <w:rsid w:val="00715DAF"/>
    <w:rsid w:val="007260D7"/>
    <w:rsid w:val="00732C3B"/>
    <w:rsid w:val="007378D3"/>
    <w:rsid w:val="007474BF"/>
    <w:rsid w:val="00750A26"/>
    <w:rsid w:val="00761A9E"/>
    <w:rsid w:val="0077736A"/>
    <w:rsid w:val="007810C6"/>
    <w:rsid w:val="0078515C"/>
    <w:rsid w:val="00794D84"/>
    <w:rsid w:val="00797496"/>
    <w:rsid w:val="007A4D73"/>
    <w:rsid w:val="007A5864"/>
    <w:rsid w:val="007B213B"/>
    <w:rsid w:val="007B48DB"/>
    <w:rsid w:val="007C02CD"/>
    <w:rsid w:val="007C4EA5"/>
    <w:rsid w:val="007C797D"/>
    <w:rsid w:val="007D482E"/>
    <w:rsid w:val="007E1021"/>
    <w:rsid w:val="007F530D"/>
    <w:rsid w:val="0084766C"/>
    <w:rsid w:val="00864889"/>
    <w:rsid w:val="00866278"/>
    <w:rsid w:val="0086729D"/>
    <w:rsid w:val="00874207"/>
    <w:rsid w:val="00880052"/>
    <w:rsid w:val="0089697B"/>
    <w:rsid w:val="008C4F9B"/>
    <w:rsid w:val="008D43C9"/>
    <w:rsid w:val="008E0474"/>
    <w:rsid w:val="008E20C6"/>
    <w:rsid w:val="008E6055"/>
    <w:rsid w:val="008E7B7B"/>
    <w:rsid w:val="008F40BF"/>
    <w:rsid w:val="009118DB"/>
    <w:rsid w:val="0091604E"/>
    <w:rsid w:val="009172D6"/>
    <w:rsid w:val="00924FB7"/>
    <w:rsid w:val="00927AC4"/>
    <w:rsid w:val="00945D5A"/>
    <w:rsid w:val="00954E14"/>
    <w:rsid w:val="00960B9C"/>
    <w:rsid w:val="009626E9"/>
    <w:rsid w:val="00974389"/>
    <w:rsid w:val="009806D4"/>
    <w:rsid w:val="009A0BA5"/>
    <w:rsid w:val="009A6BDB"/>
    <w:rsid w:val="009B14DB"/>
    <w:rsid w:val="009B19B2"/>
    <w:rsid w:val="009B2E45"/>
    <w:rsid w:val="009F05AD"/>
    <w:rsid w:val="009F3BB6"/>
    <w:rsid w:val="00A0547A"/>
    <w:rsid w:val="00A1287E"/>
    <w:rsid w:val="00A173E7"/>
    <w:rsid w:val="00A21B23"/>
    <w:rsid w:val="00A32216"/>
    <w:rsid w:val="00A42AB7"/>
    <w:rsid w:val="00A551B7"/>
    <w:rsid w:val="00A72CA8"/>
    <w:rsid w:val="00A74490"/>
    <w:rsid w:val="00A87A81"/>
    <w:rsid w:val="00A90553"/>
    <w:rsid w:val="00A92D57"/>
    <w:rsid w:val="00A9523E"/>
    <w:rsid w:val="00AE6E10"/>
    <w:rsid w:val="00AF175C"/>
    <w:rsid w:val="00AF2323"/>
    <w:rsid w:val="00B221AA"/>
    <w:rsid w:val="00B402CD"/>
    <w:rsid w:val="00B56B62"/>
    <w:rsid w:val="00B5794D"/>
    <w:rsid w:val="00B67603"/>
    <w:rsid w:val="00B75E98"/>
    <w:rsid w:val="00B8257D"/>
    <w:rsid w:val="00B95284"/>
    <w:rsid w:val="00BA56EA"/>
    <w:rsid w:val="00BA789B"/>
    <w:rsid w:val="00BB7A19"/>
    <w:rsid w:val="00BC5571"/>
    <w:rsid w:val="00BC64A9"/>
    <w:rsid w:val="00BD30DC"/>
    <w:rsid w:val="00BD5D71"/>
    <w:rsid w:val="00BE6D57"/>
    <w:rsid w:val="00C0222E"/>
    <w:rsid w:val="00C02DE5"/>
    <w:rsid w:val="00C21DD5"/>
    <w:rsid w:val="00C274AD"/>
    <w:rsid w:val="00C34671"/>
    <w:rsid w:val="00C43EA6"/>
    <w:rsid w:val="00C44809"/>
    <w:rsid w:val="00C62329"/>
    <w:rsid w:val="00C65841"/>
    <w:rsid w:val="00C661DC"/>
    <w:rsid w:val="00C74C27"/>
    <w:rsid w:val="00C80051"/>
    <w:rsid w:val="00C90BA8"/>
    <w:rsid w:val="00C91857"/>
    <w:rsid w:val="00C9745D"/>
    <w:rsid w:val="00CA1E53"/>
    <w:rsid w:val="00CA5915"/>
    <w:rsid w:val="00CB01FE"/>
    <w:rsid w:val="00CB703E"/>
    <w:rsid w:val="00CC614F"/>
    <w:rsid w:val="00CD1260"/>
    <w:rsid w:val="00CD35A1"/>
    <w:rsid w:val="00CD45FF"/>
    <w:rsid w:val="00CF0443"/>
    <w:rsid w:val="00D00BC4"/>
    <w:rsid w:val="00D032BE"/>
    <w:rsid w:val="00D06784"/>
    <w:rsid w:val="00D07D9B"/>
    <w:rsid w:val="00D24C27"/>
    <w:rsid w:val="00D24D0C"/>
    <w:rsid w:val="00D30E34"/>
    <w:rsid w:val="00D4229E"/>
    <w:rsid w:val="00D437FB"/>
    <w:rsid w:val="00D55E73"/>
    <w:rsid w:val="00D63A63"/>
    <w:rsid w:val="00D665AA"/>
    <w:rsid w:val="00D70A93"/>
    <w:rsid w:val="00D74BDC"/>
    <w:rsid w:val="00D852C9"/>
    <w:rsid w:val="00D92816"/>
    <w:rsid w:val="00D95281"/>
    <w:rsid w:val="00D97784"/>
    <w:rsid w:val="00DB2CC3"/>
    <w:rsid w:val="00DB5FA8"/>
    <w:rsid w:val="00DD0ADF"/>
    <w:rsid w:val="00DF712E"/>
    <w:rsid w:val="00E00B19"/>
    <w:rsid w:val="00E0210F"/>
    <w:rsid w:val="00E067CA"/>
    <w:rsid w:val="00E06D1E"/>
    <w:rsid w:val="00E14104"/>
    <w:rsid w:val="00E3281C"/>
    <w:rsid w:val="00E45733"/>
    <w:rsid w:val="00E5036B"/>
    <w:rsid w:val="00E65C67"/>
    <w:rsid w:val="00E74945"/>
    <w:rsid w:val="00E808AE"/>
    <w:rsid w:val="00E9246B"/>
    <w:rsid w:val="00E93831"/>
    <w:rsid w:val="00ED4ECE"/>
    <w:rsid w:val="00ED7319"/>
    <w:rsid w:val="00EF2923"/>
    <w:rsid w:val="00EF3D71"/>
    <w:rsid w:val="00EF7A66"/>
    <w:rsid w:val="00F4529D"/>
    <w:rsid w:val="00F467E6"/>
    <w:rsid w:val="00F5768B"/>
    <w:rsid w:val="00F62835"/>
    <w:rsid w:val="00F64623"/>
    <w:rsid w:val="00F7203A"/>
    <w:rsid w:val="00F741E3"/>
    <w:rsid w:val="00F74AE4"/>
    <w:rsid w:val="00F82BE6"/>
    <w:rsid w:val="00F91F7A"/>
    <w:rsid w:val="00FA237D"/>
    <w:rsid w:val="00FA5054"/>
    <w:rsid w:val="00FA5B5C"/>
    <w:rsid w:val="00FA724F"/>
    <w:rsid w:val="00FA73E7"/>
    <w:rsid w:val="00FB1B3C"/>
    <w:rsid w:val="00FD7A04"/>
    <w:rsid w:val="00FD7B2D"/>
    <w:rsid w:val="03F22F8B"/>
    <w:rsid w:val="05F93ED8"/>
    <w:rsid w:val="09ADB5C2"/>
    <w:rsid w:val="0AAF87C9"/>
    <w:rsid w:val="0E0025B9"/>
    <w:rsid w:val="1014EEFC"/>
    <w:rsid w:val="13A8C7DC"/>
    <w:rsid w:val="13D3E5EB"/>
    <w:rsid w:val="15AC612A"/>
    <w:rsid w:val="183666F2"/>
    <w:rsid w:val="196E2E38"/>
    <w:rsid w:val="1B1C5ECD"/>
    <w:rsid w:val="1EF2CBC5"/>
    <w:rsid w:val="1FBBA0C9"/>
    <w:rsid w:val="206E31F5"/>
    <w:rsid w:val="23C9C41C"/>
    <w:rsid w:val="23CD3557"/>
    <w:rsid w:val="23F03DE7"/>
    <w:rsid w:val="28F6BDD9"/>
    <w:rsid w:val="2FA9C154"/>
    <w:rsid w:val="34118215"/>
    <w:rsid w:val="35873C19"/>
    <w:rsid w:val="36C94C07"/>
    <w:rsid w:val="377AFEE8"/>
    <w:rsid w:val="392B512C"/>
    <w:rsid w:val="3D8C58B7"/>
    <w:rsid w:val="4219C5C1"/>
    <w:rsid w:val="428C4BDB"/>
    <w:rsid w:val="45A84925"/>
    <w:rsid w:val="4755BD6B"/>
    <w:rsid w:val="47D79D73"/>
    <w:rsid w:val="49CF5FE8"/>
    <w:rsid w:val="4A8246B5"/>
    <w:rsid w:val="4A84F5B3"/>
    <w:rsid w:val="4B0473EF"/>
    <w:rsid w:val="4F87A1FB"/>
    <w:rsid w:val="4FF2EC5B"/>
    <w:rsid w:val="53172430"/>
    <w:rsid w:val="57EB4022"/>
    <w:rsid w:val="5974450D"/>
    <w:rsid w:val="5B71D9CA"/>
    <w:rsid w:val="5FC3125E"/>
    <w:rsid w:val="62424CF8"/>
    <w:rsid w:val="6E2E5A76"/>
    <w:rsid w:val="7095A893"/>
    <w:rsid w:val="711A3160"/>
    <w:rsid w:val="73631391"/>
    <w:rsid w:val="790FC521"/>
    <w:rsid w:val="7A5B917F"/>
    <w:rsid w:val="7C16B617"/>
    <w:rsid w:val="7D2B54F5"/>
    <w:rsid w:val="7E3AA14D"/>
    <w:rsid w:val="7FCA8A7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0ADF"/>
  </w:style>
  <w:style w:type="paragraph" w:styleId="Heading1">
    <w:name w:val="heading 1"/>
    <w:basedOn w:val="Normal"/>
    <w:link w:val="Heading1Char"/>
    <w:uiPriority w:val="9"/>
    <w:qFormat/>
    <w:rsid w:val="0088005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88005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DB5FA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0052"/>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880052"/>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8800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80052"/>
    <w:rPr>
      <w:i/>
      <w:iCs/>
    </w:rPr>
  </w:style>
  <w:style w:type="paragraph" w:styleId="Header">
    <w:name w:val="header"/>
    <w:basedOn w:val="Normal"/>
    <w:link w:val="HeaderChar"/>
    <w:uiPriority w:val="99"/>
    <w:semiHidden/>
    <w:unhideWhenUsed/>
    <w:rsid w:val="006C631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C6312"/>
  </w:style>
  <w:style w:type="paragraph" w:styleId="Footer">
    <w:name w:val="footer"/>
    <w:basedOn w:val="Normal"/>
    <w:link w:val="FooterChar"/>
    <w:uiPriority w:val="99"/>
    <w:semiHidden/>
    <w:unhideWhenUsed/>
    <w:rsid w:val="006C631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C6312"/>
  </w:style>
  <w:style w:type="character" w:styleId="Strong">
    <w:name w:val="Strong"/>
    <w:basedOn w:val="DefaultParagraphFont"/>
    <w:uiPriority w:val="22"/>
    <w:qFormat/>
    <w:rsid w:val="006C6312"/>
    <w:rPr>
      <w:b/>
      <w:bCs/>
    </w:rPr>
  </w:style>
  <w:style w:type="paragraph" w:styleId="BalloonText">
    <w:name w:val="Balloon Text"/>
    <w:basedOn w:val="Normal"/>
    <w:link w:val="BalloonTextChar"/>
    <w:uiPriority w:val="99"/>
    <w:semiHidden/>
    <w:unhideWhenUsed/>
    <w:rsid w:val="004E63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630A"/>
    <w:rPr>
      <w:rFonts w:ascii="Tahoma" w:hAnsi="Tahoma" w:cs="Tahoma"/>
      <w:sz w:val="16"/>
      <w:szCs w:val="16"/>
    </w:rPr>
  </w:style>
  <w:style w:type="paragraph" w:styleId="FootnoteText">
    <w:name w:val="footnote text"/>
    <w:basedOn w:val="Normal"/>
    <w:link w:val="FootnoteTextChar"/>
    <w:uiPriority w:val="99"/>
    <w:semiHidden/>
    <w:unhideWhenUsed/>
    <w:rsid w:val="00C8005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80051"/>
    <w:rPr>
      <w:sz w:val="20"/>
      <w:szCs w:val="20"/>
    </w:rPr>
  </w:style>
  <w:style w:type="character" w:styleId="FootnoteReference">
    <w:name w:val="footnote reference"/>
    <w:basedOn w:val="DefaultParagraphFont"/>
    <w:uiPriority w:val="99"/>
    <w:semiHidden/>
    <w:unhideWhenUsed/>
    <w:rsid w:val="00C80051"/>
    <w:rPr>
      <w:vertAlign w:val="superscript"/>
    </w:rPr>
  </w:style>
  <w:style w:type="character" w:styleId="Hyperlink">
    <w:name w:val="Hyperlink"/>
    <w:basedOn w:val="DefaultParagraphFont"/>
    <w:uiPriority w:val="99"/>
    <w:unhideWhenUsed/>
    <w:rsid w:val="00C80051"/>
    <w:rPr>
      <w:color w:val="0000FF"/>
      <w:u w:val="single"/>
    </w:rPr>
  </w:style>
  <w:style w:type="character" w:customStyle="1" w:styleId="whitespace-normal">
    <w:name w:val="whitespace-normal"/>
    <w:basedOn w:val="DefaultParagraphFont"/>
    <w:rsid w:val="00323B98"/>
  </w:style>
  <w:style w:type="paragraph" w:styleId="ListParagraph">
    <w:name w:val="List Paragraph"/>
    <w:basedOn w:val="Normal"/>
    <w:uiPriority w:val="34"/>
    <w:qFormat/>
    <w:rsid w:val="00FD7B2D"/>
    <w:pPr>
      <w:ind w:left="720"/>
      <w:contextualSpacing/>
    </w:pPr>
  </w:style>
  <w:style w:type="character" w:customStyle="1" w:styleId="Heading3Char">
    <w:name w:val="Heading 3 Char"/>
    <w:basedOn w:val="DefaultParagraphFont"/>
    <w:link w:val="Heading3"/>
    <w:uiPriority w:val="9"/>
    <w:semiHidden/>
    <w:rsid w:val="00DB5FA8"/>
    <w:rPr>
      <w:rFonts w:asciiTheme="majorHAnsi" w:eastAsiaTheme="majorEastAsia" w:hAnsiTheme="majorHAnsi" w:cstheme="majorBidi"/>
      <w:b/>
      <w:bCs/>
      <w:color w:val="4F81BD" w:themeColor="accent1"/>
    </w:r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13293423">
      <w:bodyDiv w:val="1"/>
      <w:marLeft w:val="0"/>
      <w:marRight w:val="0"/>
      <w:marTop w:val="0"/>
      <w:marBottom w:val="0"/>
      <w:divBdr>
        <w:top w:val="none" w:sz="0" w:space="0" w:color="auto"/>
        <w:left w:val="none" w:sz="0" w:space="0" w:color="auto"/>
        <w:bottom w:val="none" w:sz="0" w:space="0" w:color="auto"/>
        <w:right w:val="none" w:sz="0" w:space="0" w:color="auto"/>
      </w:divBdr>
      <w:divsChild>
        <w:div w:id="1387416172">
          <w:marLeft w:val="0"/>
          <w:marRight w:val="0"/>
          <w:marTop w:val="0"/>
          <w:marBottom w:val="0"/>
          <w:divBdr>
            <w:top w:val="none" w:sz="0" w:space="0" w:color="auto"/>
            <w:left w:val="none" w:sz="0" w:space="0" w:color="auto"/>
            <w:bottom w:val="none" w:sz="0" w:space="0" w:color="auto"/>
            <w:right w:val="none" w:sz="0" w:space="0" w:color="auto"/>
          </w:divBdr>
          <w:divsChild>
            <w:div w:id="309209159">
              <w:marLeft w:val="0"/>
              <w:marRight w:val="0"/>
              <w:marTop w:val="0"/>
              <w:marBottom w:val="0"/>
              <w:divBdr>
                <w:top w:val="none" w:sz="0" w:space="0" w:color="auto"/>
                <w:left w:val="none" w:sz="0" w:space="0" w:color="auto"/>
                <w:bottom w:val="none" w:sz="0" w:space="0" w:color="auto"/>
                <w:right w:val="none" w:sz="0" w:space="0" w:color="auto"/>
              </w:divBdr>
              <w:divsChild>
                <w:div w:id="605694529">
                  <w:marLeft w:val="0"/>
                  <w:marRight w:val="0"/>
                  <w:marTop w:val="0"/>
                  <w:marBottom w:val="0"/>
                  <w:divBdr>
                    <w:top w:val="none" w:sz="0" w:space="0" w:color="auto"/>
                    <w:left w:val="none" w:sz="0" w:space="0" w:color="auto"/>
                    <w:bottom w:val="none" w:sz="0" w:space="0" w:color="auto"/>
                    <w:right w:val="none" w:sz="0" w:space="0" w:color="auto"/>
                  </w:divBdr>
                  <w:divsChild>
                    <w:div w:id="1123842267">
                      <w:marLeft w:val="0"/>
                      <w:marRight w:val="0"/>
                      <w:marTop w:val="0"/>
                      <w:marBottom w:val="0"/>
                      <w:divBdr>
                        <w:top w:val="none" w:sz="0" w:space="0" w:color="auto"/>
                        <w:left w:val="none" w:sz="0" w:space="0" w:color="auto"/>
                        <w:bottom w:val="none" w:sz="0" w:space="0" w:color="auto"/>
                        <w:right w:val="none" w:sz="0" w:space="0" w:color="auto"/>
                      </w:divBdr>
                      <w:divsChild>
                        <w:div w:id="6098209">
                          <w:marLeft w:val="0"/>
                          <w:marRight w:val="0"/>
                          <w:marTop w:val="0"/>
                          <w:marBottom w:val="0"/>
                          <w:divBdr>
                            <w:top w:val="none" w:sz="0" w:space="0" w:color="auto"/>
                            <w:left w:val="none" w:sz="0" w:space="0" w:color="auto"/>
                            <w:bottom w:val="none" w:sz="0" w:space="0" w:color="auto"/>
                            <w:right w:val="none" w:sz="0" w:space="0" w:color="auto"/>
                          </w:divBdr>
                          <w:divsChild>
                            <w:div w:id="758520584">
                              <w:marLeft w:val="0"/>
                              <w:marRight w:val="0"/>
                              <w:marTop w:val="0"/>
                              <w:marBottom w:val="0"/>
                              <w:divBdr>
                                <w:top w:val="none" w:sz="0" w:space="0" w:color="auto"/>
                                <w:left w:val="none" w:sz="0" w:space="0" w:color="auto"/>
                                <w:bottom w:val="none" w:sz="0" w:space="0" w:color="auto"/>
                                <w:right w:val="none" w:sz="0" w:space="0" w:color="auto"/>
                              </w:divBdr>
                              <w:divsChild>
                                <w:div w:id="235827192">
                                  <w:marLeft w:val="0"/>
                                  <w:marRight w:val="0"/>
                                  <w:marTop w:val="0"/>
                                  <w:marBottom w:val="0"/>
                                  <w:divBdr>
                                    <w:top w:val="none" w:sz="0" w:space="0" w:color="auto"/>
                                    <w:left w:val="none" w:sz="0" w:space="0" w:color="auto"/>
                                    <w:bottom w:val="none" w:sz="0" w:space="0" w:color="auto"/>
                                    <w:right w:val="none" w:sz="0" w:space="0" w:color="auto"/>
                                  </w:divBdr>
                                  <w:divsChild>
                                    <w:div w:id="338895531">
                                      <w:marLeft w:val="0"/>
                                      <w:marRight w:val="0"/>
                                      <w:marTop w:val="0"/>
                                      <w:marBottom w:val="0"/>
                                      <w:divBdr>
                                        <w:top w:val="none" w:sz="0" w:space="0" w:color="auto"/>
                                        <w:left w:val="none" w:sz="0" w:space="0" w:color="auto"/>
                                        <w:bottom w:val="none" w:sz="0" w:space="0" w:color="auto"/>
                                        <w:right w:val="none" w:sz="0" w:space="0" w:color="auto"/>
                                      </w:divBdr>
                                      <w:divsChild>
                                        <w:div w:id="1778788986">
                                          <w:marLeft w:val="0"/>
                                          <w:marRight w:val="0"/>
                                          <w:marTop w:val="0"/>
                                          <w:marBottom w:val="0"/>
                                          <w:divBdr>
                                            <w:top w:val="none" w:sz="0" w:space="0" w:color="auto"/>
                                            <w:left w:val="none" w:sz="0" w:space="0" w:color="auto"/>
                                            <w:bottom w:val="none" w:sz="0" w:space="0" w:color="auto"/>
                                            <w:right w:val="none" w:sz="0" w:space="0" w:color="auto"/>
                                          </w:divBdr>
                                          <w:divsChild>
                                            <w:div w:id="173172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3680397">
          <w:marLeft w:val="0"/>
          <w:marRight w:val="0"/>
          <w:marTop w:val="0"/>
          <w:marBottom w:val="0"/>
          <w:divBdr>
            <w:top w:val="none" w:sz="0" w:space="0" w:color="auto"/>
            <w:left w:val="none" w:sz="0" w:space="0" w:color="auto"/>
            <w:bottom w:val="none" w:sz="0" w:space="0" w:color="auto"/>
            <w:right w:val="none" w:sz="0" w:space="0" w:color="auto"/>
          </w:divBdr>
          <w:divsChild>
            <w:div w:id="522400270">
              <w:marLeft w:val="0"/>
              <w:marRight w:val="0"/>
              <w:marTop w:val="0"/>
              <w:marBottom w:val="0"/>
              <w:divBdr>
                <w:top w:val="none" w:sz="0" w:space="0" w:color="auto"/>
                <w:left w:val="none" w:sz="0" w:space="0" w:color="auto"/>
                <w:bottom w:val="none" w:sz="0" w:space="0" w:color="auto"/>
                <w:right w:val="none" w:sz="0" w:space="0" w:color="auto"/>
              </w:divBdr>
              <w:divsChild>
                <w:div w:id="768238299">
                  <w:marLeft w:val="0"/>
                  <w:marRight w:val="0"/>
                  <w:marTop w:val="0"/>
                  <w:marBottom w:val="0"/>
                  <w:divBdr>
                    <w:top w:val="none" w:sz="0" w:space="0" w:color="auto"/>
                    <w:left w:val="none" w:sz="0" w:space="0" w:color="auto"/>
                    <w:bottom w:val="none" w:sz="0" w:space="0" w:color="auto"/>
                    <w:right w:val="none" w:sz="0" w:space="0" w:color="auto"/>
                  </w:divBdr>
                  <w:divsChild>
                    <w:div w:id="633172097">
                      <w:marLeft w:val="0"/>
                      <w:marRight w:val="0"/>
                      <w:marTop w:val="0"/>
                      <w:marBottom w:val="0"/>
                      <w:divBdr>
                        <w:top w:val="none" w:sz="0" w:space="0" w:color="auto"/>
                        <w:left w:val="none" w:sz="0" w:space="0" w:color="auto"/>
                        <w:bottom w:val="none" w:sz="0" w:space="0" w:color="auto"/>
                        <w:right w:val="none" w:sz="0" w:space="0" w:color="auto"/>
                      </w:divBdr>
                      <w:divsChild>
                        <w:div w:id="916205322">
                          <w:marLeft w:val="0"/>
                          <w:marRight w:val="0"/>
                          <w:marTop w:val="0"/>
                          <w:marBottom w:val="0"/>
                          <w:divBdr>
                            <w:top w:val="none" w:sz="0" w:space="0" w:color="auto"/>
                            <w:left w:val="none" w:sz="0" w:space="0" w:color="auto"/>
                            <w:bottom w:val="none" w:sz="0" w:space="0" w:color="auto"/>
                            <w:right w:val="none" w:sz="0" w:space="0" w:color="auto"/>
                          </w:divBdr>
                          <w:divsChild>
                            <w:div w:id="1072847366">
                              <w:marLeft w:val="0"/>
                              <w:marRight w:val="0"/>
                              <w:marTop w:val="0"/>
                              <w:marBottom w:val="0"/>
                              <w:divBdr>
                                <w:top w:val="none" w:sz="0" w:space="0" w:color="auto"/>
                                <w:left w:val="none" w:sz="0" w:space="0" w:color="auto"/>
                                <w:bottom w:val="none" w:sz="0" w:space="0" w:color="auto"/>
                                <w:right w:val="none" w:sz="0" w:space="0" w:color="auto"/>
                              </w:divBdr>
                              <w:divsChild>
                                <w:div w:id="1049694064">
                                  <w:marLeft w:val="0"/>
                                  <w:marRight w:val="0"/>
                                  <w:marTop w:val="0"/>
                                  <w:marBottom w:val="0"/>
                                  <w:divBdr>
                                    <w:top w:val="none" w:sz="0" w:space="0" w:color="auto"/>
                                    <w:left w:val="none" w:sz="0" w:space="0" w:color="auto"/>
                                    <w:bottom w:val="none" w:sz="0" w:space="0" w:color="auto"/>
                                    <w:right w:val="none" w:sz="0" w:space="0" w:color="auto"/>
                                  </w:divBdr>
                                  <w:divsChild>
                                    <w:div w:id="1793982909">
                                      <w:marLeft w:val="0"/>
                                      <w:marRight w:val="0"/>
                                      <w:marTop w:val="0"/>
                                      <w:marBottom w:val="0"/>
                                      <w:divBdr>
                                        <w:top w:val="none" w:sz="0" w:space="0" w:color="auto"/>
                                        <w:left w:val="none" w:sz="0" w:space="0" w:color="auto"/>
                                        <w:bottom w:val="none" w:sz="0" w:space="0" w:color="auto"/>
                                        <w:right w:val="none" w:sz="0" w:space="0" w:color="auto"/>
                                      </w:divBdr>
                                      <w:divsChild>
                                        <w:div w:id="1215116554">
                                          <w:marLeft w:val="0"/>
                                          <w:marRight w:val="0"/>
                                          <w:marTop w:val="0"/>
                                          <w:marBottom w:val="0"/>
                                          <w:divBdr>
                                            <w:top w:val="none" w:sz="0" w:space="0" w:color="auto"/>
                                            <w:left w:val="none" w:sz="0" w:space="0" w:color="auto"/>
                                            <w:bottom w:val="none" w:sz="0" w:space="0" w:color="auto"/>
                                            <w:right w:val="none" w:sz="0" w:space="0" w:color="auto"/>
                                          </w:divBdr>
                                          <w:divsChild>
                                            <w:div w:id="1727602098">
                                              <w:marLeft w:val="0"/>
                                              <w:marRight w:val="0"/>
                                              <w:marTop w:val="0"/>
                                              <w:marBottom w:val="0"/>
                                              <w:divBdr>
                                                <w:top w:val="none" w:sz="0" w:space="0" w:color="auto"/>
                                                <w:left w:val="none" w:sz="0" w:space="0" w:color="auto"/>
                                                <w:bottom w:val="none" w:sz="0" w:space="0" w:color="auto"/>
                                                <w:right w:val="none" w:sz="0" w:space="0" w:color="auto"/>
                                              </w:divBdr>
                                              <w:divsChild>
                                                <w:div w:id="1106265676">
                                                  <w:marLeft w:val="0"/>
                                                  <w:marRight w:val="0"/>
                                                  <w:marTop w:val="0"/>
                                                  <w:marBottom w:val="0"/>
                                                  <w:divBdr>
                                                    <w:top w:val="none" w:sz="0" w:space="0" w:color="auto"/>
                                                    <w:left w:val="none" w:sz="0" w:space="0" w:color="auto"/>
                                                    <w:bottom w:val="none" w:sz="0" w:space="0" w:color="auto"/>
                                                    <w:right w:val="none" w:sz="0" w:space="0" w:color="auto"/>
                                                  </w:divBdr>
                                                  <w:divsChild>
                                                    <w:div w:id="227808799">
                                                      <w:marLeft w:val="0"/>
                                                      <w:marRight w:val="0"/>
                                                      <w:marTop w:val="0"/>
                                                      <w:marBottom w:val="0"/>
                                                      <w:divBdr>
                                                        <w:top w:val="none" w:sz="0" w:space="0" w:color="auto"/>
                                                        <w:left w:val="none" w:sz="0" w:space="0" w:color="auto"/>
                                                        <w:bottom w:val="none" w:sz="0" w:space="0" w:color="auto"/>
                                                        <w:right w:val="none" w:sz="0" w:space="0" w:color="auto"/>
                                                      </w:divBdr>
                                                      <w:divsChild>
                                                        <w:div w:id="513150927">
                                                          <w:marLeft w:val="0"/>
                                                          <w:marRight w:val="0"/>
                                                          <w:marTop w:val="0"/>
                                                          <w:marBottom w:val="0"/>
                                                          <w:divBdr>
                                                            <w:top w:val="none" w:sz="0" w:space="0" w:color="auto"/>
                                                            <w:left w:val="none" w:sz="0" w:space="0" w:color="auto"/>
                                                            <w:bottom w:val="none" w:sz="0" w:space="0" w:color="auto"/>
                                                            <w:right w:val="none" w:sz="0" w:space="0" w:color="auto"/>
                                                          </w:divBdr>
                                                          <w:divsChild>
                                                            <w:div w:id="673797520">
                                                              <w:marLeft w:val="0"/>
                                                              <w:marRight w:val="0"/>
                                                              <w:marTop w:val="0"/>
                                                              <w:marBottom w:val="0"/>
                                                              <w:divBdr>
                                                                <w:top w:val="none" w:sz="0" w:space="0" w:color="auto"/>
                                                                <w:left w:val="none" w:sz="0" w:space="0" w:color="auto"/>
                                                                <w:bottom w:val="none" w:sz="0" w:space="0" w:color="auto"/>
                                                                <w:right w:val="none" w:sz="0" w:space="0" w:color="auto"/>
                                                              </w:divBdr>
                                                              <w:divsChild>
                                                                <w:div w:id="214046771">
                                                                  <w:marLeft w:val="0"/>
                                                                  <w:marRight w:val="0"/>
                                                                  <w:marTop w:val="0"/>
                                                                  <w:marBottom w:val="0"/>
                                                                  <w:divBdr>
                                                                    <w:top w:val="none" w:sz="0" w:space="0" w:color="auto"/>
                                                                    <w:left w:val="none" w:sz="0" w:space="0" w:color="auto"/>
                                                                    <w:bottom w:val="none" w:sz="0" w:space="0" w:color="auto"/>
                                                                    <w:right w:val="none" w:sz="0" w:space="0" w:color="auto"/>
                                                                  </w:divBdr>
                                                                  <w:divsChild>
                                                                    <w:div w:id="2052265779">
                                                                      <w:marLeft w:val="0"/>
                                                                      <w:marRight w:val="0"/>
                                                                      <w:marTop w:val="0"/>
                                                                      <w:marBottom w:val="0"/>
                                                                      <w:divBdr>
                                                                        <w:top w:val="none" w:sz="0" w:space="0" w:color="auto"/>
                                                                        <w:left w:val="none" w:sz="0" w:space="0" w:color="auto"/>
                                                                        <w:bottom w:val="none" w:sz="0" w:space="0" w:color="auto"/>
                                                                        <w:right w:val="none" w:sz="0" w:space="0" w:color="auto"/>
                                                                      </w:divBdr>
                                                                      <w:divsChild>
                                                                        <w:div w:id="59286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18410">
                                                                  <w:marLeft w:val="0"/>
                                                                  <w:marRight w:val="0"/>
                                                                  <w:marTop w:val="0"/>
                                                                  <w:marBottom w:val="0"/>
                                                                  <w:divBdr>
                                                                    <w:top w:val="none" w:sz="0" w:space="0" w:color="auto"/>
                                                                    <w:left w:val="none" w:sz="0" w:space="0" w:color="auto"/>
                                                                    <w:bottom w:val="none" w:sz="0" w:space="0" w:color="auto"/>
                                                                    <w:right w:val="none" w:sz="0" w:space="0" w:color="auto"/>
                                                                  </w:divBdr>
                                                                  <w:divsChild>
                                                                    <w:div w:id="22025895">
                                                                      <w:marLeft w:val="0"/>
                                                                      <w:marRight w:val="0"/>
                                                                      <w:marTop w:val="0"/>
                                                                      <w:marBottom w:val="0"/>
                                                                      <w:divBdr>
                                                                        <w:top w:val="none" w:sz="0" w:space="0" w:color="auto"/>
                                                                        <w:left w:val="none" w:sz="0" w:space="0" w:color="auto"/>
                                                                        <w:bottom w:val="none" w:sz="0" w:space="0" w:color="auto"/>
                                                                        <w:right w:val="none" w:sz="0" w:space="0" w:color="auto"/>
                                                                      </w:divBdr>
                                                                      <w:divsChild>
                                                                        <w:div w:id="202166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9985042">
      <w:bodyDiv w:val="1"/>
      <w:marLeft w:val="0"/>
      <w:marRight w:val="0"/>
      <w:marTop w:val="0"/>
      <w:marBottom w:val="0"/>
      <w:divBdr>
        <w:top w:val="none" w:sz="0" w:space="0" w:color="auto"/>
        <w:left w:val="none" w:sz="0" w:space="0" w:color="auto"/>
        <w:bottom w:val="none" w:sz="0" w:space="0" w:color="auto"/>
        <w:right w:val="none" w:sz="0" w:space="0" w:color="auto"/>
      </w:divBdr>
    </w:div>
    <w:div w:id="698700502">
      <w:bodyDiv w:val="1"/>
      <w:marLeft w:val="0"/>
      <w:marRight w:val="0"/>
      <w:marTop w:val="0"/>
      <w:marBottom w:val="0"/>
      <w:divBdr>
        <w:top w:val="none" w:sz="0" w:space="0" w:color="auto"/>
        <w:left w:val="none" w:sz="0" w:space="0" w:color="auto"/>
        <w:bottom w:val="none" w:sz="0" w:space="0" w:color="auto"/>
        <w:right w:val="none" w:sz="0" w:space="0" w:color="auto"/>
      </w:divBdr>
      <w:divsChild>
        <w:div w:id="1952936710">
          <w:marLeft w:val="0"/>
          <w:marRight w:val="0"/>
          <w:marTop w:val="0"/>
          <w:marBottom w:val="0"/>
          <w:divBdr>
            <w:top w:val="none" w:sz="0" w:space="0" w:color="auto"/>
            <w:left w:val="none" w:sz="0" w:space="0" w:color="auto"/>
            <w:bottom w:val="none" w:sz="0" w:space="0" w:color="auto"/>
            <w:right w:val="none" w:sz="0" w:space="0" w:color="auto"/>
          </w:divBdr>
          <w:divsChild>
            <w:div w:id="1902402169">
              <w:marLeft w:val="0"/>
              <w:marRight w:val="0"/>
              <w:marTop w:val="0"/>
              <w:marBottom w:val="0"/>
              <w:divBdr>
                <w:top w:val="none" w:sz="0" w:space="0" w:color="auto"/>
                <w:left w:val="none" w:sz="0" w:space="0" w:color="auto"/>
                <w:bottom w:val="none" w:sz="0" w:space="0" w:color="auto"/>
                <w:right w:val="none" w:sz="0" w:space="0" w:color="auto"/>
              </w:divBdr>
              <w:divsChild>
                <w:div w:id="1582569176">
                  <w:marLeft w:val="0"/>
                  <w:marRight w:val="0"/>
                  <w:marTop w:val="0"/>
                  <w:marBottom w:val="0"/>
                  <w:divBdr>
                    <w:top w:val="none" w:sz="0" w:space="0" w:color="auto"/>
                    <w:left w:val="none" w:sz="0" w:space="0" w:color="auto"/>
                    <w:bottom w:val="none" w:sz="0" w:space="0" w:color="auto"/>
                    <w:right w:val="none" w:sz="0" w:space="0" w:color="auto"/>
                  </w:divBdr>
                  <w:divsChild>
                    <w:div w:id="356778206">
                      <w:marLeft w:val="0"/>
                      <w:marRight w:val="0"/>
                      <w:marTop w:val="0"/>
                      <w:marBottom w:val="0"/>
                      <w:divBdr>
                        <w:top w:val="none" w:sz="0" w:space="0" w:color="auto"/>
                        <w:left w:val="none" w:sz="0" w:space="0" w:color="auto"/>
                        <w:bottom w:val="none" w:sz="0" w:space="0" w:color="auto"/>
                        <w:right w:val="none" w:sz="0" w:space="0" w:color="auto"/>
                      </w:divBdr>
                      <w:divsChild>
                        <w:div w:id="1419450530">
                          <w:marLeft w:val="0"/>
                          <w:marRight w:val="0"/>
                          <w:marTop w:val="0"/>
                          <w:marBottom w:val="0"/>
                          <w:divBdr>
                            <w:top w:val="none" w:sz="0" w:space="0" w:color="auto"/>
                            <w:left w:val="none" w:sz="0" w:space="0" w:color="auto"/>
                            <w:bottom w:val="none" w:sz="0" w:space="0" w:color="auto"/>
                            <w:right w:val="none" w:sz="0" w:space="0" w:color="auto"/>
                          </w:divBdr>
                          <w:divsChild>
                            <w:div w:id="331376586">
                              <w:marLeft w:val="0"/>
                              <w:marRight w:val="0"/>
                              <w:marTop w:val="0"/>
                              <w:marBottom w:val="0"/>
                              <w:divBdr>
                                <w:top w:val="none" w:sz="0" w:space="0" w:color="auto"/>
                                <w:left w:val="none" w:sz="0" w:space="0" w:color="auto"/>
                                <w:bottom w:val="none" w:sz="0" w:space="0" w:color="auto"/>
                                <w:right w:val="none" w:sz="0" w:space="0" w:color="auto"/>
                              </w:divBdr>
                              <w:divsChild>
                                <w:div w:id="1804155071">
                                  <w:marLeft w:val="0"/>
                                  <w:marRight w:val="0"/>
                                  <w:marTop w:val="0"/>
                                  <w:marBottom w:val="0"/>
                                  <w:divBdr>
                                    <w:top w:val="none" w:sz="0" w:space="0" w:color="auto"/>
                                    <w:left w:val="none" w:sz="0" w:space="0" w:color="auto"/>
                                    <w:bottom w:val="none" w:sz="0" w:space="0" w:color="auto"/>
                                    <w:right w:val="none" w:sz="0" w:space="0" w:color="auto"/>
                                  </w:divBdr>
                                  <w:divsChild>
                                    <w:div w:id="1146507392">
                                      <w:marLeft w:val="0"/>
                                      <w:marRight w:val="0"/>
                                      <w:marTop w:val="0"/>
                                      <w:marBottom w:val="0"/>
                                      <w:divBdr>
                                        <w:top w:val="none" w:sz="0" w:space="0" w:color="auto"/>
                                        <w:left w:val="none" w:sz="0" w:space="0" w:color="auto"/>
                                        <w:bottom w:val="none" w:sz="0" w:space="0" w:color="auto"/>
                                        <w:right w:val="none" w:sz="0" w:space="0" w:color="auto"/>
                                      </w:divBdr>
                                      <w:divsChild>
                                        <w:div w:id="1136215457">
                                          <w:marLeft w:val="0"/>
                                          <w:marRight w:val="0"/>
                                          <w:marTop w:val="0"/>
                                          <w:marBottom w:val="0"/>
                                          <w:divBdr>
                                            <w:top w:val="none" w:sz="0" w:space="0" w:color="auto"/>
                                            <w:left w:val="none" w:sz="0" w:space="0" w:color="auto"/>
                                            <w:bottom w:val="none" w:sz="0" w:space="0" w:color="auto"/>
                                            <w:right w:val="none" w:sz="0" w:space="0" w:color="auto"/>
                                          </w:divBdr>
                                          <w:divsChild>
                                            <w:div w:id="800149304">
                                              <w:marLeft w:val="0"/>
                                              <w:marRight w:val="0"/>
                                              <w:marTop w:val="0"/>
                                              <w:marBottom w:val="0"/>
                                              <w:divBdr>
                                                <w:top w:val="none" w:sz="0" w:space="0" w:color="auto"/>
                                                <w:left w:val="none" w:sz="0" w:space="0" w:color="auto"/>
                                                <w:bottom w:val="none" w:sz="0" w:space="0" w:color="auto"/>
                                                <w:right w:val="none" w:sz="0" w:space="0" w:color="auto"/>
                                              </w:divBdr>
                                              <w:divsChild>
                                                <w:div w:id="169105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77471">
          <w:marLeft w:val="0"/>
          <w:marRight w:val="0"/>
          <w:marTop w:val="0"/>
          <w:marBottom w:val="0"/>
          <w:divBdr>
            <w:top w:val="none" w:sz="0" w:space="0" w:color="auto"/>
            <w:left w:val="none" w:sz="0" w:space="0" w:color="auto"/>
            <w:bottom w:val="none" w:sz="0" w:space="0" w:color="auto"/>
            <w:right w:val="none" w:sz="0" w:space="0" w:color="auto"/>
          </w:divBdr>
          <w:divsChild>
            <w:div w:id="1375544483">
              <w:marLeft w:val="0"/>
              <w:marRight w:val="0"/>
              <w:marTop w:val="0"/>
              <w:marBottom w:val="0"/>
              <w:divBdr>
                <w:top w:val="none" w:sz="0" w:space="0" w:color="auto"/>
                <w:left w:val="none" w:sz="0" w:space="0" w:color="auto"/>
                <w:bottom w:val="none" w:sz="0" w:space="0" w:color="auto"/>
                <w:right w:val="none" w:sz="0" w:space="0" w:color="auto"/>
              </w:divBdr>
              <w:divsChild>
                <w:div w:id="1864857484">
                  <w:marLeft w:val="0"/>
                  <w:marRight w:val="0"/>
                  <w:marTop w:val="0"/>
                  <w:marBottom w:val="0"/>
                  <w:divBdr>
                    <w:top w:val="none" w:sz="0" w:space="0" w:color="auto"/>
                    <w:left w:val="none" w:sz="0" w:space="0" w:color="auto"/>
                    <w:bottom w:val="none" w:sz="0" w:space="0" w:color="auto"/>
                    <w:right w:val="none" w:sz="0" w:space="0" w:color="auto"/>
                  </w:divBdr>
                  <w:divsChild>
                    <w:div w:id="2136024016">
                      <w:marLeft w:val="0"/>
                      <w:marRight w:val="0"/>
                      <w:marTop w:val="0"/>
                      <w:marBottom w:val="0"/>
                      <w:divBdr>
                        <w:top w:val="none" w:sz="0" w:space="0" w:color="auto"/>
                        <w:left w:val="none" w:sz="0" w:space="0" w:color="auto"/>
                        <w:bottom w:val="none" w:sz="0" w:space="0" w:color="auto"/>
                        <w:right w:val="none" w:sz="0" w:space="0" w:color="auto"/>
                      </w:divBdr>
                      <w:divsChild>
                        <w:div w:id="1275746070">
                          <w:marLeft w:val="0"/>
                          <w:marRight w:val="0"/>
                          <w:marTop w:val="0"/>
                          <w:marBottom w:val="0"/>
                          <w:divBdr>
                            <w:top w:val="none" w:sz="0" w:space="0" w:color="auto"/>
                            <w:left w:val="none" w:sz="0" w:space="0" w:color="auto"/>
                            <w:bottom w:val="none" w:sz="0" w:space="0" w:color="auto"/>
                            <w:right w:val="none" w:sz="0" w:space="0" w:color="auto"/>
                          </w:divBdr>
                          <w:divsChild>
                            <w:div w:id="155465093">
                              <w:marLeft w:val="0"/>
                              <w:marRight w:val="0"/>
                              <w:marTop w:val="0"/>
                              <w:marBottom w:val="0"/>
                              <w:divBdr>
                                <w:top w:val="none" w:sz="0" w:space="0" w:color="auto"/>
                                <w:left w:val="none" w:sz="0" w:space="0" w:color="auto"/>
                                <w:bottom w:val="none" w:sz="0" w:space="0" w:color="auto"/>
                                <w:right w:val="none" w:sz="0" w:space="0" w:color="auto"/>
                              </w:divBdr>
                              <w:divsChild>
                                <w:div w:id="1873613695">
                                  <w:marLeft w:val="0"/>
                                  <w:marRight w:val="0"/>
                                  <w:marTop w:val="0"/>
                                  <w:marBottom w:val="0"/>
                                  <w:divBdr>
                                    <w:top w:val="none" w:sz="0" w:space="0" w:color="auto"/>
                                    <w:left w:val="none" w:sz="0" w:space="0" w:color="auto"/>
                                    <w:bottom w:val="none" w:sz="0" w:space="0" w:color="auto"/>
                                    <w:right w:val="none" w:sz="0" w:space="0" w:color="auto"/>
                                  </w:divBdr>
                                  <w:divsChild>
                                    <w:div w:id="1563057558">
                                      <w:marLeft w:val="0"/>
                                      <w:marRight w:val="0"/>
                                      <w:marTop w:val="0"/>
                                      <w:marBottom w:val="0"/>
                                      <w:divBdr>
                                        <w:top w:val="none" w:sz="0" w:space="0" w:color="auto"/>
                                        <w:left w:val="none" w:sz="0" w:space="0" w:color="auto"/>
                                        <w:bottom w:val="none" w:sz="0" w:space="0" w:color="auto"/>
                                        <w:right w:val="none" w:sz="0" w:space="0" w:color="auto"/>
                                      </w:divBdr>
                                      <w:divsChild>
                                        <w:div w:id="864253299">
                                          <w:marLeft w:val="0"/>
                                          <w:marRight w:val="0"/>
                                          <w:marTop w:val="0"/>
                                          <w:marBottom w:val="0"/>
                                          <w:divBdr>
                                            <w:top w:val="none" w:sz="0" w:space="0" w:color="auto"/>
                                            <w:left w:val="none" w:sz="0" w:space="0" w:color="auto"/>
                                            <w:bottom w:val="none" w:sz="0" w:space="0" w:color="auto"/>
                                            <w:right w:val="none" w:sz="0" w:space="0" w:color="auto"/>
                                          </w:divBdr>
                                          <w:divsChild>
                                            <w:div w:id="1220702794">
                                              <w:marLeft w:val="0"/>
                                              <w:marRight w:val="0"/>
                                              <w:marTop w:val="0"/>
                                              <w:marBottom w:val="0"/>
                                              <w:divBdr>
                                                <w:top w:val="none" w:sz="0" w:space="0" w:color="auto"/>
                                                <w:left w:val="none" w:sz="0" w:space="0" w:color="auto"/>
                                                <w:bottom w:val="none" w:sz="0" w:space="0" w:color="auto"/>
                                                <w:right w:val="none" w:sz="0" w:space="0" w:color="auto"/>
                                              </w:divBdr>
                                              <w:divsChild>
                                                <w:div w:id="1079064295">
                                                  <w:marLeft w:val="0"/>
                                                  <w:marRight w:val="0"/>
                                                  <w:marTop w:val="0"/>
                                                  <w:marBottom w:val="0"/>
                                                  <w:divBdr>
                                                    <w:top w:val="none" w:sz="0" w:space="0" w:color="auto"/>
                                                    <w:left w:val="none" w:sz="0" w:space="0" w:color="auto"/>
                                                    <w:bottom w:val="none" w:sz="0" w:space="0" w:color="auto"/>
                                                    <w:right w:val="none" w:sz="0" w:space="0" w:color="auto"/>
                                                  </w:divBdr>
                                                  <w:divsChild>
                                                    <w:div w:id="307517851">
                                                      <w:marLeft w:val="0"/>
                                                      <w:marRight w:val="0"/>
                                                      <w:marTop w:val="0"/>
                                                      <w:marBottom w:val="0"/>
                                                      <w:divBdr>
                                                        <w:top w:val="none" w:sz="0" w:space="0" w:color="auto"/>
                                                        <w:left w:val="none" w:sz="0" w:space="0" w:color="auto"/>
                                                        <w:bottom w:val="none" w:sz="0" w:space="0" w:color="auto"/>
                                                        <w:right w:val="none" w:sz="0" w:space="0" w:color="auto"/>
                                                      </w:divBdr>
                                                      <w:divsChild>
                                                        <w:div w:id="653026408">
                                                          <w:marLeft w:val="0"/>
                                                          <w:marRight w:val="0"/>
                                                          <w:marTop w:val="0"/>
                                                          <w:marBottom w:val="0"/>
                                                          <w:divBdr>
                                                            <w:top w:val="none" w:sz="0" w:space="0" w:color="auto"/>
                                                            <w:left w:val="none" w:sz="0" w:space="0" w:color="auto"/>
                                                            <w:bottom w:val="none" w:sz="0" w:space="0" w:color="auto"/>
                                                            <w:right w:val="none" w:sz="0" w:space="0" w:color="auto"/>
                                                          </w:divBdr>
                                                          <w:divsChild>
                                                            <w:div w:id="425276180">
                                                              <w:marLeft w:val="0"/>
                                                              <w:marRight w:val="0"/>
                                                              <w:marTop w:val="0"/>
                                                              <w:marBottom w:val="0"/>
                                                              <w:divBdr>
                                                                <w:top w:val="none" w:sz="0" w:space="0" w:color="auto"/>
                                                                <w:left w:val="none" w:sz="0" w:space="0" w:color="auto"/>
                                                                <w:bottom w:val="none" w:sz="0" w:space="0" w:color="auto"/>
                                                                <w:right w:val="none" w:sz="0" w:space="0" w:color="auto"/>
                                                              </w:divBdr>
                                                              <w:divsChild>
                                                                <w:div w:id="148789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49168457">
      <w:bodyDiv w:val="1"/>
      <w:marLeft w:val="0"/>
      <w:marRight w:val="0"/>
      <w:marTop w:val="0"/>
      <w:marBottom w:val="0"/>
      <w:divBdr>
        <w:top w:val="none" w:sz="0" w:space="0" w:color="auto"/>
        <w:left w:val="none" w:sz="0" w:space="0" w:color="auto"/>
        <w:bottom w:val="none" w:sz="0" w:space="0" w:color="auto"/>
        <w:right w:val="none" w:sz="0" w:space="0" w:color="auto"/>
      </w:divBdr>
    </w:div>
    <w:div w:id="1092700367">
      <w:bodyDiv w:val="1"/>
      <w:marLeft w:val="0"/>
      <w:marRight w:val="0"/>
      <w:marTop w:val="0"/>
      <w:marBottom w:val="0"/>
      <w:divBdr>
        <w:top w:val="none" w:sz="0" w:space="0" w:color="auto"/>
        <w:left w:val="none" w:sz="0" w:space="0" w:color="auto"/>
        <w:bottom w:val="none" w:sz="0" w:space="0" w:color="auto"/>
        <w:right w:val="none" w:sz="0" w:space="0" w:color="auto"/>
      </w:divBdr>
    </w:div>
    <w:div w:id="1131677330">
      <w:bodyDiv w:val="1"/>
      <w:marLeft w:val="0"/>
      <w:marRight w:val="0"/>
      <w:marTop w:val="0"/>
      <w:marBottom w:val="0"/>
      <w:divBdr>
        <w:top w:val="none" w:sz="0" w:space="0" w:color="auto"/>
        <w:left w:val="none" w:sz="0" w:space="0" w:color="auto"/>
        <w:bottom w:val="none" w:sz="0" w:space="0" w:color="auto"/>
        <w:right w:val="none" w:sz="0" w:space="0" w:color="auto"/>
      </w:divBdr>
    </w:div>
    <w:div w:id="1170175917">
      <w:bodyDiv w:val="1"/>
      <w:marLeft w:val="0"/>
      <w:marRight w:val="0"/>
      <w:marTop w:val="0"/>
      <w:marBottom w:val="0"/>
      <w:divBdr>
        <w:top w:val="none" w:sz="0" w:space="0" w:color="auto"/>
        <w:left w:val="none" w:sz="0" w:space="0" w:color="auto"/>
        <w:bottom w:val="none" w:sz="0" w:space="0" w:color="auto"/>
        <w:right w:val="none" w:sz="0" w:space="0" w:color="auto"/>
      </w:divBdr>
    </w:div>
    <w:div w:id="1317539423">
      <w:bodyDiv w:val="1"/>
      <w:marLeft w:val="0"/>
      <w:marRight w:val="0"/>
      <w:marTop w:val="0"/>
      <w:marBottom w:val="0"/>
      <w:divBdr>
        <w:top w:val="none" w:sz="0" w:space="0" w:color="auto"/>
        <w:left w:val="none" w:sz="0" w:space="0" w:color="auto"/>
        <w:bottom w:val="none" w:sz="0" w:space="0" w:color="auto"/>
        <w:right w:val="none" w:sz="0" w:space="0" w:color="auto"/>
      </w:divBdr>
    </w:div>
    <w:div w:id="1350792096">
      <w:bodyDiv w:val="1"/>
      <w:marLeft w:val="0"/>
      <w:marRight w:val="0"/>
      <w:marTop w:val="0"/>
      <w:marBottom w:val="0"/>
      <w:divBdr>
        <w:top w:val="none" w:sz="0" w:space="0" w:color="auto"/>
        <w:left w:val="none" w:sz="0" w:space="0" w:color="auto"/>
        <w:bottom w:val="none" w:sz="0" w:space="0" w:color="auto"/>
        <w:right w:val="none" w:sz="0" w:space="0" w:color="auto"/>
      </w:divBdr>
      <w:divsChild>
        <w:div w:id="284045691">
          <w:marLeft w:val="0"/>
          <w:marRight w:val="0"/>
          <w:marTop w:val="0"/>
          <w:marBottom w:val="0"/>
          <w:divBdr>
            <w:top w:val="none" w:sz="0" w:space="0" w:color="auto"/>
            <w:left w:val="none" w:sz="0" w:space="0" w:color="auto"/>
            <w:bottom w:val="none" w:sz="0" w:space="0" w:color="auto"/>
            <w:right w:val="none" w:sz="0" w:space="0" w:color="auto"/>
          </w:divBdr>
          <w:divsChild>
            <w:div w:id="1399477458">
              <w:marLeft w:val="0"/>
              <w:marRight w:val="0"/>
              <w:marTop w:val="0"/>
              <w:marBottom w:val="0"/>
              <w:divBdr>
                <w:top w:val="none" w:sz="0" w:space="0" w:color="auto"/>
                <w:left w:val="none" w:sz="0" w:space="0" w:color="auto"/>
                <w:bottom w:val="none" w:sz="0" w:space="0" w:color="auto"/>
                <w:right w:val="none" w:sz="0" w:space="0" w:color="auto"/>
              </w:divBdr>
              <w:divsChild>
                <w:div w:id="491876542">
                  <w:marLeft w:val="0"/>
                  <w:marRight w:val="0"/>
                  <w:marTop w:val="0"/>
                  <w:marBottom w:val="0"/>
                  <w:divBdr>
                    <w:top w:val="none" w:sz="0" w:space="0" w:color="auto"/>
                    <w:left w:val="none" w:sz="0" w:space="0" w:color="auto"/>
                    <w:bottom w:val="none" w:sz="0" w:space="0" w:color="auto"/>
                    <w:right w:val="none" w:sz="0" w:space="0" w:color="auto"/>
                  </w:divBdr>
                  <w:divsChild>
                    <w:div w:id="967975936">
                      <w:marLeft w:val="0"/>
                      <w:marRight w:val="0"/>
                      <w:marTop w:val="0"/>
                      <w:marBottom w:val="0"/>
                      <w:divBdr>
                        <w:top w:val="none" w:sz="0" w:space="0" w:color="auto"/>
                        <w:left w:val="none" w:sz="0" w:space="0" w:color="auto"/>
                        <w:bottom w:val="none" w:sz="0" w:space="0" w:color="auto"/>
                        <w:right w:val="none" w:sz="0" w:space="0" w:color="auto"/>
                      </w:divBdr>
                      <w:divsChild>
                        <w:div w:id="1383360441">
                          <w:marLeft w:val="0"/>
                          <w:marRight w:val="0"/>
                          <w:marTop w:val="0"/>
                          <w:marBottom w:val="0"/>
                          <w:divBdr>
                            <w:top w:val="none" w:sz="0" w:space="0" w:color="auto"/>
                            <w:left w:val="none" w:sz="0" w:space="0" w:color="auto"/>
                            <w:bottom w:val="none" w:sz="0" w:space="0" w:color="auto"/>
                            <w:right w:val="none" w:sz="0" w:space="0" w:color="auto"/>
                          </w:divBdr>
                          <w:divsChild>
                            <w:div w:id="337512017">
                              <w:marLeft w:val="0"/>
                              <w:marRight w:val="0"/>
                              <w:marTop w:val="0"/>
                              <w:marBottom w:val="0"/>
                              <w:divBdr>
                                <w:top w:val="none" w:sz="0" w:space="0" w:color="auto"/>
                                <w:left w:val="none" w:sz="0" w:space="0" w:color="auto"/>
                                <w:bottom w:val="none" w:sz="0" w:space="0" w:color="auto"/>
                                <w:right w:val="none" w:sz="0" w:space="0" w:color="auto"/>
                              </w:divBdr>
                              <w:divsChild>
                                <w:div w:id="1093817093">
                                  <w:marLeft w:val="0"/>
                                  <w:marRight w:val="0"/>
                                  <w:marTop w:val="0"/>
                                  <w:marBottom w:val="0"/>
                                  <w:divBdr>
                                    <w:top w:val="none" w:sz="0" w:space="0" w:color="auto"/>
                                    <w:left w:val="none" w:sz="0" w:space="0" w:color="auto"/>
                                    <w:bottom w:val="none" w:sz="0" w:space="0" w:color="auto"/>
                                    <w:right w:val="none" w:sz="0" w:space="0" w:color="auto"/>
                                  </w:divBdr>
                                  <w:divsChild>
                                    <w:div w:id="733431191">
                                      <w:marLeft w:val="0"/>
                                      <w:marRight w:val="0"/>
                                      <w:marTop w:val="0"/>
                                      <w:marBottom w:val="0"/>
                                      <w:divBdr>
                                        <w:top w:val="none" w:sz="0" w:space="0" w:color="auto"/>
                                        <w:left w:val="none" w:sz="0" w:space="0" w:color="auto"/>
                                        <w:bottom w:val="none" w:sz="0" w:space="0" w:color="auto"/>
                                        <w:right w:val="none" w:sz="0" w:space="0" w:color="auto"/>
                                      </w:divBdr>
                                      <w:divsChild>
                                        <w:div w:id="112708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2334228">
      <w:bodyDiv w:val="1"/>
      <w:marLeft w:val="0"/>
      <w:marRight w:val="0"/>
      <w:marTop w:val="0"/>
      <w:marBottom w:val="0"/>
      <w:divBdr>
        <w:top w:val="none" w:sz="0" w:space="0" w:color="auto"/>
        <w:left w:val="none" w:sz="0" w:space="0" w:color="auto"/>
        <w:bottom w:val="none" w:sz="0" w:space="0" w:color="auto"/>
        <w:right w:val="none" w:sz="0" w:space="0" w:color="auto"/>
      </w:divBdr>
    </w:div>
    <w:div w:id="1465275640">
      <w:bodyDiv w:val="1"/>
      <w:marLeft w:val="0"/>
      <w:marRight w:val="0"/>
      <w:marTop w:val="0"/>
      <w:marBottom w:val="0"/>
      <w:divBdr>
        <w:top w:val="none" w:sz="0" w:space="0" w:color="auto"/>
        <w:left w:val="none" w:sz="0" w:space="0" w:color="auto"/>
        <w:bottom w:val="none" w:sz="0" w:space="0" w:color="auto"/>
        <w:right w:val="none" w:sz="0" w:space="0" w:color="auto"/>
      </w:divBdr>
    </w:div>
    <w:div w:id="1499226760">
      <w:bodyDiv w:val="1"/>
      <w:marLeft w:val="0"/>
      <w:marRight w:val="0"/>
      <w:marTop w:val="0"/>
      <w:marBottom w:val="0"/>
      <w:divBdr>
        <w:top w:val="none" w:sz="0" w:space="0" w:color="auto"/>
        <w:left w:val="none" w:sz="0" w:space="0" w:color="auto"/>
        <w:bottom w:val="none" w:sz="0" w:space="0" w:color="auto"/>
        <w:right w:val="none" w:sz="0" w:space="0" w:color="auto"/>
      </w:divBdr>
    </w:div>
    <w:div w:id="1563101031">
      <w:bodyDiv w:val="1"/>
      <w:marLeft w:val="0"/>
      <w:marRight w:val="0"/>
      <w:marTop w:val="0"/>
      <w:marBottom w:val="0"/>
      <w:divBdr>
        <w:top w:val="none" w:sz="0" w:space="0" w:color="auto"/>
        <w:left w:val="none" w:sz="0" w:space="0" w:color="auto"/>
        <w:bottom w:val="none" w:sz="0" w:space="0" w:color="auto"/>
        <w:right w:val="none" w:sz="0" w:space="0" w:color="auto"/>
      </w:divBdr>
    </w:div>
    <w:div w:id="1681547649">
      <w:bodyDiv w:val="1"/>
      <w:marLeft w:val="0"/>
      <w:marRight w:val="0"/>
      <w:marTop w:val="0"/>
      <w:marBottom w:val="0"/>
      <w:divBdr>
        <w:top w:val="none" w:sz="0" w:space="0" w:color="auto"/>
        <w:left w:val="none" w:sz="0" w:space="0" w:color="auto"/>
        <w:bottom w:val="none" w:sz="0" w:space="0" w:color="auto"/>
        <w:right w:val="none" w:sz="0" w:space="0" w:color="auto"/>
      </w:divBdr>
    </w:div>
    <w:div w:id="1773817970">
      <w:bodyDiv w:val="1"/>
      <w:marLeft w:val="0"/>
      <w:marRight w:val="0"/>
      <w:marTop w:val="0"/>
      <w:marBottom w:val="0"/>
      <w:divBdr>
        <w:top w:val="none" w:sz="0" w:space="0" w:color="auto"/>
        <w:left w:val="none" w:sz="0" w:space="0" w:color="auto"/>
        <w:bottom w:val="none" w:sz="0" w:space="0" w:color="auto"/>
        <w:right w:val="none" w:sz="0" w:space="0" w:color="auto"/>
      </w:divBdr>
    </w:div>
    <w:div w:id="1796633595">
      <w:bodyDiv w:val="1"/>
      <w:marLeft w:val="0"/>
      <w:marRight w:val="0"/>
      <w:marTop w:val="0"/>
      <w:marBottom w:val="0"/>
      <w:divBdr>
        <w:top w:val="none" w:sz="0" w:space="0" w:color="auto"/>
        <w:left w:val="none" w:sz="0" w:space="0" w:color="auto"/>
        <w:bottom w:val="none" w:sz="0" w:space="0" w:color="auto"/>
        <w:right w:val="none" w:sz="0" w:space="0" w:color="auto"/>
      </w:divBdr>
    </w:div>
    <w:div w:id="1989744561">
      <w:bodyDiv w:val="1"/>
      <w:marLeft w:val="0"/>
      <w:marRight w:val="0"/>
      <w:marTop w:val="0"/>
      <w:marBottom w:val="0"/>
      <w:divBdr>
        <w:top w:val="none" w:sz="0" w:space="0" w:color="auto"/>
        <w:left w:val="none" w:sz="0" w:space="0" w:color="auto"/>
        <w:bottom w:val="none" w:sz="0" w:space="0" w:color="auto"/>
        <w:right w:val="none" w:sz="0" w:space="0" w:color="auto"/>
      </w:divBdr>
    </w:div>
    <w:div w:id="1991906834">
      <w:bodyDiv w:val="1"/>
      <w:marLeft w:val="0"/>
      <w:marRight w:val="0"/>
      <w:marTop w:val="0"/>
      <w:marBottom w:val="0"/>
      <w:divBdr>
        <w:top w:val="none" w:sz="0" w:space="0" w:color="auto"/>
        <w:left w:val="none" w:sz="0" w:space="0" w:color="auto"/>
        <w:bottom w:val="none" w:sz="0" w:space="0" w:color="auto"/>
        <w:right w:val="none" w:sz="0" w:space="0" w:color="auto"/>
      </w:divBdr>
    </w:div>
    <w:div w:id="2087527041">
      <w:bodyDiv w:val="1"/>
      <w:marLeft w:val="0"/>
      <w:marRight w:val="0"/>
      <w:marTop w:val="0"/>
      <w:marBottom w:val="0"/>
      <w:divBdr>
        <w:top w:val="none" w:sz="0" w:space="0" w:color="auto"/>
        <w:left w:val="none" w:sz="0" w:space="0" w:color="auto"/>
        <w:bottom w:val="none" w:sz="0" w:space="0" w:color="auto"/>
        <w:right w:val="none" w:sz="0" w:space="0" w:color="auto"/>
      </w:divBdr>
      <w:divsChild>
        <w:div w:id="4477722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3576813">
      <w:bodyDiv w:val="1"/>
      <w:marLeft w:val="0"/>
      <w:marRight w:val="0"/>
      <w:marTop w:val="0"/>
      <w:marBottom w:val="0"/>
      <w:divBdr>
        <w:top w:val="none" w:sz="0" w:space="0" w:color="auto"/>
        <w:left w:val="none" w:sz="0" w:space="0" w:color="auto"/>
        <w:bottom w:val="none" w:sz="0" w:space="0" w:color="auto"/>
        <w:right w:val="none" w:sz="0" w:space="0" w:color="auto"/>
      </w:divBdr>
    </w:div>
    <w:div w:id="2096054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brilliantmaps.com/lebanon-religion-map/" TargetMode="External"/><Relationship Id="R9d0983328ac9410a" Type="http://schemas.microsoft.com/office/2020/10/relationships/intelligence" Target="intelligence2.xml"/><Relationship Id="rId3" Type="http://schemas.openxmlformats.org/officeDocument/2006/relationships/styles" Target="styles.xml"/><Relationship Id="rId21" Type="http://schemas.openxmlformats.org/officeDocument/2006/relationships/hyperlink" Target="https://avalon.law.yale.edu/20th_century/leagcov.asp"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youtube.com/watch?v=JdX8HNOlYSE"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anayasa.gen.tr/gulhane.ht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youtube.com/watch?v=JQ8PpS1m7nE"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anayasa.gen.tr/gulhane.htm" TargetMode="External"/><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brilliantmaps.com/lebanon-religion/"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presidency.gov.lb/English/LebaneseSystem/Documents/Lebanese%20Constitution.pdf" TargetMode="External"/><Relationship Id="rId27" Type="http://schemas.openxmlformats.org/officeDocument/2006/relationships/hyperlink" Target="https://www.facebook.com/theatlasbookshelf/"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digitallibrary.un.org/record/829695?v=pdf&amp;utm_source=chatgpt.com" TargetMode="External"/><Relationship Id="rId13" Type="http://schemas.openxmlformats.org/officeDocument/2006/relationships/hyperlink" Target="https://www.youtube.com/watch?v=Ggyy8V97fe0" TargetMode="External"/><Relationship Id="rId3" Type="http://schemas.openxmlformats.org/officeDocument/2006/relationships/hyperlink" Target="https://www.un.org/unispal/document/auto-insert-185531/" TargetMode="External"/><Relationship Id="rId7" Type="http://schemas.openxmlformats.org/officeDocument/2006/relationships/hyperlink" Target="https://www.facebook.com/photo/?fbid=1349685063627602&amp;set=a.527495192513264" TargetMode="External"/><Relationship Id="rId12" Type="http://schemas.openxmlformats.org/officeDocument/2006/relationships/hyperlink" Target="https://jewishvirtuallibrary.org/taif-agreement-to-end-the-lebanon-civil-war-1989" TargetMode="External"/><Relationship Id="rId2" Type="http://schemas.openxmlformats.org/officeDocument/2006/relationships/hyperlink" Target="https://anayasa.gen.tr/gulhane.htm" TargetMode="External"/><Relationship Id="rId1" Type="http://schemas.openxmlformats.org/officeDocument/2006/relationships/hyperlink" Target="https://anayasa.gen.tr/gulhane.htm" TargetMode="External"/><Relationship Id="rId6" Type="http://schemas.openxmlformats.org/officeDocument/2006/relationships/hyperlink" Target="https://www.facebook.com/photo/?fbid=1349685063627602&amp;set=a.527495192513264" TargetMode="External"/><Relationship Id="rId11" Type="http://schemas.openxmlformats.org/officeDocument/2006/relationships/hyperlink" Target="https://www.constituteproject.org/constitution/Lebanon_2004" TargetMode="External"/><Relationship Id="rId5" Type="http://schemas.openxmlformats.org/officeDocument/2006/relationships/hyperlink" Target="https://anayasa.gen.tr/gulhane.htm" TargetMode="External"/><Relationship Id="rId10" Type="http://schemas.openxmlformats.org/officeDocument/2006/relationships/hyperlink" Target="https://www.arabamerica.com/lebanon-before-independence/" TargetMode="External"/><Relationship Id="rId4" Type="http://schemas.openxmlformats.org/officeDocument/2006/relationships/hyperlink" Target="https://anayasa.gen.tr/gulhane.htm" TargetMode="External"/><Relationship Id="rId9" Type="http://schemas.openxmlformats.org/officeDocument/2006/relationships/hyperlink" Target="https://www.constituteproject.org/constitution/Lebanon_2004" TargetMode="External"/><Relationship Id="rId14" Type="http://schemas.openxmlformats.org/officeDocument/2006/relationships/hyperlink" Target="https://brilliantmaps.com/lebanon-relig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5A0326-1BA4-41E8-A7F1-22C641FA4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35</Pages>
  <Words>10293</Words>
  <Characters>67322</Characters>
  <Application>Microsoft Office Word</Application>
  <DocSecurity>0</DocSecurity>
  <Lines>1051</Lines>
  <Paragraphs>253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77362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202</cp:revision>
  <dcterms:created xsi:type="dcterms:W3CDTF">2026-05-20T16:13:00Z</dcterms:created>
  <dcterms:modified xsi:type="dcterms:W3CDTF">2026-05-21T22:57:00Z</dcterms:modified>
</cp:coreProperties>
</file>