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E39B" w14:textId="1EF8F082" w:rsidR="00F00805" w:rsidRPr="0045386C" w:rsidRDefault="00F00805" w:rsidP="00CF6BFD">
      <w:pPr>
        <w:spacing w:after="0" w:line="276" w:lineRule="auto"/>
        <w:jc w:val="center"/>
        <w:rPr>
          <w:rFonts w:ascii="Arial" w:hAnsi="Arial" w:cs="Arial"/>
          <w:sz w:val="24"/>
          <w:szCs w:val="24"/>
        </w:rPr>
      </w:pPr>
      <w:r w:rsidRPr="0045386C">
        <w:rPr>
          <w:rFonts w:ascii="Arial" w:hAnsi="Arial" w:cs="Arial"/>
          <w:noProof/>
          <w:sz w:val="24"/>
          <w:szCs w:val="24"/>
        </w:rPr>
        <w:drawing>
          <wp:inline distT="0" distB="0" distL="0" distR="0" wp14:anchorId="043F70ED" wp14:editId="70CA6105">
            <wp:extent cx="2668905" cy="1116330"/>
            <wp:effectExtent l="0" t="0" r="0" b="7620"/>
            <wp:docPr id="100491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8905" cy="1116330"/>
                    </a:xfrm>
                    <a:prstGeom prst="rect">
                      <a:avLst/>
                    </a:prstGeom>
                    <a:noFill/>
                    <a:ln>
                      <a:noFill/>
                    </a:ln>
                  </pic:spPr>
                </pic:pic>
              </a:graphicData>
            </a:graphic>
          </wp:inline>
        </w:drawing>
      </w:r>
    </w:p>
    <w:p w14:paraId="5EB76AED" w14:textId="77777777" w:rsidR="00F00805" w:rsidRPr="0045386C" w:rsidRDefault="00F00805" w:rsidP="00CF6BFD">
      <w:pPr>
        <w:spacing w:after="0" w:line="276" w:lineRule="auto"/>
        <w:jc w:val="center"/>
        <w:rPr>
          <w:rFonts w:ascii="Arial" w:hAnsi="Arial" w:cs="Arial"/>
          <w:sz w:val="24"/>
          <w:szCs w:val="24"/>
        </w:rPr>
      </w:pPr>
    </w:p>
    <w:p w14:paraId="3D8DFA16" w14:textId="3B5EA83D" w:rsidR="00F00805" w:rsidRPr="0045386C" w:rsidRDefault="00F00805" w:rsidP="00CF6BFD">
      <w:pPr>
        <w:shd w:val="clear" w:color="auto" w:fill="1E3A5F"/>
        <w:spacing w:after="0" w:line="276" w:lineRule="auto"/>
        <w:jc w:val="center"/>
        <w:rPr>
          <w:rFonts w:ascii="Arial" w:hAnsi="Arial" w:cs="Arial"/>
          <w:sz w:val="24"/>
          <w:szCs w:val="24"/>
        </w:rPr>
      </w:pPr>
    </w:p>
    <w:p w14:paraId="0ABFFEBA" w14:textId="77777777" w:rsidR="00F00805" w:rsidRPr="0045386C" w:rsidRDefault="00F00805" w:rsidP="00CF6BFD">
      <w:pPr>
        <w:spacing w:after="0" w:line="276" w:lineRule="auto"/>
        <w:jc w:val="center"/>
        <w:rPr>
          <w:rFonts w:ascii="Arial" w:hAnsi="Arial" w:cs="Arial"/>
          <w:sz w:val="24"/>
          <w:szCs w:val="24"/>
        </w:rPr>
      </w:pPr>
    </w:p>
    <w:p w14:paraId="029BEC28" w14:textId="77777777" w:rsidR="00F00805" w:rsidRPr="0045386C" w:rsidRDefault="00F00805" w:rsidP="00CF6BFD">
      <w:pPr>
        <w:spacing w:after="0" w:line="276" w:lineRule="auto"/>
        <w:jc w:val="center"/>
        <w:rPr>
          <w:rFonts w:ascii="Arial" w:hAnsi="Arial" w:cs="Arial"/>
          <w:sz w:val="24"/>
          <w:szCs w:val="24"/>
        </w:rPr>
      </w:pPr>
      <w:r w:rsidRPr="0045386C">
        <w:rPr>
          <w:rFonts w:ascii="Arial" w:eastAsia="Arial" w:hAnsi="Arial" w:cs="Arial"/>
          <w:color w:val="6B7280"/>
          <w:sz w:val="28"/>
          <w:szCs w:val="28"/>
        </w:rPr>
        <w:t>University of Wales Trinity Saint David</w:t>
      </w:r>
    </w:p>
    <w:p w14:paraId="32BF720E" w14:textId="77777777" w:rsidR="00F00805" w:rsidRPr="0045386C" w:rsidRDefault="00F00805" w:rsidP="00CF6BFD">
      <w:pPr>
        <w:spacing w:after="0" w:line="276" w:lineRule="auto"/>
        <w:jc w:val="center"/>
        <w:rPr>
          <w:rFonts w:ascii="Arial" w:hAnsi="Arial" w:cs="Arial"/>
          <w:sz w:val="24"/>
          <w:szCs w:val="24"/>
        </w:rPr>
      </w:pPr>
    </w:p>
    <w:p w14:paraId="75874D6A" w14:textId="77777777" w:rsidR="00F00805" w:rsidRPr="0045386C" w:rsidRDefault="00F00805" w:rsidP="00CF6BFD">
      <w:pPr>
        <w:spacing w:after="0" w:line="276" w:lineRule="auto"/>
        <w:jc w:val="center"/>
        <w:rPr>
          <w:rFonts w:ascii="Arial" w:hAnsi="Arial" w:cs="Arial"/>
          <w:sz w:val="24"/>
          <w:szCs w:val="24"/>
        </w:rPr>
      </w:pPr>
      <w:proofErr w:type="spellStart"/>
      <w:r w:rsidRPr="0045386C">
        <w:rPr>
          <w:rFonts w:ascii="Arial" w:eastAsia="Arial" w:hAnsi="Arial" w:cs="Arial"/>
          <w:i/>
          <w:iCs/>
          <w:color w:val="6B7280"/>
          <w:sz w:val="24"/>
          <w:szCs w:val="24"/>
        </w:rPr>
        <w:t>Prifysgol</w:t>
      </w:r>
      <w:proofErr w:type="spellEnd"/>
      <w:r w:rsidRPr="0045386C">
        <w:rPr>
          <w:rFonts w:ascii="Arial" w:eastAsia="Arial" w:hAnsi="Arial" w:cs="Arial"/>
          <w:i/>
          <w:iCs/>
          <w:color w:val="6B7280"/>
          <w:sz w:val="24"/>
          <w:szCs w:val="24"/>
        </w:rPr>
        <w:t xml:space="preserve"> Cymru Y </w:t>
      </w:r>
      <w:proofErr w:type="spellStart"/>
      <w:r w:rsidRPr="0045386C">
        <w:rPr>
          <w:rFonts w:ascii="Arial" w:eastAsia="Arial" w:hAnsi="Arial" w:cs="Arial"/>
          <w:i/>
          <w:iCs/>
          <w:color w:val="6B7280"/>
          <w:sz w:val="24"/>
          <w:szCs w:val="24"/>
        </w:rPr>
        <w:t>Drindod</w:t>
      </w:r>
      <w:proofErr w:type="spellEnd"/>
      <w:r w:rsidRPr="0045386C">
        <w:rPr>
          <w:rFonts w:ascii="Arial" w:eastAsia="Arial" w:hAnsi="Arial" w:cs="Arial"/>
          <w:i/>
          <w:iCs/>
          <w:color w:val="6B7280"/>
          <w:sz w:val="24"/>
          <w:szCs w:val="24"/>
        </w:rPr>
        <w:t xml:space="preserve"> Dewi Sant</w:t>
      </w:r>
    </w:p>
    <w:p w14:paraId="62B1D38B" w14:textId="77777777" w:rsidR="00F00805" w:rsidRPr="0045386C" w:rsidRDefault="00F00805" w:rsidP="00CF6BFD">
      <w:pPr>
        <w:spacing w:after="0" w:line="276" w:lineRule="auto"/>
        <w:jc w:val="center"/>
        <w:rPr>
          <w:rFonts w:ascii="Arial" w:hAnsi="Arial" w:cs="Arial"/>
          <w:sz w:val="24"/>
          <w:szCs w:val="24"/>
        </w:rPr>
      </w:pPr>
    </w:p>
    <w:p w14:paraId="5B0D5509" w14:textId="77777777" w:rsidR="00F00805" w:rsidRPr="0045386C" w:rsidRDefault="00F00805" w:rsidP="00CF6BFD">
      <w:pPr>
        <w:spacing w:after="0" w:line="276" w:lineRule="auto"/>
        <w:jc w:val="center"/>
        <w:rPr>
          <w:rFonts w:ascii="Arial" w:hAnsi="Arial" w:cs="Arial"/>
          <w:sz w:val="24"/>
          <w:szCs w:val="24"/>
        </w:rPr>
      </w:pPr>
      <w:r w:rsidRPr="0045386C">
        <w:rPr>
          <w:rFonts w:ascii="Arial" w:eastAsia="Arial" w:hAnsi="Arial" w:cs="Arial"/>
          <w:b/>
          <w:bCs/>
          <w:color w:val="1E3A5F"/>
          <w:sz w:val="32"/>
          <w:szCs w:val="32"/>
        </w:rPr>
        <w:t>Master of Business Administration (MBA)</w:t>
      </w:r>
    </w:p>
    <w:p w14:paraId="2984166F" w14:textId="77777777" w:rsidR="00F00805" w:rsidRPr="0045386C" w:rsidRDefault="00F00805" w:rsidP="00CF6BFD">
      <w:pPr>
        <w:spacing w:after="0" w:line="276" w:lineRule="auto"/>
        <w:jc w:val="center"/>
        <w:rPr>
          <w:rFonts w:ascii="Arial" w:hAnsi="Arial" w:cs="Arial"/>
          <w:sz w:val="24"/>
          <w:szCs w:val="24"/>
        </w:rPr>
      </w:pPr>
    </w:p>
    <w:p w14:paraId="4B5D63D6" w14:textId="77777777" w:rsidR="00F00805" w:rsidRPr="0045386C" w:rsidRDefault="00F00805" w:rsidP="00CF6BFD">
      <w:pPr>
        <w:pBdr>
          <w:bottom w:val="single" w:sz="6" w:space="0" w:color="1E3A5F"/>
        </w:pBdr>
        <w:spacing w:after="0" w:line="276" w:lineRule="auto"/>
        <w:jc w:val="center"/>
        <w:rPr>
          <w:rFonts w:ascii="Arial" w:hAnsi="Arial" w:cs="Arial"/>
          <w:sz w:val="24"/>
          <w:szCs w:val="24"/>
        </w:rPr>
      </w:pPr>
    </w:p>
    <w:p w14:paraId="58CBD578" w14:textId="77777777" w:rsidR="00F00805" w:rsidRPr="0045386C" w:rsidRDefault="00F00805" w:rsidP="00CF6BFD">
      <w:pPr>
        <w:spacing w:after="0" w:line="276" w:lineRule="auto"/>
        <w:jc w:val="center"/>
        <w:rPr>
          <w:rFonts w:ascii="Arial" w:hAnsi="Arial" w:cs="Arial"/>
          <w:sz w:val="24"/>
          <w:szCs w:val="24"/>
        </w:rPr>
      </w:pPr>
    </w:p>
    <w:p w14:paraId="1EC9366F" w14:textId="77777777" w:rsidR="00F00805" w:rsidRPr="0045386C" w:rsidRDefault="00F00805" w:rsidP="00CF6BFD">
      <w:pPr>
        <w:spacing w:after="0" w:line="276" w:lineRule="auto"/>
        <w:jc w:val="center"/>
        <w:rPr>
          <w:rFonts w:ascii="Arial" w:hAnsi="Arial" w:cs="Arial"/>
          <w:sz w:val="24"/>
          <w:szCs w:val="24"/>
        </w:rPr>
      </w:pPr>
      <w:r w:rsidRPr="0045386C">
        <w:rPr>
          <w:rFonts w:ascii="Arial" w:eastAsia="Arial" w:hAnsi="Arial" w:cs="Arial"/>
          <w:b/>
          <w:bCs/>
          <w:color w:val="1E3A5F"/>
          <w:sz w:val="32"/>
          <w:szCs w:val="32"/>
        </w:rPr>
        <w:t>Marketing Management</w:t>
      </w:r>
    </w:p>
    <w:p w14:paraId="283A11FF" w14:textId="77777777" w:rsidR="00F00805" w:rsidRPr="0045386C" w:rsidRDefault="00F00805" w:rsidP="00CF6BFD">
      <w:pPr>
        <w:spacing w:after="0" w:line="276" w:lineRule="auto"/>
        <w:jc w:val="center"/>
        <w:rPr>
          <w:rFonts w:ascii="Arial" w:hAnsi="Arial" w:cs="Arial"/>
          <w:sz w:val="24"/>
          <w:szCs w:val="24"/>
        </w:rPr>
      </w:pPr>
    </w:p>
    <w:p w14:paraId="56D13D06" w14:textId="77777777" w:rsidR="00F00805" w:rsidRPr="0045386C" w:rsidRDefault="00F00805" w:rsidP="00CF6BFD">
      <w:pPr>
        <w:spacing w:after="0" w:line="276" w:lineRule="auto"/>
        <w:jc w:val="center"/>
        <w:rPr>
          <w:rFonts w:ascii="Arial" w:hAnsi="Arial" w:cs="Arial"/>
          <w:sz w:val="24"/>
          <w:szCs w:val="24"/>
        </w:rPr>
      </w:pPr>
      <w:r w:rsidRPr="0045386C">
        <w:rPr>
          <w:rFonts w:ascii="Arial" w:eastAsia="Arial" w:hAnsi="Arial" w:cs="Arial"/>
          <w:color w:val="6B7280"/>
          <w:sz w:val="24"/>
          <w:szCs w:val="24"/>
        </w:rPr>
        <w:t>Module Code: LCMB7024</w:t>
      </w:r>
    </w:p>
    <w:p w14:paraId="341F03C5" w14:textId="77777777" w:rsidR="00F00805" w:rsidRPr="0045386C" w:rsidRDefault="00F00805" w:rsidP="00CF6BFD">
      <w:pPr>
        <w:spacing w:after="0" w:line="276" w:lineRule="auto"/>
        <w:jc w:val="center"/>
        <w:rPr>
          <w:rFonts w:ascii="Arial" w:hAnsi="Arial" w:cs="Arial"/>
          <w:sz w:val="24"/>
          <w:szCs w:val="24"/>
        </w:rPr>
      </w:pPr>
    </w:p>
    <w:p w14:paraId="24E06852" w14:textId="77777777" w:rsidR="00F00805" w:rsidRPr="0045386C" w:rsidRDefault="00F00805" w:rsidP="00CF6BFD">
      <w:pPr>
        <w:pBdr>
          <w:bottom w:val="single" w:sz="6" w:space="0" w:color="1E3A5F"/>
        </w:pBdr>
        <w:spacing w:after="0" w:line="276" w:lineRule="auto"/>
        <w:jc w:val="center"/>
        <w:rPr>
          <w:rFonts w:ascii="Arial" w:hAnsi="Arial" w:cs="Arial"/>
          <w:sz w:val="24"/>
          <w:szCs w:val="24"/>
        </w:rPr>
      </w:pPr>
    </w:p>
    <w:p w14:paraId="500EDDC4" w14:textId="77777777" w:rsidR="00F00805" w:rsidRPr="0045386C" w:rsidRDefault="00F00805" w:rsidP="00CF6BFD">
      <w:pPr>
        <w:spacing w:after="0" w:line="276" w:lineRule="auto"/>
        <w:jc w:val="center"/>
        <w:rPr>
          <w:rFonts w:ascii="Arial" w:hAnsi="Arial" w:cs="Arial"/>
          <w:sz w:val="24"/>
          <w:szCs w:val="24"/>
        </w:rPr>
      </w:pPr>
    </w:p>
    <w:p w14:paraId="655E8915" w14:textId="0EB30D2E" w:rsidR="00F00805" w:rsidRPr="0045386C" w:rsidRDefault="00F00805" w:rsidP="00CF6BFD">
      <w:pPr>
        <w:shd w:val="clear" w:color="auto" w:fill="1E3A5F"/>
        <w:spacing w:after="0" w:line="276" w:lineRule="auto"/>
        <w:jc w:val="center"/>
        <w:rPr>
          <w:rFonts w:ascii="Arial" w:hAnsi="Arial" w:cs="Arial"/>
          <w:sz w:val="24"/>
          <w:szCs w:val="24"/>
        </w:rPr>
      </w:pPr>
      <w:r w:rsidRPr="0045386C">
        <w:rPr>
          <w:rFonts w:ascii="Arial" w:hAnsi="Arial" w:cs="Arial"/>
          <w:color w:val="1E3A5F"/>
          <w:sz w:val="12"/>
          <w:szCs w:val="12"/>
        </w:rPr>
        <w:t>Component 2</w:t>
      </w:r>
    </w:p>
    <w:p w14:paraId="76BDE582" w14:textId="77777777" w:rsidR="00F00805" w:rsidRPr="0045386C" w:rsidRDefault="00F00805" w:rsidP="00CF6BFD">
      <w:pPr>
        <w:shd w:val="clear" w:color="auto" w:fill="1E3A5F"/>
        <w:spacing w:after="0" w:line="276" w:lineRule="auto"/>
        <w:jc w:val="center"/>
        <w:rPr>
          <w:rFonts w:ascii="Arial" w:hAnsi="Arial" w:cs="Arial"/>
          <w:sz w:val="24"/>
          <w:szCs w:val="24"/>
        </w:rPr>
      </w:pPr>
      <w:r w:rsidRPr="0045386C">
        <w:rPr>
          <w:rFonts w:ascii="Arial" w:eastAsia="Arial" w:hAnsi="Arial" w:cs="Arial"/>
          <w:b/>
          <w:bCs/>
          <w:color w:val="FFFFFF"/>
          <w:sz w:val="40"/>
          <w:szCs w:val="40"/>
        </w:rPr>
        <w:t>Portfolio: Brand Development</w:t>
      </w:r>
    </w:p>
    <w:p w14:paraId="6E1AA83B" w14:textId="77777777" w:rsidR="00F00805" w:rsidRPr="0045386C" w:rsidRDefault="00F00805" w:rsidP="00CF6BFD">
      <w:pPr>
        <w:shd w:val="clear" w:color="auto" w:fill="1E3A5F"/>
        <w:spacing w:after="0" w:line="276" w:lineRule="auto"/>
        <w:jc w:val="center"/>
        <w:rPr>
          <w:rFonts w:ascii="Arial" w:hAnsi="Arial" w:cs="Arial"/>
          <w:sz w:val="24"/>
          <w:szCs w:val="24"/>
        </w:rPr>
      </w:pPr>
      <w:r w:rsidRPr="0045386C">
        <w:rPr>
          <w:rFonts w:ascii="Arial" w:eastAsia="Arial" w:hAnsi="Arial" w:cs="Arial"/>
          <w:i/>
          <w:iCs/>
          <w:color w:val="BFD9F7"/>
          <w:sz w:val="24"/>
          <w:szCs w:val="24"/>
        </w:rPr>
        <w:t>BHP Battery Recycling — Sustainable Brand Extension</w:t>
      </w:r>
    </w:p>
    <w:p w14:paraId="0FB4D0F4" w14:textId="060D693E" w:rsidR="00F00805" w:rsidRPr="0045386C" w:rsidRDefault="00F00805" w:rsidP="00CF6BFD">
      <w:pPr>
        <w:shd w:val="clear" w:color="auto" w:fill="1E3A5F"/>
        <w:spacing w:after="0" w:line="276" w:lineRule="auto"/>
        <w:jc w:val="center"/>
        <w:rPr>
          <w:rFonts w:ascii="Arial" w:hAnsi="Arial" w:cs="Arial"/>
          <w:sz w:val="24"/>
          <w:szCs w:val="24"/>
        </w:rPr>
      </w:pPr>
    </w:p>
    <w:p w14:paraId="26C0DB50" w14:textId="77777777" w:rsidR="00F00805" w:rsidRPr="0045386C" w:rsidRDefault="00F00805" w:rsidP="00CF6BFD">
      <w:pPr>
        <w:spacing w:after="0" w:line="276" w:lineRule="auto"/>
        <w:jc w:val="center"/>
        <w:rPr>
          <w:rFonts w:ascii="Arial" w:hAnsi="Arial" w:cs="Arial"/>
          <w:sz w:val="24"/>
          <w:szCs w:val="24"/>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3700E3A7" w14:textId="77777777" w:rsidTr="0045386C">
        <w:tc>
          <w:tcPr>
            <w:tcW w:w="3000" w:type="dxa"/>
            <w:shd w:val="clear" w:color="auto" w:fill="EBF2FA"/>
            <w:vAlign w:val="center"/>
            <w:hideMark/>
          </w:tcPr>
          <w:p w14:paraId="4FAA4828"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Student Name:</w:t>
            </w:r>
          </w:p>
        </w:tc>
        <w:tc>
          <w:tcPr>
            <w:tcW w:w="6000" w:type="dxa"/>
            <w:shd w:val="clear" w:color="auto" w:fill="FFFFFF"/>
            <w:vAlign w:val="center"/>
            <w:hideMark/>
          </w:tcPr>
          <w:p w14:paraId="529EF3EE" w14:textId="45A261B3" w:rsidR="00F00805" w:rsidRPr="0045386C" w:rsidRDefault="0045386C" w:rsidP="0045386C">
            <w:pPr>
              <w:spacing w:after="0" w:line="276" w:lineRule="auto"/>
              <w:rPr>
                <w:rFonts w:ascii="Arial" w:hAnsi="Arial" w:cs="Arial"/>
                <w:sz w:val="24"/>
                <w:szCs w:val="24"/>
              </w:rPr>
            </w:pPr>
            <w:r w:rsidRPr="0045386C">
              <w:rPr>
                <w:rFonts w:ascii="Arial" w:eastAsia="Arial" w:hAnsi="Arial" w:cs="Arial"/>
                <w:color w:val="1A1A1A"/>
                <w:sz w:val="24"/>
                <w:szCs w:val="24"/>
              </w:rPr>
              <w:t>SUFI SAFINAZ AZIZMAHMED</w:t>
            </w:r>
          </w:p>
        </w:tc>
      </w:tr>
    </w:tbl>
    <w:p w14:paraId="382A509D" w14:textId="77777777" w:rsidR="00F00805" w:rsidRPr="0045386C" w:rsidRDefault="00F00805" w:rsidP="0045386C">
      <w:pPr>
        <w:spacing w:after="0" w:line="276" w:lineRule="auto"/>
        <w:rPr>
          <w:rFonts w:ascii="Arial" w:hAnsi="Arial" w:cs="Aria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0C17AE7D" w14:textId="77777777" w:rsidTr="0045386C">
        <w:tc>
          <w:tcPr>
            <w:tcW w:w="3000" w:type="dxa"/>
            <w:shd w:val="clear" w:color="auto" w:fill="EBF2FA"/>
            <w:vAlign w:val="center"/>
            <w:hideMark/>
          </w:tcPr>
          <w:p w14:paraId="4A6373CC"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Student ID:</w:t>
            </w:r>
          </w:p>
        </w:tc>
        <w:tc>
          <w:tcPr>
            <w:tcW w:w="6000" w:type="dxa"/>
            <w:shd w:val="clear" w:color="auto" w:fill="FFFFFF"/>
            <w:vAlign w:val="center"/>
            <w:hideMark/>
          </w:tcPr>
          <w:p w14:paraId="645E2E00" w14:textId="2CBB7472" w:rsidR="00F00805" w:rsidRPr="0045386C" w:rsidRDefault="0045386C" w:rsidP="0045386C">
            <w:pPr>
              <w:spacing w:after="0" w:line="276" w:lineRule="auto"/>
              <w:rPr>
                <w:rFonts w:ascii="Arial" w:hAnsi="Arial" w:cs="Arial"/>
                <w:sz w:val="24"/>
                <w:szCs w:val="24"/>
              </w:rPr>
            </w:pPr>
            <w:r w:rsidRPr="0045386C">
              <w:rPr>
                <w:rFonts w:ascii="Arial" w:eastAsia="Arial" w:hAnsi="Arial" w:cs="Arial"/>
                <w:color w:val="1A1A1A"/>
                <w:sz w:val="24"/>
                <w:szCs w:val="24"/>
              </w:rPr>
              <w:t xml:space="preserve"> 2539210</w:t>
            </w:r>
          </w:p>
        </w:tc>
      </w:tr>
    </w:tbl>
    <w:p w14:paraId="038DA7E3" w14:textId="77777777" w:rsidR="00F00805" w:rsidRPr="0045386C" w:rsidRDefault="00F00805" w:rsidP="0045386C">
      <w:pPr>
        <w:spacing w:after="0" w:line="276" w:lineRule="auto"/>
        <w:rPr>
          <w:rFonts w:ascii="Arial" w:hAnsi="Arial" w:cs="Aria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1FC85439" w14:textId="77777777" w:rsidTr="0045386C">
        <w:tc>
          <w:tcPr>
            <w:tcW w:w="3000" w:type="dxa"/>
            <w:shd w:val="clear" w:color="auto" w:fill="EBF2FA"/>
            <w:vAlign w:val="center"/>
            <w:hideMark/>
          </w:tcPr>
          <w:p w14:paraId="6C6E64F6"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Module Tutor:</w:t>
            </w:r>
          </w:p>
        </w:tc>
        <w:tc>
          <w:tcPr>
            <w:tcW w:w="6000" w:type="dxa"/>
            <w:shd w:val="clear" w:color="auto" w:fill="FFFFFF"/>
            <w:vAlign w:val="center"/>
            <w:hideMark/>
          </w:tcPr>
          <w:p w14:paraId="622425BB" w14:textId="5E44F06F" w:rsidR="00F00805" w:rsidRPr="0045386C" w:rsidRDefault="0045386C" w:rsidP="0045386C">
            <w:pPr>
              <w:spacing w:after="0" w:line="276" w:lineRule="auto"/>
              <w:rPr>
                <w:rFonts w:ascii="Arial" w:hAnsi="Arial" w:cs="Arial"/>
                <w:sz w:val="24"/>
                <w:szCs w:val="24"/>
              </w:rPr>
            </w:pPr>
            <w:r>
              <w:rPr>
                <w:rFonts w:ascii="Arial" w:eastAsia="Arial" w:hAnsi="Arial" w:cs="Arial"/>
                <w:color w:val="1A1A1A"/>
                <w:sz w:val="24"/>
                <w:szCs w:val="24"/>
              </w:rPr>
              <w:t>T</w:t>
            </w:r>
            <w:r w:rsidRPr="0045386C">
              <w:rPr>
                <w:rFonts w:ascii="Arial" w:eastAsia="Arial" w:hAnsi="Arial" w:cs="Arial"/>
                <w:color w:val="1A1A1A"/>
                <w:sz w:val="24"/>
                <w:szCs w:val="24"/>
              </w:rPr>
              <w:t xml:space="preserve">ushara </w:t>
            </w:r>
            <w:proofErr w:type="spellStart"/>
            <w:r>
              <w:rPr>
                <w:rFonts w:ascii="Arial" w:eastAsia="Arial" w:hAnsi="Arial" w:cs="Arial"/>
                <w:color w:val="1A1A1A"/>
                <w:sz w:val="24"/>
                <w:szCs w:val="24"/>
              </w:rPr>
              <w:t>B</w:t>
            </w:r>
            <w:r w:rsidRPr="0045386C">
              <w:rPr>
                <w:rFonts w:ascii="Arial" w:eastAsia="Arial" w:hAnsi="Arial" w:cs="Arial"/>
                <w:color w:val="1A1A1A"/>
                <w:sz w:val="24"/>
                <w:szCs w:val="24"/>
              </w:rPr>
              <w:t>alendran</w:t>
            </w:r>
            <w:proofErr w:type="spellEnd"/>
          </w:p>
        </w:tc>
      </w:tr>
    </w:tbl>
    <w:p w14:paraId="6353C7A7" w14:textId="77777777" w:rsidR="00F00805" w:rsidRPr="0045386C" w:rsidRDefault="00F00805" w:rsidP="0045386C">
      <w:pPr>
        <w:spacing w:after="0" w:line="276" w:lineRule="auto"/>
        <w:rPr>
          <w:rFonts w:ascii="Arial" w:hAnsi="Arial" w:cs="Aria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68049D51" w14:textId="77777777" w:rsidTr="0045386C">
        <w:tc>
          <w:tcPr>
            <w:tcW w:w="3000" w:type="dxa"/>
            <w:shd w:val="clear" w:color="auto" w:fill="EBF2FA"/>
            <w:vAlign w:val="center"/>
            <w:hideMark/>
          </w:tcPr>
          <w:p w14:paraId="201F2D4F"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Word Count:</w:t>
            </w:r>
          </w:p>
        </w:tc>
        <w:tc>
          <w:tcPr>
            <w:tcW w:w="6000" w:type="dxa"/>
            <w:shd w:val="clear" w:color="auto" w:fill="FFFFFF"/>
            <w:vAlign w:val="center"/>
            <w:hideMark/>
          </w:tcPr>
          <w:p w14:paraId="6719E8CB" w14:textId="0241A33A" w:rsidR="00F00805" w:rsidRPr="0045386C" w:rsidRDefault="00665E90" w:rsidP="0045386C">
            <w:pPr>
              <w:spacing w:after="0" w:line="276" w:lineRule="auto"/>
              <w:rPr>
                <w:rFonts w:ascii="Arial" w:hAnsi="Arial" w:cs="Arial"/>
                <w:sz w:val="24"/>
                <w:szCs w:val="24"/>
              </w:rPr>
            </w:pPr>
            <w:r w:rsidRPr="0045386C">
              <w:rPr>
                <w:rFonts w:ascii="Arial" w:eastAsia="Arial" w:hAnsi="Arial" w:cs="Arial"/>
                <w:color w:val="1A1A1A"/>
                <w:sz w:val="24"/>
                <w:szCs w:val="24"/>
              </w:rPr>
              <w:t>2,4</w:t>
            </w:r>
            <w:r w:rsidR="008D19FE" w:rsidRPr="0045386C">
              <w:rPr>
                <w:rFonts w:ascii="Arial" w:eastAsia="Arial" w:hAnsi="Arial" w:cs="Arial"/>
                <w:color w:val="1A1A1A"/>
                <w:sz w:val="24"/>
                <w:szCs w:val="24"/>
              </w:rPr>
              <w:t>84</w:t>
            </w:r>
            <w:r w:rsidRPr="0045386C">
              <w:rPr>
                <w:rFonts w:ascii="Arial" w:eastAsia="Arial" w:hAnsi="Arial" w:cs="Arial"/>
                <w:color w:val="1A1A1A"/>
                <w:sz w:val="24"/>
                <w:szCs w:val="24"/>
              </w:rPr>
              <w:t xml:space="preserve"> </w:t>
            </w:r>
            <w:r w:rsidR="00F00805" w:rsidRPr="0045386C">
              <w:rPr>
                <w:rFonts w:ascii="Arial" w:eastAsia="Arial" w:hAnsi="Arial" w:cs="Arial"/>
                <w:color w:val="1A1A1A"/>
                <w:sz w:val="24"/>
                <w:szCs w:val="24"/>
              </w:rPr>
              <w:t>word</w:t>
            </w:r>
            <w:r w:rsidRPr="0045386C">
              <w:rPr>
                <w:rFonts w:ascii="Arial" w:eastAsia="Arial" w:hAnsi="Arial" w:cs="Arial"/>
                <w:color w:val="1A1A1A"/>
                <w:sz w:val="24"/>
                <w:szCs w:val="24"/>
              </w:rPr>
              <w:t>s</w:t>
            </w:r>
          </w:p>
        </w:tc>
      </w:tr>
    </w:tbl>
    <w:p w14:paraId="14142A02" w14:textId="77777777" w:rsidR="00F00805" w:rsidRPr="0045386C" w:rsidRDefault="00F00805" w:rsidP="0045386C">
      <w:pPr>
        <w:spacing w:after="0" w:line="276" w:lineRule="auto"/>
        <w:rPr>
          <w:rFonts w:ascii="Arial" w:hAnsi="Arial" w:cs="Aria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5EB3EBA5" w14:textId="77777777" w:rsidTr="0045386C">
        <w:tc>
          <w:tcPr>
            <w:tcW w:w="3000" w:type="dxa"/>
            <w:shd w:val="clear" w:color="auto" w:fill="EBF2FA"/>
            <w:vAlign w:val="center"/>
            <w:hideMark/>
          </w:tcPr>
          <w:p w14:paraId="649C52AF"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Submission Date:</w:t>
            </w:r>
          </w:p>
        </w:tc>
        <w:tc>
          <w:tcPr>
            <w:tcW w:w="6000" w:type="dxa"/>
            <w:shd w:val="clear" w:color="auto" w:fill="FFFFFF"/>
            <w:vAlign w:val="center"/>
            <w:hideMark/>
          </w:tcPr>
          <w:p w14:paraId="5C1CFA1C"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color w:val="1A1A1A"/>
                <w:sz w:val="24"/>
                <w:szCs w:val="24"/>
              </w:rPr>
              <w:t>14 August 2026</w:t>
            </w:r>
          </w:p>
        </w:tc>
      </w:tr>
    </w:tbl>
    <w:p w14:paraId="3764133A" w14:textId="77777777" w:rsidR="00F00805" w:rsidRPr="0045386C" w:rsidRDefault="00F00805" w:rsidP="0045386C">
      <w:pPr>
        <w:spacing w:after="0" w:line="276" w:lineRule="auto"/>
        <w:rPr>
          <w:rFonts w:ascii="Arial" w:hAnsi="Arial" w:cs="Aria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F00805" w:rsidRPr="0045386C" w14:paraId="0FB8E14F" w14:textId="77777777" w:rsidTr="0045386C">
        <w:tc>
          <w:tcPr>
            <w:tcW w:w="3000" w:type="dxa"/>
            <w:shd w:val="clear" w:color="auto" w:fill="EBF2FA"/>
            <w:vAlign w:val="center"/>
            <w:hideMark/>
          </w:tcPr>
          <w:p w14:paraId="15425C55"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b/>
                <w:bCs/>
                <w:color w:val="1E3A5F"/>
                <w:sz w:val="24"/>
                <w:szCs w:val="24"/>
              </w:rPr>
              <w:t>Assessment:</w:t>
            </w:r>
          </w:p>
        </w:tc>
        <w:tc>
          <w:tcPr>
            <w:tcW w:w="6000" w:type="dxa"/>
            <w:shd w:val="clear" w:color="auto" w:fill="FFFFFF"/>
            <w:vAlign w:val="center"/>
            <w:hideMark/>
          </w:tcPr>
          <w:p w14:paraId="2DDCEE90" w14:textId="77777777" w:rsidR="00F00805" w:rsidRPr="0045386C" w:rsidRDefault="00F00805" w:rsidP="0045386C">
            <w:pPr>
              <w:spacing w:after="0" w:line="276" w:lineRule="auto"/>
              <w:rPr>
                <w:rFonts w:ascii="Arial" w:hAnsi="Arial" w:cs="Arial"/>
                <w:sz w:val="24"/>
                <w:szCs w:val="24"/>
              </w:rPr>
            </w:pPr>
            <w:r w:rsidRPr="0045386C">
              <w:rPr>
                <w:rFonts w:ascii="Arial" w:eastAsia="Arial" w:hAnsi="Arial" w:cs="Arial"/>
                <w:color w:val="1A1A1A"/>
                <w:sz w:val="24"/>
                <w:szCs w:val="24"/>
              </w:rPr>
              <w:t>Component 2 — 50% of module grade</w:t>
            </w:r>
          </w:p>
        </w:tc>
      </w:tr>
    </w:tbl>
    <w:p w14:paraId="42A842C1" w14:textId="77777777" w:rsidR="00F00805" w:rsidRPr="0045386C" w:rsidRDefault="00F00805" w:rsidP="00CF6BFD">
      <w:pPr>
        <w:spacing w:after="0" w:line="276" w:lineRule="auto"/>
        <w:jc w:val="center"/>
        <w:rPr>
          <w:rFonts w:ascii="Arial" w:hAnsi="Arial" w:cs="Arial"/>
        </w:rPr>
      </w:pPr>
    </w:p>
    <w:p w14:paraId="4C15C2A6" w14:textId="77777777" w:rsidR="00F00805" w:rsidRPr="0045386C" w:rsidRDefault="00F00805" w:rsidP="00CF6BFD">
      <w:pPr>
        <w:pBdr>
          <w:bottom w:val="single" w:sz="6" w:space="0" w:color="1E3A5F"/>
        </w:pBdr>
        <w:spacing w:after="0" w:line="276" w:lineRule="auto"/>
        <w:jc w:val="center"/>
        <w:rPr>
          <w:rFonts w:ascii="Arial" w:hAnsi="Arial" w:cs="Arial"/>
          <w:sz w:val="24"/>
          <w:szCs w:val="24"/>
        </w:rPr>
      </w:pPr>
    </w:p>
    <w:p w14:paraId="283B09D3" w14:textId="77777777" w:rsidR="00F00805" w:rsidRPr="0045386C" w:rsidRDefault="00F00805" w:rsidP="00CF6BFD">
      <w:pPr>
        <w:spacing w:line="360" w:lineRule="auto"/>
        <w:jc w:val="both"/>
        <w:rPr>
          <w:rFonts w:ascii="Arial" w:eastAsia="Arial" w:hAnsi="Arial" w:cs="Arial"/>
          <w:b/>
          <w:bCs/>
          <w:i/>
          <w:iCs/>
          <w:color w:val="6B7280"/>
          <w:sz w:val="12"/>
          <w:szCs w:val="12"/>
          <w:lang w:eastAsia="en-IN"/>
        </w:rPr>
      </w:pPr>
      <w:r w:rsidRPr="0045386C">
        <w:rPr>
          <w:rFonts w:ascii="Arial" w:eastAsia="Arial" w:hAnsi="Arial" w:cs="Arial"/>
          <w:i/>
          <w:iCs/>
          <w:color w:val="6B7280"/>
          <w:sz w:val="12"/>
          <w:szCs w:val="12"/>
        </w:rPr>
        <w:br w:type="page"/>
      </w:r>
    </w:p>
    <w:p w14:paraId="3C11582B" w14:textId="1ED35CB2" w:rsidR="001E576E" w:rsidRPr="0045386C" w:rsidRDefault="001E576E" w:rsidP="00CF6BFD">
      <w:pPr>
        <w:pStyle w:val="Heading1"/>
        <w:spacing w:line="360" w:lineRule="auto"/>
      </w:pPr>
      <w:r w:rsidRPr="0045386C">
        <w:lastRenderedPageBreak/>
        <w:t>ELEMENT 2 — STDP ANALYSIS</w:t>
      </w:r>
    </w:p>
    <w:p w14:paraId="00704E54" w14:textId="77777777" w:rsidR="001E576E" w:rsidRPr="0045386C" w:rsidRDefault="001E576E" w:rsidP="00CF6BFD">
      <w:pPr>
        <w:spacing w:after="0" w:line="360" w:lineRule="auto"/>
        <w:jc w:val="both"/>
        <w:outlineLvl w:val="2"/>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Segmentation, Targeting, Differentiation and Positioning Analysis for BHP Battery Recycling</w:t>
      </w:r>
    </w:p>
    <w:p w14:paraId="6F79A4C9"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Market Segmentation</w:t>
      </w:r>
    </w:p>
    <w:p w14:paraId="28B39CAC" w14:textId="77777777"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Times New Roman" w:hAnsi="Arial" w:cs="Arial"/>
          <w:kern w:val="0"/>
          <w:sz w:val="24"/>
          <w:szCs w:val="24"/>
          <w:lang w:eastAsia="en-IN"/>
          <w14:ligatures w14:val="none"/>
        </w:rPr>
        <w:t>Market segmentation is the process of dividing a heterogeneous market into distinct groups of buyers who share common needs, characteristics or behaviours (Kotler et al., 2024). For BHP Battery Recycling, a structured STDP analysis is essential to identifying viable commercial opportunities within the rapidly evolving sustainable materials market.</w:t>
      </w:r>
    </w:p>
    <w:p w14:paraId="741C89CC" w14:textId="77777777" w:rsidR="00881FA8" w:rsidRPr="0045386C" w:rsidRDefault="00881FA8" w:rsidP="00CF6BFD">
      <w:pPr>
        <w:spacing w:after="0" w:line="360" w:lineRule="auto"/>
        <w:jc w:val="both"/>
        <w:rPr>
          <w:rFonts w:ascii="Arial" w:eastAsia="Times New Roman" w:hAnsi="Arial" w:cs="Arial"/>
          <w:kern w:val="0"/>
          <w:sz w:val="24"/>
          <w:szCs w:val="24"/>
          <w:lang w:eastAsia="en-IN"/>
          <w14:ligatures w14:val="none"/>
        </w:rPr>
      </w:pPr>
    </w:p>
    <w:p w14:paraId="022D09DB" w14:textId="3C887E97" w:rsidR="00881FA8" w:rsidRPr="0045386C" w:rsidRDefault="00881FA8" w:rsidP="00CF6BFD">
      <w:pPr>
        <w:spacing w:line="360" w:lineRule="auto"/>
        <w:jc w:val="both"/>
        <w:rPr>
          <w:rStyle w:val="Strong"/>
          <w:rFonts w:ascii="Arial" w:hAnsi="Arial" w:cs="Arial"/>
        </w:rPr>
      </w:pPr>
      <w:r w:rsidRPr="0045386C">
        <w:rPr>
          <w:rStyle w:val="Strong"/>
          <w:rFonts w:ascii="Arial" w:hAnsi="Arial" w:cs="Arial"/>
          <w:sz w:val="24"/>
          <w:szCs w:val="24"/>
        </w:rPr>
        <w:t>Table 1: Brand development strategies   Source: Kotler et al. (2024)</w:t>
      </w:r>
    </w:p>
    <w:tbl>
      <w:tblPr>
        <w:tblW w:w="9000" w:type="dxa"/>
        <w:tblBorders>
          <w:top w:val="single" w:sz="6" w:space="0" w:color="1E3A5F"/>
          <w:left w:val="single" w:sz="6" w:space="0" w:color="1E3A5F"/>
          <w:bottom w:val="single" w:sz="6" w:space="0" w:color="1E3A5F"/>
          <w:right w:val="single" w:sz="6" w:space="0" w:color="1E3A5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870"/>
        <w:gridCol w:w="4330"/>
      </w:tblGrid>
      <w:tr w:rsidR="00881FA8" w:rsidRPr="0045386C" w14:paraId="228DF88B" w14:textId="77777777" w:rsidTr="0045386C">
        <w:tc>
          <w:tcPr>
            <w:tcW w:w="1800" w:type="dxa"/>
            <w:shd w:val="clear" w:color="auto" w:fill="1E3A5F"/>
          </w:tcPr>
          <w:p w14:paraId="14DFB642" w14:textId="77777777" w:rsidR="00881FA8" w:rsidRPr="0045386C" w:rsidRDefault="00881FA8" w:rsidP="0045386C">
            <w:pPr>
              <w:spacing w:after="0" w:line="240" w:lineRule="auto"/>
              <w:jc w:val="both"/>
              <w:rPr>
                <w:rFonts w:ascii="Arial" w:hAnsi="Arial" w:cs="Arial"/>
                <w:sz w:val="20"/>
                <w:szCs w:val="20"/>
              </w:rPr>
            </w:pPr>
          </w:p>
        </w:tc>
        <w:tc>
          <w:tcPr>
            <w:tcW w:w="2870" w:type="dxa"/>
            <w:shd w:val="clear" w:color="auto" w:fill="1E3A5F"/>
          </w:tcPr>
          <w:p w14:paraId="655FAF15"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Existing product</w:t>
            </w:r>
          </w:p>
        </w:tc>
        <w:tc>
          <w:tcPr>
            <w:tcW w:w="4330" w:type="dxa"/>
            <w:shd w:val="clear" w:color="auto" w:fill="1E3A5F"/>
          </w:tcPr>
          <w:p w14:paraId="22CCB6CF"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New product</w:t>
            </w:r>
          </w:p>
        </w:tc>
      </w:tr>
      <w:tr w:rsidR="00881FA8" w:rsidRPr="0045386C" w14:paraId="08053D96" w14:textId="77777777" w:rsidTr="0045386C">
        <w:tc>
          <w:tcPr>
            <w:tcW w:w="1800" w:type="dxa"/>
            <w:shd w:val="clear" w:color="auto" w:fill="1E3A5F"/>
          </w:tcPr>
          <w:p w14:paraId="3B84C211"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Existing brand</w:t>
            </w:r>
          </w:p>
        </w:tc>
        <w:tc>
          <w:tcPr>
            <w:tcW w:w="2870" w:type="dxa"/>
            <w:shd w:val="clear" w:color="auto" w:fill="F0F4F8"/>
          </w:tcPr>
          <w:p w14:paraId="6F15CA48"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1A1A1A"/>
                <w:sz w:val="20"/>
                <w:szCs w:val="20"/>
              </w:rPr>
              <w:t>Line extension</w:t>
            </w:r>
          </w:p>
          <w:p w14:paraId="31FE30A1"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color w:val="555555"/>
                <w:sz w:val="20"/>
                <w:szCs w:val="20"/>
              </w:rPr>
              <w:t>Same brand, existing category</w:t>
            </w:r>
          </w:p>
        </w:tc>
        <w:tc>
          <w:tcPr>
            <w:tcW w:w="4330" w:type="dxa"/>
            <w:shd w:val="clear" w:color="auto" w:fill="D1E9FF"/>
          </w:tcPr>
          <w:p w14:paraId="7F9C6FB8"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1E3A5F"/>
                <w:sz w:val="20"/>
                <w:szCs w:val="20"/>
              </w:rPr>
              <w:t xml:space="preserve">Brand extension </w:t>
            </w:r>
            <w:r w:rsidRPr="0045386C">
              <w:rPr>
                <w:rFonts w:ascii="Segoe UI Symbol" w:eastAsia="Arial" w:hAnsi="Segoe UI Symbol" w:cs="Segoe UI Symbol"/>
                <w:b/>
                <w:bCs/>
                <w:color w:val="1E3A5F"/>
                <w:sz w:val="20"/>
                <w:szCs w:val="20"/>
              </w:rPr>
              <w:t>✓</w:t>
            </w:r>
          </w:p>
          <w:p w14:paraId="2F76E0E1"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1E3A5F"/>
                <w:sz w:val="20"/>
                <w:szCs w:val="20"/>
              </w:rPr>
              <w:t>BHP Battery Recycling</w:t>
            </w:r>
          </w:p>
          <w:p w14:paraId="7E9DD51A"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color w:val="185FA5"/>
                <w:sz w:val="20"/>
                <w:szCs w:val="20"/>
              </w:rPr>
              <w:t>Existing brand name → new product category (battery materials recovery)</w:t>
            </w:r>
          </w:p>
        </w:tc>
      </w:tr>
      <w:tr w:rsidR="00881FA8" w:rsidRPr="0045386C" w14:paraId="1DF98195" w14:textId="77777777" w:rsidTr="0045386C">
        <w:tc>
          <w:tcPr>
            <w:tcW w:w="1800" w:type="dxa"/>
            <w:shd w:val="clear" w:color="auto" w:fill="1E3A5F"/>
          </w:tcPr>
          <w:p w14:paraId="4C184FC6"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New brand</w:t>
            </w:r>
          </w:p>
        </w:tc>
        <w:tc>
          <w:tcPr>
            <w:tcW w:w="2870" w:type="dxa"/>
            <w:shd w:val="clear" w:color="auto" w:fill="F0F4F8"/>
          </w:tcPr>
          <w:p w14:paraId="5BB9462E" w14:textId="77777777" w:rsidR="00881FA8" w:rsidRPr="0045386C" w:rsidRDefault="00881FA8" w:rsidP="0045386C">
            <w:pPr>
              <w:spacing w:after="0" w:line="240" w:lineRule="auto"/>
              <w:jc w:val="both"/>
              <w:rPr>
                <w:rFonts w:ascii="Arial" w:hAnsi="Arial" w:cs="Arial"/>
                <w:sz w:val="20"/>
                <w:szCs w:val="20"/>
              </w:rPr>
            </w:pPr>
            <w:proofErr w:type="spellStart"/>
            <w:r w:rsidRPr="0045386C">
              <w:rPr>
                <w:rFonts w:ascii="Arial" w:eastAsia="Arial" w:hAnsi="Arial" w:cs="Arial"/>
                <w:b/>
                <w:bCs/>
                <w:color w:val="1A1A1A"/>
                <w:sz w:val="20"/>
                <w:szCs w:val="20"/>
              </w:rPr>
              <w:t>Multibrands</w:t>
            </w:r>
            <w:proofErr w:type="spellEnd"/>
          </w:p>
          <w:p w14:paraId="6DC63816"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color w:val="555555"/>
                <w:sz w:val="20"/>
                <w:szCs w:val="20"/>
              </w:rPr>
              <w:t>New brand, existing category</w:t>
            </w:r>
          </w:p>
        </w:tc>
        <w:tc>
          <w:tcPr>
            <w:tcW w:w="4330" w:type="dxa"/>
            <w:shd w:val="clear" w:color="auto" w:fill="F0F4F8"/>
          </w:tcPr>
          <w:p w14:paraId="68629AFA"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b/>
                <w:bCs/>
                <w:color w:val="1A1A1A"/>
                <w:sz w:val="20"/>
                <w:szCs w:val="20"/>
              </w:rPr>
              <w:t>New brands</w:t>
            </w:r>
          </w:p>
          <w:p w14:paraId="29E053BF" w14:textId="77777777" w:rsidR="00881FA8" w:rsidRPr="0045386C" w:rsidRDefault="00881FA8" w:rsidP="0045386C">
            <w:pPr>
              <w:spacing w:after="0" w:line="240" w:lineRule="auto"/>
              <w:jc w:val="both"/>
              <w:rPr>
                <w:rFonts w:ascii="Arial" w:hAnsi="Arial" w:cs="Arial"/>
                <w:sz w:val="20"/>
                <w:szCs w:val="20"/>
              </w:rPr>
            </w:pPr>
            <w:r w:rsidRPr="0045386C">
              <w:rPr>
                <w:rFonts w:ascii="Arial" w:eastAsia="Arial" w:hAnsi="Arial" w:cs="Arial"/>
                <w:color w:val="555555"/>
                <w:sz w:val="20"/>
                <w:szCs w:val="20"/>
              </w:rPr>
              <w:t>New brand, new category</w:t>
            </w:r>
          </w:p>
        </w:tc>
      </w:tr>
    </w:tbl>
    <w:p w14:paraId="641DDC99" w14:textId="07ECF7A4" w:rsidR="00881FA8" w:rsidRPr="0045386C" w:rsidRDefault="00881FA8"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Arial" w:hAnsi="Arial" w:cs="Arial"/>
          <w:i/>
          <w:iCs/>
          <w:color w:val="666666"/>
          <w:sz w:val="16"/>
          <w:szCs w:val="16"/>
        </w:rPr>
        <w:t xml:space="preserve">Note: BHP Battery Recycling occupies the Brand Extension quadrant — an existing brand name entering a new product </w:t>
      </w:r>
    </w:p>
    <w:p w14:paraId="423D023D" w14:textId="77777777" w:rsidR="00A055A9" w:rsidRPr="0045386C" w:rsidRDefault="00A055A9" w:rsidP="00CF6BFD">
      <w:pPr>
        <w:spacing w:after="0" w:line="360" w:lineRule="auto"/>
        <w:jc w:val="both"/>
        <w:rPr>
          <w:rFonts w:ascii="Arial" w:eastAsia="Times New Roman" w:hAnsi="Arial" w:cs="Arial"/>
          <w:b/>
          <w:bCs/>
          <w:kern w:val="0"/>
          <w:sz w:val="24"/>
          <w:szCs w:val="24"/>
          <w:lang w:eastAsia="en-IN"/>
          <w14:ligatures w14:val="none"/>
        </w:rPr>
      </w:pPr>
    </w:p>
    <w:p w14:paraId="0D8E35D9" w14:textId="10EBD452"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Times New Roman" w:hAnsi="Arial" w:cs="Arial"/>
          <w:b/>
          <w:bCs/>
          <w:kern w:val="0"/>
          <w:sz w:val="24"/>
          <w:szCs w:val="24"/>
          <w:lang w:eastAsia="en-IN"/>
          <w14:ligatures w14:val="none"/>
        </w:rPr>
        <w:t>Geographic Segmentation</w:t>
      </w:r>
    </w:p>
    <w:p w14:paraId="23B484A0" w14:textId="7351A79B"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The European Union is the main market of BHP Battery Recycling, and European battery regulation 2023/1542 requires a minimum of 15 percent recycled nickel content of electric vehicle batteries by 2036 and therefore has </w:t>
      </w:r>
      <w:r w:rsidR="000617A7" w:rsidRPr="0045386C">
        <w:rPr>
          <w:rFonts w:ascii="Arial" w:hAnsi="Arial" w:cs="Arial"/>
          <w:sz w:val="24"/>
          <w:szCs w:val="24"/>
        </w:rPr>
        <w:t>a</w:t>
      </w:r>
      <w:r w:rsidRPr="0045386C">
        <w:rPr>
          <w:rFonts w:ascii="Arial" w:hAnsi="Arial" w:cs="Arial"/>
          <w:sz w:val="24"/>
          <w:szCs w:val="24"/>
        </w:rPr>
        <w:t xml:space="preserve"> legally binding demand on recycled battery materials (European Commission, 2023). Asia-Pacific is a major secondary market, especially Japan, South Korea and China</w:t>
      </w:r>
      <w:r w:rsidR="000617A7" w:rsidRPr="0045386C">
        <w:rPr>
          <w:rFonts w:ascii="Arial" w:hAnsi="Arial" w:cs="Arial"/>
          <w:sz w:val="24"/>
          <w:szCs w:val="24"/>
        </w:rPr>
        <w:t>,</w:t>
      </w:r>
      <w:r w:rsidRPr="0045386C">
        <w:rPr>
          <w:rFonts w:ascii="Arial" w:hAnsi="Arial" w:cs="Arial"/>
          <w:sz w:val="24"/>
          <w:szCs w:val="24"/>
        </w:rPr>
        <w:t xml:space="preserve"> where most of the EV battery production in the world is concentrated (IEA, 2025). North America is a developing tertiary market, with rising EV adoption and new critical minerals policy frameworks.</w:t>
      </w:r>
    </w:p>
    <w:p w14:paraId="5F50A9D7" w14:textId="77777777"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Times New Roman" w:hAnsi="Arial" w:cs="Arial"/>
          <w:b/>
          <w:bCs/>
          <w:kern w:val="0"/>
          <w:sz w:val="24"/>
          <w:szCs w:val="24"/>
          <w:lang w:eastAsia="en-IN"/>
          <w14:ligatures w14:val="none"/>
        </w:rPr>
        <w:t>Demographic Segmentation</w:t>
      </w:r>
    </w:p>
    <w:p w14:paraId="34909464" w14:textId="3C59FCBB"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BHP Battery Recycling is a business-to-business (B2B) brand extension. Demographic segmentation, therefore, targets organisational and not individual buyers. Large-scale EV battery producers, automotive original equipment manufacturers (OEMs), and industrial energy storage companies with the purchasing volume to bulk-buy recycled nickel are target organisations. </w:t>
      </w:r>
      <w:r w:rsidR="003478C0" w:rsidRPr="0045386C">
        <w:rPr>
          <w:rFonts w:ascii="Arial" w:hAnsi="Arial" w:cs="Arial"/>
          <w:sz w:val="24"/>
          <w:szCs w:val="24"/>
        </w:rPr>
        <w:t xml:space="preserve">Companies operating </w:t>
      </w:r>
      <w:r w:rsidR="003478C0" w:rsidRPr="0045386C">
        <w:rPr>
          <w:rFonts w:ascii="Arial" w:hAnsi="Arial" w:cs="Arial"/>
          <w:sz w:val="24"/>
          <w:szCs w:val="24"/>
        </w:rPr>
        <w:lastRenderedPageBreak/>
        <w:t>within or supplying into EU-regulated markets are of particular commercial relevance due to the imminent compliance deadlines.</w:t>
      </w:r>
      <w:r w:rsidRPr="0045386C">
        <w:rPr>
          <w:rFonts w:ascii="Arial" w:hAnsi="Arial" w:cs="Arial"/>
          <w:sz w:val="24"/>
          <w:szCs w:val="24"/>
        </w:rPr>
        <w:t xml:space="preserve"> </w:t>
      </w:r>
    </w:p>
    <w:p w14:paraId="2999A0C3" w14:textId="77777777"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Times New Roman" w:hAnsi="Arial" w:cs="Arial"/>
          <w:b/>
          <w:bCs/>
          <w:kern w:val="0"/>
          <w:sz w:val="24"/>
          <w:szCs w:val="24"/>
          <w:lang w:eastAsia="en-IN"/>
          <w14:ligatures w14:val="none"/>
        </w:rPr>
        <w:t>Psychographic Segmentation</w:t>
      </w:r>
    </w:p>
    <w:p w14:paraId="05B929EB" w14:textId="25C2AD95"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Target organisations, </w:t>
      </w:r>
      <w:proofErr w:type="spellStart"/>
      <w:r w:rsidRPr="0045386C">
        <w:rPr>
          <w:rFonts w:ascii="Arial" w:hAnsi="Arial" w:cs="Arial"/>
          <w:sz w:val="24"/>
          <w:szCs w:val="24"/>
        </w:rPr>
        <w:t>psychographically</w:t>
      </w:r>
      <w:proofErr w:type="spellEnd"/>
      <w:r w:rsidRPr="0045386C">
        <w:rPr>
          <w:rFonts w:ascii="Arial" w:hAnsi="Arial" w:cs="Arial"/>
          <w:sz w:val="24"/>
          <w:szCs w:val="24"/>
        </w:rPr>
        <w:t>,</w:t>
      </w:r>
      <w:r w:rsidR="00EF7EA0" w:rsidRPr="0045386C">
        <w:rPr>
          <w:rFonts w:ascii="Arial" w:hAnsi="Arial" w:cs="Arial"/>
          <w:sz w:val="24"/>
          <w:szCs w:val="24"/>
        </w:rPr>
        <w:t xml:space="preserve"> </w:t>
      </w:r>
      <w:r w:rsidRPr="0045386C">
        <w:rPr>
          <w:rFonts w:ascii="Arial" w:hAnsi="Arial" w:cs="Arial"/>
          <w:sz w:val="24"/>
          <w:szCs w:val="24"/>
        </w:rPr>
        <w:t xml:space="preserve">have high environmental, social and governance (ESG) commitments, and publicly declared net-zero ambitions. </w:t>
      </w:r>
      <w:proofErr w:type="spellStart"/>
      <w:r w:rsidRPr="0045386C">
        <w:rPr>
          <w:rFonts w:ascii="Arial" w:hAnsi="Arial" w:cs="Arial"/>
          <w:sz w:val="24"/>
          <w:szCs w:val="24"/>
        </w:rPr>
        <w:t>Amegboleza</w:t>
      </w:r>
      <w:proofErr w:type="spellEnd"/>
      <w:r w:rsidRPr="0045386C">
        <w:rPr>
          <w:rFonts w:ascii="Arial" w:hAnsi="Arial" w:cs="Arial"/>
          <w:sz w:val="24"/>
          <w:szCs w:val="24"/>
        </w:rPr>
        <w:t xml:space="preserve"> and Ülkü (2025) point out that companies in the mining sector are under growing investor and regulatory pressure to show ESG leadership and commitment to the circular economy. Kemper, Hall and Ballantine (2019) also claim that sustainability is no longer a marginal issue but an element of business strategy in all industries. Target buyers are thus characterised by values based on responsible sourcing, supply chain transparency and alignment with the concept of a circular economy.</w:t>
      </w:r>
    </w:p>
    <w:p w14:paraId="2B89BE04" w14:textId="77777777"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eastAsia="Times New Roman" w:hAnsi="Arial" w:cs="Arial"/>
          <w:b/>
          <w:bCs/>
          <w:kern w:val="0"/>
          <w:sz w:val="24"/>
          <w:szCs w:val="24"/>
          <w:lang w:eastAsia="en-IN"/>
          <w14:ligatures w14:val="none"/>
        </w:rPr>
        <w:t>Behavioural Segmentation</w:t>
      </w:r>
    </w:p>
    <w:p w14:paraId="0DEC8147" w14:textId="0002FB0B" w:rsidR="001E576E" w:rsidRPr="0045386C" w:rsidRDefault="00671956" w:rsidP="00CF6BFD">
      <w:pPr>
        <w:spacing w:after="0" w:line="360" w:lineRule="auto"/>
        <w:jc w:val="both"/>
        <w:rPr>
          <w:rFonts w:ascii="Arial" w:hAnsi="Arial" w:cs="Arial"/>
          <w:sz w:val="24"/>
          <w:szCs w:val="24"/>
        </w:rPr>
      </w:pPr>
      <w:r w:rsidRPr="0045386C">
        <w:rPr>
          <w:rFonts w:ascii="Arial" w:hAnsi="Arial" w:cs="Arial"/>
          <w:sz w:val="24"/>
          <w:szCs w:val="24"/>
        </w:rPr>
        <w:t xml:space="preserve">The most commercially viable segment, behaviourally, includes organisations that are currently planning to comply with regulation and have shown previous involvement with sustainable procurement. According to Kirchherr, </w:t>
      </w:r>
      <w:proofErr w:type="spellStart"/>
      <w:r w:rsidRPr="0045386C">
        <w:rPr>
          <w:rFonts w:ascii="Arial" w:hAnsi="Arial" w:cs="Arial"/>
          <w:sz w:val="24"/>
          <w:szCs w:val="24"/>
        </w:rPr>
        <w:t>Reike</w:t>
      </w:r>
      <w:proofErr w:type="spellEnd"/>
      <w:r w:rsidRPr="0045386C">
        <w:rPr>
          <w:rFonts w:ascii="Arial" w:hAnsi="Arial" w:cs="Arial"/>
          <w:sz w:val="24"/>
          <w:szCs w:val="24"/>
        </w:rPr>
        <w:t xml:space="preserve"> and Hekkert (2017), the implementation of the circular economy is motivated by both regulatory and strategic business pressure. The current business relationship that BHP has with Tesla, namely the battery-grade nickel supply agreement signed in 2021 (BHP, 2024a)</w:t>
      </w:r>
      <w:r w:rsidR="00EF7EA0" w:rsidRPr="0045386C">
        <w:rPr>
          <w:rFonts w:ascii="Arial" w:hAnsi="Arial" w:cs="Arial"/>
          <w:sz w:val="24"/>
          <w:szCs w:val="24"/>
        </w:rPr>
        <w:t>,</w:t>
      </w:r>
      <w:r w:rsidRPr="0045386C">
        <w:rPr>
          <w:rFonts w:ascii="Arial" w:hAnsi="Arial" w:cs="Arial"/>
          <w:sz w:val="24"/>
          <w:szCs w:val="24"/>
        </w:rPr>
        <w:t xml:space="preserve"> indicates that a portion of highly relevant buyers already exists in the commercial network of BHP and the barriers to its acquisition are significantly lowered.</w:t>
      </w:r>
    </w:p>
    <w:p w14:paraId="26CE2237" w14:textId="77777777" w:rsidR="00243F38" w:rsidRPr="0045386C" w:rsidRDefault="00243F38" w:rsidP="00CF6BFD">
      <w:pPr>
        <w:spacing w:after="0" w:line="360" w:lineRule="auto"/>
        <w:jc w:val="both"/>
        <w:rPr>
          <w:rFonts w:ascii="Arial" w:hAnsi="Arial" w:cs="Arial"/>
        </w:rPr>
      </w:pPr>
    </w:p>
    <w:p w14:paraId="6F7E4AD8" w14:textId="3F4CC08B" w:rsidR="00243F38" w:rsidRPr="0045386C" w:rsidRDefault="00243F38" w:rsidP="00CF6BFD">
      <w:pPr>
        <w:spacing w:line="360" w:lineRule="auto"/>
        <w:jc w:val="both"/>
        <w:rPr>
          <w:rStyle w:val="Strong"/>
          <w:rFonts w:ascii="Arial" w:hAnsi="Arial" w:cs="Arial"/>
        </w:rPr>
      </w:pPr>
      <w:r w:rsidRPr="0045386C">
        <w:rPr>
          <w:rStyle w:val="Strong"/>
          <w:rFonts w:ascii="Arial" w:hAnsi="Arial" w:cs="Arial"/>
          <w:sz w:val="24"/>
          <w:szCs w:val="24"/>
        </w:rPr>
        <w:t xml:space="preserve">Table </w:t>
      </w:r>
      <w:r w:rsidR="00881FA8" w:rsidRPr="0045386C">
        <w:rPr>
          <w:rStyle w:val="Strong"/>
          <w:rFonts w:ascii="Arial" w:hAnsi="Arial" w:cs="Arial"/>
          <w:sz w:val="24"/>
          <w:szCs w:val="24"/>
        </w:rPr>
        <w:t>2</w:t>
      </w:r>
      <w:r w:rsidRPr="0045386C">
        <w:rPr>
          <w:rStyle w:val="Strong"/>
          <w:rFonts w:ascii="Arial" w:hAnsi="Arial" w:cs="Arial"/>
          <w:sz w:val="24"/>
          <w:szCs w:val="24"/>
        </w:rPr>
        <w:t>: Market segmentation summary for BHP Battery Recycling</w:t>
      </w:r>
    </w:p>
    <w:tbl>
      <w:tblPr>
        <w:tblW w:w="9000" w:type="dxa"/>
        <w:tblBorders>
          <w:top w:val="single" w:sz="6" w:space="0" w:color="1E3A5F"/>
          <w:left w:val="single" w:sz="6" w:space="0" w:color="1E3A5F"/>
          <w:bottom w:val="single" w:sz="6" w:space="0" w:color="1E3A5F"/>
          <w:right w:val="single" w:sz="6" w:space="0" w:color="1E3A5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3500"/>
        <w:gridCol w:w="3700"/>
      </w:tblGrid>
      <w:tr w:rsidR="00243F38" w:rsidRPr="0045386C" w14:paraId="44B86277" w14:textId="77777777" w:rsidTr="00243F38">
        <w:tc>
          <w:tcPr>
            <w:tcW w:w="1800" w:type="dxa"/>
            <w:tcBorders>
              <w:top w:val="single" w:sz="6" w:space="0" w:color="1E3A5F"/>
              <w:left w:val="single" w:sz="6" w:space="0" w:color="1E3A5F"/>
              <w:bottom w:val="single" w:sz="4" w:space="0" w:color="auto"/>
              <w:right w:val="single" w:sz="4" w:space="0" w:color="auto"/>
            </w:tcBorders>
            <w:shd w:val="clear" w:color="auto" w:fill="1E3A5F"/>
            <w:vAlign w:val="center"/>
            <w:hideMark/>
          </w:tcPr>
          <w:p w14:paraId="5B0A28EB"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Variable</w:t>
            </w:r>
          </w:p>
        </w:tc>
        <w:tc>
          <w:tcPr>
            <w:tcW w:w="3500" w:type="dxa"/>
            <w:tcBorders>
              <w:top w:val="single" w:sz="6" w:space="0" w:color="1E3A5F"/>
              <w:left w:val="single" w:sz="4" w:space="0" w:color="auto"/>
              <w:bottom w:val="single" w:sz="4" w:space="0" w:color="auto"/>
              <w:right w:val="single" w:sz="4" w:space="0" w:color="auto"/>
            </w:tcBorders>
            <w:shd w:val="clear" w:color="auto" w:fill="1E3A5F"/>
            <w:vAlign w:val="center"/>
            <w:hideMark/>
          </w:tcPr>
          <w:p w14:paraId="2FD0A14E"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Key characteristics</w:t>
            </w:r>
          </w:p>
        </w:tc>
        <w:tc>
          <w:tcPr>
            <w:tcW w:w="3700" w:type="dxa"/>
            <w:tcBorders>
              <w:top w:val="single" w:sz="6" w:space="0" w:color="1E3A5F"/>
              <w:left w:val="single" w:sz="4" w:space="0" w:color="auto"/>
              <w:bottom w:val="single" w:sz="4" w:space="0" w:color="auto"/>
              <w:right w:val="single" w:sz="6" w:space="0" w:color="1E3A5F"/>
            </w:tcBorders>
            <w:shd w:val="clear" w:color="auto" w:fill="1E3A5F"/>
            <w:vAlign w:val="center"/>
            <w:hideMark/>
          </w:tcPr>
          <w:p w14:paraId="71C8F052"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Primary relevance</w:t>
            </w:r>
          </w:p>
        </w:tc>
      </w:tr>
      <w:tr w:rsidR="00243F38" w:rsidRPr="0045386C" w14:paraId="64C93F67" w14:textId="77777777" w:rsidTr="00243F38">
        <w:tc>
          <w:tcPr>
            <w:tcW w:w="1800" w:type="dxa"/>
            <w:tcBorders>
              <w:top w:val="single" w:sz="4" w:space="0" w:color="auto"/>
              <w:left w:val="single" w:sz="6" w:space="0" w:color="1E3A5F"/>
              <w:bottom w:val="single" w:sz="4" w:space="0" w:color="auto"/>
              <w:right w:val="single" w:sz="4" w:space="0" w:color="auto"/>
            </w:tcBorders>
            <w:shd w:val="clear" w:color="auto" w:fill="DBEAFE"/>
            <w:hideMark/>
          </w:tcPr>
          <w:p w14:paraId="70A63FA0"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1E3A5F"/>
                <w:sz w:val="20"/>
                <w:szCs w:val="20"/>
              </w:rPr>
              <w:t>Geographic</w:t>
            </w:r>
          </w:p>
        </w:tc>
        <w:tc>
          <w:tcPr>
            <w:tcW w:w="3500" w:type="dxa"/>
            <w:tcBorders>
              <w:top w:val="single" w:sz="4" w:space="0" w:color="auto"/>
              <w:left w:val="single" w:sz="4" w:space="0" w:color="auto"/>
              <w:bottom w:val="single" w:sz="4" w:space="0" w:color="auto"/>
              <w:right w:val="single" w:sz="4" w:space="0" w:color="auto"/>
            </w:tcBorders>
            <w:shd w:val="clear" w:color="auto" w:fill="FFFFFF"/>
            <w:hideMark/>
          </w:tcPr>
          <w:p w14:paraId="34E3D982"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EU (primary), Asia-Pacific (secondary), North America (tertiary)</w:t>
            </w:r>
          </w:p>
        </w:tc>
        <w:tc>
          <w:tcPr>
            <w:tcW w:w="3700" w:type="dxa"/>
            <w:tcBorders>
              <w:top w:val="single" w:sz="4" w:space="0" w:color="auto"/>
              <w:left w:val="single" w:sz="4" w:space="0" w:color="auto"/>
              <w:bottom w:val="single" w:sz="4" w:space="0" w:color="auto"/>
              <w:right w:val="single" w:sz="6" w:space="0" w:color="1E3A5F"/>
            </w:tcBorders>
            <w:shd w:val="clear" w:color="auto" w:fill="FFFFFF"/>
            <w:hideMark/>
          </w:tcPr>
          <w:p w14:paraId="241C17C9"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EU Battery Regulation 2023/1542 creates legally binding demand for recycled nickel content (European Commission, 2023)</w:t>
            </w:r>
          </w:p>
        </w:tc>
      </w:tr>
      <w:tr w:rsidR="00243F38" w:rsidRPr="0045386C" w14:paraId="61699D92" w14:textId="77777777" w:rsidTr="00243F38">
        <w:tc>
          <w:tcPr>
            <w:tcW w:w="1800" w:type="dxa"/>
            <w:tcBorders>
              <w:top w:val="single" w:sz="4" w:space="0" w:color="auto"/>
              <w:left w:val="single" w:sz="6" w:space="0" w:color="1E3A5F"/>
              <w:bottom w:val="single" w:sz="4" w:space="0" w:color="auto"/>
              <w:right w:val="single" w:sz="4" w:space="0" w:color="auto"/>
            </w:tcBorders>
            <w:shd w:val="clear" w:color="auto" w:fill="DCFCE7"/>
            <w:hideMark/>
          </w:tcPr>
          <w:p w14:paraId="179233E7"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166534"/>
                <w:sz w:val="20"/>
                <w:szCs w:val="20"/>
              </w:rPr>
              <w:t>Demographic</w:t>
            </w:r>
          </w:p>
        </w:tc>
        <w:tc>
          <w:tcPr>
            <w:tcW w:w="3500" w:type="dxa"/>
            <w:tcBorders>
              <w:top w:val="single" w:sz="4" w:space="0" w:color="auto"/>
              <w:left w:val="single" w:sz="4" w:space="0" w:color="auto"/>
              <w:bottom w:val="single" w:sz="4" w:space="0" w:color="auto"/>
              <w:right w:val="single" w:sz="4" w:space="0" w:color="auto"/>
            </w:tcBorders>
            <w:shd w:val="clear" w:color="auto" w:fill="F0F4F8"/>
            <w:hideMark/>
          </w:tcPr>
          <w:p w14:paraId="5EDDE475"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B2B — EV battery manufacturers, automotive OEMs, industrial energy storage companies</w:t>
            </w:r>
          </w:p>
        </w:tc>
        <w:tc>
          <w:tcPr>
            <w:tcW w:w="3700" w:type="dxa"/>
            <w:tcBorders>
              <w:top w:val="single" w:sz="4" w:space="0" w:color="auto"/>
              <w:left w:val="single" w:sz="4" w:space="0" w:color="auto"/>
              <w:bottom w:val="single" w:sz="4" w:space="0" w:color="auto"/>
              <w:right w:val="single" w:sz="6" w:space="0" w:color="1E3A5F"/>
            </w:tcBorders>
            <w:shd w:val="clear" w:color="auto" w:fill="F0F4F8"/>
            <w:hideMark/>
          </w:tcPr>
          <w:p w14:paraId="0192378C"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Organisational buyers with EU compliance obligations and procurement capacity at scale (Kotler et al., 2024)</w:t>
            </w:r>
          </w:p>
        </w:tc>
      </w:tr>
      <w:tr w:rsidR="00243F38" w:rsidRPr="0045386C" w14:paraId="67EA5C3F" w14:textId="77777777" w:rsidTr="00243F38">
        <w:tc>
          <w:tcPr>
            <w:tcW w:w="1800" w:type="dxa"/>
            <w:tcBorders>
              <w:top w:val="single" w:sz="4" w:space="0" w:color="auto"/>
              <w:left w:val="single" w:sz="6" w:space="0" w:color="1E3A5F"/>
              <w:bottom w:val="single" w:sz="4" w:space="0" w:color="auto"/>
              <w:right w:val="single" w:sz="4" w:space="0" w:color="auto"/>
            </w:tcBorders>
            <w:shd w:val="clear" w:color="auto" w:fill="EDE9FE"/>
            <w:hideMark/>
          </w:tcPr>
          <w:p w14:paraId="2BCECE39"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4C1D95"/>
                <w:sz w:val="20"/>
                <w:szCs w:val="20"/>
              </w:rPr>
              <w:t>Psychographic</w:t>
            </w:r>
          </w:p>
        </w:tc>
        <w:tc>
          <w:tcPr>
            <w:tcW w:w="3500" w:type="dxa"/>
            <w:tcBorders>
              <w:top w:val="single" w:sz="4" w:space="0" w:color="auto"/>
              <w:left w:val="single" w:sz="4" w:space="0" w:color="auto"/>
              <w:bottom w:val="single" w:sz="4" w:space="0" w:color="auto"/>
              <w:right w:val="single" w:sz="4" w:space="0" w:color="auto"/>
            </w:tcBorders>
            <w:shd w:val="clear" w:color="auto" w:fill="FFFFFF"/>
            <w:hideMark/>
          </w:tcPr>
          <w:p w14:paraId="37CA1A07"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ESG commitments, net-zero ambitions, circular economy values, responsible sourcing priority</w:t>
            </w:r>
          </w:p>
        </w:tc>
        <w:tc>
          <w:tcPr>
            <w:tcW w:w="3700" w:type="dxa"/>
            <w:tcBorders>
              <w:top w:val="single" w:sz="4" w:space="0" w:color="auto"/>
              <w:left w:val="single" w:sz="4" w:space="0" w:color="auto"/>
              <w:bottom w:val="single" w:sz="4" w:space="0" w:color="auto"/>
              <w:right w:val="single" w:sz="6" w:space="0" w:color="1E3A5F"/>
            </w:tcBorders>
            <w:shd w:val="clear" w:color="auto" w:fill="FFFFFF"/>
            <w:hideMark/>
          </w:tcPr>
          <w:p w14:paraId="5F5556A8" w14:textId="77777777" w:rsidR="00243F38" w:rsidRPr="0045386C" w:rsidRDefault="00243F38" w:rsidP="0045386C">
            <w:pPr>
              <w:spacing w:after="0" w:line="240" w:lineRule="auto"/>
              <w:jc w:val="both"/>
              <w:rPr>
                <w:rFonts w:ascii="Arial" w:hAnsi="Arial" w:cs="Arial"/>
                <w:sz w:val="20"/>
                <w:szCs w:val="20"/>
              </w:rPr>
            </w:pPr>
            <w:proofErr w:type="spellStart"/>
            <w:r w:rsidRPr="0045386C">
              <w:rPr>
                <w:rFonts w:ascii="Arial" w:eastAsia="Arial" w:hAnsi="Arial" w:cs="Arial"/>
                <w:i/>
                <w:iCs/>
                <w:color w:val="444444"/>
                <w:sz w:val="20"/>
                <w:szCs w:val="20"/>
              </w:rPr>
              <w:t>Amegboleza</w:t>
            </w:r>
            <w:proofErr w:type="spellEnd"/>
            <w:r w:rsidRPr="0045386C">
              <w:rPr>
                <w:rFonts w:ascii="Arial" w:eastAsia="Arial" w:hAnsi="Arial" w:cs="Arial"/>
                <w:i/>
                <w:iCs/>
                <w:color w:val="444444"/>
                <w:sz w:val="20"/>
                <w:szCs w:val="20"/>
              </w:rPr>
              <w:t xml:space="preserve"> and Ülkü (2025); Kemper, Hall and Ballantine (2019)</w:t>
            </w:r>
          </w:p>
        </w:tc>
      </w:tr>
      <w:tr w:rsidR="00243F38" w:rsidRPr="0045386C" w14:paraId="3FB2BCE2" w14:textId="77777777" w:rsidTr="00243F38">
        <w:tc>
          <w:tcPr>
            <w:tcW w:w="1800" w:type="dxa"/>
            <w:tcBorders>
              <w:top w:val="single" w:sz="4" w:space="0" w:color="auto"/>
              <w:left w:val="single" w:sz="6" w:space="0" w:color="1E3A5F"/>
              <w:bottom w:val="single" w:sz="6" w:space="0" w:color="1E3A5F"/>
              <w:right w:val="single" w:sz="4" w:space="0" w:color="auto"/>
            </w:tcBorders>
            <w:shd w:val="clear" w:color="auto" w:fill="FEF3C7"/>
            <w:hideMark/>
          </w:tcPr>
          <w:p w14:paraId="24E1C856"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b/>
                <w:bCs/>
                <w:color w:val="78350F"/>
                <w:sz w:val="20"/>
                <w:szCs w:val="20"/>
              </w:rPr>
              <w:t>Behavioural</w:t>
            </w:r>
          </w:p>
        </w:tc>
        <w:tc>
          <w:tcPr>
            <w:tcW w:w="3500" w:type="dxa"/>
            <w:tcBorders>
              <w:top w:val="single" w:sz="4" w:space="0" w:color="auto"/>
              <w:left w:val="single" w:sz="4" w:space="0" w:color="auto"/>
              <w:bottom w:val="single" w:sz="6" w:space="0" w:color="1E3A5F"/>
              <w:right w:val="single" w:sz="4" w:space="0" w:color="auto"/>
            </w:tcBorders>
            <w:shd w:val="clear" w:color="auto" w:fill="F0F4F8"/>
            <w:hideMark/>
          </w:tcPr>
          <w:p w14:paraId="04CF50DB"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Compliance-driven procurement, prior sustainable procurement engagement, existing BHP supply relationships</w:t>
            </w:r>
          </w:p>
        </w:tc>
        <w:tc>
          <w:tcPr>
            <w:tcW w:w="3700" w:type="dxa"/>
            <w:tcBorders>
              <w:top w:val="single" w:sz="4" w:space="0" w:color="auto"/>
              <w:left w:val="single" w:sz="4" w:space="0" w:color="auto"/>
              <w:bottom w:val="single" w:sz="6" w:space="0" w:color="1E3A5F"/>
              <w:right w:val="single" w:sz="6" w:space="0" w:color="1E3A5F"/>
            </w:tcBorders>
            <w:shd w:val="clear" w:color="auto" w:fill="F0F4F8"/>
            <w:hideMark/>
          </w:tcPr>
          <w:p w14:paraId="205D8B39" w14:textId="77777777" w:rsidR="00243F38" w:rsidRPr="0045386C" w:rsidRDefault="00243F38"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 xml:space="preserve">Kirchherr, </w:t>
            </w:r>
            <w:proofErr w:type="spellStart"/>
            <w:r w:rsidRPr="0045386C">
              <w:rPr>
                <w:rFonts w:ascii="Arial" w:eastAsia="Arial" w:hAnsi="Arial" w:cs="Arial"/>
                <w:i/>
                <w:iCs/>
                <w:color w:val="444444"/>
                <w:sz w:val="20"/>
                <w:szCs w:val="20"/>
              </w:rPr>
              <w:t>Reike</w:t>
            </w:r>
            <w:proofErr w:type="spellEnd"/>
            <w:r w:rsidRPr="0045386C">
              <w:rPr>
                <w:rFonts w:ascii="Arial" w:eastAsia="Arial" w:hAnsi="Arial" w:cs="Arial"/>
                <w:i/>
                <w:iCs/>
                <w:color w:val="444444"/>
                <w:sz w:val="20"/>
                <w:szCs w:val="20"/>
              </w:rPr>
              <w:t xml:space="preserve"> and Hekkert (2017); BHP (2024a)</w:t>
            </w:r>
          </w:p>
        </w:tc>
      </w:tr>
    </w:tbl>
    <w:p w14:paraId="09BE8C51" w14:textId="77777777" w:rsidR="00243F38" w:rsidRPr="0045386C" w:rsidRDefault="00243F38" w:rsidP="00CF6BFD">
      <w:pPr>
        <w:spacing w:after="0" w:line="360" w:lineRule="auto"/>
        <w:jc w:val="both"/>
        <w:rPr>
          <w:rFonts w:ascii="Arial" w:eastAsia="Times New Roman" w:hAnsi="Arial" w:cs="Arial"/>
          <w:kern w:val="0"/>
          <w:sz w:val="24"/>
          <w:szCs w:val="24"/>
          <w:lang w:eastAsia="en-IN"/>
          <w14:ligatures w14:val="none"/>
        </w:rPr>
      </w:pPr>
    </w:p>
    <w:p w14:paraId="45284294"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Target Audience</w:t>
      </w:r>
    </w:p>
    <w:p w14:paraId="348F140A" w14:textId="647085C2"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lastRenderedPageBreak/>
        <w:t>The main audience of BHP Battery Recycling is manufacturers of EV batteries and automotive OEMs with presence or supply in EU-regulated markets. This segment is chosen based on three criteria.</w:t>
      </w:r>
    </w:p>
    <w:p w14:paraId="7000892A" w14:textId="2A5437D0"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First, the size of </w:t>
      </w:r>
      <w:r w:rsidR="00EF7EA0" w:rsidRPr="0045386C">
        <w:rPr>
          <w:rFonts w:ascii="Arial" w:hAnsi="Arial" w:cs="Arial"/>
          <w:sz w:val="24"/>
          <w:szCs w:val="24"/>
        </w:rPr>
        <w:t xml:space="preserve">the </w:t>
      </w:r>
      <w:r w:rsidRPr="0045386C">
        <w:rPr>
          <w:rFonts w:ascii="Arial" w:hAnsi="Arial" w:cs="Arial"/>
          <w:sz w:val="24"/>
          <w:szCs w:val="24"/>
        </w:rPr>
        <w:t xml:space="preserve">business opportunity is </w:t>
      </w:r>
      <w:r w:rsidR="00EF7EA0" w:rsidRPr="0045386C">
        <w:rPr>
          <w:rFonts w:ascii="Arial" w:hAnsi="Arial" w:cs="Arial"/>
          <w:sz w:val="24"/>
          <w:szCs w:val="24"/>
        </w:rPr>
        <w:t>large</w:t>
      </w:r>
      <w:r w:rsidRPr="0045386C">
        <w:rPr>
          <w:rFonts w:ascii="Arial" w:hAnsi="Arial" w:cs="Arial"/>
          <w:sz w:val="24"/>
          <w:szCs w:val="24"/>
        </w:rPr>
        <w:t xml:space="preserve">. </w:t>
      </w:r>
      <w:r w:rsidR="003478C0" w:rsidRPr="0045386C">
        <w:rPr>
          <w:rFonts w:ascii="Arial" w:hAnsi="Arial" w:cs="Arial"/>
          <w:sz w:val="24"/>
          <w:szCs w:val="24"/>
        </w:rPr>
        <w:t>The global EV battery recycling market is projected to reach approximately USD 15.6 billion by 2030, at a compound annual growth rate of approximately 32% (IEA, 2025).</w:t>
      </w:r>
      <w:r w:rsidRPr="0045386C">
        <w:rPr>
          <w:rFonts w:ascii="Arial" w:hAnsi="Arial" w:cs="Arial"/>
          <w:sz w:val="24"/>
          <w:szCs w:val="24"/>
        </w:rPr>
        <w:t xml:space="preserve"> </w:t>
      </w:r>
      <w:r w:rsidR="00B450D6" w:rsidRPr="0045386C">
        <w:rPr>
          <w:rFonts w:ascii="Arial" w:hAnsi="Arial" w:cs="Arial"/>
          <w:sz w:val="24"/>
          <w:szCs w:val="24"/>
        </w:rPr>
        <w:t xml:space="preserve">This growth is supported by even more exponential growth in EV adoption, as Jung, Schröder and Timme (2023) have shown, EV adoption rates have doubled nearly every 15 months in 17 key economies analyzed. </w:t>
      </w:r>
      <w:r w:rsidRPr="0045386C">
        <w:rPr>
          <w:rFonts w:ascii="Arial" w:hAnsi="Arial" w:cs="Arial"/>
          <w:sz w:val="24"/>
          <w:szCs w:val="24"/>
        </w:rPr>
        <w:t xml:space="preserve">Second, non-discretionary demand is a result of regulatory urgency. EU Battery Regulation 2023/1542 will entail minimum recycled nickel content, </w:t>
      </w:r>
      <w:r w:rsidR="003478C0" w:rsidRPr="0045386C">
        <w:rPr>
          <w:rFonts w:ascii="Arial" w:hAnsi="Arial" w:cs="Arial"/>
          <w:sz w:val="24"/>
          <w:szCs w:val="24"/>
        </w:rPr>
        <w:t>compelling manufacturers to use certified recycled materials or face market exclusion</w:t>
      </w:r>
      <w:r w:rsidRPr="0045386C">
        <w:rPr>
          <w:rFonts w:ascii="Arial" w:hAnsi="Arial" w:cs="Arial"/>
          <w:sz w:val="24"/>
          <w:szCs w:val="24"/>
        </w:rPr>
        <w:t xml:space="preserve"> (European Commission, 2023). Third, BHP has strong brand relations with battery producers that reduce business tensions. As confirmed by Hesse et al. (2022), brand extensions are most successful when perceived fit is high between the parent brand and the new product category - a fact that is evident when the presence of BHP battery supply chain already exists.</w:t>
      </w:r>
    </w:p>
    <w:p w14:paraId="5F9AFFAD" w14:textId="215F91E3"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p>
    <w:p w14:paraId="584F6D95"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Differentiation</w:t>
      </w:r>
    </w:p>
    <w:p w14:paraId="7A2BCFE2" w14:textId="4E4B2A3C"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BHP Battery Recycling also stands out among the rivals such as Umicore, Redwood Materials and Glencore with three substantive benefits. To start with, the Kwinana refinery delivers battery-grade nickel sulphate with 99.99% purity</w:t>
      </w:r>
      <w:r w:rsidR="00EF7EA0" w:rsidRPr="0045386C">
        <w:rPr>
          <w:rFonts w:ascii="Arial" w:hAnsi="Arial" w:cs="Arial"/>
          <w:sz w:val="24"/>
          <w:szCs w:val="24"/>
        </w:rPr>
        <w:t>,</w:t>
      </w:r>
      <w:r w:rsidRPr="0045386C">
        <w:rPr>
          <w:rFonts w:ascii="Arial" w:hAnsi="Arial" w:cs="Arial"/>
          <w:sz w:val="24"/>
          <w:szCs w:val="24"/>
        </w:rPr>
        <w:t xml:space="preserve"> </w:t>
      </w:r>
      <w:r w:rsidR="003478C0" w:rsidRPr="0045386C">
        <w:rPr>
          <w:rFonts w:ascii="Arial" w:hAnsi="Arial" w:cs="Arial"/>
          <w:sz w:val="24"/>
          <w:szCs w:val="24"/>
        </w:rPr>
        <w:t>with a capacity of 100,000 tonnes per year</w:t>
      </w:r>
      <w:r w:rsidRPr="0045386C">
        <w:rPr>
          <w:rFonts w:ascii="Arial" w:hAnsi="Arial" w:cs="Arial"/>
          <w:sz w:val="24"/>
          <w:szCs w:val="24"/>
        </w:rPr>
        <w:t xml:space="preserve"> (BHP, 2024a), a size and technical level that the competitors in pure-play recycling have not yet matched. Second, recycling lowers greenhouse gas emissions by more than 50 percent than traditional mining, as evidenced by the lifecycle analysis (Machala et al., 2025), which offers measurable environmental credentials </w:t>
      </w:r>
      <w:r w:rsidR="00EF7EA0" w:rsidRPr="0045386C">
        <w:rPr>
          <w:rFonts w:ascii="Arial" w:hAnsi="Arial" w:cs="Arial"/>
          <w:sz w:val="24"/>
          <w:szCs w:val="24"/>
        </w:rPr>
        <w:t>that</w:t>
      </w:r>
      <w:r w:rsidRPr="0045386C">
        <w:rPr>
          <w:rFonts w:ascii="Arial" w:hAnsi="Arial" w:cs="Arial"/>
          <w:sz w:val="24"/>
          <w:szCs w:val="24"/>
        </w:rPr>
        <w:t xml:space="preserve"> can be claimed by competitors but proven by BHP. Third, </w:t>
      </w:r>
      <w:proofErr w:type="spellStart"/>
      <w:r w:rsidRPr="0045386C">
        <w:rPr>
          <w:rFonts w:ascii="Arial" w:hAnsi="Arial" w:cs="Arial"/>
          <w:sz w:val="24"/>
          <w:szCs w:val="24"/>
        </w:rPr>
        <w:t>Moravcikova</w:t>
      </w:r>
      <w:proofErr w:type="spellEnd"/>
      <w:r w:rsidRPr="0045386C">
        <w:rPr>
          <w:rFonts w:ascii="Arial" w:hAnsi="Arial" w:cs="Arial"/>
          <w:sz w:val="24"/>
          <w:szCs w:val="24"/>
        </w:rPr>
        <w:t xml:space="preserve"> et al. (2017) posit that a competitive advantage in green marketing can be created only when backed by proven sustainable practices, which BHP reports publicly as net-zero (BHP, 2024b).</w:t>
      </w:r>
    </w:p>
    <w:p w14:paraId="7DD2FA5F" w14:textId="7DC59E87"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p>
    <w:p w14:paraId="21DC16A9"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Positioning</w:t>
      </w:r>
    </w:p>
    <w:p w14:paraId="135E0686" w14:textId="626E8648" w:rsidR="001E576E" w:rsidRPr="0045386C" w:rsidRDefault="003478C0"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BHP Battery Recycling is positioned as the world's most credible</w:t>
      </w:r>
      <w:r w:rsidR="00671956" w:rsidRPr="0045386C">
        <w:rPr>
          <w:rFonts w:ascii="Arial" w:hAnsi="Arial" w:cs="Arial"/>
          <w:sz w:val="24"/>
          <w:szCs w:val="24"/>
        </w:rPr>
        <w:t xml:space="preserve"> and technically advanced supplier of certified recycled battery-grade nickel, providing manufacturers with a supply-chain-secure, regulatory-compliant and environmentally-proven </w:t>
      </w:r>
      <w:r w:rsidR="00671956" w:rsidRPr="0045386C">
        <w:rPr>
          <w:rFonts w:ascii="Arial" w:hAnsi="Arial" w:cs="Arial"/>
          <w:sz w:val="24"/>
          <w:szCs w:val="24"/>
        </w:rPr>
        <w:lastRenderedPageBreak/>
        <w:t xml:space="preserve">alternative to primary mining. This is a three-dimensional positioning. First, the premium sustainability positioning is taken, </w:t>
      </w:r>
      <w:r w:rsidR="00352E9B" w:rsidRPr="0045386C">
        <w:rPr>
          <w:rFonts w:ascii="Arial" w:hAnsi="Arial" w:cs="Arial"/>
          <w:sz w:val="24"/>
          <w:szCs w:val="24"/>
        </w:rPr>
        <w:t xml:space="preserve">PwC (2024) confirms consumers are willing to pay a 9.7% premium for sustainably produced goods, a trend mirrored in B2B procurement. </w:t>
      </w:r>
      <w:r w:rsidR="00671956" w:rsidRPr="0045386C">
        <w:rPr>
          <w:rFonts w:ascii="Arial" w:hAnsi="Arial" w:cs="Arial"/>
          <w:sz w:val="24"/>
          <w:szCs w:val="24"/>
        </w:rPr>
        <w:t xml:space="preserve">Second, </w:t>
      </w:r>
      <w:r w:rsidRPr="0045386C">
        <w:rPr>
          <w:rFonts w:ascii="Arial" w:hAnsi="Arial" w:cs="Arial"/>
          <w:sz w:val="24"/>
          <w:szCs w:val="24"/>
        </w:rPr>
        <w:t>BHP Battery Recycling is positioned as the EU-compliant choice</w:t>
      </w:r>
      <w:r w:rsidR="00671956" w:rsidRPr="0045386C">
        <w:rPr>
          <w:rFonts w:ascii="Arial" w:hAnsi="Arial" w:cs="Arial"/>
          <w:sz w:val="24"/>
          <w:szCs w:val="24"/>
        </w:rPr>
        <w:t xml:space="preserve">, allowing manufacturers to achieve their regulatory requirements by 2036 through one reliable supply chain (European Commission, 2023). Third, </w:t>
      </w:r>
      <w:proofErr w:type="spellStart"/>
      <w:r w:rsidR="00671956" w:rsidRPr="0045386C">
        <w:rPr>
          <w:rFonts w:ascii="Arial" w:hAnsi="Arial" w:cs="Arial"/>
          <w:sz w:val="24"/>
          <w:szCs w:val="24"/>
        </w:rPr>
        <w:t>Górska-Warsewicz</w:t>
      </w:r>
      <w:proofErr w:type="spellEnd"/>
      <w:r w:rsidR="00671956" w:rsidRPr="0045386C">
        <w:rPr>
          <w:rFonts w:ascii="Arial" w:hAnsi="Arial" w:cs="Arial"/>
          <w:sz w:val="24"/>
          <w:szCs w:val="24"/>
        </w:rPr>
        <w:t xml:space="preserve"> et al. (2021) affirm that green brand equity creates lasting competitive advantage - </w:t>
      </w:r>
      <w:r w:rsidR="00352E9B" w:rsidRPr="0045386C">
        <w:rPr>
          <w:rFonts w:ascii="Arial" w:hAnsi="Arial" w:cs="Arial"/>
          <w:sz w:val="24"/>
          <w:szCs w:val="24"/>
        </w:rPr>
        <w:t>BHP's established credibility in mining positions it ahead of new-entrant recycling competitors who lack equivalent brand history.</w:t>
      </w:r>
    </w:p>
    <w:p w14:paraId="08BF3E7D" w14:textId="29DDFB14" w:rsidR="001E576E" w:rsidRPr="0045386C" w:rsidRDefault="001E576E" w:rsidP="00CF6BFD">
      <w:pPr>
        <w:pStyle w:val="Heading1"/>
        <w:spacing w:line="360" w:lineRule="auto"/>
      </w:pPr>
      <w:r w:rsidRPr="0045386C">
        <w:t>ELEMENT 3 — MARKETING MIX (4Ps)</w:t>
      </w:r>
    </w:p>
    <w:p w14:paraId="1330EB40" w14:textId="77777777" w:rsidR="001E576E" w:rsidRPr="0045386C" w:rsidRDefault="001E576E" w:rsidP="00CF6BFD">
      <w:pPr>
        <w:spacing w:after="0" w:line="360" w:lineRule="auto"/>
        <w:jc w:val="both"/>
        <w:outlineLvl w:val="2"/>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Marketing Mix Analysis for BHP Battery Recycling</w:t>
      </w:r>
    </w:p>
    <w:p w14:paraId="56BDBC9B" w14:textId="323A245D" w:rsidR="001E576E" w:rsidRPr="0045386C" w:rsidRDefault="00623D92" w:rsidP="00CF6BFD">
      <w:pPr>
        <w:spacing w:after="0" w:line="360" w:lineRule="auto"/>
        <w:jc w:val="both"/>
        <w:rPr>
          <w:rFonts w:ascii="Arial" w:hAnsi="Arial" w:cs="Arial"/>
          <w:sz w:val="24"/>
          <w:szCs w:val="24"/>
        </w:rPr>
      </w:pPr>
      <w:r w:rsidRPr="0045386C">
        <w:rPr>
          <w:rFonts w:ascii="Arial" w:hAnsi="Arial" w:cs="Arial"/>
          <w:sz w:val="24"/>
          <w:szCs w:val="24"/>
        </w:rPr>
        <w:t xml:space="preserve">Marketing mix suggests a strategic framework by which an organisation realises its brand positioning and delivers value to </w:t>
      </w:r>
      <w:r w:rsidR="00EF7EA0" w:rsidRPr="0045386C">
        <w:rPr>
          <w:rFonts w:ascii="Arial" w:hAnsi="Arial" w:cs="Arial"/>
          <w:sz w:val="24"/>
          <w:szCs w:val="24"/>
        </w:rPr>
        <w:t xml:space="preserve">the </w:t>
      </w:r>
      <w:r w:rsidRPr="0045386C">
        <w:rPr>
          <w:rFonts w:ascii="Arial" w:hAnsi="Arial" w:cs="Arial"/>
          <w:sz w:val="24"/>
          <w:szCs w:val="24"/>
        </w:rPr>
        <w:t>target market (Kotler et al., 2024). In the case of BHP Battery Recycling, each of the 4Ps (Product, Price, Place and Promotion) should be critically aligned with the overall sustainable brand extension strategy to make sure that there is coherence, commercial viability and regulatory relevance.</w:t>
      </w:r>
    </w:p>
    <w:p w14:paraId="1A12BABD" w14:textId="77777777" w:rsidR="00437992" w:rsidRPr="0045386C" w:rsidRDefault="00437992" w:rsidP="00CF6BFD">
      <w:pPr>
        <w:spacing w:line="360" w:lineRule="auto"/>
        <w:jc w:val="both"/>
        <w:rPr>
          <w:rFonts w:ascii="Arial" w:eastAsia="Arial" w:hAnsi="Arial" w:cs="Arial"/>
          <w:b/>
          <w:bCs/>
          <w:color w:val="1A1A1A"/>
          <w:sz w:val="20"/>
          <w:szCs w:val="20"/>
        </w:rPr>
      </w:pPr>
    </w:p>
    <w:p w14:paraId="62DD1743" w14:textId="2696E6B1" w:rsidR="00437992" w:rsidRPr="0045386C" w:rsidRDefault="00437992" w:rsidP="00CF6BFD">
      <w:pPr>
        <w:spacing w:line="360" w:lineRule="auto"/>
        <w:jc w:val="both"/>
        <w:rPr>
          <w:rStyle w:val="Strong"/>
          <w:rFonts w:ascii="Arial" w:hAnsi="Arial" w:cs="Arial"/>
        </w:rPr>
      </w:pPr>
      <w:r w:rsidRPr="0045386C">
        <w:rPr>
          <w:rStyle w:val="Strong"/>
          <w:rFonts w:ascii="Arial" w:hAnsi="Arial" w:cs="Arial"/>
          <w:sz w:val="24"/>
          <w:szCs w:val="24"/>
        </w:rPr>
        <w:t xml:space="preserve">Table </w:t>
      </w:r>
      <w:r w:rsidR="00881FA8" w:rsidRPr="0045386C">
        <w:rPr>
          <w:rStyle w:val="Strong"/>
          <w:rFonts w:ascii="Arial" w:hAnsi="Arial" w:cs="Arial"/>
          <w:sz w:val="24"/>
          <w:szCs w:val="24"/>
        </w:rPr>
        <w:t>3</w:t>
      </w:r>
      <w:r w:rsidRPr="0045386C">
        <w:rPr>
          <w:rStyle w:val="Strong"/>
          <w:rFonts w:ascii="Arial" w:hAnsi="Arial" w:cs="Arial"/>
          <w:sz w:val="24"/>
          <w:szCs w:val="24"/>
        </w:rPr>
        <w:t>: Marketing mix summary for BHP Battery Recycling (4Ps)</w:t>
      </w:r>
    </w:p>
    <w:tbl>
      <w:tblPr>
        <w:tblW w:w="9000" w:type="dxa"/>
        <w:tblBorders>
          <w:top w:val="single" w:sz="6" w:space="0" w:color="1E3A5F"/>
          <w:left w:val="single" w:sz="6" w:space="0" w:color="1E3A5F"/>
          <w:bottom w:val="single" w:sz="6" w:space="0" w:color="1E3A5F"/>
          <w:right w:val="single" w:sz="6" w:space="0" w:color="1E3A5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3900"/>
        <w:gridCol w:w="3600"/>
      </w:tblGrid>
      <w:tr w:rsidR="00437992" w:rsidRPr="0045386C" w14:paraId="7C8A1E9C" w14:textId="77777777" w:rsidTr="00424942">
        <w:tc>
          <w:tcPr>
            <w:tcW w:w="1500" w:type="dxa"/>
            <w:shd w:val="clear" w:color="auto" w:fill="1E3A5F"/>
            <w:vAlign w:val="center"/>
          </w:tcPr>
          <w:p w14:paraId="56D247B8"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Element</w:t>
            </w:r>
          </w:p>
        </w:tc>
        <w:tc>
          <w:tcPr>
            <w:tcW w:w="3900" w:type="dxa"/>
            <w:shd w:val="clear" w:color="auto" w:fill="1E3A5F"/>
            <w:vAlign w:val="center"/>
          </w:tcPr>
          <w:p w14:paraId="5C164AA3"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Strategy</w:t>
            </w:r>
          </w:p>
        </w:tc>
        <w:tc>
          <w:tcPr>
            <w:tcW w:w="3600" w:type="dxa"/>
            <w:shd w:val="clear" w:color="auto" w:fill="1E3A5F"/>
            <w:vAlign w:val="center"/>
          </w:tcPr>
          <w:p w14:paraId="5E3A4586"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FFFFFF"/>
                <w:sz w:val="20"/>
                <w:szCs w:val="20"/>
              </w:rPr>
              <w:t>Sustainability alignment</w:t>
            </w:r>
          </w:p>
        </w:tc>
      </w:tr>
      <w:tr w:rsidR="00437992" w:rsidRPr="0045386C" w14:paraId="2AEFF94E" w14:textId="77777777" w:rsidTr="00424942">
        <w:tc>
          <w:tcPr>
            <w:tcW w:w="1500" w:type="dxa"/>
            <w:shd w:val="clear" w:color="auto" w:fill="DBEAFE"/>
          </w:tcPr>
          <w:p w14:paraId="59C54D51"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1E3A5F"/>
                <w:sz w:val="20"/>
                <w:szCs w:val="20"/>
              </w:rPr>
              <w:t>Product</w:t>
            </w:r>
          </w:p>
        </w:tc>
        <w:tc>
          <w:tcPr>
            <w:tcW w:w="3900" w:type="dxa"/>
            <w:shd w:val="clear" w:color="auto" w:fill="FFFFFF"/>
          </w:tcPr>
          <w:p w14:paraId="01340601"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Certified recycled battery-grade nickel sulphate at 99.99% purity, with independently verified lifecycle assessment data and blockchain supply chain traceability (BHP, 2024a)</w:t>
            </w:r>
          </w:p>
        </w:tc>
        <w:tc>
          <w:tcPr>
            <w:tcW w:w="3600" w:type="dxa"/>
            <w:shd w:val="clear" w:color="auto" w:fill="FFFFFF"/>
          </w:tcPr>
          <w:p w14:paraId="43D70537"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Closes the critical materials loop; reduces GHG emissions by over 50% compared to conventional mining (Machala et al., 2025; Kirchherr et al., 2017)</w:t>
            </w:r>
          </w:p>
        </w:tc>
      </w:tr>
      <w:tr w:rsidR="00437992" w:rsidRPr="0045386C" w14:paraId="12F2E459" w14:textId="77777777" w:rsidTr="00424942">
        <w:tc>
          <w:tcPr>
            <w:tcW w:w="1500" w:type="dxa"/>
            <w:shd w:val="clear" w:color="auto" w:fill="DCFCE7"/>
          </w:tcPr>
          <w:p w14:paraId="533C00F9"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166534"/>
                <w:sz w:val="20"/>
                <w:szCs w:val="20"/>
              </w:rPr>
              <w:t>Price</w:t>
            </w:r>
          </w:p>
        </w:tc>
        <w:tc>
          <w:tcPr>
            <w:tcW w:w="3900" w:type="dxa"/>
            <w:shd w:val="clear" w:color="auto" w:fill="F0F4F8"/>
          </w:tcPr>
          <w:p w14:paraId="3FFE2FEA"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Value-based premium pricing, justified by the regulatory compliance value embedded in the product, green brand equity, and demonstrated willingness to pay a 9.7% premium for sustainably sourced goods (PwC, 2024)</w:t>
            </w:r>
          </w:p>
        </w:tc>
        <w:tc>
          <w:tcPr>
            <w:tcW w:w="3600" w:type="dxa"/>
            <w:shd w:val="clear" w:color="auto" w:fill="F0F4F8"/>
          </w:tcPr>
          <w:p w14:paraId="15810D96"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Green brand equity reduces buyer price sensitivity and legitimises the premium (</w:t>
            </w:r>
            <w:proofErr w:type="spellStart"/>
            <w:r w:rsidRPr="0045386C">
              <w:rPr>
                <w:rFonts w:ascii="Arial" w:eastAsia="Arial" w:hAnsi="Arial" w:cs="Arial"/>
                <w:i/>
                <w:iCs/>
                <w:color w:val="444444"/>
                <w:sz w:val="20"/>
                <w:szCs w:val="20"/>
              </w:rPr>
              <w:t>Górska-Warsewicz</w:t>
            </w:r>
            <w:proofErr w:type="spellEnd"/>
            <w:r w:rsidRPr="0045386C">
              <w:rPr>
                <w:rFonts w:ascii="Arial" w:eastAsia="Arial" w:hAnsi="Arial" w:cs="Arial"/>
                <w:i/>
                <w:iCs/>
                <w:color w:val="444444"/>
                <w:sz w:val="20"/>
                <w:szCs w:val="20"/>
              </w:rPr>
              <w:t xml:space="preserve"> et al., 2021); structural cost advantage from lower energy use in recycling (Machala et al., 2025)</w:t>
            </w:r>
          </w:p>
        </w:tc>
      </w:tr>
      <w:tr w:rsidR="00437992" w:rsidRPr="0045386C" w14:paraId="06933541" w14:textId="77777777" w:rsidTr="00424942">
        <w:tc>
          <w:tcPr>
            <w:tcW w:w="1500" w:type="dxa"/>
            <w:shd w:val="clear" w:color="auto" w:fill="EDE9FE"/>
          </w:tcPr>
          <w:p w14:paraId="0B2EEE4C"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4C1D95"/>
                <w:sz w:val="20"/>
                <w:szCs w:val="20"/>
              </w:rPr>
              <w:t>Place</w:t>
            </w:r>
          </w:p>
        </w:tc>
        <w:tc>
          <w:tcPr>
            <w:tcW w:w="3900" w:type="dxa"/>
            <w:shd w:val="clear" w:color="auto" w:fill="FFFFFF"/>
          </w:tcPr>
          <w:p w14:paraId="2278836C"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Direct B2B supply from Kwinana refinery hub to Asian-Pacific markets; hybrid distribution model for EU markets via strategic alliances or tolling arrangements with established European processors (IEA, 2025)</w:t>
            </w:r>
          </w:p>
        </w:tc>
        <w:tc>
          <w:tcPr>
            <w:tcW w:w="3600" w:type="dxa"/>
            <w:shd w:val="clear" w:color="auto" w:fill="FFFFFF"/>
          </w:tcPr>
          <w:p w14:paraId="0456875A"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Aligns with BHP supply chain sustainability commitments; distribution scales progressively in line with the projected 14 million end-of-life batteries by 2040 (BHP, 2024b; IEA, 2025)</w:t>
            </w:r>
          </w:p>
        </w:tc>
      </w:tr>
      <w:tr w:rsidR="00437992" w:rsidRPr="0045386C" w14:paraId="4B33DB78" w14:textId="77777777" w:rsidTr="00424942">
        <w:tc>
          <w:tcPr>
            <w:tcW w:w="1500" w:type="dxa"/>
            <w:shd w:val="clear" w:color="auto" w:fill="FEF3C7"/>
          </w:tcPr>
          <w:p w14:paraId="586EC2DF"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b/>
                <w:bCs/>
                <w:color w:val="78350F"/>
                <w:sz w:val="20"/>
                <w:szCs w:val="20"/>
              </w:rPr>
              <w:t>Promotion</w:t>
            </w:r>
          </w:p>
        </w:tc>
        <w:tc>
          <w:tcPr>
            <w:tcW w:w="3900" w:type="dxa"/>
            <w:shd w:val="clear" w:color="auto" w:fill="F0F4F8"/>
          </w:tcPr>
          <w:p w14:paraId="2C36D10F"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color w:val="1A1A1A"/>
                <w:sz w:val="20"/>
                <w:szCs w:val="20"/>
              </w:rPr>
              <w:t>B2B-specific communication: Battery Show Europe, sustainability investment conferences, direct technical briefings to procurement teams, and ESG reporting integration as content marketing (</w:t>
            </w:r>
            <w:proofErr w:type="spellStart"/>
            <w:r w:rsidRPr="0045386C">
              <w:rPr>
                <w:rFonts w:ascii="Arial" w:eastAsia="Arial" w:hAnsi="Arial" w:cs="Arial"/>
                <w:color w:val="1A1A1A"/>
                <w:sz w:val="20"/>
                <w:szCs w:val="20"/>
              </w:rPr>
              <w:t>Amegboleza</w:t>
            </w:r>
            <w:proofErr w:type="spellEnd"/>
            <w:r w:rsidRPr="0045386C">
              <w:rPr>
                <w:rFonts w:ascii="Arial" w:eastAsia="Arial" w:hAnsi="Arial" w:cs="Arial"/>
                <w:color w:val="1A1A1A"/>
                <w:sz w:val="20"/>
                <w:szCs w:val="20"/>
              </w:rPr>
              <w:t xml:space="preserve"> and Ülkü, 2025)</w:t>
            </w:r>
          </w:p>
        </w:tc>
        <w:tc>
          <w:tcPr>
            <w:tcW w:w="3600" w:type="dxa"/>
            <w:shd w:val="clear" w:color="auto" w:fill="F0F4F8"/>
          </w:tcPr>
          <w:p w14:paraId="4DFF0371" w14:textId="77777777" w:rsidR="00437992" w:rsidRPr="0045386C" w:rsidRDefault="00437992" w:rsidP="0045386C">
            <w:pPr>
              <w:spacing w:after="0" w:line="240" w:lineRule="auto"/>
              <w:jc w:val="both"/>
              <w:rPr>
                <w:rFonts w:ascii="Arial" w:hAnsi="Arial" w:cs="Arial"/>
                <w:sz w:val="20"/>
                <w:szCs w:val="20"/>
              </w:rPr>
            </w:pPr>
            <w:r w:rsidRPr="0045386C">
              <w:rPr>
                <w:rFonts w:ascii="Arial" w:eastAsia="Arial" w:hAnsi="Arial" w:cs="Arial"/>
                <w:i/>
                <w:iCs/>
                <w:color w:val="444444"/>
                <w:sz w:val="20"/>
                <w:szCs w:val="20"/>
              </w:rPr>
              <w:t>Substantiated credentials prioritised over general green messaging; authentic green marketing generates competitive advantage only when backed by verified sustainable practices (</w:t>
            </w:r>
            <w:proofErr w:type="spellStart"/>
            <w:r w:rsidRPr="0045386C">
              <w:rPr>
                <w:rFonts w:ascii="Arial" w:eastAsia="Arial" w:hAnsi="Arial" w:cs="Arial"/>
                <w:i/>
                <w:iCs/>
                <w:color w:val="444444"/>
                <w:sz w:val="20"/>
                <w:szCs w:val="20"/>
              </w:rPr>
              <w:t>Moravcikova</w:t>
            </w:r>
            <w:proofErr w:type="spellEnd"/>
            <w:r w:rsidRPr="0045386C">
              <w:rPr>
                <w:rFonts w:ascii="Arial" w:eastAsia="Arial" w:hAnsi="Arial" w:cs="Arial"/>
                <w:i/>
                <w:iCs/>
                <w:color w:val="444444"/>
                <w:sz w:val="20"/>
                <w:szCs w:val="20"/>
              </w:rPr>
              <w:t xml:space="preserve"> et al., 2017)</w:t>
            </w:r>
          </w:p>
        </w:tc>
      </w:tr>
    </w:tbl>
    <w:p w14:paraId="206384AF" w14:textId="77777777" w:rsidR="000741A9" w:rsidRPr="0045386C" w:rsidRDefault="000741A9" w:rsidP="00CF6BFD">
      <w:pPr>
        <w:spacing w:line="360" w:lineRule="auto"/>
        <w:jc w:val="both"/>
        <w:rPr>
          <w:rFonts w:ascii="Arial" w:hAnsi="Arial" w:cs="Arial"/>
          <w:lang w:eastAsia="en-IN"/>
        </w:rPr>
      </w:pPr>
    </w:p>
    <w:p w14:paraId="48235E5C" w14:textId="735509BD"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lastRenderedPageBreak/>
        <w:t>Product</w:t>
      </w:r>
    </w:p>
    <w:p w14:paraId="0FE7CF55" w14:textId="14ED7185" w:rsidR="001E576E" w:rsidRPr="0045386C" w:rsidRDefault="003478C0"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The core product of BHP Battery Recycling</w:t>
      </w:r>
      <w:r w:rsidR="00623D92" w:rsidRPr="0045386C">
        <w:rPr>
          <w:rFonts w:ascii="Arial" w:hAnsi="Arial" w:cs="Arial"/>
          <w:sz w:val="24"/>
          <w:szCs w:val="24"/>
        </w:rPr>
        <w:t xml:space="preserve"> is certified recycled battery-grade nickel sulphate, </w:t>
      </w:r>
      <w:r w:rsidR="003C60DF" w:rsidRPr="0045386C">
        <w:rPr>
          <w:rFonts w:ascii="Arial" w:hAnsi="Arial" w:cs="Arial"/>
          <w:sz w:val="24"/>
          <w:szCs w:val="24"/>
        </w:rPr>
        <w:t>recovered from end-of-life electric vehicle batteries</w:t>
      </w:r>
      <w:r w:rsidR="00623D92" w:rsidRPr="0045386C">
        <w:rPr>
          <w:rFonts w:ascii="Arial" w:hAnsi="Arial" w:cs="Arial"/>
          <w:sz w:val="24"/>
          <w:szCs w:val="24"/>
        </w:rPr>
        <w:t xml:space="preserve"> and re-processed to the same 99.99% purity standard as the primary nickel output of BHP at Kwinana (BHP, 2024a). </w:t>
      </w:r>
      <w:r w:rsidRPr="0045386C">
        <w:rPr>
          <w:rFonts w:ascii="Arial" w:hAnsi="Arial" w:cs="Arial"/>
          <w:sz w:val="24"/>
          <w:szCs w:val="24"/>
        </w:rPr>
        <w:t>This parity in quality is strategically critical</w:t>
      </w:r>
      <w:r w:rsidR="00623D92" w:rsidRPr="0045386C">
        <w:rPr>
          <w:rFonts w:ascii="Arial" w:hAnsi="Arial" w:cs="Arial"/>
          <w:sz w:val="24"/>
          <w:szCs w:val="24"/>
        </w:rPr>
        <w:t xml:space="preserve"> - it makes the product that is being recycled an actual working alternative to virgin nickel, eliminating the performance risk that tends to cause industrial consumers not to use recycled inputs.</w:t>
      </w:r>
    </w:p>
    <w:p w14:paraId="4B09B689" w14:textId="50713345"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But there is more to the product than the material itself. BHP Battery Recycling provides independently verified data on lifecycle assessment</w:t>
      </w:r>
      <w:r w:rsidR="00EF7EA0" w:rsidRPr="0045386C">
        <w:rPr>
          <w:rFonts w:ascii="Arial" w:hAnsi="Arial" w:cs="Arial"/>
          <w:sz w:val="24"/>
          <w:szCs w:val="24"/>
        </w:rPr>
        <w:t>,</w:t>
      </w:r>
      <w:r w:rsidRPr="0045386C">
        <w:rPr>
          <w:rFonts w:ascii="Arial" w:hAnsi="Arial" w:cs="Arial"/>
          <w:sz w:val="24"/>
          <w:szCs w:val="24"/>
        </w:rPr>
        <w:t xml:space="preserve"> which proves a reduction of greenhouse gas emissions </w:t>
      </w:r>
      <w:r w:rsidR="00EF7EA0" w:rsidRPr="0045386C">
        <w:rPr>
          <w:rFonts w:ascii="Arial" w:hAnsi="Arial" w:cs="Arial"/>
          <w:sz w:val="24"/>
          <w:szCs w:val="24"/>
        </w:rPr>
        <w:t xml:space="preserve">of </w:t>
      </w:r>
      <w:r w:rsidRPr="0045386C">
        <w:rPr>
          <w:rFonts w:ascii="Arial" w:hAnsi="Arial" w:cs="Arial"/>
          <w:sz w:val="24"/>
          <w:szCs w:val="24"/>
        </w:rPr>
        <w:t xml:space="preserve">more than 50 percent in comparison with nickel mined conventionally (Machala et al., 2025). This environmental certification is a concrete product attribute that allows buyers to </w:t>
      </w:r>
      <w:r w:rsidR="003C60DF" w:rsidRPr="0045386C">
        <w:rPr>
          <w:rFonts w:ascii="Arial" w:hAnsi="Arial" w:cs="Arial"/>
          <w:sz w:val="24"/>
          <w:szCs w:val="24"/>
        </w:rPr>
        <w:t>make their own sustainability claims</w:t>
      </w:r>
      <w:r w:rsidRPr="0045386C">
        <w:rPr>
          <w:rFonts w:ascii="Arial" w:hAnsi="Arial" w:cs="Arial"/>
          <w:sz w:val="24"/>
          <w:szCs w:val="24"/>
        </w:rPr>
        <w:t xml:space="preserve"> to investors and regulators. The augmented product layer will also feature blockchain-based supply chain traceability - </w:t>
      </w:r>
      <w:r w:rsidR="003C60DF" w:rsidRPr="0045386C">
        <w:rPr>
          <w:rFonts w:ascii="Arial" w:hAnsi="Arial" w:cs="Arial"/>
          <w:sz w:val="24"/>
          <w:szCs w:val="24"/>
        </w:rPr>
        <w:t>a capability already piloted through BHP's Tesla supply agreement (BHP, 2024a)</w:t>
      </w:r>
      <w:r w:rsidRPr="0045386C">
        <w:rPr>
          <w:rFonts w:ascii="Arial" w:hAnsi="Arial" w:cs="Arial"/>
          <w:sz w:val="24"/>
          <w:szCs w:val="24"/>
        </w:rPr>
        <w:t xml:space="preserve"> - that gives buyers end-to-end visibility of spent battery collection to refined output (BHP, 2024a).</w:t>
      </w:r>
    </w:p>
    <w:p w14:paraId="5E1E9C69" w14:textId="7AD3AFA1" w:rsidR="00B450D6" w:rsidRPr="0045386C" w:rsidRDefault="00623D92" w:rsidP="00CF6BFD">
      <w:pPr>
        <w:spacing w:after="0" w:line="360" w:lineRule="auto"/>
        <w:jc w:val="both"/>
        <w:rPr>
          <w:rFonts w:ascii="Arial" w:hAnsi="Arial" w:cs="Arial"/>
          <w:sz w:val="24"/>
          <w:szCs w:val="24"/>
        </w:rPr>
      </w:pPr>
      <w:r w:rsidRPr="0045386C">
        <w:rPr>
          <w:rFonts w:ascii="Arial" w:hAnsi="Arial" w:cs="Arial"/>
          <w:sz w:val="24"/>
          <w:szCs w:val="24"/>
        </w:rPr>
        <w:t xml:space="preserve">Kirchherr, </w:t>
      </w:r>
      <w:proofErr w:type="spellStart"/>
      <w:r w:rsidRPr="0045386C">
        <w:rPr>
          <w:rFonts w:ascii="Arial" w:hAnsi="Arial" w:cs="Arial"/>
          <w:sz w:val="24"/>
          <w:szCs w:val="24"/>
        </w:rPr>
        <w:t>Reike</w:t>
      </w:r>
      <w:proofErr w:type="spellEnd"/>
      <w:r w:rsidRPr="0045386C">
        <w:rPr>
          <w:rFonts w:ascii="Arial" w:hAnsi="Arial" w:cs="Arial"/>
          <w:sz w:val="24"/>
          <w:szCs w:val="24"/>
        </w:rPr>
        <w:t xml:space="preserve"> and Hekkert (2017) believe that to provide the real systemic value, products of the circular economy should be able to close material loops altogether. The product design by BHP Battery Recycling delivers this by re-using the recovered nickel directly into the battery manufacturing supply chain and removing the necessity of new extraction and compliant to the EU Battery Regulation 2023/1542 recycled content requirements (European Commission, 2023). </w:t>
      </w:r>
      <w:r w:rsidR="003478C0" w:rsidRPr="0045386C">
        <w:rPr>
          <w:rFonts w:ascii="Arial" w:hAnsi="Arial" w:cs="Arial"/>
          <w:sz w:val="24"/>
          <w:szCs w:val="24"/>
        </w:rPr>
        <w:t>This circular design is not merely an ethical choice but a commercially necessary one as regulatory deadlines approach.</w:t>
      </w:r>
      <w:r w:rsidR="00B450D6" w:rsidRPr="0045386C">
        <w:rPr>
          <w:rFonts w:ascii="Arial" w:hAnsi="Arial" w:cs="Arial"/>
          <w:sz w:val="24"/>
          <w:szCs w:val="24"/>
        </w:rPr>
        <w:t xml:space="preserve"> The commercial and ecological appeal of this product design is further bolstered by IEA (2024) which estimates a potential for a reduction in critical mineral demand for new metal mines of up to 25% in 2050 through battery recycling.</w:t>
      </w:r>
    </w:p>
    <w:p w14:paraId="094DB84A"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Price</w:t>
      </w:r>
    </w:p>
    <w:p w14:paraId="05A3A775" w14:textId="24EEEDC6"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BHP Battery Recycling uses </w:t>
      </w:r>
      <w:r w:rsidR="00EF7EA0" w:rsidRPr="0045386C">
        <w:rPr>
          <w:rFonts w:ascii="Arial" w:hAnsi="Arial" w:cs="Arial"/>
          <w:sz w:val="24"/>
          <w:szCs w:val="24"/>
        </w:rPr>
        <w:t xml:space="preserve">a </w:t>
      </w:r>
      <w:r w:rsidRPr="0045386C">
        <w:rPr>
          <w:rFonts w:ascii="Arial" w:hAnsi="Arial" w:cs="Arial"/>
          <w:sz w:val="24"/>
          <w:szCs w:val="24"/>
        </w:rPr>
        <w:t xml:space="preserve">value-based pricing strategy where recycled nickel is sold at a higher price compared to commodity-grade virgin nickel. </w:t>
      </w:r>
      <w:r w:rsidR="003C60DF" w:rsidRPr="0045386C">
        <w:rPr>
          <w:rFonts w:ascii="Arial" w:hAnsi="Arial" w:cs="Arial"/>
          <w:sz w:val="24"/>
          <w:szCs w:val="24"/>
        </w:rPr>
        <w:t>This approach is justified on three grounds</w:t>
      </w:r>
      <w:r w:rsidRPr="0045386C">
        <w:rPr>
          <w:rFonts w:ascii="Arial" w:hAnsi="Arial" w:cs="Arial"/>
          <w:sz w:val="24"/>
          <w:szCs w:val="24"/>
        </w:rPr>
        <w:t>. To begin with, the product regulatory compliance value is very high - when manufacturers use certified recycled nickel provided by BHP, they meet the EU 2036 recycled content requirements (European Commission, 2023), and they will not risk a ban on the market</w:t>
      </w:r>
      <w:r w:rsidR="00EF7EA0" w:rsidRPr="0045386C">
        <w:rPr>
          <w:rFonts w:ascii="Arial" w:hAnsi="Arial" w:cs="Arial"/>
          <w:sz w:val="24"/>
          <w:szCs w:val="24"/>
        </w:rPr>
        <w:t>,</w:t>
      </w:r>
      <w:r w:rsidRPr="0045386C">
        <w:rPr>
          <w:rFonts w:ascii="Arial" w:hAnsi="Arial" w:cs="Arial"/>
          <w:sz w:val="24"/>
          <w:szCs w:val="24"/>
        </w:rPr>
        <w:t xml:space="preserve"> which would significantly exceed the price premium. Second, PwC (2024) shows that customers are ready to pay the average </w:t>
      </w:r>
      <w:r w:rsidRPr="0045386C">
        <w:rPr>
          <w:rFonts w:ascii="Arial" w:hAnsi="Arial" w:cs="Arial"/>
          <w:sz w:val="24"/>
          <w:szCs w:val="24"/>
        </w:rPr>
        <w:lastRenderedPageBreak/>
        <w:t xml:space="preserve">premium of 9.7% on sustainably sourced products, </w:t>
      </w:r>
      <w:r w:rsidR="00352E9B" w:rsidRPr="0045386C">
        <w:rPr>
          <w:rFonts w:ascii="Arial" w:hAnsi="Arial" w:cs="Arial"/>
          <w:sz w:val="24"/>
          <w:szCs w:val="24"/>
        </w:rPr>
        <w:t>a trend now reflected across B2B procurement.</w:t>
      </w:r>
      <w:r w:rsidRPr="0045386C">
        <w:rPr>
          <w:rFonts w:ascii="Arial" w:hAnsi="Arial" w:cs="Arial"/>
          <w:sz w:val="24"/>
          <w:szCs w:val="24"/>
        </w:rPr>
        <w:t xml:space="preserve"> Third, </w:t>
      </w:r>
      <w:proofErr w:type="spellStart"/>
      <w:r w:rsidR="003478C0" w:rsidRPr="0045386C">
        <w:rPr>
          <w:rFonts w:ascii="Arial" w:hAnsi="Arial" w:cs="Arial"/>
          <w:sz w:val="24"/>
          <w:szCs w:val="24"/>
        </w:rPr>
        <w:t>Górska-Warsewicz</w:t>
      </w:r>
      <w:proofErr w:type="spellEnd"/>
      <w:r w:rsidR="003478C0" w:rsidRPr="0045386C">
        <w:rPr>
          <w:rFonts w:ascii="Arial" w:hAnsi="Arial" w:cs="Arial"/>
          <w:sz w:val="24"/>
          <w:szCs w:val="24"/>
        </w:rPr>
        <w:t xml:space="preserve"> et al. (2021)</w:t>
      </w:r>
      <w:r w:rsidRPr="0045386C">
        <w:rPr>
          <w:rFonts w:ascii="Arial" w:hAnsi="Arial" w:cs="Arial"/>
          <w:sz w:val="24"/>
          <w:szCs w:val="24"/>
        </w:rPr>
        <w:t xml:space="preserve"> affirm that green brand equity supports higher pricing as it decreases buyer price sensitivity, and BHP has strong brand credibility that justifies the premium but </w:t>
      </w:r>
      <w:proofErr w:type="spellStart"/>
      <w:r w:rsidRPr="0045386C">
        <w:rPr>
          <w:rFonts w:ascii="Arial" w:hAnsi="Arial" w:cs="Arial"/>
          <w:sz w:val="24"/>
          <w:szCs w:val="24"/>
        </w:rPr>
        <w:t>not</w:t>
      </w:r>
      <w:proofErr w:type="spellEnd"/>
      <w:r w:rsidRPr="0045386C">
        <w:rPr>
          <w:rFonts w:ascii="Arial" w:hAnsi="Arial" w:cs="Arial"/>
          <w:sz w:val="24"/>
          <w:szCs w:val="24"/>
        </w:rPr>
        <w:t xml:space="preserve"> other entrants in the recycling industry.</w:t>
      </w:r>
    </w:p>
    <w:p w14:paraId="725BEC4C" w14:textId="5BE4D887"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A pricing tension is something that must be critically accepted. Kemper, Hall and Ballantine (2019) warn that sustainability pricing should not be above commercially viable levels to eliminate adoption and compromise the overall transition to the circular economy. BHP will thus need to strike a balance between premium positioning and the cost-effectiveness rationales of recycling, especially considering that recycled nickel costs much less energy and water than primary production (Machala et al., 2025), which </w:t>
      </w:r>
      <w:r w:rsidR="003C60DF" w:rsidRPr="0045386C">
        <w:rPr>
          <w:rFonts w:ascii="Arial" w:hAnsi="Arial" w:cs="Arial"/>
          <w:sz w:val="24"/>
          <w:szCs w:val="24"/>
        </w:rPr>
        <w:t>provides a structural cost advantage</w:t>
      </w:r>
      <w:r w:rsidRPr="0045386C">
        <w:rPr>
          <w:rFonts w:ascii="Arial" w:hAnsi="Arial" w:cs="Arial"/>
          <w:sz w:val="24"/>
          <w:szCs w:val="24"/>
        </w:rPr>
        <w:t xml:space="preserve"> and will partially absorb market resistance to price in the long term.</w:t>
      </w:r>
    </w:p>
    <w:p w14:paraId="4B8513AC" w14:textId="546A0F7A"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p>
    <w:p w14:paraId="4B509542"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Place</w:t>
      </w:r>
    </w:p>
    <w:p w14:paraId="6D7AF4C4" w14:textId="29EA3B06"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BHP Battery </w:t>
      </w:r>
      <w:r w:rsidR="00EF7EA0" w:rsidRPr="0045386C">
        <w:rPr>
          <w:rFonts w:ascii="Arial" w:hAnsi="Arial" w:cs="Arial"/>
          <w:sz w:val="24"/>
          <w:szCs w:val="24"/>
        </w:rPr>
        <w:t>Recycling's</w:t>
      </w:r>
      <w:r w:rsidRPr="0045386C">
        <w:rPr>
          <w:rFonts w:ascii="Arial" w:hAnsi="Arial" w:cs="Arial"/>
          <w:sz w:val="24"/>
          <w:szCs w:val="24"/>
        </w:rPr>
        <w:t xml:space="preserve"> distribution strategy is based on the direct B2B supply relationships with EV battery producers and automotive manufacturers, through the existing BHP commercial network. The Kwinana refinery in Western Australia is the main processing and distribution centre, and it is strategically located to serve the Asian-Pacific manufacturing centres in Japan, South Korea and China -markets that make up most of the EV battery manufacturing in the world (IEA, 2025).</w:t>
      </w:r>
    </w:p>
    <w:p w14:paraId="210D03B5" w14:textId="3B2F242C"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In the case of European markets, where regulatory pressures are most intense, the distribution strategy of BHP should either involve strategic alliances with European recycling collection systems, or tolling contracts with the well-established European processors. This aligns with a hybrid distribution model where BHP owns refining and certification</w:t>
      </w:r>
      <w:r w:rsidR="00EF7EA0" w:rsidRPr="0045386C">
        <w:rPr>
          <w:rFonts w:ascii="Arial" w:hAnsi="Arial" w:cs="Arial"/>
          <w:sz w:val="24"/>
          <w:szCs w:val="24"/>
        </w:rPr>
        <w:t>,</w:t>
      </w:r>
      <w:r w:rsidRPr="0045386C">
        <w:rPr>
          <w:rFonts w:ascii="Arial" w:hAnsi="Arial" w:cs="Arial"/>
          <w:sz w:val="24"/>
          <w:szCs w:val="24"/>
        </w:rPr>
        <w:t xml:space="preserve"> with a partnership in feedstock logistics a viable requirement due to the more established battery collection infrastructure in Europe as compared to Australia. The place strategy also needs to consider the stages of end-of-life battery volumes; IEA (2025) estimates that by 2040, 14 million EV batteries will have reached end-of-life, and distribution infrastructure will have to increase in a gradual way depending on the availability of feedstock.</w:t>
      </w:r>
    </w:p>
    <w:p w14:paraId="0B53FE04" w14:textId="72C59FD1"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In its Climate Transition Action Plan, BHP (2024b) identifies the sustainability of the supply chain as a strategic objective, confirming the idea that the place strategy should reduce carbon emissions throughout logistics by optimising routes and using low-</w:t>
      </w:r>
      <w:r w:rsidRPr="0045386C">
        <w:rPr>
          <w:rFonts w:ascii="Arial" w:hAnsi="Arial" w:cs="Arial"/>
          <w:sz w:val="24"/>
          <w:szCs w:val="24"/>
        </w:rPr>
        <w:lastRenderedPageBreak/>
        <w:t xml:space="preserve">emission </w:t>
      </w:r>
      <w:r w:rsidR="00EF7EA0" w:rsidRPr="0045386C">
        <w:rPr>
          <w:rFonts w:ascii="Arial" w:hAnsi="Arial" w:cs="Arial"/>
          <w:sz w:val="24"/>
          <w:szCs w:val="24"/>
        </w:rPr>
        <w:t>transport</w:t>
      </w:r>
      <w:r w:rsidRPr="0045386C">
        <w:rPr>
          <w:rFonts w:ascii="Arial" w:hAnsi="Arial" w:cs="Arial"/>
          <w:sz w:val="24"/>
          <w:szCs w:val="24"/>
        </w:rPr>
        <w:t xml:space="preserve"> partners, keeping the product with its ecological reputation throughout collection to delivery.</w:t>
      </w:r>
    </w:p>
    <w:p w14:paraId="304488F7" w14:textId="0F77B0C8" w:rsidR="001E576E" w:rsidRPr="0045386C" w:rsidRDefault="001E576E" w:rsidP="00CF6BFD">
      <w:pPr>
        <w:spacing w:after="0" w:line="360" w:lineRule="auto"/>
        <w:jc w:val="both"/>
        <w:rPr>
          <w:rFonts w:ascii="Arial" w:eastAsia="Times New Roman" w:hAnsi="Arial" w:cs="Arial"/>
          <w:kern w:val="0"/>
          <w:sz w:val="24"/>
          <w:szCs w:val="24"/>
          <w:lang w:eastAsia="en-IN"/>
          <w14:ligatures w14:val="none"/>
        </w:rPr>
      </w:pPr>
    </w:p>
    <w:p w14:paraId="50473755" w14:textId="77777777" w:rsidR="001E576E" w:rsidRPr="0045386C" w:rsidRDefault="001E576E" w:rsidP="00CF6BFD">
      <w:pPr>
        <w:spacing w:after="0" w:line="360" w:lineRule="auto"/>
        <w:jc w:val="both"/>
        <w:outlineLvl w:val="3"/>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Promotion</w:t>
      </w:r>
    </w:p>
    <w:p w14:paraId="57229C48" w14:textId="18DD2A15"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The B2B-based promotional strategy of BHP Battery Recycling is aimed at industrial procurement decision-makers and sustainability officers, as well as investor relations groups. </w:t>
      </w:r>
      <w:proofErr w:type="spellStart"/>
      <w:r w:rsidRPr="0045386C">
        <w:rPr>
          <w:rFonts w:ascii="Arial" w:hAnsi="Arial" w:cs="Arial"/>
          <w:sz w:val="24"/>
          <w:szCs w:val="24"/>
        </w:rPr>
        <w:t>Amegboleza</w:t>
      </w:r>
      <w:proofErr w:type="spellEnd"/>
      <w:r w:rsidRPr="0045386C">
        <w:rPr>
          <w:rFonts w:ascii="Arial" w:hAnsi="Arial" w:cs="Arial"/>
          <w:sz w:val="24"/>
          <w:szCs w:val="24"/>
        </w:rPr>
        <w:t xml:space="preserve"> and Ülkü (2025) </w:t>
      </w:r>
      <w:r w:rsidR="00EF7EA0" w:rsidRPr="0045386C">
        <w:rPr>
          <w:rFonts w:ascii="Arial" w:hAnsi="Arial" w:cs="Arial"/>
          <w:sz w:val="24"/>
          <w:szCs w:val="24"/>
        </w:rPr>
        <w:t>emphasise</w:t>
      </w:r>
      <w:r w:rsidRPr="0045386C">
        <w:rPr>
          <w:rFonts w:ascii="Arial" w:hAnsi="Arial" w:cs="Arial"/>
          <w:sz w:val="24"/>
          <w:szCs w:val="24"/>
        </w:rPr>
        <w:t xml:space="preserve"> the importance of conveying sustainability </w:t>
      </w:r>
      <w:r w:rsidR="000617A7" w:rsidRPr="0045386C">
        <w:rPr>
          <w:rFonts w:ascii="Arial" w:hAnsi="Arial" w:cs="Arial"/>
          <w:sz w:val="24"/>
          <w:szCs w:val="24"/>
        </w:rPr>
        <w:t>credentials</w:t>
      </w:r>
      <w:r w:rsidRPr="0045386C">
        <w:rPr>
          <w:rFonts w:ascii="Arial" w:hAnsi="Arial" w:cs="Arial"/>
          <w:sz w:val="24"/>
          <w:szCs w:val="24"/>
        </w:rPr>
        <w:t xml:space="preserve"> by companies operating in the mining and materials industry via plausible and substantiated platforms in order to develop actual stakeholder trust instead of exposing themselves to accusations of greenwashing.</w:t>
      </w:r>
    </w:p>
    <w:p w14:paraId="65D25F47" w14:textId="7C76C9F2"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Based on this, lifecycle information and third-party certification that is found in peer-reviewed materials should take precedence in terms of promotional activity rather than general green messaging. The key promotion tools include trade fairs like the Battery Show Europe, sustainability-oriented investment conferences, </w:t>
      </w:r>
      <w:r w:rsidR="00EF7EA0" w:rsidRPr="0045386C">
        <w:rPr>
          <w:rFonts w:ascii="Arial" w:hAnsi="Arial" w:cs="Arial"/>
          <w:sz w:val="24"/>
          <w:szCs w:val="24"/>
        </w:rPr>
        <w:t xml:space="preserve">and </w:t>
      </w:r>
      <w:r w:rsidRPr="0045386C">
        <w:rPr>
          <w:rFonts w:ascii="Arial" w:hAnsi="Arial" w:cs="Arial"/>
          <w:sz w:val="24"/>
          <w:szCs w:val="24"/>
        </w:rPr>
        <w:t xml:space="preserve">direct technical briefings to procurement teams. ESG reporting integration as content marketing whereby buyers can cite the data of BHP Battery Recycling in their own sustainability </w:t>
      </w:r>
      <w:r w:rsidR="000617A7" w:rsidRPr="0045386C">
        <w:rPr>
          <w:rFonts w:ascii="Arial" w:hAnsi="Arial" w:cs="Arial"/>
          <w:sz w:val="24"/>
          <w:szCs w:val="24"/>
        </w:rPr>
        <w:t>disclosure</w:t>
      </w:r>
      <w:r w:rsidRPr="0045386C">
        <w:rPr>
          <w:rFonts w:ascii="Arial" w:hAnsi="Arial" w:cs="Arial"/>
          <w:sz w:val="24"/>
          <w:szCs w:val="24"/>
        </w:rPr>
        <w:t xml:space="preserve"> forms a </w:t>
      </w:r>
      <w:r w:rsidR="000617A7" w:rsidRPr="0045386C">
        <w:rPr>
          <w:rFonts w:ascii="Arial" w:hAnsi="Arial" w:cs="Arial"/>
          <w:sz w:val="24"/>
          <w:szCs w:val="24"/>
        </w:rPr>
        <w:t>high-value</w:t>
      </w:r>
      <w:r w:rsidRPr="0045386C">
        <w:rPr>
          <w:rFonts w:ascii="Arial" w:hAnsi="Arial" w:cs="Arial"/>
          <w:sz w:val="24"/>
          <w:szCs w:val="24"/>
        </w:rPr>
        <w:t xml:space="preserve"> promotional mechanism, with a tangible utility to the target audience.</w:t>
      </w:r>
    </w:p>
    <w:p w14:paraId="529E20ED" w14:textId="49901D36" w:rsidR="001E576E" w:rsidRPr="0045386C" w:rsidRDefault="00623D92" w:rsidP="00CF6BFD">
      <w:pPr>
        <w:spacing w:after="0" w:line="360" w:lineRule="auto"/>
        <w:jc w:val="both"/>
        <w:rPr>
          <w:rFonts w:ascii="Arial" w:hAnsi="Arial" w:cs="Arial"/>
          <w:sz w:val="24"/>
          <w:szCs w:val="24"/>
        </w:rPr>
      </w:pPr>
      <w:r w:rsidRPr="0045386C">
        <w:rPr>
          <w:rFonts w:ascii="Arial" w:hAnsi="Arial" w:cs="Arial"/>
          <w:sz w:val="24"/>
          <w:szCs w:val="24"/>
        </w:rPr>
        <w:t xml:space="preserve">According to </w:t>
      </w:r>
      <w:proofErr w:type="spellStart"/>
      <w:r w:rsidRPr="0045386C">
        <w:rPr>
          <w:rFonts w:ascii="Arial" w:hAnsi="Arial" w:cs="Arial"/>
          <w:sz w:val="24"/>
          <w:szCs w:val="24"/>
        </w:rPr>
        <w:t>Moravcikova</w:t>
      </w:r>
      <w:proofErr w:type="spellEnd"/>
      <w:r w:rsidRPr="0045386C">
        <w:rPr>
          <w:rFonts w:ascii="Arial" w:hAnsi="Arial" w:cs="Arial"/>
          <w:sz w:val="24"/>
          <w:szCs w:val="24"/>
        </w:rPr>
        <w:t xml:space="preserve"> et al. (2017), the creation of competitive advantage is seen only in authentic green marketing in which sustainability statements are supported and not proclaimed. The current net-zero commitments of BHP, Climate Transition Action Plan (BHP, 2024b), and the track record of responsible nickel supply </w:t>
      </w:r>
      <w:r w:rsidR="000617A7" w:rsidRPr="0045386C">
        <w:rPr>
          <w:rFonts w:ascii="Arial" w:hAnsi="Arial" w:cs="Arial"/>
          <w:sz w:val="24"/>
          <w:szCs w:val="24"/>
        </w:rPr>
        <w:t>put</w:t>
      </w:r>
      <w:r w:rsidRPr="0045386C">
        <w:rPr>
          <w:rFonts w:ascii="Arial" w:hAnsi="Arial" w:cs="Arial"/>
          <w:sz w:val="24"/>
          <w:szCs w:val="24"/>
        </w:rPr>
        <w:t xml:space="preserve"> the promotional narrative on the aspect of verified performance into the focus of the industry where the sustainability claims of the competitors are not supported by the same evidential basis.</w:t>
      </w:r>
    </w:p>
    <w:p w14:paraId="4A0398B9" w14:textId="003D79A1" w:rsidR="001E576E" w:rsidRPr="0045386C" w:rsidRDefault="001E576E" w:rsidP="00CF6BFD">
      <w:pPr>
        <w:pStyle w:val="Heading1"/>
        <w:spacing w:line="360" w:lineRule="auto"/>
      </w:pPr>
      <w:r w:rsidRPr="0045386C">
        <w:t>ELEMENT 4 — REFLECTION</w:t>
      </w:r>
    </w:p>
    <w:p w14:paraId="7E53579B" w14:textId="77777777" w:rsidR="001E576E" w:rsidRPr="0045386C" w:rsidRDefault="001E576E" w:rsidP="00CF6BFD">
      <w:pPr>
        <w:spacing w:after="0" w:line="360" w:lineRule="auto"/>
        <w:jc w:val="both"/>
        <w:outlineLvl w:val="2"/>
        <w:rPr>
          <w:rFonts w:ascii="Arial" w:eastAsia="Times New Roman" w:hAnsi="Arial" w:cs="Arial"/>
          <w:b/>
          <w:bCs/>
          <w:kern w:val="0"/>
          <w:sz w:val="24"/>
          <w:szCs w:val="24"/>
          <w:lang w:eastAsia="en-IN"/>
          <w14:ligatures w14:val="none"/>
        </w:rPr>
      </w:pPr>
      <w:r w:rsidRPr="0045386C">
        <w:rPr>
          <w:rFonts w:ascii="Arial" w:eastAsia="Times New Roman" w:hAnsi="Arial" w:cs="Arial"/>
          <w:b/>
          <w:bCs/>
          <w:kern w:val="0"/>
          <w:sz w:val="24"/>
          <w:szCs w:val="24"/>
          <w:lang w:eastAsia="en-IN"/>
          <w14:ligatures w14:val="none"/>
        </w:rPr>
        <w:t>Reflection on Developing a Sustainable Brand Extension Marketing Strategy</w:t>
      </w:r>
    </w:p>
    <w:p w14:paraId="5E54DD60" w14:textId="3CAD72E5" w:rsidR="001E576E" w:rsidRPr="0045386C" w:rsidRDefault="003C60DF"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This reflection uses Gibbs' (1988) reflective cycle to describe, evaluate, </w:t>
      </w:r>
      <w:r w:rsidR="00EF7EA0" w:rsidRPr="0045386C">
        <w:rPr>
          <w:rFonts w:ascii="Arial" w:hAnsi="Arial" w:cs="Arial"/>
          <w:sz w:val="24"/>
          <w:szCs w:val="24"/>
        </w:rPr>
        <w:t>analyse</w:t>
      </w:r>
      <w:r w:rsidRPr="0045386C">
        <w:rPr>
          <w:rFonts w:ascii="Arial" w:hAnsi="Arial" w:cs="Arial"/>
          <w:sz w:val="24"/>
          <w:szCs w:val="24"/>
        </w:rPr>
        <w:t xml:space="preserve">, and engage in action planning to reflect on the significant learning outcomes that have arisen from this portfolio. </w:t>
      </w:r>
      <w:r w:rsidR="00623D92" w:rsidRPr="0045386C">
        <w:rPr>
          <w:rFonts w:ascii="Arial" w:hAnsi="Arial" w:cs="Arial"/>
          <w:sz w:val="24"/>
          <w:szCs w:val="24"/>
        </w:rPr>
        <w:t xml:space="preserve">This brand development portfolio has been a truly demanding and eye-opening professional experience as a marketing consultant </w:t>
      </w:r>
      <w:r w:rsidR="00EF7EA0" w:rsidRPr="0045386C">
        <w:rPr>
          <w:rFonts w:ascii="Arial" w:hAnsi="Arial" w:cs="Arial"/>
          <w:sz w:val="24"/>
          <w:szCs w:val="24"/>
        </w:rPr>
        <w:t>for</w:t>
      </w:r>
      <w:r w:rsidR="00623D92" w:rsidRPr="0045386C">
        <w:rPr>
          <w:rFonts w:ascii="Arial" w:hAnsi="Arial" w:cs="Arial"/>
          <w:sz w:val="24"/>
          <w:szCs w:val="24"/>
        </w:rPr>
        <w:t xml:space="preserve"> BHP Battery Recycling. The task of developing a cohesive marketing plan based on a sustainable brand extension meant that I needed to go past the superficial use of theoretical </w:t>
      </w:r>
      <w:r w:rsidR="00623D92" w:rsidRPr="0045386C">
        <w:rPr>
          <w:rFonts w:ascii="Arial" w:hAnsi="Arial" w:cs="Arial"/>
          <w:sz w:val="24"/>
          <w:szCs w:val="24"/>
        </w:rPr>
        <w:lastRenderedPageBreak/>
        <w:t>frameworks and critically address the intricate, reality-based commercial tensions, in particular, the strategic implication of the BHP October 2024 suspension of Western Australia Nickel operations (BHP, 2024a). Instead of evading this complexity, integrating it into the analysis enhanced the plausibility of the strategy, as well as my comprehension of the way in which marketing decisions could not be viewed outside of the greater organisational and environmental contexts.</w:t>
      </w:r>
    </w:p>
    <w:p w14:paraId="78BDA6AE" w14:textId="3AFBE25D"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The analysis of STDP posed certain intellectual difficulty. I started segmentation as a description activity - I classified buyers by geography or industry. Nonetheless, reading Kirchherr, </w:t>
      </w:r>
      <w:proofErr w:type="spellStart"/>
      <w:r w:rsidRPr="0045386C">
        <w:rPr>
          <w:rFonts w:ascii="Arial" w:hAnsi="Arial" w:cs="Arial"/>
          <w:sz w:val="24"/>
          <w:szCs w:val="24"/>
        </w:rPr>
        <w:t>Reike</w:t>
      </w:r>
      <w:proofErr w:type="spellEnd"/>
      <w:r w:rsidRPr="0045386C">
        <w:rPr>
          <w:rFonts w:ascii="Arial" w:hAnsi="Arial" w:cs="Arial"/>
          <w:sz w:val="24"/>
          <w:szCs w:val="24"/>
        </w:rPr>
        <w:t xml:space="preserve"> and Hekkert (2017) about the adoption of a circular economy and Hesse et al. (2022) about the credibility of brand extensions made me think in a different way. I realised that successful segmentation at this level should question the behavioural and psychographic bases of buying behaviour, and not simply group buyers by demographic proxy. This is a change towards analysis that I will continue to apply to my practice in the future when analysing market entry opportunities.</w:t>
      </w:r>
    </w:p>
    <w:p w14:paraId="1EB05640" w14:textId="7297F12C" w:rsidR="001E576E" w:rsidRPr="0045386C" w:rsidRDefault="00623D92"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The marketing mix analysis also enhanced my strategic tension recognition and articulation skills. The pricing part asked me to strike a balance between the sustainability scorecard </w:t>
      </w:r>
      <w:r w:rsidR="000617A7" w:rsidRPr="0045386C">
        <w:rPr>
          <w:rFonts w:ascii="Arial" w:hAnsi="Arial" w:cs="Arial"/>
          <w:sz w:val="24"/>
          <w:szCs w:val="24"/>
        </w:rPr>
        <w:t>and</w:t>
      </w:r>
      <w:r w:rsidRPr="0045386C">
        <w:rPr>
          <w:rFonts w:ascii="Arial" w:hAnsi="Arial" w:cs="Arial"/>
          <w:sz w:val="24"/>
          <w:szCs w:val="24"/>
        </w:rPr>
        <w:t xml:space="preserve"> the premium positioning argument on one side and the warning of Kemper, Hall and Ballantine (2019) that sustainability pricing should be commercially viable. The ability to negotiate conflicting imperatives, such as premium value and accessibility, aspiration and pragmatism, and reach a position of justification is indicative of the type of finely-tuned judgement professional consultancy requires.</w:t>
      </w:r>
    </w:p>
    <w:p w14:paraId="6DE9A499" w14:textId="50B2CE6C" w:rsidR="001E576E" w:rsidRPr="0045386C" w:rsidRDefault="00671956" w:rsidP="00CF6BFD">
      <w:pPr>
        <w:spacing w:after="0" w:line="360" w:lineRule="auto"/>
        <w:jc w:val="both"/>
        <w:rPr>
          <w:rFonts w:ascii="Arial" w:eastAsia="Times New Roman" w:hAnsi="Arial" w:cs="Arial"/>
          <w:kern w:val="0"/>
          <w:sz w:val="24"/>
          <w:szCs w:val="24"/>
          <w:lang w:eastAsia="en-IN"/>
          <w14:ligatures w14:val="none"/>
        </w:rPr>
      </w:pPr>
      <w:r w:rsidRPr="0045386C">
        <w:rPr>
          <w:rFonts w:ascii="Arial" w:hAnsi="Arial" w:cs="Arial"/>
          <w:sz w:val="24"/>
          <w:szCs w:val="24"/>
        </w:rPr>
        <w:t xml:space="preserve">Another valuable albeit different experience was preparing and presenting the poster. Reducing a complicated brand extension plan to a one-page visual representation meant I had to be ruthless in my selection of arguments that </w:t>
      </w:r>
      <w:r w:rsidR="000617A7" w:rsidRPr="0045386C">
        <w:rPr>
          <w:rFonts w:ascii="Arial" w:hAnsi="Arial" w:cs="Arial"/>
          <w:sz w:val="24"/>
          <w:szCs w:val="24"/>
        </w:rPr>
        <w:t>were</w:t>
      </w:r>
      <w:r w:rsidRPr="0045386C">
        <w:rPr>
          <w:rFonts w:ascii="Arial" w:hAnsi="Arial" w:cs="Arial"/>
          <w:sz w:val="24"/>
          <w:szCs w:val="24"/>
        </w:rPr>
        <w:t xml:space="preserve"> more convincing to investors and customers than the one most scholarly in nature. This exercise highlighted the fact that effective professional communication is not only what is said to be effective but also what is not said. I would also spend more time in rehearsal of the spoken story separately </w:t>
      </w:r>
      <w:r w:rsidR="000617A7" w:rsidRPr="0045386C">
        <w:rPr>
          <w:rFonts w:ascii="Arial" w:hAnsi="Arial" w:cs="Arial"/>
          <w:sz w:val="24"/>
          <w:szCs w:val="24"/>
        </w:rPr>
        <w:t>from</w:t>
      </w:r>
      <w:r w:rsidRPr="0045386C">
        <w:rPr>
          <w:rFonts w:ascii="Arial" w:hAnsi="Arial" w:cs="Arial"/>
          <w:sz w:val="24"/>
          <w:szCs w:val="24"/>
        </w:rPr>
        <w:t xml:space="preserve"> the visual material in future presentations because I did not feel comfortable with combining the two into a </w:t>
      </w:r>
      <w:r w:rsidR="000617A7" w:rsidRPr="0045386C">
        <w:rPr>
          <w:rFonts w:ascii="Arial" w:hAnsi="Arial" w:cs="Arial"/>
          <w:sz w:val="24"/>
          <w:szCs w:val="24"/>
        </w:rPr>
        <w:t>three-</w:t>
      </w:r>
      <w:r w:rsidRPr="0045386C">
        <w:rPr>
          <w:rFonts w:ascii="Arial" w:hAnsi="Arial" w:cs="Arial"/>
          <w:sz w:val="24"/>
          <w:szCs w:val="24"/>
        </w:rPr>
        <w:t xml:space="preserve"> to </w:t>
      </w:r>
      <w:r w:rsidR="000617A7" w:rsidRPr="0045386C">
        <w:rPr>
          <w:rFonts w:ascii="Arial" w:hAnsi="Arial" w:cs="Arial"/>
          <w:sz w:val="24"/>
          <w:szCs w:val="24"/>
        </w:rPr>
        <w:t>five-minute</w:t>
      </w:r>
      <w:r w:rsidRPr="0045386C">
        <w:rPr>
          <w:rFonts w:ascii="Arial" w:hAnsi="Arial" w:cs="Arial"/>
          <w:sz w:val="24"/>
          <w:szCs w:val="24"/>
        </w:rPr>
        <w:t xml:space="preserve"> time slot.</w:t>
      </w:r>
    </w:p>
    <w:p w14:paraId="60E55BF6" w14:textId="398BBDB2" w:rsidR="00671956" w:rsidRPr="0045386C" w:rsidRDefault="00671956" w:rsidP="00CF6BFD">
      <w:pPr>
        <w:spacing w:after="0" w:line="360" w:lineRule="auto"/>
        <w:jc w:val="both"/>
        <w:rPr>
          <w:rFonts w:ascii="Arial" w:hAnsi="Arial" w:cs="Arial"/>
          <w:sz w:val="24"/>
          <w:szCs w:val="24"/>
        </w:rPr>
      </w:pPr>
      <w:r w:rsidRPr="0045386C">
        <w:rPr>
          <w:rFonts w:ascii="Arial" w:hAnsi="Arial" w:cs="Arial"/>
          <w:sz w:val="24"/>
          <w:szCs w:val="24"/>
        </w:rPr>
        <w:t xml:space="preserve">Career-wise, the portfolio has enhanced my ability to implement strategic marketing models to business situations that focus on sustainability - a skill becoming increasingly important as organisations in all industries grapple with mounting regulatory and shareholder pressure to </w:t>
      </w:r>
      <w:r w:rsidR="003C60DF" w:rsidRPr="0045386C">
        <w:rPr>
          <w:rFonts w:ascii="Arial" w:hAnsi="Arial" w:cs="Arial"/>
          <w:sz w:val="24"/>
          <w:szCs w:val="24"/>
        </w:rPr>
        <w:t>demonstrate credible environmental action</w:t>
      </w:r>
      <w:r w:rsidRPr="0045386C">
        <w:rPr>
          <w:rFonts w:ascii="Arial" w:hAnsi="Arial" w:cs="Arial"/>
          <w:sz w:val="24"/>
          <w:szCs w:val="24"/>
        </w:rPr>
        <w:t xml:space="preserve">. The opportunities to pursue are further developing my understanding of B2B </w:t>
      </w:r>
      <w:r w:rsidRPr="0045386C">
        <w:rPr>
          <w:rFonts w:ascii="Arial" w:hAnsi="Arial" w:cs="Arial"/>
          <w:sz w:val="24"/>
          <w:szCs w:val="24"/>
        </w:rPr>
        <w:lastRenderedPageBreak/>
        <w:t>procurement dynamics and gaining a better acquaintance with lifecycle assessment practices, which were central to this analysis and which would be better developed through a systematic study.</w:t>
      </w:r>
      <w:r w:rsidRPr="0045386C">
        <w:rPr>
          <w:rFonts w:ascii="Arial" w:hAnsi="Arial" w:cs="Arial"/>
          <w:sz w:val="24"/>
          <w:szCs w:val="24"/>
        </w:rPr>
        <w:br w:type="page"/>
      </w:r>
    </w:p>
    <w:p w14:paraId="156A9180" w14:textId="61D9928D" w:rsidR="001E576E" w:rsidRPr="0045386C" w:rsidRDefault="00BB6FD1" w:rsidP="00CF6BFD">
      <w:pPr>
        <w:pStyle w:val="Heading1"/>
        <w:spacing w:line="360" w:lineRule="auto"/>
      </w:pPr>
      <w:r w:rsidRPr="0045386C">
        <w:lastRenderedPageBreak/>
        <w:t>REFERENCE LIST</w:t>
      </w:r>
    </w:p>
    <w:p w14:paraId="0C406883" w14:textId="77777777" w:rsidR="00B55B02" w:rsidRPr="0045386C" w:rsidRDefault="00B55B02" w:rsidP="00CF6BFD">
      <w:pPr>
        <w:pStyle w:val="font-claude-response-body"/>
        <w:spacing w:before="0" w:beforeAutospacing="0" w:after="0" w:afterAutospacing="0" w:line="360" w:lineRule="auto"/>
        <w:jc w:val="both"/>
        <w:rPr>
          <w:rFonts w:ascii="Arial" w:hAnsi="Arial" w:cs="Arial"/>
        </w:rPr>
      </w:pPr>
    </w:p>
    <w:p w14:paraId="2748A413" w14:textId="6E3F44D4" w:rsidR="00451812" w:rsidRPr="0045386C" w:rsidRDefault="00451812" w:rsidP="00CF6BFD">
      <w:pPr>
        <w:pStyle w:val="font-claude-response-body"/>
        <w:spacing w:before="0" w:beforeAutospacing="0" w:after="0" w:afterAutospacing="0" w:line="360" w:lineRule="auto"/>
        <w:rPr>
          <w:rFonts w:ascii="Arial" w:hAnsi="Arial" w:cs="Arial"/>
        </w:rPr>
      </w:pPr>
      <w:proofErr w:type="spellStart"/>
      <w:r w:rsidRPr="0045386C">
        <w:rPr>
          <w:rFonts w:ascii="Arial" w:hAnsi="Arial" w:cs="Arial"/>
        </w:rPr>
        <w:t>Amegboleza</w:t>
      </w:r>
      <w:proofErr w:type="spellEnd"/>
      <w:r w:rsidRPr="0045386C">
        <w:rPr>
          <w:rFonts w:ascii="Arial" w:hAnsi="Arial" w:cs="Arial"/>
        </w:rPr>
        <w:t xml:space="preserve">, A.A. and Ülkü, M.A. (2025) 'Sustainable energy transition for the mining industry: a bibliometric analysis of trends and emerging research pathways', </w:t>
      </w:r>
      <w:r w:rsidRPr="0045386C">
        <w:rPr>
          <w:rStyle w:val="Emphasis"/>
          <w:rFonts w:ascii="Arial" w:hAnsi="Arial" w:cs="Arial"/>
        </w:rPr>
        <w:t>Sustainability</w:t>
      </w:r>
      <w:r w:rsidRPr="0045386C">
        <w:rPr>
          <w:rFonts w:ascii="Arial" w:hAnsi="Arial" w:cs="Arial"/>
        </w:rPr>
        <w:t>, 17(5), p. 2292.</w:t>
      </w:r>
    </w:p>
    <w:p w14:paraId="28CB2C12" w14:textId="045BF107"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BHP (2024a) </w:t>
      </w:r>
      <w:r w:rsidRPr="0045386C">
        <w:rPr>
          <w:rStyle w:val="Emphasis"/>
          <w:rFonts w:ascii="Arial" w:hAnsi="Arial" w:cs="Arial"/>
        </w:rPr>
        <w:t>Annual report 2024</w:t>
      </w:r>
      <w:r w:rsidRPr="0045386C">
        <w:rPr>
          <w:rFonts w:ascii="Arial" w:hAnsi="Arial" w:cs="Arial"/>
        </w:rPr>
        <w:t xml:space="preserve">. Melbourne: BHP Group Limited. Available at: </w:t>
      </w:r>
      <w:hyperlink r:id="rId7" w:history="1">
        <w:r w:rsidRPr="0045386C">
          <w:rPr>
            <w:rStyle w:val="Hyperlink"/>
            <w:rFonts w:ascii="Arial" w:hAnsi="Arial" w:cs="Arial"/>
          </w:rPr>
          <w:t>https://www.bhp.com/investors/annual-reporting</w:t>
        </w:r>
      </w:hyperlink>
      <w:r w:rsidRPr="0045386C">
        <w:rPr>
          <w:rFonts w:ascii="Arial" w:hAnsi="Arial" w:cs="Arial"/>
        </w:rPr>
        <w:t xml:space="preserve"> (Accessed: </w:t>
      </w:r>
      <w:r w:rsidR="00711244" w:rsidRPr="0045386C">
        <w:rPr>
          <w:rFonts w:ascii="Arial" w:hAnsi="Arial" w:cs="Arial"/>
        </w:rPr>
        <w:t>28 July 2026</w:t>
      </w:r>
      <w:r w:rsidRPr="0045386C">
        <w:rPr>
          <w:rFonts w:ascii="Arial" w:hAnsi="Arial" w:cs="Arial"/>
        </w:rPr>
        <w:t>).</w:t>
      </w:r>
    </w:p>
    <w:p w14:paraId="156666BD" w14:textId="393EDE0E"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BHP (2024b) </w:t>
      </w:r>
      <w:r w:rsidRPr="0045386C">
        <w:rPr>
          <w:rStyle w:val="Emphasis"/>
          <w:rFonts w:ascii="Arial" w:hAnsi="Arial" w:cs="Arial"/>
        </w:rPr>
        <w:t>Climate transition action plan 2024</w:t>
      </w:r>
      <w:r w:rsidRPr="0045386C">
        <w:rPr>
          <w:rFonts w:ascii="Arial" w:hAnsi="Arial" w:cs="Arial"/>
        </w:rPr>
        <w:t xml:space="preserve">. Melbourne: BHP Group Limited. Available at: </w:t>
      </w:r>
      <w:hyperlink r:id="rId8" w:history="1">
        <w:r w:rsidRPr="0045386C">
          <w:rPr>
            <w:rStyle w:val="Hyperlink"/>
            <w:rFonts w:ascii="Arial" w:hAnsi="Arial" w:cs="Arial"/>
          </w:rPr>
          <w:t>https://www.bhp.com/sustainability/climate-change</w:t>
        </w:r>
      </w:hyperlink>
      <w:r w:rsidRPr="0045386C">
        <w:rPr>
          <w:rFonts w:ascii="Arial" w:hAnsi="Arial" w:cs="Arial"/>
        </w:rPr>
        <w:t xml:space="preserve"> (Accessed: </w:t>
      </w:r>
      <w:r w:rsidR="00BB6FD1" w:rsidRPr="0045386C">
        <w:rPr>
          <w:rFonts w:ascii="Arial" w:hAnsi="Arial" w:cs="Arial"/>
        </w:rPr>
        <w:t>1 August 2026</w:t>
      </w:r>
      <w:r w:rsidRPr="0045386C">
        <w:rPr>
          <w:rFonts w:ascii="Arial" w:hAnsi="Arial" w:cs="Arial"/>
        </w:rPr>
        <w:t>).</w:t>
      </w:r>
    </w:p>
    <w:p w14:paraId="11C2212A" w14:textId="77777777" w:rsidR="00B55B0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European Commission (2023) </w:t>
      </w:r>
      <w:r w:rsidRPr="0045386C">
        <w:rPr>
          <w:rStyle w:val="Emphasis"/>
          <w:rFonts w:ascii="Arial" w:hAnsi="Arial" w:cs="Arial"/>
        </w:rPr>
        <w:t>Regulation (EU) 2023/1542 of the European Parliament and of the Council of 12 July 2023 concerning batteries and waste batteries</w:t>
      </w:r>
      <w:r w:rsidRPr="0045386C">
        <w:rPr>
          <w:rFonts w:ascii="Arial" w:hAnsi="Arial" w:cs="Arial"/>
        </w:rPr>
        <w:t xml:space="preserve">. Brussels: European Union. Available at: </w:t>
      </w:r>
      <w:hyperlink r:id="rId9" w:history="1">
        <w:r w:rsidRPr="0045386C">
          <w:rPr>
            <w:rStyle w:val="Hyperlink"/>
            <w:rFonts w:ascii="Arial" w:hAnsi="Arial" w:cs="Arial"/>
          </w:rPr>
          <w:t>https://eur-lex.europa.eu/legal-content/EN/TXT/?uri=CELEX:32023R1542</w:t>
        </w:r>
      </w:hyperlink>
      <w:r w:rsidRPr="0045386C">
        <w:rPr>
          <w:rFonts w:ascii="Arial" w:hAnsi="Arial" w:cs="Arial"/>
        </w:rPr>
        <w:t xml:space="preserve"> (Accessed: </w:t>
      </w:r>
      <w:r w:rsidR="00BB6FD1" w:rsidRPr="0045386C">
        <w:rPr>
          <w:rFonts w:ascii="Arial" w:hAnsi="Arial" w:cs="Arial"/>
        </w:rPr>
        <w:t>4 August 2026</w:t>
      </w:r>
      <w:r w:rsidRPr="0045386C">
        <w:rPr>
          <w:rFonts w:ascii="Arial" w:hAnsi="Arial" w:cs="Arial"/>
        </w:rPr>
        <w:t>).</w:t>
      </w:r>
    </w:p>
    <w:p w14:paraId="14801CFB" w14:textId="7A5313E0" w:rsidR="00451812" w:rsidRPr="0045386C" w:rsidRDefault="003C60DF"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Gibbs, G. (1988) </w:t>
      </w:r>
      <w:r w:rsidRPr="0045386C">
        <w:rPr>
          <w:rStyle w:val="Emphasis"/>
          <w:rFonts w:ascii="Arial" w:hAnsi="Arial" w:cs="Arial"/>
        </w:rPr>
        <w:t>Learning by doing: a guide to teaching and learning methods</w:t>
      </w:r>
      <w:r w:rsidRPr="0045386C">
        <w:rPr>
          <w:rFonts w:ascii="Arial" w:hAnsi="Arial" w:cs="Arial"/>
        </w:rPr>
        <w:t>. Oxford: Further Education Unit, Oxford Polytechnic.</w:t>
      </w:r>
    </w:p>
    <w:p w14:paraId="11E48521" w14:textId="624A05A2" w:rsidR="00451812" w:rsidRPr="0045386C" w:rsidRDefault="00451812" w:rsidP="00CF6BFD">
      <w:pPr>
        <w:pStyle w:val="font-claude-response-body"/>
        <w:spacing w:before="0" w:beforeAutospacing="0" w:after="0" w:afterAutospacing="0" w:line="360" w:lineRule="auto"/>
        <w:rPr>
          <w:rFonts w:ascii="Arial" w:hAnsi="Arial" w:cs="Arial"/>
        </w:rPr>
      </w:pPr>
      <w:proofErr w:type="spellStart"/>
      <w:r w:rsidRPr="0045386C">
        <w:rPr>
          <w:rFonts w:ascii="Arial" w:hAnsi="Arial" w:cs="Arial"/>
        </w:rPr>
        <w:t>Górska-Warsewicz</w:t>
      </w:r>
      <w:proofErr w:type="spellEnd"/>
      <w:r w:rsidRPr="0045386C">
        <w:rPr>
          <w:rFonts w:ascii="Arial" w:hAnsi="Arial" w:cs="Arial"/>
        </w:rPr>
        <w:t xml:space="preserve">, H., Dębski, M., </w:t>
      </w:r>
      <w:proofErr w:type="spellStart"/>
      <w:r w:rsidRPr="0045386C">
        <w:rPr>
          <w:rFonts w:ascii="Arial" w:hAnsi="Arial" w:cs="Arial"/>
        </w:rPr>
        <w:t>Fabuš</w:t>
      </w:r>
      <w:proofErr w:type="spellEnd"/>
      <w:r w:rsidRPr="0045386C">
        <w:rPr>
          <w:rFonts w:ascii="Arial" w:hAnsi="Arial" w:cs="Arial"/>
        </w:rPr>
        <w:t xml:space="preserve">, M. and Kováč, M. (2021) 'Green brand equity — empirical experience from a systematic literature review', </w:t>
      </w:r>
      <w:r w:rsidRPr="0045386C">
        <w:rPr>
          <w:rStyle w:val="Emphasis"/>
          <w:rFonts w:ascii="Arial" w:hAnsi="Arial" w:cs="Arial"/>
        </w:rPr>
        <w:t>Sustainability</w:t>
      </w:r>
      <w:r w:rsidRPr="0045386C">
        <w:rPr>
          <w:rFonts w:ascii="Arial" w:hAnsi="Arial" w:cs="Arial"/>
        </w:rPr>
        <w:t xml:space="preserve">, 13(20), article 11130. Available at: </w:t>
      </w:r>
      <w:hyperlink r:id="rId10" w:history="1">
        <w:r w:rsidRPr="0045386C">
          <w:rPr>
            <w:rStyle w:val="Hyperlink"/>
            <w:rFonts w:ascii="Arial" w:hAnsi="Arial" w:cs="Arial"/>
          </w:rPr>
          <w:t>https://www.mdpi.com/2071-1050/13/20/11130</w:t>
        </w:r>
      </w:hyperlink>
      <w:r w:rsidRPr="0045386C">
        <w:rPr>
          <w:rFonts w:ascii="Arial" w:hAnsi="Arial" w:cs="Arial"/>
        </w:rPr>
        <w:t xml:space="preserve"> (Accessed: </w:t>
      </w:r>
      <w:r w:rsidR="00711244" w:rsidRPr="0045386C">
        <w:rPr>
          <w:rFonts w:ascii="Arial" w:hAnsi="Arial" w:cs="Arial"/>
        </w:rPr>
        <w:t>2</w:t>
      </w:r>
      <w:r w:rsidR="00BB6FD1" w:rsidRPr="0045386C">
        <w:rPr>
          <w:rFonts w:ascii="Arial" w:hAnsi="Arial" w:cs="Arial"/>
        </w:rPr>
        <w:t xml:space="preserve"> August 2026</w:t>
      </w:r>
      <w:r w:rsidRPr="0045386C">
        <w:rPr>
          <w:rFonts w:ascii="Arial" w:hAnsi="Arial" w:cs="Arial"/>
        </w:rPr>
        <w:t>).</w:t>
      </w:r>
    </w:p>
    <w:p w14:paraId="06D40275" w14:textId="2540F5CD"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Hesse, A., </w:t>
      </w:r>
      <w:proofErr w:type="spellStart"/>
      <w:r w:rsidRPr="0045386C">
        <w:rPr>
          <w:rFonts w:ascii="Arial" w:hAnsi="Arial" w:cs="Arial"/>
        </w:rPr>
        <w:t>Bündgen</w:t>
      </w:r>
      <w:proofErr w:type="spellEnd"/>
      <w:r w:rsidRPr="0045386C">
        <w:rPr>
          <w:rFonts w:ascii="Arial" w:hAnsi="Arial" w:cs="Arial"/>
        </w:rPr>
        <w:t xml:space="preserve">, K., Claren, S. and Frank, S. (2022) 'Practices of brand extensions and how consumers respond to FMCG giants' greening attempts', </w:t>
      </w:r>
      <w:r w:rsidRPr="0045386C">
        <w:rPr>
          <w:rStyle w:val="Emphasis"/>
          <w:rFonts w:ascii="Arial" w:hAnsi="Arial" w:cs="Arial"/>
        </w:rPr>
        <w:t>Journal of Brand Management</w:t>
      </w:r>
      <w:r w:rsidRPr="0045386C">
        <w:rPr>
          <w:rFonts w:ascii="Arial" w:hAnsi="Arial" w:cs="Arial"/>
        </w:rPr>
        <w:t xml:space="preserve">, 29(6), pp. 520–537. Available at: </w:t>
      </w:r>
      <w:hyperlink r:id="rId11" w:history="1">
        <w:r w:rsidRPr="0045386C">
          <w:rPr>
            <w:rStyle w:val="Hyperlink"/>
            <w:rFonts w:ascii="Arial" w:hAnsi="Arial" w:cs="Arial"/>
          </w:rPr>
          <w:t>https://pmc.ncbi.nlm.nih.gov/articles/PMC8831008/</w:t>
        </w:r>
      </w:hyperlink>
      <w:r w:rsidRPr="0045386C">
        <w:rPr>
          <w:rFonts w:ascii="Arial" w:hAnsi="Arial" w:cs="Arial"/>
        </w:rPr>
        <w:t xml:space="preserve"> (Accessed: </w:t>
      </w:r>
      <w:r w:rsidR="00BB6FD1" w:rsidRPr="0045386C">
        <w:rPr>
          <w:rFonts w:ascii="Arial" w:hAnsi="Arial" w:cs="Arial"/>
        </w:rPr>
        <w:t>2 August 2026</w:t>
      </w:r>
      <w:r w:rsidRPr="0045386C">
        <w:rPr>
          <w:rFonts w:ascii="Arial" w:hAnsi="Arial" w:cs="Arial"/>
        </w:rPr>
        <w:t>).</w:t>
      </w:r>
    </w:p>
    <w:p w14:paraId="0E6EF037" w14:textId="704DF23B"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IEA (2024) </w:t>
      </w:r>
      <w:r w:rsidRPr="0045386C">
        <w:rPr>
          <w:rStyle w:val="Emphasis"/>
          <w:rFonts w:ascii="Arial" w:hAnsi="Arial" w:cs="Arial"/>
        </w:rPr>
        <w:t>Recycling of critical minerals: strategies to scale up recycling and urban mining</w:t>
      </w:r>
      <w:r w:rsidRPr="0045386C">
        <w:rPr>
          <w:rFonts w:ascii="Arial" w:hAnsi="Arial" w:cs="Arial"/>
        </w:rPr>
        <w:t xml:space="preserve">. Paris: International Energy Agency. Available at: </w:t>
      </w:r>
      <w:hyperlink r:id="rId12" w:history="1">
        <w:r w:rsidRPr="0045386C">
          <w:rPr>
            <w:rStyle w:val="Hyperlink"/>
            <w:rFonts w:ascii="Arial" w:hAnsi="Arial" w:cs="Arial"/>
          </w:rPr>
          <w:t>https://www.iea.org/reports/recycling-of-critical-minerals</w:t>
        </w:r>
      </w:hyperlink>
      <w:r w:rsidRPr="0045386C">
        <w:rPr>
          <w:rFonts w:ascii="Arial" w:hAnsi="Arial" w:cs="Arial"/>
        </w:rPr>
        <w:t xml:space="preserve"> (Accessed: </w:t>
      </w:r>
      <w:r w:rsidR="00B450D6" w:rsidRPr="0045386C">
        <w:rPr>
          <w:rFonts w:ascii="Arial" w:hAnsi="Arial" w:cs="Arial"/>
        </w:rPr>
        <w:t>3</w:t>
      </w:r>
      <w:r w:rsidR="00BB6FD1" w:rsidRPr="0045386C">
        <w:rPr>
          <w:rFonts w:ascii="Arial" w:hAnsi="Arial" w:cs="Arial"/>
        </w:rPr>
        <w:t xml:space="preserve"> August 2026</w:t>
      </w:r>
      <w:r w:rsidRPr="0045386C">
        <w:rPr>
          <w:rFonts w:ascii="Arial" w:hAnsi="Arial" w:cs="Arial"/>
        </w:rPr>
        <w:t>).</w:t>
      </w:r>
    </w:p>
    <w:p w14:paraId="510219D0" w14:textId="7AE843E9"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IEA (2025) </w:t>
      </w:r>
      <w:r w:rsidRPr="0045386C">
        <w:rPr>
          <w:rStyle w:val="Emphasis"/>
          <w:rFonts w:ascii="Arial" w:hAnsi="Arial" w:cs="Arial"/>
        </w:rPr>
        <w:t>Global EV outlook 2025</w:t>
      </w:r>
      <w:r w:rsidRPr="0045386C">
        <w:rPr>
          <w:rFonts w:ascii="Arial" w:hAnsi="Arial" w:cs="Arial"/>
        </w:rPr>
        <w:t xml:space="preserve">. Paris: International Energy Agency. Available at: </w:t>
      </w:r>
      <w:hyperlink r:id="rId13" w:history="1">
        <w:r w:rsidRPr="0045386C">
          <w:rPr>
            <w:rStyle w:val="Hyperlink"/>
            <w:rFonts w:ascii="Arial" w:hAnsi="Arial" w:cs="Arial"/>
          </w:rPr>
          <w:t>https://www.iea.org/reports/global-ev-outlook-2025</w:t>
        </w:r>
      </w:hyperlink>
      <w:r w:rsidRPr="0045386C">
        <w:rPr>
          <w:rFonts w:ascii="Arial" w:hAnsi="Arial" w:cs="Arial"/>
        </w:rPr>
        <w:t xml:space="preserve"> (Accessed: </w:t>
      </w:r>
      <w:r w:rsidR="00BB6FD1" w:rsidRPr="0045386C">
        <w:rPr>
          <w:rFonts w:ascii="Arial" w:hAnsi="Arial" w:cs="Arial"/>
        </w:rPr>
        <w:t>30 July 2026</w:t>
      </w:r>
      <w:r w:rsidRPr="0045386C">
        <w:rPr>
          <w:rFonts w:ascii="Arial" w:hAnsi="Arial" w:cs="Arial"/>
        </w:rPr>
        <w:t>).</w:t>
      </w:r>
    </w:p>
    <w:p w14:paraId="58A5245E" w14:textId="5A232C73"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Jung, F., Schröder, M. and Timme, M. (2023) 'Exponential adoption of battery electric cars', </w:t>
      </w:r>
      <w:r w:rsidRPr="0045386C">
        <w:rPr>
          <w:rStyle w:val="Emphasis"/>
          <w:rFonts w:ascii="Arial" w:hAnsi="Arial" w:cs="Arial"/>
        </w:rPr>
        <w:t>PLOS ONE</w:t>
      </w:r>
      <w:r w:rsidRPr="0045386C">
        <w:rPr>
          <w:rFonts w:ascii="Arial" w:hAnsi="Arial" w:cs="Arial"/>
        </w:rPr>
        <w:t xml:space="preserve">, 18(12), article e0295692. Available at: </w:t>
      </w:r>
      <w:hyperlink r:id="rId14" w:history="1">
        <w:r w:rsidRPr="0045386C">
          <w:rPr>
            <w:rStyle w:val="Hyperlink"/>
            <w:rFonts w:ascii="Arial" w:hAnsi="Arial" w:cs="Arial"/>
          </w:rPr>
          <w:t>https://journals.plos.org/plosone/article?id=10.1371/journal.pone.0295692</w:t>
        </w:r>
      </w:hyperlink>
      <w:r w:rsidRPr="0045386C">
        <w:rPr>
          <w:rFonts w:ascii="Arial" w:hAnsi="Arial" w:cs="Arial"/>
        </w:rPr>
        <w:t xml:space="preserve"> (Accessed: </w:t>
      </w:r>
      <w:r w:rsidR="00BB6FD1" w:rsidRPr="0045386C">
        <w:rPr>
          <w:rFonts w:ascii="Arial" w:hAnsi="Arial" w:cs="Arial"/>
        </w:rPr>
        <w:t>27 July 2026</w:t>
      </w:r>
      <w:r w:rsidRPr="0045386C">
        <w:rPr>
          <w:rFonts w:ascii="Arial" w:hAnsi="Arial" w:cs="Arial"/>
        </w:rPr>
        <w:t>).</w:t>
      </w:r>
    </w:p>
    <w:p w14:paraId="527101E3" w14:textId="77777777"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lastRenderedPageBreak/>
        <w:t xml:space="preserve">Kemper, J.A., Hall, C.M. and Ballantine, P.W. (2019) 'Marketing and sustainability: business as usual or changing worldviews?', </w:t>
      </w:r>
      <w:r w:rsidRPr="0045386C">
        <w:rPr>
          <w:rStyle w:val="Emphasis"/>
          <w:rFonts w:ascii="Arial" w:hAnsi="Arial" w:cs="Arial"/>
        </w:rPr>
        <w:t>Sustainability</w:t>
      </w:r>
      <w:r w:rsidRPr="0045386C">
        <w:rPr>
          <w:rFonts w:ascii="Arial" w:hAnsi="Arial" w:cs="Arial"/>
        </w:rPr>
        <w:t>, 11(3), p. 780.</w:t>
      </w:r>
    </w:p>
    <w:p w14:paraId="54625634" w14:textId="0BC0356E"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Kirchherr, J., </w:t>
      </w:r>
      <w:proofErr w:type="spellStart"/>
      <w:r w:rsidRPr="0045386C">
        <w:rPr>
          <w:rFonts w:ascii="Arial" w:hAnsi="Arial" w:cs="Arial"/>
        </w:rPr>
        <w:t>Reike</w:t>
      </w:r>
      <w:proofErr w:type="spellEnd"/>
      <w:r w:rsidRPr="0045386C">
        <w:rPr>
          <w:rFonts w:ascii="Arial" w:hAnsi="Arial" w:cs="Arial"/>
        </w:rPr>
        <w:t xml:space="preserve">, D. and Hekkert, M. (2017) 'Conceptualizing the circular economy: an analysis of 114 definitions', </w:t>
      </w:r>
      <w:r w:rsidRPr="0045386C">
        <w:rPr>
          <w:rStyle w:val="Emphasis"/>
          <w:rFonts w:ascii="Arial" w:hAnsi="Arial" w:cs="Arial"/>
        </w:rPr>
        <w:t>Resources, Conservation and Recycling</w:t>
      </w:r>
      <w:r w:rsidRPr="0045386C">
        <w:rPr>
          <w:rFonts w:ascii="Arial" w:hAnsi="Arial" w:cs="Arial"/>
        </w:rPr>
        <w:t xml:space="preserve">, 127, pp. 221–232. Available at: </w:t>
      </w:r>
      <w:hyperlink r:id="rId15" w:history="1">
        <w:r w:rsidRPr="0045386C">
          <w:rPr>
            <w:rStyle w:val="Hyperlink"/>
            <w:rFonts w:ascii="Arial" w:hAnsi="Arial" w:cs="Arial"/>
          </w:rPr>
          <w:t>https://research-portal.uu.nl/files/37862378/Conceptualizing.pdf</w:t>
        </w:r>
      </w:hyperlink>
      <w:r w:rsidRPr="0045386C">
        <w:rPr>
          <w:rFonts w:ascii="Arial" w:hAnsi="Arial" w:cs="Arial"/>
        </w:rPr>
        <w:t xml:space="preserve"> (Accessed: </w:t>
      </w:r>
      <w:r w:rsidR="00BB6FD1" w:rsidRPr="0045386C">
        <w:rPr>
          <w:rFonts w:ascii="Arial" w:hAnsi="Arial" w:cs="Arial"/>
        </w:rPr>
        <w:t>1 August 2026</w:t>
      </w:r>
      <w:r w:rsidRPr="0045386C">
        <w:rPr>
          <w:rFonts w:ascii="Arial" w:hAnsi="Arial" w:cs="Arial"/>
        </w:rPr>
        <w:t>).</w:t>
      </w:r>
    </w:p>
    <w:p w14:paraId="5B91E294" w14:textId="77777777"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Kotler, P., Armstrong, G., Harris, L.C. and He, H. (2024) </w:t>
      </w:r>
      <w:r w:rsidRPr="0045386C">
        <w:rPr>
          <w:rStyle w:val="Emphasis"/>
          <w:rFonts w:ascii="Arial" w:hAnsi="Arial" w:cs="Arial"/>
        </w:rPr>
        <w:t>Principles of marketing</w:t>
      </w:r>
      <w:r w:rsidRPr="0045386C">
        <w:rPr>
          <w:rFonts w:ascii="Arial" w:hAnsi="Arial" w:cs="Arial"/>
        </w:rPr>
        <w:t>. 19th edn. Harlow: Pearson.</w:t>
      </w:r>
    </w:p>
    <w:p w14:paraId="06AE31DE" w14:textId="4A8C69F1"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Machala, M.L., Chen, X., Bunke, S.P., Forbes, G., Yegizbay, A., de </w:t>
      </w:r>
      <w:proofErr w:type="spellStart"/>
      <w:r w:rsidRPr="0045386C">
        <w:rPr>
          <w:rFonts w:ascii="Arial" w:hAnsi="Arial" w:cs="Arial"/>
        </w:rPr>
        <w:t>Chalendar</w:t>
      </w:r>
      <w:proofErr w:type="spellEnd"/>
      <w:r w:rsidRPr="0045386C">
        <w:rPr>
          <w:rFonts w:ascii="Arial" w:hAnsi="Arial" w:cs="Arial"/>
        </w:rPr>
        <w:t xml:space="preserve">, J.A., Azevedo, I.L., Benson, S. and Tarpeh, W.A. (2025) 'Life cycle comparison of industrial-scale lithium-ion battery recycling and mining supply chains', </w:t>
      </w:r>
      <w:r w:rsidRPr="0045386C">
        <w:rPr>
          <w:rStyle w:val="Emphasis"/>
          <w:rFonts w:ascii="Arial" w:hAnsi="Arial" w:cs="Arial"/>
        </w:rPr>
        <w:t>Nature Communications</w:t>
      </w:r>
      <w:r w:rsidRPr="0045386C">
        <w:rPr>
          <w:rFonts w:ascii="Arial" w:hAnsi="Arial" w:cs="Arial"/>
        </w:rPr>
        <w:t xml:space="preserve">, 16(1), article 988. Available at: </w:t>
      </w:r>
      <w:hyperlink r:id="rId16" w:history="1">
        <w:r w:rsidRPr="0045386C">
          <w:rPr>
            <w:rStyle w:val="Hyperlink"/>
            <w:rFonts w:ascii="Arial" w:hAnsi="Arial" w:cs="Arial"/>
          </w:rPr>
          <w:t>https://www.nature.com/articles/s41467-025-56063-x</w:t>
        </w:r>
      </w:hyperlink>
      <w:r w:rsidRPr="0045386C">
        <w:rPr>
          <w:rFonts w:ascii="Arial" w:hAnsi="Arial" w:cs="Arial"/>
        </w:rPr>
        <w:t xml:space="preserve"> (Accessed:</w:t>
      </w:r>
      <w:r w:rsidR="00BB6FD1" w:rsidRPr="0045386C">
        <w:rPr>
          <w:rFonts w:ascii="Arial" w:hAnsi="Arial" w:cs="Arial"/>
        </w:rPr>
        <w:t xml:space="preserve"> 27 July 2026</w:t>
      </w:r>
      <w:r w:rsidRPr="0045386C">
        <w:rPr>
          <w:rFonts w:ascii="Arial" w:hAnsi="Arial" w:cs="Arial"/>
        </w:rPr>
        <w:t>).</w:t>
      </w:r>
    </w:p>
    <w:p w14:paraId="63BBCCEA" w14:textId="77777777" w:rsidR="00451812" w:rsidRPr="0045386C" w:rsidRDefault="00451812" w:rsidP="00CF6BFD">
      <w:pPr>
        <w:pStyle w:val="font-claude-response-body"/>
        <w:spacing w:before="0" w:beforeAutospacing="0" w:after="0" w:afterAutospacing="0" w:line="360" w:lineRule="auto"/>
        <w:rPr>
          <w:rFonts w:ascii="Arial" w:hAnsi="Arial" w:cs="Arial"/>
        </w:rPr>
      </w:pPr>
      <w:proofErr w:type="spellStart"/>
      <w:r w:rsidRPr="0045386C">
        <w:rPr>
          <w:rFonts w:ascii="Arial" w:hAnsi="Arial" w:cs="Arial"/>
        </w:rPr>
        <w:t>Moravcikova</w:t>
      </w:r>
      <w:proofErr w:type="spellEnd"/>
      <w:r w:rsidRPr="0045386C">
        <w:rPr>
          <w:rFonts w:ascii="Arial" w:hAnsi="Arial" w:cs="Arial"/>
        </w:rPr>
        <w:t xml:space="preserve">, D., </w:t>
      </w:r>
      <w:proofErr w:type="spellStart"/>
      <w:r w:rsidRPr="0045386C">
        <w:rPr>
          <w:rFonts w:ascii="Arial" w:hAnsi="Arial" w:cs="Arial"/>
        </w:rPr>
        <w:t>Krizanova</w:t>
      </w:r>
      <w:proofErr w:type="spellEnd"/>
      <w:r w:rsidRPr="0045386C">
        <w:rPr>
          <w:rFonts w:ascii="Arial" w:hAnsi="Arial" w:cs="Arial"/>
        </w:rPr>
        <w:t xml:space="preserve">, A., </w:t>
      </w:r>
      <w:proofErr w:type="spellStart"/>
      <w:r w:rsidRPr="0045386C">
        <w:rPr>
          <w:rFonts w:ascii="Arial" w:hAnsi="Arial" w:cs="Arial"/>
        </w:rPr>
        <w:t>Kliestikova</w:t>
      </w:r>
      <w:proofErr w:type="spellEnd"/>
      <w:r w:rsidRPr="0045386C">
        <w:rPr>
          <w:rFonts w:ascii="Arial" w:hAnsi="Arial" w:cs="Arial"/>
        </w:rPr>
        <w:t xml:space="preserve">, J. and Rypakova, M. (2017) 'Green marketing as the source of the competitive advantage of the business', </w:t>
      </w:r>
      <w:r w:rsidRPr="0045386C">
        <w:rPr>
          <w:rStyle w:val="Emphasis"/>
          <w:rFonts w:ascii="Arial" w:hAnsi="Arial" w:cs="Arial"/>
        </w:rPr>
        <w:t>Sustainability</w:t>
      </w:r>
      <w:r w:rsidRPr="0045386C">
        <w:rPr>
          <w:rFonts w:ascii="Arial" w:hAnsi="Arial" w:cs="Arial"/>
        </w:rPr>
        <w:t>, 9(12), p. 2218.</w:t>
      </w:r>
    </w:p>
    <w:p w14:paraId="36B120D9" w14:textId="2D7F819D" w:rsidR="00451812" w:rsidRPr="0045386C" w:rsidRDefault="00451812" w:rsidP="00CF6BFD">
      <w:pPr>
        <w:pStyle w:val="font-claude-response-body"/>
        <w:spacing w:before="0" w:beforeAutospacing="0" w:after="0" w:afterAutospacing="0" w:line="360" w:lineRule="auto"/>
        <w:rPr>
          <w:rFonts w:ascii="Arial" w:hAnsi="Arial" w:cs="Arial"/>
        </w:rPr>
      </w:pPr>
      <w:r w:rsidRPr="0045386C">
        <w:rPr>
          <w:rFonts w:ascii="Arial" w:hAnsi="Arial" w:cs="Arial"/>
        </w:rPr>
        <w:t xml:space="preserve">PwC (2024) </w:t>
      </w:r>
      <w:r w:rsidRPr="0045386C">
        <w:rPr>
          <w:rStyle w:val="Emphasis"/>
          <w:rFonts w:ascii="Arial" w:hAnsi="Arial" w:cs="Arial"/>
        </w:rPr>
        <w:t>Voice of the consumer survey 2024: shrinking the consumer trust deficit</w:t>
      </w:r>
      <w:r w:rsidRPr="0045386C">
        <w:rPr>
          <w:rFonts w:ascii="Arial" w:hAnsi="Arial" w:cs="Arial"/>
        </w:rPr>
        <w:t xml:space="preserve">. London: PricewaterhouseCoopers. Available at: </w:t>
      </w:r>
      <w:hyperlink r:id="rId17" w:history="1">
        <w:r w:rsidRPr="0045386C">
          <w:rPr>
            <w:rStyle w:val="Hyperlink"/>
            <w:rFonts w:ascii="Arial" w:hAnsi="Arial" w:cs="Arial"/>
          </w:rPr>
          <w:t>https://www.pwc.com/gx/en/is</w:t>
        </w:r>
        <w:r w:rsidRPr="0045386C">
          <w:rPr>
            <w:rStyle w:val="Hyperlink"/>
            <w:rFonts w:ascii="Arial" w:hAnsi="Arial" w:cs="Arial"/>
          </w:rPr>
          <w:t>s</w:t>
        </w:r>
        <w:r w:rsidRPr="0045386C">
          <w:rPr>
            <w:rStyle w:val="Hyperlink"/>
            <w:rFonts w:ascii="Arial" w:hAnsi="Arial" w:cs="Arial"/>
          </w:rPr>
          <w:t>ues/c-suite-insights/voice-of-the-consumer-survey/2024.html</w:t>
        </w:r>
      </w:hyperlink>
      <w:r w:rsidRPr="0045386C">
        <w:rPr>
          <w:rFonts w:ascii="Arial" w:hAnsi="Arial" w:cs="Arial"/>
        </w:rPr>
        <w:t xml:space="preserve"> (Accessed: </w:t>
      </w:r>
      <w:r w:rsidR="00BB6FD1" w:rsidRPr="0045386C">
        <w:rPr>
          <w:rFonts w:ascii="Arial" w:hAnsi="Arial" w:cs="Arial"/>
        </w:rPr>
        <w:t>28 July 2026</w:t>
      </w:r>
      <w:r w:rsidRPr="0045386C">
        <w:rPr>
          <w:rFonts w:ascii="Arial" w:hAnsi="Arial" w:cs="Arial"/>
        </w:rPr>
        <w:t>).</w:t>
      </w:r>
    </w:p>
    <w:p w14:paraId="1C55A505" w14:textId="4445F7A1" w:rsidR="00775028" w:rsidRPr="0045386C" w:rsidRDefault="00775028" w:rsidP="00CF6BFD">
      <w:pPr>
        <w:spacing w:after="0" w:line="360" w:lineRule="auto"/>
        <w:jc w:val="both"/>
        <w:rPr>
          <w:rFonts w:ascii="Arial" w:hAnsi="Arial" w:cs="Arial"/>
          <w:sz w:val="24"/>
          <w:szCs w:val="24"/>
        </w:rPr>
      </w:pPr>
    </w:p>
    <w:sectPr w:rsidR="00775028" w:rsidRPr="004538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20641" w14:textId="77777777" w:rsidR="00F9079A" w:rsidRDefault="00F9079A" w:rsidP="00A055A9">
      <w:pPr>
        <w:spacing w:after="0" w:line="240" w:lineRule="auto"/>
      </w:pPr>
      <w:r>
        <w:separator/>
      </w:r>
    </w:p>
  </w:endnote>
  <w:endnote w:type="continuationSeparator" w:id="0">
    <w:p w14:paraId="38625C26" w14:textId="77777777" w:rsidR="00F9079A" w:rsidRDefault="00F9079A" w:rsidP="00A0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DB224" w14:textId="77777777" w:rsidR="00F9079A" w:rsidRDefault="00F9079A" w:rsidP="00A055A9">
      <w:pPr>
        <w:spacing w:after="0" w:line="240" w:lineRule="auto"/>
      </w:pPr>
      <w:r>
        <w:separator/>
      </w:r>
    </w:p>
  </w:footnote>
  <w:footnote w:type="continuationSeparator" w:id="0">
    <w:p w14:paraId="37727761" w14:textId="77777777" w:rsidR="00F9079A" w:rsidRDefault="00F9079A" w:rsidP="00A055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3F4"/>
    <w:rsid w:val="000617A7"/>
    <w:rsid w:val="00063A80"/>
    <w:rsid w:val="000741A9"/>
    <w:rsid w:val="000F3202"/>
    <w:rsid w:val="00161853"/>
    <w:rsid w:val="001D1D35"/>
    <w:rsid w:val="001E576E"/>
    <w:rsid w:val="00243F38"/>
    <w:rsid w:val="002966FE"/>
    <w:rsid w:val="0031393B"/>
    <w:rsid w:val="00336BF0"/>
    <w:rsid w:val="003478C0"/>
    <w:rsid w:val="00352E9B"/>
    <w:rsid w:val="00387622"/>
    <w:rsid w:val="003B3206"/>
    <w:rsid w:val="003C60DF"/>
    <w:rsid w:val="00437992"/>
    <w:rsid w:val="00451812"/>
    <w:rsid w:val="0045386C"/>
    <w:rsid w:val="00623D92"/>
    <w:rsid w:val="00665E90"/>
    <w:rsid w:val="00671956"/>
    <w:rsid w:val="00697D8A"/>
    <w:rsid w:val="00711244"/>
    <w:rsid w:val="00775028"/>
    <w:rsid w:val="00783BD3"/>
    <w:rsid w:val="0079615D"/>
    <w:rsid w:val="007E26C0"/>
    <w:rsid w:val="00881FA8"/>
    <w:rsid w:val="008D19FE"/>
    <w:rsid w:val="009669C7"/>
    <w:rsid w:val="00984455"/>
    <w:rsid w:val="009B4944"/>
    <w:rsid w:val="009B55D9"/>
    <w:rsid w:val="00A055A9"/>
    <w:rsid w:val="00A803F4"/>
    <w:rsid w:val="00B450D6"/>
    <w:rsid w:val="00B55B02"/>
    <w:rsid w:val="00BB6FD1"/>
    <w:rsid w:val="00C14311"/>
    <w:rsid w:val="00CF6BFD"/>
    <w:rsid w:val="00E30447"/>
    <w:rsid w:val="00EF7EA0"/>
    <w:rsid w:val="00F00805"/>
    <w:rsid w:val="00F146D3"/>
    <w:rsid w:val="00F204AB"/>
    <w:rsid w:val="00F9079A"/>
    <w:rsid w:val="00FA47D0"/>
    <w:rsid w:val="00FD26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D70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E90"/>
    <w:pPr>
      <w:keepNext/>
      <w:keepLines/>
      <w:spacing w:before="240" w:after="0"/>
      <w:jc w:val="both"/>
      <w:outlineLvl w:val="0"/>
    </w:pPr>
    <w:rPr>
      <w:rFonts w:ascii="Arial" w:eastAsia="Times New Roman" w:hAnsi="Arial" w:cs="Arial"/>
      <w:b/>
      <w:bCs/>
      <w:color w:val="2F5496" w:themeColor="accent1" w:themeShade="BF"/>
      <w:sz w:val="32"/>
      <w:szCs w:val="32"/>
      <w:lang w:eastAsia="en-IN"/>
    </w:rPr>
  </w:style>
  <w:style w:type="paragraph" w:styleId="Heading2">
    <w:name w:val="heading 2"/>
    <w:basedOn w:val="Normal"/>
    <w:link w:val="Heading2Char"/>
    <w:uiPriority w:val="9"/>
    <w:qFormat/>
    <w:rsid w:val="001E576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IN"/>
      <w14:ligatures w14:val="none"/>
    </w:rPr>
  </w:style>
  <w:style w:type="paragraph" w:styleId="Heading3">
    <w:name w:val="heading 3"/>
    <w:basedOn w:val="Normal"/>
    <w:link w:val="Heading3Char"/>
    <w:uiPriority w:val="9"/>
    <w:qFormat/>
    <w:rsid w:val="001E576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link w:val="Heading4Char"/>
    <w:uiPriority w:val="9"/>
    <w:qFormat/>
    <w:rsid w:val="001E576E"/>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E576E"/>
    <w:rPr>
      <w:rFonts w:ascii="Times New Roman" w:eastAsia="Times New Roman" w:hAnsi="Times New Roman" w:cs="Times New Roman"/>
      <w:b/>
      <w:bCs/>
      <w:kern w:val="0"/>
      <w:sz w:val="36"/>
      <w:szCs w:val="36"/>
      <w:lang w:eastAsia="en-IN"/>
      <w14:ligatures w14:val="none"/>
    </w:rPr>
  </w:style>
  <w:style w:type="character" w:customStyle="1" w:styleId="Heading3Char">
    <w:name w:val="Heading 3 Char"/>
    <w:basedOn w:val="DefaultParagraphFont"/>
    <w:link w:val="Heading3"/>
    <w:uiPriority w:val="9"/>
    <w:rsid w:val="001E576E"/>
    <w:rPr>
      <w:rFonts w:ascii="Times New Roman" w:eastAsia="Times New Roman" w:hAnsi="Times New Roman" w:cs="Times New Roman"/>
      <w:b/>
      <w:bCs/>
      <w:kern w:val="0"/>
      <w:sz w:val="27"/>
      <w:szCs w:val="27"/>
      <w:lang w:eastAsia="en-IN"/>
      <w14:ligatures w14:val="none"/>
    </w:rPr>
  </w:style>
  <w:style w:type="character" w:customStyle="1" w:styleId="Heading4Char">
    <w:name w:val="Heading 4 Char"/>
    <w:basedOn w:val="DefaultParagraphFont"/>
    <w:link w:val="Heading4"/>
    <w:uiPriority w:val="9"/>
    <w:rsid w:val="001E576E"/>
    <w:rPr>
      <w:rFonts w:ascii="Times New Roman" w:eastAsia="Times New Roman" w:hAnsi="Times New Roman" w:cs="Times New Roman"/>
      <w:b/>
      <w:bCs/>
      <w:kern w:val="0"/>
      <w:sz w:val="24"/>
      <w:szCs w:val="24"/>
      <w:lang w:eastAsia="en-IN"/>
      <w14:ligatures w14:val="none"/>
    </w:rPr>
  </w:style>
  <w:style w:type="paragraph" w:customStyle="1" w:styleId="font-claude-response-body">
    <w:name w:val="font-claude-response-body"/>
    <w:basedOn w:val="Normal"/>
    <w:rsid w:val="001E576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1E576E"/>
    <w:rPr>
      <w:b/>
      <w:bCs/>
    </w:rPr>
  </w:style>
  <w:style w:type="character" w:styleId="Emphasis">
    <w:name w:val="Emphasis"/>
    <w:basedOn w:val="DefaultParagraphFont"/>
    <w:uiPriority w:val="20"/>
    <w:qFormat/>
    <w:rsid w:val="00451812"/>
    <w:rPr>
      <w:i/>
      <w:iCs/>
    </w:rPr>
  </w:style>
  <w:style w:type="character" w:styleId="Hyperlink">
    <w:name w:val="Hyperlink"/>
    <w:basedOn w:val="DefaultParagraphFont"/>
    <w:uiPriority w:val="99"/>
    <w:semiHidden/>
    <w:unhideWhenUsed/>
    <w:rsid w:val="00451812"/>
    <w:rPr>
      <w:color w:val="0000FF"/>
      <w:u w:val="single"/>
    </w:rPr>
  </w:style>
  <w:style w:type="character" w:customStyle="1" w:styleId="Heading1Char">
    <w:name w:val="Heading 1 Char"/>
    <w:basedOn w:val="DefaultParagraphFont"/>
    <w:link w:val="Heading1"/>
    <w:uiPriority w:val="9"/>
    <w:rsid w:val="00665E90"/>
    <w:rPr>
      <w:rFonts w:ascii="Arial" w:eastAsia="Times New Roman" w:hAnsi="Arial" w:cs="Arial"/>
      <w:b/>
      <w:bCs/>
      <w:color w:val="2F5496" w:themeColor="accent1" w:themeShade="BF"/>
      <w:sz w:val="32"/>
      <w:szCs w:val="32"/>
      <w:lang w:eastAsia="en-IN"/>
    </w:rPr>
  </w:style>
  <w:style w:type="paragraph" w:styleId="Header">
    <w:name w:val="header"/>
    <w:basedOn w:val="Normal"/>
    <w:link w:val="HeaderChar"/>
    <w:uiPriority w:val="99"/>
    <w:unhideWhenUsed/>
    <w:rsid w:val="00A05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5A9"/>
  </w:style>
  <w:style w:type="paragraph" w:styleId="Footer">
    <w:name w:val="footer"/>
    <w:basedOn w:val="Normal"/>
    <w:link w:val="FooterChar"/>
    <w:uiPriority w:val="99"/>
    <w:unhideWhenUsed/>
    <w:rsid w:val="00A05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5A9"/>
  </w:style>
  <w:style w:type="character" w:styleId="FollowedHyperlink">
    <w:name w:val="FollowedHyperlink"/>
    <w:basedOn w:val="DefaultParagraphFont"/>
    <w:uiPriority w:val="99"/>
    <w:semiHidden/>
    <w:unhideWhenUsed/>
    <w:rsid w:val="004538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8254">
      <w:bodyDiv w:val="1"/>
      <w:marLeft w:val="0"/>
      <w:marRight w:val="0"/>
      <w:marTop w:val="0"/>
      <w:marBottom w:val="0"/>
      <w:divBdr>
        <w:top w:val="none" w:sz="0" w:space="0" w:color="auto"/>
        <w:left w:val="none" w:sz="0" w:space="0" w:color="auto"/>
        <w:bottom w:val="none" w:sz="0" w:space="0" w:color="auto"/>
        <w:right w:val="none" w:sz="0" w:space="0" w:color="auto"/>
      </w:divBdr>
    </w:div>
    <w:div w:id="478812017">
      <w:bodyDiv w:val="1"/>
      <w:marLeft w:val="0"/>
      <w:marRight w:val="0"/>
      <w:marTop w:val="0"/>
      <w:marBottom w:val="0"/>
      <w:divBdr>
        <w:top w:val="none" w:sz="0" w:space="0" w:color="auto"/>
        <w:left w:val="none" w:sz="0" w:space="0" w:color="auto"/>
        <w:bottom w:val="none" w:sz="0" w:space="0" w:color="auto"/>
        <w:right w:val="none" w:sz="0" w:space="0" w:color="auto"/>
      </w:divBdr>
    </w:div>
    <w:div w:id="581568880">
      <w:bodyDiv w:val="1"/>
      <w:marLeft w:val="0"/>
      <w:marRight w:val="0"/>
      <w:marTop w:val="0"/>
      <w:marBottom w:val="0"/>
      <w:divBdr>
        <w:top w:val="none" w:sz="0" w:space="0" w:color="auto"/>
        <w:left w:val="none" w:sz="0" w:space="0" w:color="auto"/>
        <w:bottom w:val="none" w:sz="0" w:space="0" w:color="auto"/>
        <w:right w:val="none" w:sz="0" w:space="0" w:color="auto"/>
      </w:divBdr>
    </w:div>
    <w:div w:id="925647012">
      <w:bodyDiv w:val="1"/>
      <w:marLeft w:val="0"/>
      <w:marRight w:val="0"/>
      <w:marTop w:val="0"/>
      <w:marBottom w:val="0"/>
      <w:divBdr>
        <w:top w:val="none" w:sz="0" w:space="0" w:color="auto"/>
        <w:left w:val="none" w:sz="0" w:space="0" w:color="auto"/>
        <w:bottom w:val="none" w:sz="0" w:space="0" w:color="auto"/>
        <w:right w:val="none" w:sz="0" w:space="0" w:color="auto"/>
      </w:divBdr>
    </w:div>
    <w:div w:id="1105003901">
      <w:bodyDiv w:val="1"/>
      <w:marLeft w:val="0"/>
      <w:marRight w:val="0"/>
      <w:marTop w:val="0"/>
      <w:marBottom w:val="0"/>
      <w:divBdr>
        <w:top w:val="none" w:sz="0" w:space="0" w:color="auto"/>
        <w:left w:val="none" w:sz="0" w:space="0" w:color="auto"/>
        <w:bottom w:val="none" w:sz="0" w:space="0" w:color="auto"/>
        <w:right w:val="none" w:sz="0" w:space="0" w:color="auto"/>
      </w:divBdr>
    </w:div>
    <w:div w:id="203149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p.com/sustainability/climate-change" TargetMode="External"/><Relationship Id="rId13" Type="http://schemas.openxmlformats.org/officeDocument/2006/relationships/hyperlink" Target="https://www.iea.org/reports/global-ev-outlook-202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hp.com/investors/annual-reporting" TargetMode="External"/><Relationship Id="rId12" Type="http://schemas.openxmlformats.org/officeDocument/2006/relationships/hyperlink" Target="https://www.iea.org/reports/recycling-of-critical-minerals" TargetMode="External"/><Relationship Id="rId17" Type="http://schemas.openxmlformats.org/officeDocument/2006/relationships/hyperlink" Target="https://www.pwc.com/gx/en/issues/c-suite-insights/voice-of-the-consumer-survey/2024.html" TargetMode="External"/><Relationship Id="rId2" Type="http://schemas.openxmlformats.org/officeDocument/2006/relationships/settings" Target="settings.xml"/><Relationship Id="rId16" Type="http://schemas.openxmlformats.org/officeDocument/2006/relationships/hyperlink" Target="https://www.nature.com/articles/s41467-025-56063-x"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mc.ncbi.nlm.nih.gov/articles/PMC8831008/" TargetMode="External"/><Relationship Id="rId5" Type="http://schemas.openxmlformats.org/officeDocument/2006/relationships/endnotes" Target="endnotes.xml"/><Relationship Id="rId15" Type="http://schemas.openxmlformats.org/officeDocument/2006/relationships/hyperlink" Target="https://research-portal.uu.nl/files/37862378/Conceptualizing.pdf" TargetMode="External"/><Relationship Id="rId10" Type="http://schemas.openxmlformats.org/officeDocument/2006/relationships/hyperlink" Target="https://www.mdpi.com/2071-1050/13/20/1113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eur-lex.europa.eu/legal-content/EN/TXT/?uri=CELEX:32023R1542" TargetMode="External"/><Relationship Id="rId14" Type="http://schemas.openxmlformats.org/officeDocument/2006/relationships/hyperlink" Target="https://journals.plos.org/plosone/article?id=10.1371/journal.pone.0295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3710</Words>
  <Characters>21147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2026-08-09T11:27:00Z</dcterms:created>
  <dcterms:modified xsi:type="dcterms:W3CDTF">2026-08-09T11:42:00Z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141d9f0d-e4af-405d-97b2-026d414ad433</vt:lpwstr>
  </property>
</Properties>
</file>