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6A77F7" w14:textId="543BB548" w:rsidR="009E199C" w:rsidRPr="007B21D8" w:rsidRDefault="00470E36" w:rsidP="00247F18">
      <w:pPr>
        <w:spacing w:after="0" w:line="480" w:lineRule="auto"/>
        <w:jc w:val="center"/>
        <w:rPr>
          <w:rFonts w:ascii="Times New Roman" w:hAnsi="Times New Roman" w:cs="Times New Roman"/>
          <w:color w:val="000000" w:themeColor="text1"/>
          <w:sz w:val="56"/>
          <w:szCs w:val="56"/>
        </w:rPr>
      </w:pPr>
      <w:r w:rsidRPr="007B21D8">
        <w:rPr>
          <w:rFonts w:ascii="Times New Roman" w:hAnsi="Times New Roman" w:cs="Times New Roman"/>
          <w:color w:val="000000" w:themeColor="text1"/>
          <w:sz w:val="56"/>
          <w:szCs w:val="56"/>
        </w:rPr>
        <w:t>Management Accounting</w:t>
      </w:r>
    </w:p>
    <w:p w14:paraId="0ED3A182" w14:textId="28731FCB" w:rsidR="00470E36" w:rsidRPr="007B21D8" w:rsidRDefault="00470E36" w:rsidP="006A51E8">
      <w:pPr>
        <w:spacing w:after="0" w:line="480" w:lineRule="auto"/>
        <w:jc w:val="center"/>
        <w:rPr>
          <w:rFonts w:ascii="Times New Roman" w:hAnsi="Times New Roman" w:cs="Times New Roman"/>
          <w:color w:val="000000" w:themeColor="text1"/>
          <w:sz w:val="56"/>
          <w:szCs w:val="56"/>
        </w:rPr>
      </w:pPr>
      <w:r w:rsidRPr="007B21D8">
        <w:rPr>
          <w:rFonts w:ascii="Times New Roman" w:hAnsi="Times New Roman" w:cs="Times New Roman"/>
          <w:color w:val="000000" w:themeColor="text1"/>
          <w:sz w:val="56"/>
          <w:szCs w:val="56"/>
        </w:rPr>
        <w:t>(LCBB5002)</w:t>
      </w:r>
    </w:p>
    <w:p w14:paraId="766A77F8" w14:textId="77777777" w:rsidR="009E199C" w:rsidRPr="006A51E8" w:rsidRDefault="009E199C" w:rsidP="006A51E8">
      <w:pPr>
        <w:spacing w:after="0" w:line="480" w:lineRule="auto"/>
        <w:jc w:val="center"/>
        <w:rPr>
          <w:rFonts w:ascii="Times New Roman" w:hAnsi="Times New Roman" w:cs="Times New Roman"/>
          <w:color w:val="000000" w:themeColor="text1"/>
          <w:sz w:val="24"/>
          <w:szCs w:val="24"/>
        </w:rPr>
      </w:pPr>
    </w:p>
    <w:p w14:paraId="766A77F9" w14:textId="77777777" w:rsidR="009E199C" w:rsidRPr="006A51E8" w:rsidRDefault="009E199C" w:rsidP="006A51E8">
      <w:pPr>
        <w:spacing w:after="0" w:line="480" w:lineRule="auto"/>
        <w:jc w:val="center"/>
        <w:rPr>
          <w:rFonts w:ascii="Times New Roman" w:hAnsi="Times New Roman" w:cs="Times New Roman"/>
          <w:color w:val="000000" w:themeColor="text1"/>
          <w:sz w:val="24"/>
          <w:szCs w:val="24"/>
        </w:rPr>
      </w:pPr>
    </w:p>
    <w:p w14:paraId="766A77FA" w14:textId="77777777" w:rsidR="009E199C" w:rsidRPr="006A51E8" w:rsidRDefault="009E199C" w:rsidP="006A51E8">
      <w:pPr>
        <w:spacing w:after="0" w:line="480" w:lineRule="auto"/>
        <w:jc w:val="center"/>
        <w:rPr>
          <w:rFonts w:ascii="Times New Roman" w:hAnsi="Times New Roman" w:cs="Times New Roman"/>
          <w:color w:val="000000" w:themeColor="text1"/>
          <w:sz w:val="24"/>
          <w:szCs w:val="24"/>
        </w:rPr>
      </w:pPr>
    </w:p>
    <w:p w14:paraId="766A77FB" w14:textId="77777777" w:rsidR="009E199C" w:rsidRPr="006A51E8" w:rsidRDefault="009E199C" w:rsidP="006A51E8">
      <w:pPr>
        <w:spacing w:after="0" w:line="480" w:lineRule="auto"/>
        <w:jc w:val="center"/>
        <w:rPr>
          <w:rFonts w:ascii="Times New Roman" w:hAnsi="Times New Roman" w:cs="Times New Roman"/>
          <w:color w:val="000000" w:themeColor="text1"/>
          <w:sz w:val="24"/>
          <w:szCs w:val="24"/>
        </w:rPr>
      </w:pPr>
    </w:p>
    <w:p w14:paraId="766A77FC" w14:textId="77777777" w:rsidR="009E199C" w:rsidRPr="006A51E8" w:rsidRDefault="009E199C" w:rsidP="006A51E8">
      <w:pPr>
        <w:spacing w:after="0" w:line="480" w:lineRule="auto"/>
        <w:jc w:val="center"/>
        <w:rPr>
          <w:rFonts w:ascii="Times New Roman" w:hAnsi="Times New Roman" w:cs="Times New Roman"/>
          <w:color w:val="000000" w:themeColor="text1"/>
          <w:sz w:val="24"/>
          <w:szCs w:val="24"/>
        </w:rPr>
      </w:pPr>
    </w:p>
    <w:p w14:paraId="766A77FD" w14:textId="77777777" w:rsidR="009E199C" w:rsidRPr="006A51E8" w:rsidRDefault="009E199C" w:rsidP="006A51E8">
      <w:pPr>
        <w:spacing w:after="0" w:line="480" w:lineRule="auto"/>
        <w:jc w:val="center"/>
        <w:rPr>
          <w:rFonts w:ascii="Times New Roman" w:hAnsi="Times New Roman" w:cs="Times New Roman"/>
          <w:color w:val="000000" w:themeColor="text1"/>
          <w:sz w:val="24"/>
          <w:szCs w:val="24"/>
        </w:rPr>
      </w:pPr>
    </w:p>
    <w:p w14:paraId="766A77FE" w14:textId="77777777" w:rsidR="009E199C" w:rsidRPr="006A51E8" w:rsidRDefault="009E199C" w:rsidP="006A51E8">
      <w:pPr>
        <w:spacing w:after="0" w:line="480" w:lineRule="auto"/>
        <w:jc w:val="center"/>
        <w:rPr>
          <w:rFonts w:ascii="Times New Roman" w:hAnsi="Times New Roman" w:cs="Times New Roman"/>
          <w:color w:val="000000" w:themeColor="text1"/>
          <w:sz w:val="24"/>
          <w:szCs w:val="24"/>
        </w:rPr>
      </w:pPr>
    </w:p>
    <w:p w14:paraId="7ACE0633" w14:textId="77777777" w:rsidR="007B21D8" w:rsidRDefault="007B21D8" w:rsidP="006A51E8">
      <w:pPr>
        <w:spacing w:after="0" w:line="480" w:lineRule="auto"/>
        <w:rPr>
          <w:rFonts w:ascii="Times New Roman" w:hAnsi="Times New Roman" w:cs="Times New Roman"/>
          <w:color w:val="000000" w:themeColor="text1"/>
          <w:sz w:val="44"/>
          <w:szCs w:val="44"/>
        </w:rPr>
      </w:pPr>
    </w:p>
    <w:p w14:paraId="31EE775B" w14:textId="484ADB5B" w:rsidR="00247F18" w:rsidRPr="007B21D8" w:rsidRDefault="00247F18" w:rsidP="006A51E8">
      <w:pPr>
        <w:spacing w:after="0" w:line="480" w:lineRule="auto"/>
        <w:rPr>
          <w:rFonts w:ascii="Times New Roman" w:hAnsi="Times New Roman" w:cs="Times New Roman"/>
          <w:color w:val="000000" w:themeColor="text1"/>
          <w:sz w:val="44"/>
          <w:szCs w:val="44"/>
        </w:rPr>
      </w:pPr>
      <w:r w:rsidRPr="007B21D8">
        <w:rPr>
          <w:rFonts w:ascii="Times New Roman" w:hAnsi="Times New Roman" w:cs="Times New Roman"/>
          <w:color w:val="000000" w:themeColor="text1"/>
          <w:sz w:val="44"/>
          <w:szCs w:val="44"/>
        </w:rPr>
        <w:t xml:space="preserve">Student Name: Cristina </w:t>
      </w:r>
      <w:proofErr w:type="spellStart"/>
      <w:r w:rsidRPr="007B21D8">
        <w:rPr>
          <w:rFonts w:ascii="Times New Roman" w:hAnsi="Times New Roman" w:cs="Times New Roman"/>
          <w:color w:val="000000" w:themeColor="text1"/>
          <w:sz w:val="44"/>
          <w:szCs w:val="44"/>
        </w:rPr>
        <w:t>Anisoara</w:t>
      </w:r>
      <w:proofErr w:type="spellEnd"/>
      <w:r w:rsidRPr="007B21D8">
        <w:rPr>
          <w:rFonts w:ascii="Times New Roman" w:hAnsi="Times New Roman" w:cs="Times New Roman"/>
          <w:color w:val="000000" w:themeColor="text1"/>
          <w:sz w:val="44"/>
          <w:szCs w:val="44"/>
        </w:rPr>
        <w:t xml:space="preserve"> Felicia </w:t>
      </w:r>
      <w:proofErr w:type="spellStart"/>
      <w:r w:rsidRPr="007B21D8">
        <w:rPr>
          <w:rFonts w:ascii="Times New Roman" w:hAnsi="Times New Roman" w:cs="Times New Roman"/>
          <w:color w:val="000000" w:themeColor="text1"/>
          <w:sz w:val="44"/>
          <w:szCs w:val="44"/>
        </w:rPr>
        <w:t>Patrut</w:t>
      </w:r>
      <w:proofErr w:type="spellEnd"/>
    </w:p>
    <w:p w14:paraId="77F1E78E" w14:textId="77777777" w:rsidR="00247F18" w:rsidRPr="007B21D8" w:rsidRDefault="00247F18" w:rsidP="006A51E8">
      <w:pPr>
        <w:spacing w:after="0" w:line="480" w:lineRule="auto"/>
        <w:rPr>
          <w:rFonts w:ascii="Times New Roman" w:hAnsi="Times New Roman" w:cs="Times New Roman"/>
          <w:color w:val="000000" w:themeColor="text1"/>
          <w:sz w:val="44"/>
          <w:szCs w:val="44"/>
        </w:rPr>
      </w:pPr>
      <w:r w:rsidRPr="007B21D8">
        <w:rPr>
          <w:rFonts w:ascii="Times New Roman" w:hAnsi="Times New Roman" w:cs="Times New Roman"/>
          <w:color w:val="000000" w:themeColor="text1"/>
          <w:sz w:val="44"/>
          <w:szCs w:val="44"/>
        </w:rPr>
        <w:t>Student ID: 1811829</w:t>
      </w:r>
    </w:p>
    <w:p w14:paraId="766A7804" w14:textId="49C1F7A0" w:rsidR="00632E80" w:rsidRPr="006A51E8" w:rsidRDefault="004F1025" w:rsidP="006A51E8">
      <w:pPr>
        <w:spacing w:after="0" w:line="480" w:lineRule="auto"/>
        <w:rPr>
          <w:rFonts w:ascii="Times New Roman" w:hAnsi="Times New Roman" w:cs="Times New Roman"/>
          <w:color w:val="000000" w:themeColor="text1"/>
          <w:sz w:val="24"/>
          <w:szCs w:val="24"/>
        </w:rPr>
      </w:pPr>
      <w:r w:rsidRPr="007B21D8">
        <w:rPr>
          <w:rFonts w:ascii="Times New Roman" w:hAnsi="Times New Roman" w:cs="Times New Roman"/>
          <w:color w:val="000000" w:themeColor="text1"/>
          <w:sz w:val="44"/>
          <w:szCs w:val="44"/>
        </w:rPr>
        <w:t>Lecture</w:t>
      </w:r>
      <w:r w:rsidR="00E00CFF" w:rsidRPr="007B21D8">
        <w:rPr>
          <w:rFonts w:ascii="Times New Roman" w:hAnsi="Times New Roman" w:cs="Times New Roman"/>
          <w:color w:val="000000" w:themeColor="text1"/>
          <w:sz w:val="44"/>
          <w:szCs w:val="44"/>
        </w:rPr>
        <w:t xml:space="preserve">r’s Name: </w:t>
      </w:r>
      <w:r w:rsidR="007B21D8" w:rsidRPr="007B21D8">
        <w:rPr>
          <w:rFonts w:ascii="Times New Roman" w:hAnsi="Times New Roman" w:cs="Times New Roman"/>
          <w:color w:val="000000" w:themeColor="text1"/>
          <w:sz w:val="44"/>
          <w:szCs w:val="44"/>
        </w:rPr>
        <w:t xml:space="preserve">Winifred </w:t>
      </w:r>
      <w:proofErr w:type="spellStart"/>
      <w:r w:rsidR="007B21D8" w:rsidRPr="007B21D8">
        <w:rPr>
          <w:rFonts w:ascii="Times New Roman" w:hAnsi="Times New Roman" w:cs="Times New Roman"/>
          <w:color w:val="000000" w:themeColor="text1"/>
          <w:sz w:val="44"/>
          <w:szCs w:val="44"/>
        </w:rPr>
        <w:t>Soribe</w:t>
      </w:r>
      <w:proofErr w:type="spellEnd"/>
      <w:r w:rsidR="009C236A" w:rsidRPr="006A51E8">
        <w:rPr>
          <w:rFonts w:ascii="Times New Roman" w:hAnsi="Times New Roman" w:cs="Times New Roman"/>
          <w:color w:val="000000" w:themeColor="text1"/>
          <w:sz w:val="24"/>
          <w:szCs w:val="24"/>
        </w:rPr>
        <w:br w:type="page"/>
      </w:r>
    </w:p>
    <w:p w14:paraId="5C37F1A3" w14:textId="0072BB95" w:rsidR="005E43D5" w:rsidRDefault="005E43D5" w:rsidP="006A51E8">
      <w:pPr>
        <w:spacing w:after="0" w:line="480" w:lineRule="auto"/>
        <w:jc w:val="center"/>
        <w:rPr>
          <w:rFonts w:ascii="Times New Roman" w:hAnsi="Times New Roman" w:cs="Times New Roman"/>
          <w:b/>
          <w:bCs/>
          <w:color w:val="000000" w:themeColor="text1"/>
          <w:sz w:val="28"/>
          <w:szCs w:val="28"/>
        </w:rPr>
      </w:pPr>
      <w:r w:rsidRPr="00D80AE7">
        <w:rPr>
          <w:rFonts w:ascii="Times New Roman" w:hAnsi="Times New Roman" w:cs="Times New Roman"/>
          <w:b/>
          <w:bCs/>
          <w:color w:val="000000" w:themeColor="text1"/>
          <w:sz w:val="28"/>
          <w:szCs w:val="28"/>
        </w:rPr>
        <w:lastRenderedPageBreak/>
        <w:t>Tab</w:t>
      </w:r>
      <w:r w:rsidR="00D80AE7">
        <w:rPr>
          <w:rFonts w:ascii="Times New Roman" w:hAnsi="Times New Roman" w:cs="Times New Roman"/>
          <w:b/>
          <w:bCs/>
          <w:color w:val="000000" w:themeColor="text1"/>
          <w:sz w:val="28"/>
          <w:szCs w:val="28"/>
        </w:rPr>
        <w:t>le</w:t>
      </w:r>
      <w:r w:rsidRPr="00D80AE7">
        <w:rPr>
          <w:rFonts w:ascii="Times New Roman" w:hAnsi="Times New Roman" w:cs="Times New Roman"/>
          <w:b/>
          <w:bCs/>
          <w:color w:val="000000" w:themeColor="text1"/>
          <w:sz w:val="28"/>
          <w:szCs w:val="28"/>
        </w:rPr>
        <w:t xml:space="preserve"> of Content</w:t>
      </w:r>
    </w:p>
    <w:p w14:paraId="4C930225" w14:textId="707A4C3F" w:rsidR="00D80AE7" w:rsidRDefault="002569AD" w:rsidP="002569AD">
      <w:pPr>
        <w:pStyle w:val="ListParagraph"/>
        <w:numPr>
          <w:ilvl w:val="0"/>
          <w:numId w:val="3"/>
        </w:numPr>
        <w:spacing w:after="0"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Part A……………………………………………………………………………</w:t>
      </w:r>
      <w:proofErr w:type="gramStart"/>
      <w:r>
        <w:rPr>
          <w:rFonts w:ascii="Times New Roman" w:hAnsi="Times New Roman" w:cs="Times New Roman"/>
          <w:color w:val="000000" w:themeColor="text1"/>
          <w:sz w:val="24"/>
          <w:szCs w:val="24"/>
        </w:rPr>
        <w:t>…</w:t>
      </w:r>
      <w:r w:rsidR="0000445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roofErr w:type="gramEnd"/>
      <w:r w:rsidR="0000445A">
        <w:rPr>
          <w:rFonts w:ascii="Times New Roman" w:hAnsi="Times New Roman" w:cs="Times New Roman"/>
          <w:color w:val="000000" w:themeColor="text1"/>
          <w:sz w:val="24"/>
          <w:szCs w:val="24"/>
        </w:rPr>
        <w:t>3</w:t>
      </w:r>
    </w:p>
    <w:p w14:paraId="4423009E" w14:textId="617F19FD" w:rsidR="0000445A" w:rsidRDefault="0080774E" w:rsidP="0000445A">
      <w:pPr>
        <w:pStyle w:val="ListParagraph"/>
        <w:spacing w:after="0" w:line="480" w:lineRule="auto"/>
        <w:jc w:val="center"/>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 xml:space="preserve">  </w:t>
      </w:r>
      <w:r w:rsidR="0000445A" w:rsidRPr="0000445A">
        <w:rPr>
          <w:rFonts w:ascii="Times New Roman" w:hAnsi="Times New Roman" w:cs="Times New Roman"/>
          <w:i/>
          <w:iCs/>
          <w:color w:val="000000" w:themeColor="text1"/>
          <w:sz w:val="24"/>
          <w:szCs w:val="24"/>
        </w:rPr>
        <w:t>Part A (</w:t>
      </w:r>
      <w:proofErr w:type="spellStart"/>
      <w:r w:rsidR="0000445A" w:rsidRPr="0000445A">
        <w:rPr>
          <w:rFonts w:ascii="Times New Roman" w:hAnsi="Times New Roman" w:cs="Times New Roman"/>
          <w:i/>
          <w:iCs/>
          <w:color w:val="000000" w:themeColor="text1"/>
          <w:sz w:val="24"/>
          <w:szCs w:val="24"/>
        </w:rPr>
        <w:t>i</w:t>
      </w:r>
      <w:proofErr w:type="spellEnd"/>
      <w:r w:rsidR="0000445A" w:rsidRPr="0000445A">
        <w:rPr>
          <w:rFonts w:ascii="Times New Roman" w:hAnsi="Times New Roman" w:cs="Times New Roman"/>
          <w:i/>
          <w:iCs/>
          <w:color w:val="000000" w:themeColor="text1"/>
          <w:sz w:val="24"/>
          <w:szCs w:val="24"/>
        </w:rPr>
        <w:t>)</w:t>
      </w:r>
      <w:r w:rsidR="0000445A">
        <w:rPr>
          <w:rFonts w:ascii="Times New Roman" w:hAnsi="Times New Roman" w:cs="Times New Roman"/>
          <w:i/>
          <w:iCs/>
          <w:color w:val="000000" w:themeColor="text1"/>
          <w:sz w:val="24"/>
          <w:szCs w:val="24"/>
        </w:rPr>
        <w:t>………</w:t>
      </w:r>
      <w:r>
        <w:rPr>
          <w:rFonts w:ascii="Times New Roman" w:hAnsi="Times New Roman" w:cs="Times New Roman"/>
          <w:i/>
          <w:iCs/>
          <w:color w:val="000000" w:themeColor="text1"/>
          <w:sz w:val="24"/>
          <w:szCs w:val="24"/>
        </w:rPr>
        <w:t>.</w:t>
      </w:r>
      <w:r w:rsidR="0000445A">
        <w:rPr>
          <w:rFonts w:ascii="Times New Roman" w:hAnsi="Times New Roman" w:cs="Times New Roman"/>
          <w:i/>
          <w:iCs/>
          <w:color w:val="000000" w:themeColor="text1"/>
          <w:sz w:val="24"/>
          <w:szCs w:val="24"/>
        </w:rPr>
        <w:t>…………………………………………………………………………….3</w:t>
      </w:r>
    </w:p>
    <w:p w14:paraId="7728CEAE" w14:textId="066C1C24" w:rsidR="0000445A" w:rsidRDefault="0000445A" w:rsidP="0000445A">
      <w:pPr>
        <w:spacing w:after="0" w:line="480" w:lineRule="auto"/>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 xml:space="preserve">           </w:t>
      </w:r>
      <w:r w:rsidR="0080774E">
        <w:rPr>
          <w:rFonts w:ascii="Times New Roman" w:hAnsi="Times New Roman" w:cs="Times New Roman"/>
          <w:i/>
          <w:iCs/>
          <w:color w:val="000000" w:themeColor="text1"/>
          <w:sz w:val="24"/>
          <w:szCs w:val="24"/>
        </w:rPr>
        <w:t xml:space="preserve"> </w:t>
      </w:r>
      <w:r>
        <w:rPr>
          <w:rFonts w:ascii="Times New Roman" w:hAnsi="Times New Roman" w:cs="Times New Roman"/>
          <w:i/>
          <w:iCs/>
          <w:color w:val="000000" w:themeColor="text1"/>
          <w:sz w:val="24"/>
          <w:szCs w:val="24"/>
        </w:rPr>
        <w:t xml:space="preserve">   </w:t>
      </w:r>
      <w:r w:rsidR="0080774E">
        <w:rPr>
          <w:rFonts w:ascii="Times New Roman" w:hAnsi="Times New Roman" w:cs="Times New Roman"/>
          <w:i/>
          <w:iCs/>
          <w:color w:val="000000" w:themeColor="text1"/>
          <w:sz w:val="24"/>
          <w:szCs w:val="24"/>
        </w:rPr>
        <w:t xml:space="preserve"> </w:t>
      </w:r>
      <w:r>
        <w:rPr>
          <w:rFonts w:ascii="Times New Roman" w:hAnsi="Times New Roman" w:cs="Times New Roman"/>
          <w:i/>
          <w:iCs/>
          <w:color w:val="000000" w:themeColor="text1"/>
          <w:sz w:val="24"/>
          <w:szCs w:val="24"/>
        </w:rPr>
        <w:t xml:space="preserve"> Part A (ii)…………………</w:t>
      </w:r>
      <w:r w:rsidR="0080774E">
        <w:rPr>
          <w:rFonts w:ascii="Times New Roman" w:hAnsi="Times New Roman" w:cs="Times New Roman"/>
          <w:i/>
          <w:iCs/>
          <w:color w:val="000000" w:themeColor="text1"/>
          <w:sz w:val="24"/>
          <w:szCs w:val="24"/>
        </w:rPr>
        <w:t>.</w:t>
      </w:r>
      <w:r>
        <w:rPr>
          <w:rFonts w:ascii="Times New Roman" w:hAnsi="Times New Roman" w:cs="Times New Roman"/>
          <w:i/>
          <w:iCs/>
          <w:color w:val="000000" w:themeColor="text1"/>
          <w:sz w:val="24"/>
          <w:szCs w:val="24"/>
        </w:rPr>
        <w:t>…………………………………………………………….……4</w:t>
      </w:r>
    </w:p>
    <w:p w14:paraId="5FA52D55" w14:textId="5776DF94" w:rsidR="0000445A" w:rsidRDefault="0000445A" w:rsidP="0000445A">
      <w:pPr>
        <w:spacing w:after="0" w:line="480" w:lineRule="auto"/>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 xml:space="preserve">             </w:t>
      </w:r>
      <w:r w:rsidR="0080774E">
        <w:rPr>
          <w:rFonts w:ascii="Times New Roman" w:hAnsi="Times New Roman" w:cs="Times New Roman"/>
          <w:i/>
          <w:iCs/>
          <w:color w:val="000000" w:themeColor="text1"/>
          <w:sz w:val="24"/>
          <w:szCs w:val="24"/>
        </w:rPr>
        <w:t xml:space="preserve"> </w:t>
      </w:r>
      <w:r>
        <w:rPr>
          <w:rFonts w:ascii="Times New Roman" w:hAnsi="Times New Roman" w:cs="Times New Roman"/>
          <w:i/>
          <w:iCs/>
          <w:color w:val="000000" w:themeColor="text1"/>
          <w:sz w:val="24"/>
          <w:szCs w:val="24"/>
        </w:rPr>
        <w:t xml:space="preserve">  Part A (iii)……………………………………………………………………………</w:t>
      </w:r>
      <w:r w:rsidR="0080774E">
        <w:rPr>
          <w:rFonts w:ascii="Times New Roman" w:hAnsi="Times New Roman" w:cs="Times New Roman"/>
          <w:i/>
          <w:iCs/>
          <w:color w:val="000000" w:themeColor="text1"/>
          <w:sz w:val="24"/>
          <w:szCs w:val="24"/>
        </w:rPr>
        <w:t>.</w:t>
      </w:r>
      <w:r>
        <w:rPr>
          <w:rFonts w:ascii="Times New Roman" w:hAnsi="Times New Roman" w:cs="Times New Roman"/>
          <w:i/>
          <w:iCs/>
          <w:color w:val="000000" w:themeColor="text1"/>
          <w:sz w:val="24"/>
          <w:szCs w:val="24"/>
        </w:rPr>
        <w:t>………6</w:t>
      </w:r>
    </w:p>
    <w:p w14:paraId="108A31DF" w14:textId="56538AAE" w:rsidR="0000445A" w:rsidRDefault="0000445A" w:rsidP="0000445A">
      <w:pPr>
        <w:pStyle w:val="ListParagraph"/>
        <w:numPr>
          <w:ilvl w:val="0"/>
          <w:numId w:val="3"/>
        </w:numPr>
        <w:spacing w:after="0" w:line="480" w:lineRule="auto"/>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Part B…………………………………………………………………………………………</w:t>
      </w:r>
      <w:proofErr w:type="gramStart"/>
      <w:r>
        <w:rPr>
          <w:rFonts w:ascii="Times New Roman" w:hAnsi="Times New Roman" w:cs="Times New Roman"/>
          <w:i/>
          <w:iCs/>
          <w:color w:val="000000" w:themeColor="text1"/>
          <w:sz w:val="24"/>
          <w:szCs w:val="24"/>
        </w:rPr>
        <w:t>…..</w:t>
      </w:r>
      <w:proofErr w:type="gramEnd"/>
      <w:r>
        <w:rPr>
          <w:rFonts w:ascii="Times New Roman" w:hAnsi="Times New Roman" w:cs="Times New Roman"/>
          <w:i/>
          <w:iCs/>
          <w:color w:val="000000" w:themeColor="text1"/>
          <w:sz w:val="24"/>
          <w:szCs w:val="24"/>
        </w:rPr>
        <w:t>9</w:t>
      </w:r>
    </w:p>
    <w:p w14:paraId="5DFC277A" w14:textId="251231E9" w:rsidR="0000445A" w:rsidRPr="0080774E" w:rsidRDefault="0000445A" w:rsidP="0080774E">
      <w:pPr>
        <w:spacing w:after="0" w:line="480" w:lineRule="auto"/>
        <w:ind w:left="360"/>
        <w:rPr>
          <w:rFonts w:ascii="Times New Roman" w:hAnsi="Times New Roman" w:cs="Times New Roman"/>
          <w:i/>
          <w:iCs/>
          <w:color w:val="000000" w:themeColor="text1"/>
          <w:sz w:val="24"/>
          <w:szCs w:val="24"/>
        </w:rPr>
      </w:pPr>
      <w:r w:rsidRPr="0080774E">
        <w:rPr>
          <w:rFonts w:ascii="Times New Roman" w:hAnsi="Times New Roman" w:cs="Times New Roman"/>
          <w:i/>
          <w:iCs/>
          <w:color w:val="000000" w:themeColor="text1"/>
          <w:sz w:val="24"/>
          <w:szCs w:val="24"/>
        </w:rPr>
        <w:t>References</w:t>
      </w:r>
      <w:r w:rsidR="0080774E" w:rsidRPr="0080774E">
        <w:rPr>
          <w:rFonts w:ascii="Times New Roman" w:hAnsi="Times New Roman" w:cs="Times New Roman"/>
          <w:i/>
          <w:iCs/>
          <w:color w:val="000000" w:themeColor="text1"/>
          <w:sz w:val="24"/>
          <w:szCs w:val="24"/>
        </w:rPr>
        <w:t>………………………………………………………………………………………</w:t>
      </w:r>
      <w:proofErr w:type="gramStart"/>
      <w:r w:rsidR="0080774E" w:rsidRPr="0080774E">
        <w:rPr>
          <w:rFonts w:ascii="Times New Roman" w:hAnsi="Times New Roman" w:cs="Times New Roman"/>
          <w:i/>
          <w:iCs/>
          <w:color w:val="000000" w:themeColor="text1"/>
          <w:sz w:val="24"/>
          <w:szCs w:val="24"/>
        </w:rPr>
        <w:t>….</w:t>
      </w:r>
      <w:r w:rsidR="0080774E">
        <w:rPr>
          <w:rFonts w:ascii="Times New Roman" w:hAnsi="Times New Roman" w:cs="Times New Roman"/>
          <w:i/>
          <w:iCs/>
          <w:color w:val="000000" w:themeColor="text1"/>
          <w:sz w:val="24"/>
          <w:szCs w:val="24"/>
        </w:rPr>
        <w:t>.</w:t>
      </w:r>
      <w:proofErr w:type="gramEnd"/>
      <w:r w:rsidR="0080774E">
        <w:rPr>
          <w:rFonts w:ascii="Times New Roman" w:hAnsi="Times New Roman" w:cs="Times New Roman"/>
          <w:i/>
          <w:iCs/>
          <w:color w:val="000000" w:themeColor="text1"/>
          <w:sz w:val="24"/>
          <w:szCs w:val="24"/>
        </w:rPr>
        <w:t>13</w:t>
      </w:r>
    </w:p>
    <w:p w14:paraId="07F0C13D" w14:textId="77777777" w:rsidR="005E43D5" w:rsidRDefault="005E43D5" w:rsidP="006A51E8">
      <w:pPr>
        <w:spacing w:after="0" w:line="480" w:lineRule="auto"/>
        <w:jc w:val="center"/>
        <w:rPr>
          <w:rFonts w:ascii="Times New Roman" w:hAnsi="Times New Roman" w:cs="Times New Roman"/>
          <w:b/>
          <w:bCs/>
          <w:color w:val="000000" w:themeColor="text1"/>
          <w:sz w:val="24"/>
          <w:szCs w:val="24"/>
        </w:rPr>
      </w:pPr>
    </w:p>
    <w:p w14:paraId="2A859740" w14:textId="77777777" w:rsidR="005E43D5" w:rsidRDefault="005E43D5" w:rsidP="006A51E8">
      <w:pPr>
        <w:spacing w:after="0" w:line="480" w:lineRule="auto"/>
        <w:jc w:val="center"/>
        <w:rPr>
          <w:rFonts w:ascii="Times New Roman" w:hAnsi="Times New Roman" w:cs="Times New Roman"/>
          <w:b/>
          <w:bCs/>
          <w:color w:val="000000" w:themeColor="text1"/>
          <w:sz w:val="24"/>
          <w:szCs w:val="24"/>
        </w:rPr>
      </w:pPr>
    </w:p>
    <w:p w14:paraId="1A226C64"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13BA86B7"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1DAE146A"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7363505A"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7A660626"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1AAA827C"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69CBC311"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3723E3F6"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018BB607"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2087ECE3"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6507F689"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2C6288FD"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10662F12"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1AF0DD8B"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4CC4FCBC"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476827D6"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34D3D932"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766A7806" w14:textId="3E4033E6" w:rsidR="003D0524" w:rsidRDefault="009C236A" w:rsidP="006A51E8">
      <w:pPr>
        <w:spacing w:after="0" w:line="480" w:lineRule="auto"/>
        <w:jc w:val="center"/>
        <w:rPr>
          <w:rFonts w:ascii="Times New Roman" w:hAnsi="Times New Roman" w:cs="Times New Roman"/>
          <w:b/>
          <w:bCs/>
          <w:color w:val="000000" w:themeColor="text1"/>
          <w:sz w:val="24"/>
          <w:szCs w:val="24"/>
        </w:rPr>
      </w:pPr>
      <w:r w:rsidRPr="007B21D8">
        <w:rPr>
          <w:rFonts w:ascii="Times New Roman" w:hAnsi="Times New Roman" w:cs="Times New Roman"/>
          <w:b/>
          <w:bCs/>
          <w:color w:val="000000" w:themeColor="text1"/>
          <w:sz w:val="24"/>
          <w:szCs w:val="24"/>
        </w:rPr>
        <w:t>Part A</w:t>
      </w:r>
    </w:p>
    <w:p w14:paraId="4013DC24" w14:textId="77777777" w:rsidR="0000445A" w:rsidRPr="007B21D8" w:rsidRDefault="0000445A" w:rsidP="006A51E8">
      <w:pPr>
        <w:spacing w:after="0" w:line="480" w:lineRule="auto"/>
        <w:jc w:val="center"/>
        <w:rPr>
          <w:rFonts w:ascii="Times New Roman" w:hAnsi="Times New Roman" w:cs="Times New Roman"/>
          <w:b/>
          <w:bCs/>
          <w:color w:val="000000" w:themeColor="text1"/>
          <w:sz w:val="24"/>
          <w:szCs w:val="24"/>
        </w:rPr>
      </w:pPr>
    </w:p>
    <w:p w14:paraId="766A7807" w14:textId="77777777" w:rsidR="003D0524" w:rsidRPr="007B21D8" w:rsidRDefault="009C236A" w:rsidP="006A51E8">
      <w:pPr>
        <w:spacing w:after="0" w:line="480" w:lineRule="auto"/>
        <w:rPr>
          <w:rFonts w:ascii="Times New Roman" w:hAnsi="Times New Roman" w:cs="Times New Roman"/>
          <w:b/>
          <w:bCs/>
          <w:i/>
          <w:color w:val="000000" w:themeColor="text1"/>
          <w:sz w:val="24"/>
          <w:szCs w:val="24"/>
        </w:rPr>
      </w:pPr>
      <w:r w:rsidRPr="007B21D8">
        <w:rPr>
          <w:rFonts w:ascii="Times New Roman" w:hAnsi="Times New Roman" w:cs="Times New Roman"/>
          <w:b/>
          <w:bCs/>
          <w:i/>
          <w:color w:val="000000" w:themeColor="text1"/>
          <w:sz w:val="24"/>
          <w:szCs w:val="24"/>
        </w:rPr>
        <w:t>Part A (</w:t>
      </w:r>
      <w:proofErr w:type="spellStart"/>
      <w:r w:rsidRPr="007B21D8">
        <w:rPr>
          <w:rFonts w:ascii="Times New Roman" w:hAnsi="Times New Roman" w:cs="Times New Roman"/>
          <w:b/>
          <w:bCs/>
          <w:i/>
          <w:color w:val="000000" w:themeColor="text1"/>
          <w:sz w:val="24"/>
          <w:szCs w:val="24"/>
        </w:rPr>
        <w:t>i</w:t>
      </w:r>
      <w:proofErr w:type="spellEnd"/>
      <w:r w:rsidRPr="007B21D8">
        <w:rPr>
          <w:rFonts w:ascii="Times New Roman" w:hAnsi="Times New Roman" w:cs="Times New Roman"/>
          <w:b/>
          <w:bCs/>
          <w:i/>
          <w:color w:val="000000" w:themeColor="text1"/>
          <w:sz w:val="24"/>
          <w:szCs w:val="24"/>
        </w:rPr>
        <w:t>)</w:t>
      </w:r>
    </w:p>
    <w:p w14:paraId="766A7808" w14:textId="77777777" w:rsidR="00741F07" w:rsidRPr="006A51E8" w:rsidRDefault="009C236A"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 xml:space="preserve">Sales </w:t>
      </w:r>
      <w:r w:rsidR="00393ED6" w:rsidRPr="006A51E8">
        <w:rPr>
          <w:rFonts w:ascii="Times New Roman" w:hAnsi="Times New Roman" w:cs="Times New Roman"/>
          <w:i/>
          <w:color w:val="000000" w:themeColor="text1"/>
          <w:sz w:val="24"/>
          <w:szCs w:val="24"/>
        </w:rPr>
        <w:t>price variance</w:t>
      </w:r>
    </w:p>
    <w:p w14:paraId="766A7809" w14:textId="77777777" w:rsidR="00741F07" w:rsidRPr="006A51E8" w:rsidRDefault="009C236A"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Sale price </w:t>
      </w:r>
      <w:r w:rsidR="00944B29" w:rsidRPr="006A51E8">
        <w:rPr>
          <w:rFonts w:ascii="Times New Roman" w:hAnsi="Times New Roman" w:cs="Times New Roman"/>
          <w:color w:val="000000" w:themeColor="text1"/>
          <w:sz w:val="24"/>
          <w:szCs w:val="24"/>
        </w:rPr>
        <w:t>variance refers</w:t>
      </w:r>
      <w:r w:rsidRPr="006A51E8">
        <w:rPr>
          <w:rFonts w:ascii="Times New Roman" w:hAnsi="Times New Roman" w:cs="Times New Roman"/>
          <w:color w:val="000000" w:themeColor="text1"/>
          <w:sz w:val="24"/>
          <w:szCs w:val="24"/>
        </w:rPr>
        <w:t xml:space="preserve"> to the changes in the sales revenue</w:t>
      </w:r>
      <w:r w:rsidR="00944B29" w:rsidRPr="006A51E8">
        <w:rPr>
          <w:rFonts w:ascii="Times New Roman" w:hAnsi="Times New Roman" w:cs="Times New Roman"/>
          <w:color w:val="000000" w:themeColor="text1"/>
          <w:sz w:val="24"/>
          <w:szCs w:val="24"/>
        </w:rPr>
        <w:t>s arising due to differences in the actual sales at the market price and the actual sales at the standard price</w:t>
      </w:r>
      <w:r w:rsidR="00393ED6" w:rsidRPr="006A51E8">
        <w:rPr>
          <w:rFonts w:ascii="Times New Roman" w:hAnsi="Times New Roman" w:cs="Times New Roman"/>
          <w:color w:val="000000" w:themeColor="text1"/>
          <w:sz w:val="24"/>
          <w:szCs w:val="24"/>
        </w:rPr>
        <w:t xml:space="preserve"> </w:t>
      </w:r>
      <w:r w:rsidR="006F37FC" w:rsidRPr="006A51E8">
        <w:rPr>
          <w:rFonts w:ascii="Times New Roman" w:hAnsi="Times New Roman" w:cs="Times New Roman"/>
          <w:color w:val="000000" w:themeColor="text1"/>
          <w:sz w:val="24"/>
          <w:szCs w:val="24"/>
        </w:rPr>
        <w:t>(Drury, 2012)</w:t>
      </w:r>
      <w:r w:rsidR="00340133">
        <w:rPr>
          <w:rFonts w:ascii="Times New Roman" w:hAnsi="Times New Roman" w:cs="Times New Roman"/>
          <w:color w:val="000000" w:themeColor="text1"/>
          <w:sz w:val="24"/>
          <w:szCs w:val="24"/>
        </w:rPr>
        <w:t xml:space="preserve">. </w:t>
      </w:r>
      <w:r w:rsidR="00944B29" w:rsidRPr="006A51E8">
        <w:rPr>
          <w:rFonts w:ascii="Times New Roman" w:hAnsi="Times New Roman" w:cs="Times New Roman"/>
          <w:color w:val="000000" w:themeColor="text1"/>
          <w:sz w:val="24"/>
          <w:szCs w:val="24"/>
        </w:rPr>
        <w:t xml:space="preserve">In general, a positive sales price variance is considered </w:t>
      </w:r>
      <w:r w:rsidR="000E00EE" w:rsidRPr="006A51E8">
        <w:rPr>
          <w:rFonts w:ascii="Times New Roman" w:hAnsi="Times New Roman" w:cs="Times New Roman"/>
          <w:color w:val="000000" w:themeColor="text1"/>
          <w:sz w:val="24"/>
          <w:szCs w:val="24"/>
        </w:rPr>
        <w:t>favourable</w:t>
      </w:r>
      <w:r w:rsidR="00944B29" w:rsidRPr="006A51E8">
        <w:rPr>
          <w:rFonts w:ascii="Times New Roman" w:hAnsi="Times New Roman" w:cs="Times New Roman"/>
          <w:color w:val="000000" w:themeColor="text1"/>
          <w:sz w:val="24"/>
          <w:szCs w:val="24"/>
        </w:rPr>
        <w:t xml:space="preserve"> since one was able to sell a price at a higher price than expected</w:t>
      </w:r>
      <w:r w:rsidR="006F37FC" w:rsidRPr="006A51E8">
        <w:rPr>
          <w:rFonts w:ascii="Times New Roman" w:hAnsi="Times New Roman" w:cs="Times New Roman"/>
          <w:color w:val="000000" w:themeColor="text1"/>
          <w:sz w:val="24"/>
          <w:szCs w:val="24"/>
        </w:rPr>
        <w:t xml:space="preserve"> (Drury, 2012)</w:t>
      </w:r>
      <w:r w:rsidR="00944B29" w:rsidRPr="006A51E8">
        <w:rPr>
          <w:rFonts w:ascii="Times New Roman" w:hAnsi="Times New Roman" w:cs="Times New Roman"/>
          <w:color w:val="000000" w:themeColor="text1"/>
          <w:sz w:val="24"/>
          <w:szCs w:val="24"/>
        </w:rPr>
        <w:t xml:space="preserve">. On the other hand, a negative sales price variance is considered </w:t>
      </w:r>
      <w:r w:rsidR="000E00EE" w:rsidRPr="006A51E8">
        <w:rPr>
          <w:rFonts w:ascii="Times New Roman" w:hAnsi="Times New Roman" w:cs="Times New Roman"/>
          <w:color w:val="000000" w:themeColor="text1"/>
          <w:sz w:val="24"/>
          <w:szCs w:val="24"/>
        </w:rPr>
        <w:t>unfavourable</w:t>
      </w:r>
      <w:r w:rsidR="00944B29" w:rsidRPr="006A51E8">
        <w:rPr>
          <w:rFonts w:ascii="Times New Roman" w:hAnsi="Times New Roman" w:cs="Times New Roman"/>
          <w:color w:val="000000" w:themeColor="text1"/>
          <w:sz w:val="24"/>
          <w:szCs w:val="24"/>
        </w:rPr>
        <w:t>, as it means that the company'</w:t>
      </w:r>
      <w:r w:rsidR="0079791F" w:rsidRPr="006A51E8">
        <w:rPr>
          <w:rFonts w:ascii="Times New Roman" w:hAnsi="Times New Roman" w:cs="Times New Roman"/>
          <w:color w:val="000000" w:themeColor="text1"/>
          <w:sz w:val="24"/>
          <w:szCs w:val="24"/>
        </w:rPr>
        <w:t>s market prices were</w:t>
      </w:r>
      <w:r w:rsidR="00944B29" w:rsidRPr="006A51E8">
        <w:rPr>
          <w:rFonts w:ascii="Times New Roman" w:hAnsi="Times New Roman" w:cs="Times New Roman"/>
          <w:color w:val="000000" w:themeColor="text1"/>
          <w:sz w:val="24"/>
          <w:szCs w:val="24"/>
        </w:rPr>
        <w:t xml:space="preserve"> lower than the standard price</w:t>
      </w:r>
      <w:r w:rsidR="006F37FC" w:rsidRPr="006A51E8">
        <w:rPr>
          <w:rFonts w:ascii="Times New Roman" w:hAnsi="Times New Roman" w:cs="Times New Roman"/>
          <w:color w:val="000000" w:themeColor="text1"/>
          <w:sz w:val="24"/>
          <w:szCs w:val="24"/>
        </w:rPr>
        <w:t xml:space="preserve"> (Drury, 2012)</w:t>
      </w:r>
      <w:r w:rsidR="00944B29" w:rsidRPr="006A51E8">
        <w:rPr>
          <w:rFonts w:ascii="Times New Roman" w:hAnsi="Times New Roman" w:cs="Times New Roman"/>
          <w:color w:val="000000" w:themeColor="text1"/>
          <w:sz w:val="24"/>
          <w:szCs w:val="24"/>
        </w:rPr>
        <w:t>. However, it is critical to note that the differences between the market price and the standard price may be due to inflation or increase in raw material prices like in this case leading to lower demand and hence a sale price variance should be followed by a s</w:t>
      </w:r>
      <w:r w:rsidR="00F34102" w:rsidRPr="006A51E8">
        <w:rPr>
          <w:rFonts w:ascii="Times New Roman" w:hAnsi="Times New Roman" w:cs="Times New Roman"/>
          <w:color w:val="000000" w:themeColor="text1"/>
          <w:sz w:val="24"/>
          <w:szCs w:val="24"/>
        </w:rPr>
        <w:t>ale volume variance to examine i</w:t>
      </w:r>
      <w:r w:rsidR="00944B29" w:rsidRPr="006A51E8">
        <w:rPr>
          <w:rFonts w:ascii="Times New Roman" w:hAnsi="Times New Roman" w:cs="Times New Roman"/>
          <w:color w:val="000000" w:themeColor="text1"/>
          <w:sz w:val="24"/>
          <w:szCs w:val="24"/>
        </w:rPr>
        <w:t>f the c</w:t>
      </w:r>
      <w:r w:rsidR="00623EDA" w:rsidRPr="006A51E8">
        <w:rPr>
          <w:rFonts w:ascii="Times New Roman" w:hAnsi="Times New Roman" w:cs="Times New Roman"/>
          <w:color w:val="000000" w:themeColor="text1"/>
          <w:sz w:val="24"/>
          <w:szCs w:val="24"/>
        </w:rPr>
        <w:t xml:space="preserve">hanges in prices had an effect </w:t>
      </w:r>
      <w:r w:rsidR="00340133">
        <w:rPr>
          <w:rFonts w:ascii="Times New Roman" w:hAnsi="Times New Roman" w:cs="Times New Roman"/>
          <w:color w:val="000000" w:themeColor="text1"/>
          <w:sz w:val="24"/>
          <w:szCs w:val="24"/>
        </w:rPr>
        <w:t>on the volume sold.</w:t>
      </w:r>
      <w:r w:rsidR="00496F0C" w:rsidRPr="006A51E8">
        <w:rPr>
          <w:rFonts w:ascii="Times New Roman" w:hAnsi="Times New Roman" w:cs="Times New Roman"/>
          <w:color w:val="000000" w:themeColor="text1"/>
          <w:sz w:val="24"/>
          <w:szCs w:val="24"/>
        </w:rPr>
        <w:t xml:space="preserve"> The sale price variance is calculated using the below formula. </w:t>
      </w:r>
    </w:p>
    <w:p w14:paraId="766A780A" w14:textId="77777777" w:rsidR="006F37FC" w:rsidRPr="006A51E8" w:rsidRDefault="00393ED6"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Sales price variance</w:t>
      </w:r>
      <w:r w:rsidR="000E00EE">
        <w:rPr>
          <w:rFonts w:ascii="Times New Roman" w:hAnsi="Times New Roman" w:cs="Times New Roman"/>
          <w:color w:val="000000" w:themeColor="text1"/>
          <w:sz w:val="24"/>
          <w:szCs w:val="24"/>
        </w:rPr>
        <w:t xml:space="preserve"> </w:t>
      </w:r>
      <w:r w:rsidRPr="006A51E8">
        <w:rPr>
          <w:rFonts w:ascii="Times New Roman" w:hAnsi="Times New Roman" w:cs="Times New Roman"/>
          <w:color w:val="000000" w:themeColor="text1"/>
          <w:sz w:val="24"/>
          <w:szCs w:val="24"/>
        </w:rPr>
        <w:t>=</w:t>
      </w:r>
      <w:r w:rsidR="000E00EE">
        <w:rPr>
          <w:rFonts w:ascii="Times New Roman" w:hAnsi="Times New Roman" w:cs="Times New Roman"/>
          <w:color w:val="000000" w:themeColor="text1"/>
          <w:sz w:val="24"/>
          <w:szCs w:val="24"/>
        </w:rPr>
        <w:t xml:space="preserve"> </w:t>
      </w:r>
      <w:r w:rsidR="009C236A" w:rsidRPr="006A51E8">
        <w:rPr>
          <w:rFonts w:ascii="Times New Roman" w:hAnsi="Times New Roman" w:cs="Times New Roman"/>
          <w:color w:val="000000" w:themeColor="text1"/>
          <w:sz w:val="24"/>
          <w:szCs w:val="24"/>
        </w:rPr>
        <w:t>(Actual price-stan</w:t>
      </w:r>
      <w:r w:rsidRPr="006A51E8">
        <w:rPr>
          <w:rFonts w:ascii="Times New Roman" w:hAnsi="Times New Roman" w:cs="Times New Roman"/>
          <w:color w:val="000000" w:themeColor="text1"/>
          <w:sz w:val="24"/>
          <w:szCs w:val="24"/>
        </w:rPr>
        <w:t xml:space="preserve">dard price) x actual units sold </w:t>
      </w:r>
      <w:r w:rsidR="009C236A" w:rsidRPr="006A51E8">
        <w:rPr>
          <w:rFonts w:ascii="Times New Roman" w:hAnsi="Times New Roman" w:cs="Times New Roman"/>
          <w:color w:val="000000" w:themeColor="text1"/>
          <w:sz w:val="24"/>
          <w:szCs w:val="24"/>
        </w:rPr>
        <w:t>(Drury, 2012)</w:t>
      </w:r>
      <w:r w:rsidRPr="006A51E8">
        <w:rPr>
          <w:rFonts w:ascii="Times New Roman" w:hAnsi="Times New Roman" w:cs="Times New Roman"/>
          <w:color w:val="000000" w:themeColor="text1"/>
          <w:sz w:val="24"/>
          <w:szCs w:val="24"/>
        </w:rPr>
        <w:t>.</w:t>
      </w:r>
    </w:p>
    <w:p w14:paraId="766A780B" w14:textId="77777777" w:rsidR="0044490B"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Product X</w:t>
      </w:r>
    </w:p>
    <w:p w14:paraId="766A780C" w14:textId="77777777" w:rsidR="0044490B"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(45-35) x 850</w:t>
      </w:r>
    </w:p>
    <w:p w14:paraId="766A780D" w14:textId="77777777" w:rsidR="0044490B"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=8500</w:t>
      </w:r>
    </w:p>
    <w:p w14:paraId="766A780E" w14:textId="77777777" w:rsidR="0044490B"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Product Y</w:t>
      </w:r>
    </w:p>
    <w:p w14:paraId="766A780F" w14:textId="77777777" w:rsidR="0044490B"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(37-30) x 750</w:t>
      </w:r>
    </w:p>
    <w:p w14:paraId="766A7810" w14:textId="77777777" w:rsidR="0044490B"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lastRenderedPageBreak/>
        <w:t>=5250</w:t>
      </w:r>
    </w:p>
    <w:p w14:paraId="766A7811" w14:textId="77777777" w:rsidR="00393ED6"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Total sales price variance = 8500 + 5250</w:t>
      </w:r>
      <w:r w:rsidR="00393ED6" w:rsidRPr="006A51E8">
        <w:rPr>
          <w:rFonts w:ascii="Times New Roman" w:hAnsi="Times New Roman" w:cs="Times New Roman"/>
          <w:color w:val="000000" w:themeColor="text1"/>
          <w:sz w:val="24"/>
          <w:szCs w:val="24"/>
        </w:rPr>
        <w:t xml:space="preserve"> </w:t>
      </w:r>
    </w:p>
    <w:p w14:paraId="766A7812" w14:textId="77777777" w:rsidR="00393ED6"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13750</w:t>
      </w:r>
      <w:r w:rsidR="00620D8A" w:rsidRPr="006A51E8">
        <w:rPr>
          <w:rFonts w:ascii="Times New Roman" w:hAnsi="Times New Roman" w:cs="Times New Roman"/>
          <w:color w:val="000000" w:themeColor="text1"/>
          <w:sz w:val="24"/>
          <w:szCs w:val="24"/>
        </w:rPr>
        <w:t xml:space="preserve"> favourable</w:t>
      </w:r>
    </w:p>
    <w:p w14:paraId="766A7813" w14:textId="77777777" w:rsidR="0070670D" w:rsidRPr="006A51E8" w:rsidRDefault="009C236A"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 xml:space="preserve">Sales </w:t>
      </w:r>
      <w:r w:rsidR="0010262B" w:rsidRPr="006A51E8">
        <w:rPr>
          <w:rFonts w:ascii="Times New Roman" w:hAnsi="Times New Roman" w:cs="Times New Roman"/>
          <w:i/>
          <w:color w:val="000000" w:themeColor="text1"/>
          <w:sz w:val="24"/>
          <w:szCs w:val="24"/>
        </w:rPr>
        <w:t xml:space="preserve">volume contribution </w:t>
      </w:r>
      <w:r w:rsidRPr="006A51E8">
        <w:rPr>
          <w:rFonts w:ascii="Times New Roman" w:hAnsi="Times New Roman" w:cs="Times New Roman"/>
          <w:i/>
          <w:color w:val="000000" w:themeColor="text1"/>
          <w:sz w:val="24"/>
          <w:szCs w:val="24"/>
        </w:rPr>
        <w:t>variance</w:t>
      </w:r>
    </w:p>
    <w:p w14:paraId="766A7814" w14:textId="77777777" w:rsidR="00C908BC" w:rsidRPr="006A51E8" w:rsidRDefault="009C236A"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To determine the sales volume contribution variance, one will apply the below formula.</w:t>
      </w:r>
    </w:p>
    <w:p w14:paraId="766A7815" w14:textId="77777777" w:rsidR="0010262B"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Sales volume contribution variance= (actual units-budgeted units) x </w:t>
      </w:r>
      <w:r w:rsidR="002D349F" w:rsidRPr="006A51E8">
        <w:rPr>
          <w:rFonts w:ascii="Times New Roman" w:hAnsi="Times New Roman" w:cs="Times New Roman"/>
          <w:color w:val="000000" w:themeColor="text1"/>
          <w:sz w:val="24"/>
          <w:szCs w:val="24"/>
        </w:rPr>
        <w:t>(standards contribution margin)</w:t>
      </w:r>
    </w:p>
    <w:p w14:paraId="766A7816" w14:textId="77777777" w:rsidR="002D349F"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Product X</w:t>
      </w:r>
    </w:p>
    <w:p w14:paraId="766A7817" w14:textId="77777777" w:rsidR="002D349F"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(850-595) x 25</w:t>
      </w:r>
    </w:p>
    <w:p w14:paraId="766A7818" w14:textId="77777777" w:rsidR="002D349F"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=6375</w:t>
      </w:r>
    </w:p>
    <w:p w14:paraId="766A7819" w14:textId="77777777" w:rsidR="002D349F"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Product y</w:t>
      </w:r>
    </w:p>
    <w:p w14:paraId="766A781A" w14:textId="77777777" w:rsidR="002D349F"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(750-595) x 20</w:t>
      </w:r>
    </w:p>
    <w:p w14:paraId="766A781B" w14:textId="77777777" w:rsidR="002D349F"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=3100</w:t>
      </w:r>
    </w:p>
    <w:p w14:paraId="766A781C" w14:textId="77777777" w:rsidR="002D349F"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Total sales volume contribution margin =3100+6375</w:t>
      </w:r>
    </w:p>
    <w:p w14:paraId="766A781D" w14:textId="77777777" w:rsidR="002D349F"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9475</w:t>
      </w:r>
      <w:r w:rsidR="00620D8A" w:rsidRPr="006A51E8">
        <w:rPr>
          <w:rFonts w:ascii="Times New Roman" w:hAnsi="Times New Roman" w:cs="Times New Roman"/>
          <w:color w:val="000000" w:themeColor="text1"/>
          <w:sz w:val="24"/>
          <w:szCs w:val="24"/>
        </w:rPr>
        <w:t xml:space="preserve"> favourable</w:t>
      </w:r>
    </w:p>
    <w:p w14:paraId="70EC84AD" w14:textId="77777777" w:rsidR="001B6A86" w:rsidRDefault="001B6A86" w:rsidP="006A51E8">
      <w:pPr>
        <w:spacing w:after="0" w:line="480" w:lineRule="auto"/>
        <w:rPr>
          <w:rFonts w:ascii="Times New Roman" w:hAnsi="Times New Roman" w:cs="Times New Roman"/>
          <w:b/>
          <w:bCs/>
          <w:i/>
          <w:color w:val="000000" w:themeColor="text1"/>
          <w:sz w:val="24"/>
          <w:szCs w:val="24"/>
        </w:rPr>
      </w:pPr>
    </w:p>
    <w:p w14:paraId="766A781E" w14:textId="6679FD05" w:rsidR="003D0524" w:rsidRPr="007B21D8" w:rsidRDefault="009C236A" w:rsidP="006A51E8">
      <w:pPr>
        <w:spacing w:after="0" w:line="480" w:lineRule="auto"/>
        <w:rPr>
          <w:rFonts w:ascii="Times New Roman" w:hAnsi="Times New Roman" w:cs="Times New Roman"/>
          <w:b/>
          <w:bCs/>
          <w:i/>
          <w:color w:val="000000" w:themeColor="text1"/>
          <w:sz w:val="24"/>
          <w:szCs w:val="24"/>
        </w:rPr>
      </w:pPr>
      <w:r w:rsidRPr="007B21D8">
        <w:rPr>
          <w:rFonts w:ascii="Times New Roman" w:hAnsi="Times New Roman" w:cs="Times New Roman"/>
          <w:b/>
          <w:bCs/>
          <w:i/>
          <w:color w:val="000000" w:themeColor="text1"/>
          <w:sz w:val="24"/>
          <w:szCs w:val="24"/>
        </w:rPr>
        <w:t>Part A (ii)</w:t>
      </w:r>
    </w:p>
    <w:p w14:paraId="766A781F" w14:textId="77777777" w:rsidR="003D0524" w:rsidRPr="006A51E8" w:rsidRDefault="009C236A"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Material price planning variance</w:t>
      </w:r>
    </w:p>
    <w:p w14:paraId="766A7820" w14:textId="77777777" w:rsidR="007A0DF1" w:rsidRPr="006A51E8" w:rsidRDefault="009C236A"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Planning and operational variances relating to materials are determined by comparing the original and the adjusted/revised budgets (planning) and adjusted budgeted</w:t>
      </w:r>
      <w:r w:rsidR="00F34102" w:rsidRPr="006A51E8">
        <w:rPr>
          <w:rFonts w:ascii="Times New Roman" w:hAnsi="Times New Roman" w:cs="Times New Roman"/>
          <w:color w:val="000000" w:themeColor="text1"/>
          <w:sz w:val="24"/>
          <w:szCs w:val="24"/>
        </w:rPr>
        <w:t xml:space="preserve"> prices</w:t>
      </w:r>
      <w:r w:rsidRPr="006A51E8">
        <w:rPr>
          <w:rFonts w:ascii="Times New Roman" w:hAnsi="Times New Roman" w:cs="Times New Roman"/>
          <w:color w:val="000000" w:themeColor="text1"/>
          <w:sz w:val="24"/>
          <w:szCs w:val="24"/>
        </w:rPr>
        <w:t xml:space="preserve"> with the actual results (operational variances)</w:t>
      </w:r>
      <w:r w:rsidR="007477D2" w:rsidRPr="006A51E8">
        <w:rPr>
          <w:rFonts w:ascii="Times New Roman" w:hAnsi="Times New Roman" w:cs="Times New Roman"/>
          <w:color w:val="000000" w:themeColor="text1"/>
          <w:sz w:val="24"/>
          <w:szCs w:val="24"/>
        </w:rPr>
        <w:t xml:space="preserve"> (Janes, 2013)</w:t>
      </w:r>
      <w:r w:rsidR="00393ED6" w:rsidRPr="006A51E8">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In the case of material price planning </w:t>
      </w:r>
      <w:r w:rsidR="002D371F" w:rsidRPr="006A51E8">
        <w:rPr>
          <w:rFonts w:ascii="Times New Roman" w:hAnsi="Times New Roman" w:cs="Times New Roman"/>
          <w:color w:val="000000" w:themeColor="text1"/>
          <w:sz w:val="24"/>
          <w:szCs w:val="24"/>
        </w:rPr>
        <w:t>variance,</w:t>
      </w:r>
      <w:r w:rsidRPr="006A51E8">
        <w:rPr>
          <w:rFonts w:ascii="Times New Roman" w:hAnsi="Times New Roman" w:cs="Times New Roman"/>
          <w:color w:val="000000" w:themeColor="text1"/>
          <w:sz w:val="24"/>
          <w:szCs w:val="24"/>
        </w:rPr>
        <w:t xml:space="preserve"> </w:t>
      </w:r>
      <w:r w:rsidR="007F4633" w:rsidRPr="006A51E8">
        <w:rPr>
          <w:rFonts w:ascii="Times New Roman" w:hAnsi="Times New Roman" w:cs="Times New Roman"/>
          <w:color w:val="000000" w:themeColor="text1"/>
          <w:sz w:val="24"/>
          <w:szCs w:val="24"/>
        </w:rPr>
        <w:t xml:space="preserve">it is used to determine how skilled a company’s productions are in estimated future material prices. </w:t>
      </w:r>
      <w:r w:rsidR="006F6D5C" w:rsidRPr="006A51E8">
        <w:rPr>
          <w:rFonts w:ascii="Times New Roman" w:hAnsi="Times New Roman" w:cs="Times New Roman"/>
          <w:color w:val="000000" w:themeColor="text1"/>
          <w:sz w:val="24"/>
          <w:szCs w:val="24"/>
        </w:rPr>
        <w:t>Material price planning variance is determined using the below formula.</w:t>
      </w:r>
    </w:p>
    <w:p w14:paraId="766A7821" w14:textId="77777777" w:rsidR="007A0DF1"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lastRenderedPageBreak/>
        <w:t>Material price planning variance=</w:t>
      </w:r>
      <w:r w:rsidR="00620D8A" w:rsidRPr="006A51E8">
        <w:rPr>
          <w:rFonts w:ascii="Times New Roman" w:hAnsi="Times New Roman" w:cs="Times New Roman"/>
          <w:color w:val="000000" w:themeColor="text1"/>
          <w:sz w:val="24"/>
          <w:szCs w:val="24"/>
        </w:rPr>
        <w:t xml:space="preserve"> actual</w:t>
      </w:r>
      <w:r w:rsidRPr="006A51E8">
        <w:rPr>
          <w:rFonts w:ascii="Times New Roman" w:hAnsi="Times New Roman" w:cs="Times New Roman"/>
          <w:color w:val="000000" w:themeColor="text1"/>
          <w:sz w:val="24"/>
          <w:szCs w:val="24"/>
        </w:rPr>
        <w:t xml:space="preserve"> quantity </w:t>
      </w:r>
      <w:r w:rsidR="00DB0708" w:rsidRPr="006A51E8">
        <w:rPr>
          <w:rFonts w:ascii="Times New Roman" w:hAnsi="Times New Roman" w:cs="Times New Roman"/>
          <w:color w:val="000000" w:themeColor="text1"/>
          <w:sz w:val="24"/>
          <w:szCs w:val="24"/>
        </w:rPr>
        <w:t>(</w:t>
      </w:r>
      <w:r w:rsidR="00FE208E" w:rsidRPr="006A51E8">
        <w:rPr>
          <w:rFonts w:ascii="Times New Roman" w:hAnsi="Times New Roman" w:cs="Times New Roman"/>
          <w:color w:val="000000" w:themeColor="text1"/>
          <w:sz w:val="24"/>
          <w:szCs w:val="24"/>
        </w:rPr>
        <w:t xml:space="preserve">revised </w:t>
      </w:r>
      <w:r w:rsidR="00620D8A" w:rsidRPr="006A51E8">
        <w:rPr>
          <w:rFonts w:ascii="Times New Roman" w:hAnsi="Times New Roman" w:cs="Times New Roman"/>
          <w:color w:val="000000" w:themeColor="text1"/>
          <w:sz w:val="24"/>
          <w:szCs w:val="24"/>
        </w:rPr>
        <w:t>budgeted price</w:t>
      </w:r>
      <w:r w:rsidR="00DB0708" w:rsidRPr="006A51E8">
        <w:rPr>
          <w:rFonts w:ascii="Times New Roman" w:hAnsi="Times New Roman" w:cs="Times New Roman"/>
          <w:color w:val="000000" w:themeColor="text1"/>
          <w:sz w:val="24"/>
          <w:szCs w:val="24"/>
        </w:rPr>
        <w:t>-standard price</w:t>
      </w:r>
      <w:r w:rsidR="00620D8A" w:rsidRPr="006A51E8">
        <w:rPr>
          <w:rFonts w:ascii="Times New Roman" w:hAnsi="Times New Roman" w:cs="Times New Roman"/>
          <w:color w:val="000000" w:themeColor="text1"/>
          <w:sz w:val="24"/>
          <w:szCs w:val="24"/>
        </w:rPr>
        <w:t>)</w:t>
      </w:r>
    </w:p>
    <w:p w14:paraId="766A7822" w14:textId="77777777" w:rsidR="002B69CB"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(Janes, 2013)</w:t>
      </w:r>
    </w:p>
    <w:p w14:paraId="766A7823" w14:textId="77777777" w:rsidR="00620D8A"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Product X</w:t>
      </w:r>
    </w:p>
    <w:p w14:paraId="766A7824" w14:textId="77777777" w:rsidR="006F6D5C"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w:t>
      </w:r>
      <w:r w:rsidR="00620D8A" w:rsidRPr="006A51E8">
        <w:rPr>
          <w:rFonts w:ascii="Times New Roman" w:hAnsi="Times New Roman" w:cs="Times New Roman"/>
          <w:color w:val="000000" w:themeColor="text1"/>
          <w:sz w:val="24"/>
          <w:szCs w:val="24"/>
        </w:rPr>
        <w:t xml:space="preserve"> (</w:t>
      </w:r>
      <w:r w:rsidR="00DB0708" w:rsidRPr="006A51E8">
        <w:rPr>
          <w:rFonts w:ascii="Times New Roman" w:hAnsi="Times New Roman" w:cs="Times New Roman"/>
          <w:color w:val="000000" w:themeColor="text1"/>
          <w:sz w:val="24"/>
          <w:szCs w:val="24"/>
        </w:rPr>
        <w:t>4.50-2.50</w:t>
      </w:r>
      <w:r w:rsidR="00620D8A" w:rsidRPr="006A51E8">
        <w:rPr>
          <w:rFonts w:ascii="Times New Roman" w:hAnsi="Times New Roman" w:cs="Times New Roman"/>
          <w:color w:val="000000" w:themeColor="text1"/>
          <w:sz w:val="24"/>
          <w:szCs w:val="24"/>
        </w:rPr>
        <w:t>) x 850</w:t>
      </w:r>
    </w:p>
    <w:p w14:paraId="766A7825" w14:textId="77777777" w:rsidR="00620D8A"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=1700 unfavourable</w:t>
      </w:r>
    </w:p>
    <w:p w14:paraId="766A7826" w14:textId="77777777" w:rsidR="00620D8A"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Product Y</w:t>
      </w:r>
    </w:p>
    <w:p w14:paraId="766A7827" w14:textId="77777777" w:rsidR="00620D8A"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(4.50</w:t>
      </w:r>
      <w:r w:rsidR="00DB0708" w:rsidRPr="006A51E8">
        <w:rPr>
          <w:rFonts w:ascii="Times New Roman" w:hAnsi="Times New Roman" w:cs="Times New Roman"/>
          <w:color w:val="000000" w:themeColor="text1"/>
          <w:sz w:val="24"/>
          <w:szCs w:val="24"/>
        </w:rPr>
        <w:t>-2.50</w:t>
      </w:r>
      <w:r w:rsidRPr="006A51E8">
        <w:rPr>
          <w:rFonts w:ascii="Times New Roman" w:hAnsi="Times New Roman" w:cs="Times New Roman"/>
          <w:color w:val="000000" w:themeColor="text1"/>
          <w:sz w:val="24"/>
          <w:szCs w:val="24"/>
        </w:rPr>
        <w:t>) x 750</w:t>
      </w:r>
    </w:p>
    <w:p w14:paraId="766A7828" w14:textId="77777777" w:rsidR="00620D8A"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1500 unfavourable </w:t>
      </w:r>
    </w:p>
    <w:p w14:paraId="766A7829" w14:textId="77777777" w:rsidR="00620D8A"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Total material </w:t>
      </w:r>
      <w:r w:rsidR="00DB0708" w:rsidRPr="006A51E8">
        <w:rPr>
          <w:rFonts w:ascii="Times New Roman" w:hAnsi="Times New Roman" w:cs="Times New Roman"/>
          <w:color w:val="000000" w:themeColor="text1"/>
          <w:sz w:val="24"/>
          <w:szCs w:val="24"/>
        </w:rPr>
        <w:t>price planning variance = 1700 + 1500</w:t>
      </w:r>
    </w:p>
    <w:p w14:paraId="766A782A" w14:textId="77777777" w:rsidR="00620D8A" w:rsidRPr="006A51E8" w:rsidRDefault="00393ED6"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w:t>
      </w:r>
      <w:r w:rsidR="009C236A" w:rsidRPr="006A51E8">
        <w:rPr>
          <w:rFonts w:ascii="Times New Roman" w:hAnsi="Times New Roman" w:cs="Times New Roman"/>
          <w:color w:val="000000" w:themeColor="text1"/>
          <w:sz w:val="24"/>
          <w:szCs w:val="24"/>
        </w:rPr>
        <w:t>3200 unfavourable</w:t>
      </w:r>
    </w:p>
    <w:p w14:paraId="766A782B" w14:textId="77777777" w:rsidR="00620D8A" w:rsidRPr="006A51E8" w:rsidRDefault="009C236A"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Material price operational variance</w:t>
      </w:r>
    </w:p>
    <w:p w14:paraId="766A782C" w14:textId="77777777" w:rsidR="00713A74" w:rsidRPr="006A51E8" w:rsidRDefault="009C236A"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Material price operational </w:t>
      </w:r>
      <w:r w:rsidR="00942DD7" w:rsidRPr="006A51E8">
        <w:rPr>
          <w:rFonts w:ascii="Times New Roman" w:hAnsi="Times New Roman" w:cs="Times New Roman"/>
          <w:color w:val="000000" w:themeColor="text1"/>
          <w:sz w:val="24"/>
          <w:szCs w:val="24"/>
        </w:rPr>
        <w:t>variance compared</w:t>
      </w:r>
      <w:r w:rsidRPr="006A51E8">
        <w:rPr>
          <w:rFonts w:ascii="Times New Roman" w:hAnsi="Times New Roman" w:cs="Times New Roman"/>
          <w:color w:val="000000" w:themeColor="text1"/>
          <w:sz w:val="24"/>
          <w:szCs w:val="24"/>
        </w:rPr>
        <w:t xml:space="preserve"> the differences between the actual and the revised budget figures</w:t>
      </w:r>
      <w:r w:rsidR="007477D2" w:rsidRPr="006A51E8">
        <w:rPr>
          <w:rFonts w:ascii="Times New Roman" w:hAnsi="Times New Roman" w:cs="Times New Roman"/>
          <w:color w:val="000000" w:themeColor="text1"/>
          <w:sz w:val="24"/>
          <w:szCs w:val="24"/>
        </w:rPr>
        <w:t xml:space="preserve"> (Janes, 2013)</w:t>
      </w:r>
      <w:r w:rsidRPr="006A51E8">
        <w:rPr>
          <w:rFonts w:ascii="Times New Roman" w:hAnsi="Times New Roman" w:cs="Times New Roman"/>
          <w:color w:val="000000" w:themeColor="text1"/>
          <w:sz w:val="24"/>
          <w:szCs w:val="24"/>
        </w:rPr>
        <w:t xml:space="preserve">. </w:t>
      </w:r>
      <w:r w:rsidR="00942DD7" w:rsidRPr="006A51E8">
        <w:rPr>
          <w:rFonts w:ascii="Times New Roman" w:hAnsi="Times New Roman" w:cs="Times New Roman"/>
          <w:color w:val="000000" w:themeColor="text1"/>
          <w:sz w:val="24"/>
          <w:szCs w:val="24"/>
        </w:rPr>
        <w:t xml:space="preserve">In </w:t>
      </w:r>
      <w:r w:rsidRPr="006A51E8">
        <w:rPr>
          <w:rFonts w:ascii="Times New Roman" w:hAnsi="Times New Roman" w:cs="Times New Roman"/>
          <w:color w:val="000000" w:themeColor="text1"/>
          <w:sz w:val="24"/>
          <w:szCs w:val="24"/>
        </w:rPr>
        <w:t>general,</w:t>
      </w:r>
      <w:r w:rsidR="00942DD7" w:rsidRPr="006A51E8">
        <w:rPr>
          <w:rFonts w:ascii="Times New Roman" w:hAnsi="Times New Roman" w:cs="Times New Roman"/>
          <w:color w:val="000000" w:themeColor="text1"/>
          <w:sz w:val="24"/>
          <w:szCs w:val="24"/>
        </w:rPr>
        <w:t xml:space="preserve"> operational variances are used to determine the efficiency</w:t>
      </w:r>
      <w:r w:rsidRPr="006A51E8">
        <w:rPr>
          <w:rFonts w:ascii="Times New Roman" w:hAnsi="Times New Roman" w:cs="Times New Roman"/>
          <w:color w:val="000000" w:themeColor="text1"/>
          <w:sz w:val="24"/>
          <w:szCs w:val="24"/>
        </w:rPr>
        <w:t xml:space="preserve"> of the purchasing department, given the market prevailing market conditions.</w:t>
      </w:r>
      <w:r w:rsidR="00D847F9" w:rsidRPr="006A51E8">
        <w:rPr>
          <w:rFonts w:ascii="Times New Roman" w:hAnsi="Times New Roman" w:cs="Times New Roman"/>
          <w:color w:val="000000" w:themeColor="text1"/>
          <w:sz w:val="24"/>
          <w:szCs w:val="24"/>
        </w:rPr>
        <w:t xml:space="preserve"> Material price operational variance is determined using the below formula.</w:t>
      </w:r>
    </w:p>
    <w:p w14:paraId="766A782D" w14:textId="77777777" w:rsidR="00D847F9"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Material price planning variance= actual quantity (actual price- revised budgeted price)</w:t>
      </w:r>
    </w:p>
    <w:p w14:paraId="766A782E" w14:textId="77777777" w:rsidR="002B69CB"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(Janes, 2013)</w:t>
      </w:r>
    </w:p>
    <w:p w14:paraId="766A782F" w14:textId="77777777" w:rsidR="00D847F9"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Product X</w:t>
      </w:r>
    </w:p>
    <w:p w14:paraId="766A7830" w14:textId="77777777" w:rsidR="00D847F9"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(3.75-4.50) x 850</w:t>
      </w:r>
    </w:p>
    <w:p w14:paraId="766A7831" w14:textId="77777777" w:rsidR="00D847F9"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=637.50 favourable</w:t>
      </w:r>
    </w:p>
    <w:p w14:paraId="766A7832" w14:textId="77777777" w:rsidR="00D847F9"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Product Y</w:t>
      </w:r>
    </w:p>
    <w:p w14:paraId="766A7833" w14:textId="77777777" w:rsidR="00D847F9"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(3.75-4.50) x 750</w:t>
      </w:r>
    </w:p>
    <w:p w14:paraId="766A7834" w14:textId="77777777" w:rsidR="00D847F9"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562.50 favourable </w:t>
      </w:r>
    </w:p>
    <w:p w14:paraId="766A7835" w14:textId="77777777" w:rsidR="00D847F9" w:rsidRPr="006A51E8" w:rsidRDefault="009C236A"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lastRenderedPageBreak/>
        <w:t>Total material price planning variance = 562.50 + 637.50</w:t>
      </w:r>
    </w:p>
    <w:p w14:paraId="766A7836" w14:textId="77777777" w:rsidR="00D847F9" w:rsidRPr="006A51E8" w:rsidRDefault="00393ED6" w:rsidP="006A51E8">
      <w:pPr>
        <w:spacing w:after="0" w:line="480" w:lineRule="auto"/>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w:t>
      </w:r>
      <w:r w:rsidR="009C236A" w:rsidRPr="006A51E8">
        <w:rPr>
          <w:rFonts w:ascii="Times New Roman" w:hAnsi="Times New Roman" w:cs="Times New Roman"/>
          <w:color w:val="000000" w:themeColor="text1"/>
          <w:sz w:val="24"/>
          <w:szCs w:val="24"/>
        </w:rPr>
        <w:t>1200 favourable</w:t>
      </w:r>
    </w:p>
    <w:p w14:paraId="00C255E8" w14:textId="77777777" w:rsidR="001B6A86" w:rsidRDefault="001B6A86" w:rsidP="006A51E8">
      <w:pPr>
        <w:spacing w:after="0" w:line="480" w:lineRule="auto"/>
        <w:rPr>
          <w:rFonts w:ascii="Times New Roman" w:hAnsi="Times New Roman" w:cs="Times New Roman"/>
          <w:b/>
          <w:bCs/>
          <w:i/>
          <w:color w:val="000000" w:themeColor="text1"/>
          <w:sz w:val="24"/>
          <w:szCs w:val="24"/>
        </w:rPr>
      </w:pPr>
    </w:p>
    <w:p w14:paraId="766A7839" w14:textId="3CAAD536" w:rsidR="00D847F9" w:rsidRPr="006A51E8" w:rsidRDefault="009C236A" w:rsidP="006A51E8">
      <w:pPr>
        <w:spacing w:after="0" w:line="480" w:lineRule="auto"/>
        <w:rPr>
          <w:rFonts w:ascii="Times New Roman" w:hAnsi="Times New Roman" w:cs="Times New Roman"/>
          <w:i/>
          <w:color w:val="000000" w:themeColor="text1"/>
          <w:sz w:val="24"/>
          <w:szCs w:val="24"/>
        </w:rPr>
      </w:pPr>
      <w:r w:rsidRPr="007B21D8">
        <w:rPr>
          <w:rFonts w:ascii="Times New Roman" w:hAnsi="Times New Roman" w:cs="Times New Roman"/>
          <w:b/>
          <w:bCs/>
          <w:i/>
          <w:color w:val="000000" w:themeColor="text1"/>
          <w:sz w:val="24"/>
          <w:szCs w:val="24"/>
        </w:rPr>
        <w:t>Part A (iii)</w:t>
      </w:r>
      <w:r w:rsidRPr="006A51E8">
        <w:rPr>
          <w:rFonts w:ascii="Times New Roman" w:hAnsi="Times New Roman" w:cs="Times New Roman"/>
          <w:i/>
          <w:color w:val="000000" w:themeColor="text1"/>
          <w:sz w:val="24"/>
          <w:szCs w:val="24"/>
        </w:rPr>
        <w:t xml:space="preserve"> Merits and demerits of using variances in assessing managers’ performance</w:t>
      </w:r>
      <w:r w:rsidR="00CA4575" w:rsidRPr="006A51E8">
        <w:rPr>
          <w:rFonts w:ascii="Times New Roman" w:hAnsi="Times New Roman" w:cs="Times New Roman"/>
          <w:i/>
          <w:color w:val="000000" w:themeColor="text1"/>
          <w:sz w:val="24"/>
          <w:szCs w:val="24"/>
        </w:rPr>
        <w:t>s</w:t>
      </w:r>
    </w:p>
    <w:p w14:paraId="766A783A" w14:textId="77777777" w:rsidR="00393ED6" w:rsidRPr="006A51E8" w:rsidRDefault="00393ED6"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Variance analysis deals with the difference between the budgeted and actual financial performance. This, in turn, helps a company to identify the causes of the deviation and take improvement measures to remedy the identified problems. Therefore, the variance analysis can be a useful tool in evaluating and assessing managers’ performances. These are several merits of using variance analysis in assessing managers’ performances. The first advantage of using the variance analysis to assess managers’ performances is that it acts as a benchmark and control mechanism from which to measure managers’ performances (Mehta, 2020). As noted above, variance analysis helps a company identify the causes of deviations from the budgeted figures. Based on the identified causes of the deviation, one can be able to determine if it was the managers’ fault that resulted in the variances. For example, if after calculating the material quantity variance one determines that the unfavourable variance was a result of wastages, inefficient operations due to lack of proper supervision or the procurement of substandard raw materials (Mehta, 2020). The latter aspects can be used to rate the performances of the production manager and the procurement managers since they are the one charged with production and securing raw materials. In contrast, favourable variance analysis results may indicate improved efforts by the manager to enhance efficiency and reduce wastage, indicating the production managers improved supervision efforts. </w:t>
      </w:r>
    </w:p>
    <w:p w14:paraId="766A783B" w14:textId="77777777" w:rsidR="00393ED6" w:rsidRPr="006A51E8" w:rsidRDefault="00393ED6"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Secondly, variance analysis helps an organisation to assess managers’ technical knowledge on issues such as budgeting, pricing, and forecasting (</w:t>
      </w:r>
      <w:proofErr w:type="spellStart"/>
      <w:r w:rsidRPr="006A51E8">
        <w:rPr>
          <w:rFonts w:ascii="Times New Roman" w:hAnsi="Times New Roman" w:cs="Times New Roman"/>
          <w:color w:val="000000" w:themeColor="text1"/>
          <w:sz w:val="24"/>
          <w:szCs w:val="24"/>
        </w:rPr>
        <w:t>Weetman</w:t>
      </w:r>
      <w:proofErr w:type="spellEnd"/>
      <w:r w:rsidRPr="006A51E8">
        <w:rPr>
          <w:rFonts w:ascii="Times New Roman" w:hAnsi="Times New Roman" w:cs="Times New Roman"/>
          <w:color w:val="000000" w:themeColor="text1"/>
          <w:sz w:val="24"/>
          <w:szCs w:val="24"/>
        </w:rPr>
        <w:t xml:space="preserve">, 2006). Variance </w:t>
      </w:r>
      <w:r w:rsidRPr="006A51E8">
        <w:rPr>
          <w:rFonts w:ascii="Times New Roman" w:hAnsi="Times New Roman" w:cs="Times New Roman"/>
          <w:color w:val="000000" w:themeColor="text1"/>
          <w:sz w:val="24"/>
          <w:szCs w:val="24"/>
        </w:rPr>
        <w:lastRenderedPageBreak/>
        <w:t>analysis can also help an organisation to examine and evaluate the technical competence of managers on issues such as budgeting, pricing, and forecasting. While it is not a must the actual results tally with the budgeted results huge variances and deviations from the budgeted amounts may indicate incompetence on the manager’s part. For example, the procurement head is charged, which securing raw materials for a company. Therefore, they are supposed to be well versed with market prices of raw materials used regularly in the production process. Barring unexpected events such as the current pandemic actual prices are not supposed to deviate far from the projected prices; otherwise, it may indicate professional negligence on the purchasing department part.</w:t>
      </w:r>
    </w:p>
    <w:p w14:paraId="766A783C" w14:textId="77777777" w:rsidR="00FE64C4" w:rsidRPr="006A51E8" w:rsidRDefault="00393ED6"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Thirdly, variance analysis plays also enhances the comparability of managers’ performances from period to period (</w:t>
      </w:r>
      <w:proofErr w:type="spellStart"/>
      <w:r w:rsidRPr="006A51E8">
        <w:rPr>
          <w:rFonts w:ascii="Times New Roman" w:hAnsi="Times New Roman" w:cs="Times New Roman"/>
          <w:color w:val="000000" w:themeColor="text1"/>
          <w:sz w:val="24"/>
          <w:szCs w:val="24"/>
        </w:rPr>
        <w:t>Weetman</w:t>
      </w:r>
      <w:proofErr w:type="spellEnd"/>
      <w:r w:rsidRPr="006A51E8">
        <w:rPr>
          <w:rFonts w:ascii="Times New Roman" w:hAnsi="Times New Roman" w:cs="Times New Roman"/>
          <w:color w:val="000000" w:themeColor="text1"/>
          <w:sz w:val="24"/>
          <w:szCs w:val="24"/>
        </w:rPr>
        <w:t xml:space="preserve">, 2006). For instance, if the variance analysis indicated that the actual material used deviated from the budgeted materials by 100 tonnes (unfavourable) for the same number of units produced in a certain month the latter figure can be used to compare and track the progress of the recommended improvement measures and compare the manager performance in the following month. For instance, if the manager </w:t>
      </w:r>
      <w:proofErr w:type="gramStart"/>
      <w:r w:rsidRPr="006A51E8">
        <w:rPr>
          <w:rFonts w:ascii="Times New Roman" w:hAnsi="Times New Roman" w:cs="Times New Roman"/>
          <w:color w:val="000000" w:themeColor="text1"/>
          <w:sz w:val="24"/>
          <w:szCs w:val="24"/>
        </w:rPr>
        <w:t>is able to</w:t>
      </w:r>
      <w:proofErr w:type="gramEnd"/>
      <w:r w:rsidRPr="006A51E8">
        <w:rPr>
          <w:rFonts w:ascii="Times New Roman" w:hAnsi="Times New Roman" w:cs="Times New Roman"/>
          <w:color w:val="000000" w:themeColor="text1"/>
          <w:sz w:val="24"/>
          <w:szCs w:val="24"/>
        </w:rPr>
        <w:t xml:space="preserve"> reduce the variance to 10 tonnes (unfavourable), it can be reasonably assumed that the manager has improved his/her performance.</w:t>
      </w:r>
    </w:p>
    <w:p w14:paraId="766A783D" w14:textId="77777777" w:rsidR="001318EF" w:rsidRPr="006A51E8" w:rsidRDefault="001318EF"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However, despite the merits mentioned above of using variance analysis in assessing managers’ performances, variances also have their demerits and disadvantages when used to assess managers’ performances. The first one is the fact that if variances analysis numbers are used in their raw form to assess managers’ performances, they may not be a significant performance measurement tool since they do not indicate the causes of the variances and whether these causes arose as a result of the managers’ incompetence or poor performances (Dyson, </w:t>
      </w:r>
      <w:r w:rsidRPr="006A51E8">
        <w:rPr>
          <w:rFonts w:ascii="Times New Roman" w:hAnsi="Times New Roman" w:cs="Times New Roman"/>
          <w:color w:val="000000" w:themeColor="text1"/>
          <w:sz w:val="24"/>
          <w:szCs w:val="24"/>
        </w:rPr>
        <w:lastRenderedPageBreak/>
        <w:t xml:space="preserve">2013). </w:t>
      </w:r>
      <w:proofErr w:type="gramStart"/>
      <w:r w:rsidRPr="006A51E8">
        <w:rPr>
          <w:rFonts w:ascii="Times New Roman" w:hAnsi="Times New Roman" w:cs="Times New Roman"/>
          <w:color w:val="000000" w:themeColor="text1"/>
          <w:sz w:val="24"/>
          <w:szCs w:val="24"/>
        </w:rPr>
        <w:t>In essence, a</w:t>
      </w:r>
      <w:proofErr w:type="gramEnd"/>
      <w:r w:rsidRPr="006A51E8">
        <w:rPr>
          <w:rFonts w:ascii="Times New Roman" w:hAnsi="Times New Roman" w:cs="Times New Roman"/>
          <w:color w:val="000000" w:themeColor="text1"/>
          <w:sz w:val="24"/>
          <w:szCs w:val="24"/>
        </w:rPr>
        <w:t xml:space="preserve"> variance analysis has to be accompanied by an analysis of the factors that led to the deviations and if the factors leading to deviations arose as a result of the managers’ poor performance (Dyson, 2013). Using the XLG clearing company example, it may not be reasonable to blame the manager for the material price planning variance since they may not have anticipated the outbreak of a pandemic at the beginning of the financial year. Therefore, while the variance was unfavourable, it does not indicate anything on the managers’ performance since the variance was not his/her fault.</w:t>
      </w:r>
    </w:p>
    <w:p w14:paraId="766A783E" w14:textId="77777777" w:rsidR="00EA7E02" w:rsidRPr="006A51E8" w:rsidRDefault="001318EF"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Another demerit of using the variance analysis in assessing managers’ performances arises from the fact that variance analysis is based on financial results which are either prepared monthly, quarterly, or annually. This means that there is a time gap between the release of the results, the performance of the variance analysis and the time remedial action is taken. This may hinder one of the main objectives of variance analysis and performance measurement, which is to identify causes for the deviations and taking remedial actions. For instance, if there are some unfavourable variances which have been detected in the first quarter of the year, remedial actions can only be taken after the latter financial results have been released, and variance analysis is undertaken. This may take time meaning that the remedial action can only be taken, for example, a month into the second quarter. This, in turn, means that the second quarter performances will not have the desired improvements since the remedial measures were implemented late.</w:t>
      </w:r>
    </w:p>
    <w:p w14:paraId="766A783F" w14:textId="77777777" w:rsidR="001318EF" w:rsidRPr="006A51E8" w:rsidRDefault="001318EF"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Finally, the use of the variance analysis as a tool to measure managers’ performances will not be effective if the budgeting process was not undertaken properly. The budgeting process involves making assumptions and prediction on the expected future event based on the best available evidence and information (Harvard Business Review, 2015). Therefore, if the budgeting process is not done correctly to give reasonable objective estimates, then the results </w:t>
      </w:r>
      <w:r w:rsidRPr="006A51E8">
        <w:rPr>
          <w:rFonts w:ascii="Times New Roman" w:hAnsi="Times New Roman" w:cs="Times New Roman"/>
          <w:color w:val="000000" w:themeColor="text1"/>
          <w:sz w:val="24"/>
          <w:szCs w:val="24"/>
        </w:rPr>
        <w:lastRenderedPageBreak/>
        <w:t xml:space="preserve">derived from the variance analysis will also be flawed an aspect that affects the credibility and the appropriateness of the variance analysis as a performance measurement tool. </w:t>
      </w:r>
      <w:proofErr w:type="spellStart"/>
      <w:r w:rsidRPr="006A51E8">
        <w:rPr>
          <w:rFonts w:ascii="Times New Roman" w:hAnsi="Times New Roman" w:cs="Times New Roman"/>
          <w:color w:val="000000" w:themeColor="text1"/>
          <w:sz w:val="24"/>
          <w:szCs w:val="24"/>
        </w:rPr>
        <w:t>Aruomoaghe</w:t>
      </w:r>
      <w:proofErr w:type="spellEnd"/>
      <w:r w:rsidRPr="006A51E8">
        <w:rPr>
          <w:rFonts w:ascii="Times New Roman" w:hAnsi="Times New Roman" w:cs="Times New Roman"/>
          <w:color w:val="000000" w:themeColor="text1"/>
          <w:sz w:val="24"/>
          <w:szCs w:val="24"/>
        </w:rPr>
        <w:t xml:space="preserve"> and </w:t>
      </w:r>
      <w:proofErr w:type="spellStart"/>
      <w:r w:rsidRPr="006A51E8">
        <w:rPr>
          <w:rFonts w:ascii="Times New Roman" w:hAnsi="Times New Roman" w:cs="Times New Roman"/>
          <w:color w:val="000000" w:themeColor="text1"/>
          <w:sz w:val="24"/>
          <w:szCs w:val="24"/>
        </w:rPr>
        <w:t>Agbo</w:t>
      </w:r>
      <w:proofErr w:type="spellEnd"/>
      <w:r w:rsidRPr="006A51E8">
        <w:rPr>
          <w:rFonts w:ascii="Times New Roman" w:hAnsi="Times New Roman" w:cs="Times New Roman"/>
          <w:color w:val="000000" w:themeColor="text1"/>
          <w:sz w:val="24"/>
          <w:szCs w:val="24"/>
        </w:rPr>
        <w:t xml:space="preserve"> (2013) further note that the use of variance analysis as a performance assessment can discourage innovation, particularly in cases where the innovation will lead to unfavourable variances. Additionally, too much emphasis on variances may result in managers engaging in fraudulent activities to cover up variances or make decisions which are not beneficial to the company to cover up unfavourable variances (</w:t>
      </w:r>
      <w:proofErr w:type="spellStart"/>
      <w:r w:rsidRPr="006A51E8">
        <w:rPr>
          <w:rFonts w:ascii="Times New Roman" w:hAnsi="Times New Roman" w:cs="Times New Roman"/>
          <w:color w:val="000000" w:themeColor="text1"/>
          <w:sz w:val="24"/>
          <w:szCs w:val="24"/>
        </w:rPr>
        <w:t>Aruomoaghe</w:t>
      </w:r>
      <w:proofErr w:type="spellEnd"/>
      <w:r w:rsidRPr="006A51E8">
        <w:rPr>
          <w:rFonts w:ascii="Times New Roman" w:hAnsi="Times New Roman" w:cs="Times New Roman"/>
          <w:color w:val="000000" w:themeColor="text1"/>
          <w:sz w:val="24"/>
          <w:szCs w:val="24"/>
        </w:rPr>
        <w:t xml:space="preserve"> and </w:t>
      </w:r>
      <w:proofErr w:type="spellStart"/>
      <w:r w:rsidRPr="006A51E8">
        <w:rPr>
          <w:rFonts w:ascii="Times New Roman" w:hAnsi="Times New Roman" w:cs="Times New Roman"/>
          <w:color w:val="000000" w:themeColor="text1"/>
          <w:sz w:val="24"/>
          <w:szCs w:val="24"/>
        </w:rPr>
        <w:t>Agbo</w:t>
      </w:r>
      <w:proofErr w:type="spellEnd"/>
      <w:r w:rsidRPr="006A51E8">
        <w:rPr>
          <w:rFonts w:ascii="Times New Roman" w:hAnsi="Times New Roman" w:cs="Times New Roman"/>
          <w:color w:val="000000" w:themeColor="text1"/>
          <w:sz w:val="24"/>
          <w:szCs w:val="24"/>
        </w:rPr>
        <w:t xml:space="preserve">, 2013). For instance, the sale managers may decide to book </w:t>
      </w:r>
      <w:r w:rsidR="000E00EE" w:rsidRPr="006A51E8">
        <w:rPr>
          <w:rFonts w:ascii="Times New Roman" w:hAnsi="Times New Roman" w:cs="Times New Roman"/>
          <w:color w:val="000000" w:themeColor="text1"/>
          <w:sz w:val="24"/>
          <w:szCs w:val="24"/>
        </w:rPr>
        <w:t>sales, which</w:t>
      </w:r>
      <w:r w:rsidRPr="006A51E8">
        <w:rPr>
          <w:rFonts w:ascii="Times New Roman" w:hAnsi="Times New Roman" w:cs="Times New Roman"/>
          <w:color w:val="000000" w:themeColor="text1"/>
          <w:sz w:val="24"/>
          <w:szCs w:val="24"/>
        </w:rPr>
        <w:t xml:space="preserve"> are yet to be completed or engage friendly consumers to take up stocks only for them to return the sales after the expiry of a certain period just to shore up their sales numbers. Finally, too much emphasis on variance as a performance measurement tool may result in managers neglecting other vital aspects, such as improving product quality, customer satisfaction and timely delivery to ensure that they record favourable variances (</w:t>
      </w:r>
      <w:proofErr w:type="spellStart"/>
      <w:r w:rsidRPr="006A51E8">
        <w:rPr>
          <w:rFonts w:ascii="Times New Roman" w:hAnsi="Times New Roman" w:cs="Times New Roman"/>
          <w:color w:val="000000" w:themeColor="text1"/>
          <w:sz w:val="24"/>
          <w:szCs w:val="24"/>
        </w:rPr>
        <w:t>Aruomoaghe</w:t>
      </w:r>
      <w:proofErr w:type="spellEnd"/>
      <w:r w:rsidRPr="006A51E8">
        <w:rPr>
          <w:rFonts w:ascii="Times New Roman" w:hAnsi="Times New Roman" w:cs="Times New Roman"/>
          <w:color w:val="000000" w:themeColor="text1"/>
          <w:sz w:val="24"/>
          <w:szCs w:val="24"/>
        </w:rPr>
        <w:t xml:space="preserve"> and </w:t>
      </w:r>
      <w:proofErr w:type="spellStart"/>
      <w:r w:rsidRPr="006A51E8">
        <w:rPr>
          <w:rFonts w:ascii="Times New Roman" w:hAnsi="Times New Roman" w:cs="Times New Roman"/>
          <w:color w:val="000000" w:themeColor="text1"/>
          <w:sz w:val="24"/>
          <w:szCs w:val="24"/>
        </w:rPr>
        <w:t>Agbo</w:t>
      </w:r>
      <w:proofErr w:type="spellEnd"/>
      <w:r w:rsidRPr="006A51E8">
        <w:rPr>
          <w:rFonts w:ascii="Times New Roman" w:hAnsi="Times New Roman" w:cs="Times New Roman"/>
          <w:color w:val="000000" w:themeColor="text1"/>
          <w:sz w:val="24"/>
          <w:szCs w:val="24"/>
        </w:rPr>
        <w:t>, 2013).</w:t>
      </w:r>
    </w:p>
    <w:p w14:paraId="10A62D02" w14:textId="77777777" w:rsidR="007B21D8" w:rsidRDefault="007B21D8" w:rsidP="006A51E8">
      <w:pPr>
        <w:spacing w:after="0" w:line="480" w:lineRule="auto"/>
        <w:jc w:val="center"/>
        <w:rPr>
          <w:rFonts w:ascii="Times New Roman" w:hAnsi="Times New Roman" w:cs="Times New Roman"/>
          <w:color w:val="000000" w:themeColor="text1"/>
          <w:sz w:val="24"/>
          <w:szCs w:val="24"/>
        </w:rPr>
      </w:pPr>
    </w:p>
    <w:p w14:paraId="1E7C8CCD" w14:textId="77777777" w:rsidR="0000445A" w:rsidRDefault="0000445A" w:rsidP="006A51E8">
      <w:pPr>
        <w:spacing w:after="0" w:line="480" w:lineRule="auto"/>
        <w:jc w:val="center"/>
        <w:rPr>
          <w:rFonts w:ascii="Times New Roman" w:hAnsi="Times New Roman" w:cs="Times New Roman"/>
          <w:b/>
          <w:bCs/>
          <w:color w:val="000000" w:themeColor="text1"/>
          <w:sz w:val="24"/>
          <w:szCs w:val="24"/>
        </w:rPr>
      </w:pPr>
    </w:p>
    <w:p w14:paraId="766A7840" w14:textId="2C1AE2D3" w:rsidR="001318EF" w:rsidRPr="007B21D8" w:rsidRDefault="001318EF" w:rsidP="006A51E8">
      <w:pPr>
        <w:spacing w:after="0" w:line="480" w:lineRule="auto"/>
        <w:jc w:val="center"/>
        <w:rPr>
          <w:rFonts w:ascii="Times New Roman" w:hAnsi="Times New Roman" w:cs="Times New Roman"/>
          <w:b/>
          <w:bCs/>
          <w:color w:val="000000" w:themeColor="text1"/>
          <w:sz w:val="24"/>
          <w:szCs w:val="24"/>
        </w:rPr>
      </w:pPr>
      <w:r w:rsidRPr="007B21D8">
        <w:rPr>
          <w:rFonts w:ascii="Times New Roman" w:hAnsi="Times New Roman" w:cs="Times New Roman"/>
          <w:b/>
          <w:bCs/>
          <w:color w:val="000000" w:themeColor="text1"/>
          <w:sz w:val="24"/>
          <w:szCs w:val="24"/>
        </w:rPr>
        <w:t>Part B</w:t>
      </w:r>
    </w:p>
    <w:p w14:paraId="766A7841" w14:textId="77777777" w:rsidR="006A5AB9" w:rsidRPr="006A51E8" w:rsidRDefault="001318EF"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Given the risk by importing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and how it has affected XLG during the lockdown, manufacturing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in-house may seem like a reasonable and economically beneficial idea. However, before proceeding with this decision, several factors must be considered; including the benefits and advantages of manufacturing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in-house and its drawbacks </w:t>
      </w:r>
      <w:proofErr w:type="gramStart"/>
      <w:r w:rsidRPr="006A51E8">
        <w:rPr>
          <w:rFonts w:ascii="Times New Roman" w:hAnsi="Times New Roman" w:cs="Times New Roman"/>
          <w:color w:val="000000" w:themeColor="text1"/>
          <w:sz w:val="24"/>
          <w:szCs w:val="24"/>
        </w:rPr>
        <w:t>and also</w:t>
      </w:r>
      <w:proofErr w:type="gramEnd"/>
      <w:r w:rsidRPr="006A51E8">
        <w:rPr>
          <w:rFonts w:ascii="Times New Roman" w:hAnsi="Times New Roman" w:cs="Times New Roman"/>
          <w:color w:val="000000" w:themeColor="text1"/>
          <w:sz w:val="24"/>
          <w:szCs w:val="24"/>
        </w:rPr>
        <w:t xml:space="preserve"> the resources required to actualise the venture.</w:t>
      </w:r>
    </w:p>
    <w:p w14:paraId="766A7842" w14:textId="77777777" w:rsidR="006A51E8" w:rsidRPr="006A51E8" w:rsidRDefault="006A51E8" w:rsidP="006A51E8">
      <w:pPr>
        <w:spacing w:after="0" w:line="480" w:lineRule="auto"/>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Benefits</w:t>
      </w:r>
    </w:p>
    <w:p w14:paraId="766A7843" w14:textId="77777777" w:rsidR="005B5167" w:rsidRPr="006A51E8" w:rsidRDefault="009C236A"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 xml:space="preserve">Agility and </w:t>
      </w:r>
      <w:r w:rsidR="006A51E8" w:rsidRPr="006A51E8">
        <w:rPr>
          <w:rFonts w:ascii="Times New Roman" w:hAnsi="Times New Roman" w:cs="Times New Roman"/>
          <w:i/>
          <w:color w:val="000000" w:themeColor="text1"/>
          <w:sz w:val="24"/>
          <w:szCs w:val="24"/>
        </w:rPr>
        <w:t>ability to respond to market changes</w:t>
      </w:r>
    </w:p>
    <w:p w14:paraId="766A7844" w14:textId="77777777" w:rsidR="001318EF" w:rsidRPr="006A51E8" w:rsidRDefault="001318EF"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lastRenderedPageBreak/>
        <w:t xml:space="preserve">The first benefit that XLG will derive by bringing the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in-house is enhancing the company’s ability to easily adapt to changes in demand (Teece et al., 2016). For example, with the onset of the Coronavirus </w:t>
      </w:r>
      <w:r w:rsidR="000E00EE" w:rsidRPr="006A51E8">
        <w:rPr>
          <w:rFonts w:ascii="Times New Roman" w:hAnsi="Times New Roman" w:cs="Times New Roman"/>
          <w:color w:val="000000" w:themeColor="text1"/>
          <w:sz w:val="24"/>
          <w:szCs w:val="24"/>
        </w:rPr>
        <w:t>pandemic,</w:t>
      </w:r>
      <w:r w:rsidRPr="006A51E8">
        <w:rPr>
          <w:rFonts w:ascii="Times New Roman" w:hAnsi="Times New Roman" w:cs="Times New Roman"/>
          <w:color w:val="000000" w:themeColor="text1"/>
          <w:sz w:val="24"/>
          <w:szCs w:val="24"/>
        </w:rPr>
        <w:t xml:space="preserve"> the demand for cleaning products increased and XLG could not respond effectively and as fast as needed since the company had outsourced the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to a Brazilian company. XLG also had challenges procuring the product due to the grounding of global transport. Currently, the demand for product X and Products Y has increased by 45%, which means that XLG will need more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With XLG moving the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in-house the company will be able to respond to changes in demand effectively since XLG will be able to increase or decrease its production to match the market demand (Teece et al., 2016). The lead time will also reduce considerably by 15 working days, further enhancing XLG’s agility and ability to respond to market changes.</w:t>
      </w:r>
    </w:p>
    <w:p w14:paraId="766A7845" w14:textId="6414D826" w:rsidR="001318EF" w:rsidRPr="006A51E8" w:rsidRDefault="001318EF"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In</w:t>
      </w:r>
      <w:r w:rsidR="00BC5621" w:rsidRPr="006A51E8">
        <w:rPr>
          <w:rFonts w:ascii="Times New Roman" w:hAnsi="Times New Roman" w:cs="Times New Roman"/>
          <w:i/>
          <w:color w:val="000000" w:themeColor="text1"/>
          <w:sz w:val="24"/>
          <w:szCs w:val="24"/>
        </w:rPr>
        <w:t xml:space="preserve">tellectual </w:t>
      </w:r>
      <w:r w:rsidR="006A51E8" w:rsidRPr="006A51E8">
        <w:rPr>
          <w:rFonts w:ascii="Times New Roman" w:hAnsi="Times New Roman" w:cs="Times New Roman"/>
          <w:i/>
          <w:color w:val="000000" w:themeColor="text1"/>
          <w:sz w:val="24"/>
          <w:szCs w:val="24"/>
        </w:rPr>
        <w:t>property protection</w:t>
      </w:r>
    </w:p>
    <w:p w14:paraId="766A7846" w14:textId="77777777" w:rsidR="001318EF" w:rsidRPr="006A51E8" w:rsidRDefault="001318EF"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As noted above,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is the primary source of XLG competitive advantage with the company has secured a patent against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Introducing more parties in the company’s supply chain increases the risk of intellectual property theft (</w:t>
      </w:r>
      <w:proofErr w:type="spellStart"/>
      <w:r w:rsidRPr="006A51E8">
        <w:rPr>
          <w:rFonts w:ascii="Times New Roman" w:hAnsi="Times New Roman" w:cs="Times New Roman"/>
          <w:color w:val="000000" w:themeColor="text1"/>
          <w:sz w:val="24"/>
          <w:szCs w:val="24"/>
        </w:rPr>
        <w:t>Yampolskiy</w:t>
      </w:r>
      <w:proofErr w:type="spellEnd"/>
      <w:r w:rsidRPr="006A51E8">
        <w:rPr>
          <w:rFonts w:ascii="Times New Roman" w:hAnsi="Times New Roman" w:cs="Times New Roman"/>
          <w:color w:val="000000" w:themeColor="text1"/>
          <w:sz w:val="24"/>
          <w:szCs w:val="24"/>
        </w:rPr>
        <w:t xml:space="preserve"> et al., 2014). This risk increases if the companies in the supply chain are in different jurisdictions with different rules on intellectual properties (</w:t>
      </w:r>
      <w:proofErr w:type="spellStart"/>
      <w:r w:rsidRPr="006A51E8">
        <w:rPr>
          <w:rFonts w:ascii="Times New Roman" w:hAnsi="Times New Roman" w:cs="Times New Roman"/>
          <w:color w:val="000000" w:themeColor="text1"/>
          <w:sz w:val="24"/>
          <w:szCs w:val="24"/>
        </w:rPr>
        <w:t>Yampolskiy</w:t>
      </w:r>
      <w:proofErr w:type="spellEnd"/>
      <w:r w:rsidRPr="006A51E8">
        <w:rPr>
          <w:rFonts w:ascii="Times New Roman" w:hAnsi="Times New Roman" w:cs="Times New Roman"/>
          <w:color w:val="000000" w:themeColor="text1"/>
          <w:sz w:val="24"/>
          <w:szCs w:val="24"/>
        </w:rPr>
        <w:t xml:space="preserve"> et al., 2014). In the case of XLG, if its patent on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is breached, it would be disastrous since the company’s competitive advantage is primarily </w:t>
      </w:r>
      <w:proofErr w:type="gramStart"/>
      <w:r w:rsidRPr="006A51E8">
        <w:rPr>
          <w:rFonts w:ascii="Times New Roman" w:hAnsi="Times New Roman" w:cs="Times New Roman"/>
          <w:color w:val="000000" w:themeColor="text1"/>
          <w:sz w:val="24"/>
          <w:szCs w:val="24"/>
        </w:rPr>
        <w:t>as a result of</w:t>
      </w:r>
      <w:proofErr w:type="gramEnd"/>
      <w:r w:rsidRPr="006A51E8">
        <w:rPr>
          <w:rFonts w:ascii="Times New Roman" w:hAnsi="Times New Roman" w:cs="Times New Roman"/>
          <w:color w:val="000000" w:themeColor="text1"/>
          <w:sz w:val="24"/>
          <w:szCs w:val="24"/>
        </w:rPr>
        <w:t xml:space="preserve">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However, by bringing the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in-house XLG can mitigate against the risk of its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patent being breached, thus helping to preserve its competitive advantage in the long run. </w:t>
      </w:r>
    </w:p>
    <w:p w14:paraId="766A7847" w14:textId="77777777" w:rsidR="001318EF" w:rsidRPr="006A51E8" w:rsidRDefault="006A51E8"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Easier communication</w:t>
      </w:r>
    </w:p>
    <w:p w14:paraId="766A7848" w14:textId="77777777" w:rsidR="001318EF" w:rsidRPr="006A51E8" w:rsidRDefault="001318EF"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lastRenderedPageBreak/>
        <w:t xml:space="preserve">Bringing in the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in-house will make internal communication easier and faster. A survey conducted by Deloitte (2012) indicated that miscommunication among various players in the supply chain in common with 30% of companies that have outsourced their production indicating that communication is one of the key problems they have to contend with. </w:t>
      </w:r>
    </w:p>
    <w:p w14:paraId="766A7849" w14:textId="77777777" w:rsidR="006059B0" w:rsidRPr="006A51E8" w:rsidRDefault="001318EF"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Communication issues may arise due to language barriers (English and Portuguese in this case) and time-zone differences. However, with the in-house production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the latter communication will be eliminated, thus enabling the smooth production processes.</w:t>
      </w:r>
    </w:p>
    <w:p w14:paraId="766A784A" w14:textId="77777777" w:rsidR="00A51CB7" w:rsidRPr="006A51E8" w:rsidRDefault="006A51E8"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Resources needed</w:t>
      </w:r>
    </w:p>
    <w:p w14:paraId="766A784B" w14:textId="77777777" w:rsidR="006A51E8" w:rsidRPr="006A51E8" w:rsidRDefault="006A51E8"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However, it is critical to note that while bringing the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in-house will confer several benefits such as the ones described above, XLG will need to invest heavily in several areas. These include additional workforce to take on the increased workload (</w:t>
      </w:r>
      <w:proofErr w:type="spellStart"/>
      <w:r w:rsidRPr="006A51E8">
        <w:rPr>
          <w:rFonts w:ascii="Times New Roman" w:hAnsi="Times New Roman" w:cs="Times New Roman"/>
          <w:color w:val="000000" w:themeColor="text1"/>
          <w:sz w:val="24"/>
          <w:szCs w:val="24"/>
        </w:rPr>
        <w:t>Tayauova</w:t>
      </w:r>
      <w:proofErr w:type="spellEnd"/>
      <w:r w:rsidRPr="006A51E8">
        <w:rPr>
          <w:rFonts w:ascii="Times New Roman" w:hAnsi="Times New Roman" w:cs="Times New Roman"/>
          <w:color w:val="000000" w:themeColor="text1"/>
          <w:sz w:val="24"/>
          <w:szCs w:val="24"/>
        </w:rPr>
        <w:t xml:space="preserve">, 2012). This will have to be accompanied by additional training to compensate for the lack of experience since it will be almost impossible to bring the workforce, which is currently in Brazil to Britain. XLG will also need to invest in new manufacturing equipment specifically dedicated to the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w:t>
      </w:r>
      <w:proofErr w:type="spellStart"/>
      <w:r w:rsidRPr="006A51E8">
        <w:rPr>
          <w:rFonts w:ascii="Times New Roman" w:hAnsi="Times New Roman" w:cs="Times New Roman"/>
          <w:color w:val="000000" w:themeColor="text1"/>
          <w:sz w:val="24"/>
          <w:szCs w:val="24"/>
        </w:rPr>
        <w:t>Tayauova</w:t>
      </w:r>
      <w:proofErr w:type="spellEnd"/>
      <w:r w:rsidRPr="006A51E8">
        <w:rPr>
          <w:rFonts w:ascii="Times New Roman" w:hAnsi="Times New Roman" w:cs="Times New Roman"/>
          <w:color w:val="000000" w:themeColor="text1"/>
          <w:sz w:val="24"/>
          <w:szCs w:val="24"/>
        </w:rPr>
        <w:t xml:space="preserve">, 2012). This is a huge financial undertaking, and therefore, the initial capital outlay combined with the provision of working capital for the in-house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will be considerable. Apart from the additional </w:t>
      </w:r>
      <w:r w:rsidR="000E00EE" w:rsidRPr="006A51E8">
        <w:rPr>
          <w:rFonts w:ascii="Times New Roman" w:hAnsi="Times New Roman" w:cs="Times New Roman"/>
          <w:color w:val="000000" w:themeColor="text1"/>
          <w:sz w:val="24"/>
          <w:szCs w:val="24"/>
        </w:rPr>
        <w:t>workforce, machinery,</w:t>
      </w:r>
      <w:r w:rsidRPr="006A51E8">
        <w:rPr>
          <w:rFonts w:ascii="Times New Roman" w:hAnsi="Times New Roman" w:cs="Times New Roman"/>
          <w:color w:val="000000" w:themeColor="text1"/>
          <w:sz w:val="24"/>
          <w:szCs w:val="24"/>
        </w:rPr>
        <w:t xml:space="preserve"> and equipment, XLG may also need to acquire new premises/warehouses to cater for the additional production activity and store the raw materials involved in the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w:t>
      </w:r>
    </w:p>
    <w:p w14:paraId="766A784C" w14:textId="77777777" w:rsidR="006A51E8" w:rsidRPr="006A51E8" w:rsidRDefault="006A51E8" w:rsidP="006A51E8">
      <w:pPr>
        <w:spacing w:after="0" w:line="480" w:lineRule="auto"/>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Drawbacks</w:t>
      </w:r>
    </w:p>
    <w:p w14:paraId="766A784D" w14:textId="77777777" w:rsidR="006A51E8" w:rsidRPr="006A51E8" w:rsidRDefault="006A51E8"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 xml:space="preserve">Increased costs of </w:t>
      </w:r>
      <w:proofErr w:type="spellStart"/>
      <w:r w:rsidR="00340133">
        <w:rPr>
          <w:rFonts w:ascii="Times New Roman" w:hAnsi="Times New Roman" w:cs="Times New Roman"/>
          <w:i/>
          <w:color w:val="000000" w:themeColor="text1"/>
          <w:sz w:val="24"/>
          <w:szCs w:val="24"/>
        </w:rPr>
        <w:t>famaQ</w:t>
      </w:r>
      <w:proofErr w:type="spellEnd"/>
    </w:p>
    <w:p w14:paraId="766A784E" w14:textId="77777777" w:rsidR="006A51E8" w:rsidRPr="006A51E8" w:rsidRDefault="006A51E8"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lastRenderedPageBreak/>
        <w:t xml:space="preserve">The in-house production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will mean that production will most likely move from Brazil a low-cost jurisdiction to Britain a high-cost jurisdiction. As noted in the case, the standard price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barring unusual event such as the coronavirus pandemic will increase from £2.50 to £3. This is due to the increased productions occasioned mainly by increased labour cost since labour is cheaper in Brazil as compared to Britain (</w:t>
      </w:r>
      <w:proofErr w:type="spellStart"/>
      <w:r w:rsidRPr="006A51E8">
        <w:rPr>
          <w:rFonts w:ascii="Times New Roman" w:hAnsi="Times New Roman" w:cs="Times New Roman"/>
          <w:color w:val="000000" w:themeColor="text1"/>
          <w:sz w:val="24"/>
          <w:szCs w:val="24"/>
        </w:rPr>
        <w:t>Tayauova</w:t>
      </w:r>
      <w:proofErr w:type="spellEnd"/>
      <w:r w:rsidRPr="006A51E8">
        <w:rPr>
          <w:rFonts w:ascii="Times New Roman" w:hAnsi="Times New Roman" w:cs="Times New Roman"/>
          <w:color w:val="000000" w:themeColor="text1"/>
          <w:sz w:val="24"/>
          <w:szCs w:val="24"/>
        </w:rPr>
        <w:t xml:space="preserve">, 2012). Apart from the increased costs of direct labour, XLG will have to hire support staff to cater to the increased workforce in departments such as Human Resource and Finance. The new staff will also need to train </w:t>
      </w:r>
      <w:proofErr w:type="gramStart"/>
      <w:r w:rsidRPr="006A51E8">
        <w:rPr>
          <w:rFonts w:ascii="Times New Roman" w:hAnsi="Times New Roman" w:cs="Times New Roman"/>
          <w:color w:val="000000" w:themeColor="text1"/>
          <w:sz w:val="24"/>
          <w:szCs w:val="24"/>
        </w:rPr>
        <w:t>in regards to</w:t>
      </w:r>
      <w:proofErr w:type="gramEnd"/>
      <w:r w:rsidRPr="006A51E8">
        <w:rPr>
          <w:rFonts w:ascii="Times New Roman" w:hAnsi="Times New Roman" w:cs="Times New Roman"/>
          <w:color w:val="000000" w:themeColor="text1"/>
          <w:sz w:val="24"/>
          <w:szCs w:val="24"/>
        </w:rPr>
        <w:t xml:space="preserve"> the manufacturing processes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aspects that may lead to the increasing production costs. The increased costs will have the effect of reducing XLG margins and profitability.</w:t>
      </w:r>
    </w:p>
    <w:p w14:paraId="766A784F" w14:textId="77777777" w:rsidR="006A51E8" w:rsidRPr="006A51E8" w:rsidRDefault="006A51E8" w:rsidP="006A51E8">
      <w:pPr>
        <w:spacing w:after="0" w:line="480" w:lineRule="auto"/>
        <w:ind w:firstLine="720"/>
        <w:rPr>
          <w:rFonts w:ascii="Times New Roman" w:hAnsi="Times New Roman" w:cs="Times New Roman"/>
          <w:i/>
          <w:color w:val="000000" w:themeColor="text1"/>
          <w:sz w:val="24"/>
          <w:szCs w:val="24"/>
        </w:rPr>
      </w:pPr>
      <w:r w:rsidRPr="006A51E8">
        <w:rPr>
          <w:rFonts w:ascii="Times New Roman" w:hAnsi="Times New Roman" w:cs="Times New Roman"/>
          <w:i/>
          <w:color w:val="000000" w:themeColor="text1"/>
          <w:sz w:val="24"/>
          <w:szCs w:val="24"/>
        </w:rPr>
        <w:t>Core business focus</w:t>
      </w:r>
    </w:p>
    <w:p w14:paraId="766A7850" w14:textId="77777777" w:rsidR="00B96B74" w:rsidRPr="006A51E8" w:rsidRDefault="006A51E8" w:rsidP="006A51E8">
      <w:pPr>
        <w:spacing w:after="0" w:line="480" w:lineRule="auto"/>
        <w:ind w:firstLine="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One of the key advantages of outsourcing is that it enables a business to concentrate on key business operations. In the case of XLG, its core business is the manufacturing and marketing cleaning products. Therefore, bringing the manufacturing of </w:t>
      </w:r>
      <w:proofErr w:type="spellStart"/>
      <w:r w:rsidR="00340133">
        <w:rPr>
          <w:rFonts w:ascii="Times New Roman" w:hAnsi="Times New Roman" w:cs="Times New Roman"/>
          <w:color w:val="000000" w:themeColor="text1"/>
          <w:sz w:val="24"/>
          <w:szCs w:val="24"/>
        </w:rPr>
        <w:t>famaQ</w:t>
      </w:r>
      <w:proofErr w:type="spellEnd"/>
      <w:r w:rsidRPr="006A51E8">
        <w:rPr>
          <w:rFonts w:ascii="Times New Roman" w:hAnsi="Times New Roman" w:cs="Times New Roman"/>
          <w:color w:val="000000" w:themeColor="text1"/>
          <w:sz w:val="24"/>
          <w:szCs w:val="24"/>
        </w:rPr>
        <w:t xml:space="preserve"> in-house, this may limit XLG management’s concentration on their core proficiencies and critical strategic objectives (Burkholder, 2006).</w:t>
      </w:r>
      <w:r w:rsidR="00E67C64" w:rsidRPr="006A51E8">
        <w:rPr>
          <w:rFonts w:ascii="Times New Roman" w:hAnsi="Times New Roman" w:cs="Times New Roman"/>
          <w:color w:val="000000" w:themeColor="text1"/>
          <w:sz w:val="24"/>
          <w:szCs w:val="24"/>
        </w:rPr>
        <w:t xml:space="preserve"> </w:t>
      </w:r>
    </w:p>
    <w:p w14:paraId="766A7851" w14:textId="77777777" w:rsidR="008B3D21" w:rsidRPr="006A51E8" w:rsidRDefault="008B3D21" w:rsidP="006A51E8">
      <w:pPr>
        <w:spacing w:after="0" w:line="480" w:lineRule="auto"/>
        <w:rPr>
          <w:rFonts w:ascii="Times New Roman" w:hAnsi="Times New Roman" w:cs="Times New Roman"/>
          <w:color w:val="000000" w:themeColor="text1"/>
          <w:sz w:val="24"/>
          <w:szCs w:val="24"/>
        </w:rPr>
      </w:pPr>
    </w:p>
    <w:p w14:paraId="766A7852" w14:textId="77777777" w:rsidR="0052742D" w:rsidRPr="006A51E8" w:rsidRDefault="0052742D" w:rsidP="006A51E8">
      <w:pPr>
        <w:spacing w:after="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br w:type="page"/>
      </w:r>
    </w:p>
    <w:p w14:paraId="766A7853" w14:textId="193F203A" w:rsidR="009526C4" w:rsidRPr="00CC3698" w:rsidRDefault="006A51E8" w:rsidP="006A51E8">
      <w:pPr>
        <w:spacing w:after="0" w:line="480" w:lineRule="auto"/>
        <w:jc w:val="center"/>
        <w:rPr>
          <w:rFonts w:ascii="Times New Roman" w:hAnsi="Times New Roman" w:cs="Times New Roman"/>
          <w:b/>
          <w:bCs/>
          <w:color w:val="000000" w:themeColor="text1"/>
          <w:sz w:val="28"/>
          <w:szCs w:val="28"/>
        </w:rPr>
      </w:pPr>
      <w:r w:rsidRPr="00CC3698">
        <w:rPr>
          <w:rFonts w:ascii="Times New Roman" w:hAnsi="Times New Roman" w:cs="Times New Roman"/>
          <w:b/>
          <w:bCs/>
          <w:color w:val="000000" w:themeColor="text1"/>
          <w:sz w:val="28"/>
          <w:szCs w:val="28"/>
        </w:rPr>
        <w:lastRenderedPageBreak/>
        <w:t>References</w:t>
      </w:r>
    </w:p>
    <w:p w14:paraId="25C421B2" w14:textId="77777777" w:rsidR="00CC3698" w:rsidRPr="00CC3698" w:rsidRDefault="00CC3698" w:rsidP="006A51E8">
      <w:pPr>
        <w:spacing w:after="0" w:line="480" w:lineRule="auto"/>
        <w:jc w:val="center"/>
        <w:rPr>
          <w:rFonts w:ascii="Times New Roman" w:hAnsi="Times New Roman" w:cs="Times New Roman"/>
          <w:b/>
          <w:bCs/>
          <w:color w:val="000000" w:themeColor="text1"/>
          <w:sz w:val="24"/>
          <w:szCs w:val="24"/>
        </w:rPr>
      </w:pPr>
    </w:p>
    <w:p w14:paraId="766A7854"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proofErr w:type="spellStart"/>
      <w:r w:rsidRPr="006A51E8">
        <w:rPr>
          <w:rFonts w:ascii="Times New Roman" w:hAnsi="Times New Roman" w:cs="Times New Roman"/>
          <w:color w:val="000000" w:themeColor="text1"/>
          <w:sz w:val="24"/>
          <w:szCs w:val="24"/>
        </w:rPr>
        <w:t>Aruomoaghe</w:t>
      </w:r>
      <w:proofErr w:type="spellEnd"/>
      <w:r w:rsidRPr="006A51E8">
        <w:rPr>
          <w:rFonts w:ascii="Times New Roman" w:hAnsi="Times New Roman" w:cs="Times New Roman"/>
          <w:color w:val="000000" w:themeColor="text1"/>
          <w:sz w:val="24"/>
          <w:szCs w:val="24"/>
        </w:rPr>
        <w:t xml:space="preserve">, J. and </w:t>
      </w:r>
      <w:proofErr w:type="spellStart"/>
      <w:r w:rsidRPr="006A51E8">
        <w:rPr>
          <w:rFonts w:ascii="Times New Roman" w:hAnsi="Times New Roman" w:cs="Times New Roman"/>
          <w:color w:val="000000" w:themeColor="text1"/>
          <w:sz w:val="24"/>
          <w:szCs w:val="24"/>
        </w:rPr>
        <w:t>Agbo</w:t>
      </w:r>
      <w:proofErr w:type="spellEnd"/>
      <w:r w:rsidRPr="006A51E8">
        <w:rPr>
          <w:rFonts w:ascii="Times New Roman" w:hAnsi="Times New Roman" w:cs="Times New Roman"/>
          <w:color w:val="000000" w:themeColor="text1"/>
          <w:sz w:val="24"/>
          <w:szCs w:val="24"/>
        </w:rPr>
        <w:t>, S.</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2013. Application of va</w:t>
      </w:r>
      <w:r>
        <w:rPr>
          <w:rFonts w:ascii="Times New Roman" w:hAnsi="Times New Roman" w:cs="Times New Roman"/>
          <w:color w:val="000000" w:themeColor="text1"/>
          <w:sz w:val="24"/>
          <w:szCs w:val="24"/>
        </w:rPr>
        <w:t xml:space="preserve">riance analysis for performance </w:t>
      </w:r>
      <w:r w:rsidRPr="006A51E8">
        <w:rPr>
          <w:rFonts w:ascii="Times New Roman" w:hAnsi="Times New Roman" w:cs="Times New Roman"/>
          <w:color w:val="000000" w:themeColor="text1"/>
          <w:sz w:val="24"/>
          <w:szCs w:val="24"/>
        </w:rPr>
        <w:t xml:space="preserve">evaluation: a cost/benefit approach. </w:t>
      </w:r>
      <w:r w:rsidRPr="006A51E8">
        <w:rPr>
          <w:rFonts w:ascii="Times New Roman" w:hAnsi="Times New Roman" w:cs="Times New Roman"/>
          <w:i/>
          <w:color w:val="000000" w:themeColor="text1"/>
          <w:sz w:val="24"/>
          <w:szCs w:val="24"/>
        </w:rPr>
        <w:t>Research Journal of Finance and Accounting</w:t>
      </w:r>
      <w:r w:rsidRPr="006A51E8">
        <w:rPr>
          <w:rFonts w:ascii="Times New Roman" w:hAnsi="Times New Roman" w:cs="Times New Roman"/>
          <w:color w:val="000000" w:themeColor="text1"/>
          <w:sz w:val="24"/>
          <w:szCs w:val="24"/>
        </w:rPr>
        <w:t xml:space="preserve">, </w:t>
      </w:r>
      <w:r w:rsidRPr="00340133">
        <w:rPr>
          <w:rFonts w:ascii="Times New Roman" w:hAnsi="Times New Roman" w:cs="Times New Roman"/>
          <w:b/>
          <w:color w:val="000000" w:themeColor="text1"/>
          <w:sz w:val="24"/>
          <w:szCs w:val="24"/>
        </w:rPr>
        <w:t>4</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13</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w:t>
      </w:r>
    </w:p>
    <w:p w14:paraId="766A7855"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Burkholder, N.</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2006. </w:t>
      </w:r>
      <w:r w:rsidRPr="006A51E8">
        <w:rPr>
          <w:rFonts w:ascii="Times New Roman" w:hAnsi="Times New Roman" w:cs="Times New Roman"/>
          <w:i/>
          <w:color w:val="000000" w:themeColor="text1"/>
          <w:sz w:val="24"/>
          <w:szCs w:val="24"/>
        </w:rPr>
        <w:t>Outsourcing: the definitive view, applications, and implications</w:t>
      </w:r>
      <w:r>
        <w:rPr>
          <w:rFonts w:ascii="Times New Roman" w:hAnsi="Times New Roman" w:cs="Times New Roman"/>
          <w:color w:val="000000" w:themeColor="text1"/>
          <w:sz w:val="24"/>
          <w:szCs w:val="24"/>
        </w:rPr>
        <w:t xml:space="preserve">. John </w:t>
      </w:r>
      <w:r w:rsidRPr="006A51E8">
        <w:rPr>
          <w:rFonts w:ascii="Times New Roman" w:hAnsi="Times New Roman" w:cs="Times New Roman"/>
          <w:color w:val="000000" w:themeColor="text1"/>
          <w:sz w:val="24"/>
          <w:szCs w:val="24"/>
        </w:rPr>
        <w:t>Wiley &amp; Sons</w:t>
      </w:r>
    </w:p>
    <w:p w14:paraId="766A7856" w14:textId="77777777" w:rsidR="00340133" w:rsidRPr="00340133" w:rsidRDefault="00340133" w:rsidP="00340133">
      <w:pPr>
        <w:spacing w:after="0" w:line="480" w:lineRule="auto"/>
        <w:ind w:left="720" w:hanging="720"/>
        <w:rPr>
          <w:rFonts w:ascii="Times New Roman" w:hAnsi="Times New Roman" w:cs="Times New Roman"/>
          <w:i/>
          <w:color w:val="000000" w:themeColor="text1"/>
          <w:sz w:val="24"/>
          <w:szCs w:val="24"/>
        </w:rPr>
      </w:pPr>
      <w:r w:rsidRPr="006A51E8">
        <w:rPr>
          <w:rFonts w:ascii="Times New Roman" w:hAnsi="Times New Roman" w:cs="Times New Roman"/>
          <w:color w:val="000000" w:themeColor="text1"/>
          <w:sz w:val="24"/>
          <w:szCs w:val="24"/>
        </w:rPr>
        <w:t>Deloitte</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2012. </w:t>
      </w:r>
      <w:r w:rsidRPr="006A51E8">
        <w:rPr>
          <w:rFonts w:ascii="Times New Roman" w:hAnsi="Times New Roman" w:cs="Times New Roman"/>
          <w:i/>
          <w:color w:val="000000" w:themeColor="text1"/>
          <w:sz w:val="24"/>
          <w:szCs w:val="24"/>
        </w:rPr>
        <w:t xml:space="preserve">Outsourcing, today and tomorrow </w:t>
      </w:r>
      <w:r>
        <w:rPr>
          <w:rFonts w:ascii="Times New Roman" w:hAnsi="Times New Roman" w:cs="Times New Roman"/>
          <w:i/>
          <w:color w:val="000000" w:themeColor="text1"/>
          <w:sz w:val="24"/>
          <w:szCs w:val="24"/>
        </w:rPr>
        <w:t>i</w:t>
      </w:r>
      <w:r w:rsidRPr="006A51E8">
        <w:rPr>
          <w:rFonts w:ascii="Times New Roman" w:hAnsi="Times New Roman" w:cs="Times New Roman"/>
          <w:i/>
          <w:color w:val="000000" w:themeColor="text1"/>
          <w:sz w:val="24"/>
          <w:szCs w:val="24"/>
        </w:rPr>
        <w:t>nsights from Deloitte's 2012 global outsourcing and insourcing survey</w:t>
      </w:r>
      <w:r w:rsidRPr="006A51E8">
        <w:rPr>
          <w:rFonts w:ascii="Times New Roman" w:hAnsi="Times New Roman" w:cs="Times New Roman"/>
          <w:color w:val="000000" w:themeColor="text1"/>
          <w:sz w:val="24"/>
          <w:szCs w:val="24"/>
        </w:rPr>
        <w:t xml:space="preserve">. [Online] Available at: </w:t>
      </w:r>
      <w:hyperlink r:id="rId7" w:history="1">
        <w:r w:rsidRPr="006A51E8">
          <w:rPr>
            <w:rStyle w:val="Hyperlink"/>
            <w:rFonts w:ascii="Times New Roman" w:hAnsi="Times New Roman" w:cs="Times New Roman"/>
            <w:color w:val="000000" w:themeColor="text1"/>
            <w:sz w:val="24"/>
            <w:szCs w:val="24"/>
            <w:u w:val="none"/>
          </w:rPr>
          <w:t>https://www2.deloitte.com/content/dam/Deloitte/se/Documents/finance/InsightsfromDeloittes2012globaloutsourcingandinsourcingsurvey_SE.pdf</w:t>
        </w:r>
      </w:hyperlink>
    </w:p>
    <w:p w14:paraId="766A7857"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Drury, C.</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2012. </w:t>
      </w:r>
      <w:r w:rsidRPr="006A51E8">
        <w:rPr>
          <w:rFonts w:ascii="Times New Roman" w:hAnsi="Times New Roman" w:cs="Times New Roman"/>
          <w:i/>
          <w:color w:val="000000" w:themeColor="text1"/>
          <w:sz w:val="24"/>
          <w:szCs w:val="24"/>
        </w:rPr>
        <w:t>Management and cost accounting</w:t>
      </w:r>
      <w:r w:rsidRPr="006A51E8">
        <w:rPr>
          <w:rFonts w:ascii="Times New Roman" w:hAnsi="Times New Roman" w:cs="Times New Roman"/>
          <w:color w:val="000000" w:themeColor="text1"/>
          <w:sz w:val="24"/>
          <w:szCs w:val="24"/>
        </w:rPr>
        <w:t>, 8</w:t>
      </w:r>
      <w:r w:rsidRPr="006A51E8">
        <w:rPr>
          <w:rFonts w:ascii="Times New Roman" w:hAnsi="Times New Roman" w:cs="Times New Roman"/>
          <w:color w:val="000000" w:themeColor="text1"/>
          <w:sz w:val="24"/>
          <w:szCs w:val="24"/>
          <w:vertAlign w:val="superscript"/>
        </w:rPr>
        <w:t>th</w:t>
      </w:r>
      <w:r w:rsidRPr="006A51E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e</w:t>
      </w:r>
      <w:r w:rsidRPr="006A51E8">
        <w:rPr>
          <w:rFonts w:ascii="Times New Roman" w:hAnsi="Times New Roman" w:cs="Times New Roman"/>
          <w:color w:val="000000" w:themeColor="text1"/>
          <w:sz w:val="24"/>
          <w:szCs w:val="24"/>
        </w:rPr>
        <w:t>dition. Cengage Learning.</w:t>
      </w:r>
    </w:p>
    <w:p w14:paraId="766A7858"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Dyson, J.R.</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2013. </w:t>
      </w:r>
      <w:r w:rsidRPr="006A51E8">
        <w:rPr>
          <w:rFonts w:ascii="Times New Roman" w:hAnsi="Times New Roman" w:cs="Times New Roman"/>
          <w:i/>
          <w:color w:val="000000" w:themeColor="text1"/>
          <w:sz w:val="24"/>
          <w:szCs w:val="24"/>
        </w:rPr>
        <w:t>Accounting for non-accounting students</w:t>
      </w:r>
      <w:r w:rsidRPr="006A51E8">
        <w:rPr>
          <w:rFonts w:ascii="Times New Roman" w:hAnsi="Times New Roman" w:cs="Times New Roman"/>
          <w:color w:val="000000" w:themeColor="text1"/>
          <w:sz w:val="24"/>
          <w:szCs w:val="24"/>
        </w:rPr>
        <w:t>, 6</w:t>
      </w:r>
      <w:r w:rsidRPr="006A51E8">
        <w:rPr>
          <w:rFonts w:ascii="Times New Roman" w:hAnsi="Times New Roman" w:cs="Times New Roman"/>
          <w:color w:val="000000" w:themeColor="text1"/>
          <w:sz w:val="24"/>
          <w:szCs w:val="24"/>
          <w:vertAlign w:val="superscript"/>
        </w:rPr>
        <w:t>th</w:t>
      </w:r>
      <w:r w:rsidRPr="006A51E8">
        <w:rPr>
          <w:rFonts w:ascii="Times New Roman" w:hAnsi="Times New Roman" w:cs="Times New Roman"/>
          <w:color w:val="000000" w:themeColor="text1"/>
          <w:sz w:val="24"/>
          <w:szCs w:val="24"/>
        </w:rPr>
        <w:t xml:space="preserve"> edition. Prentice Hall.</w:t>
      </w:r>
    </w:p>
    <w:p w14:paraId="766A7859"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Harvard Business Review</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2015. </w:t>
      </w:r>
      <w:r w:rsidRPr="006A51E8">
        <w:rPr>
          <w:rFonts w:ascii="Times New Roman" w:hAnsi="Times New Roman" w:cs="Times New Roman"/>
          <w:i/>
          <w:color w:val="000000" w:themeColor="text1"/>
          <w:sz w:val="24"/>
          <w:szCs w:val="24"/>
        </w:rPr>
        <w:t>The right way to prepare your budget</w:t>
      </w:r>
      <w:r w:rsidRPr="006A51E8">
        <w:rPr>
          <w:rFonts w:ascii="Times New Roman" w:hAnsi="Times New Roman" w:cs="Times New Roman"/>
          <w:color w:val="000000" w:themeColor="text1"/>
          <w:sz w:val="24"/>
          <w:szCs w:val="24"/>
        </w:rPr>
        <w:t>. [Online] Available at https://hbr.org/2015/07/the-right-way-to-prepare-your-budget</w:t>
      </w:r>
    </w:p>
    <w:p w14:paraId="766A785A"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Janes, I.</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2013. </w:t>
      </w:r>
      <w:r w:rsidRPr="006A51E8">
        <w:rPr>
          <w:rFonts w:ascii="Times New Roman" w:hAnsi="Times New Roman" w:cs="Times New Roman"/>
          <w:i/>
          <w:color w:val="000000" w:themeColor="text1"/>
          <w:sz w:val="24"/>
          <w:szCs w:val="24"/>
        </w:rPr>
        <w:t xml:space="preserve">Performance </w:t>
      </w:r>
      <w:r>
        <w:rPr>
          <w:rFonts w:ascii="Times New Roman" w:hAnsi="Times New Roman" w:cs="Times New Roman"/>
          <w:i/>
          <w:color w:val="000000" w:themeColor="text1"/>
          <w:sz w:val="24"/>
          <w:szCs w:val="24"/>
        </w:rPr>
        <w:t>o</w:t>
      </w:r>
      <w:r w:rsidRPr="006A51E8">
        <w:rPr>
          <w:rFonts w:ascii="Times New Roman" w:hAnsi="Times New Roman" w:cs="Times New Roman"/>
          <w:i/>
          <w:color w:val="000000" w:themeColor="text1"/>
          <w:sz w:val="24"/>
          <w:szCs w:val="24"/>
        </w:rPr>
        <w:t xml:space="preserve">perations. </w:t>
      </w:r>
      <w:r w:rsidRPr="006A51E8">
        <w:rPr>
          <w:rFonts w:ascii="Times New Roman" w:hAnsi="Times New Roman" w:cs="Times New Roman"/>
          <w:color w:val="000000" w:themeColor="text1"/>
          <w:sz w:val="24"/>
          <w:szCs w:val="24"/>
        </w:rPr>
        <w:t xml:space="preserve">[Online] Available at </w:t>
      </w:r>
      <w:hyperlink r:id="rId8" w:history="1">
        <w:r w:rsidRPr="006A51E8">
          <w:rPr>
            <w:rStyle w:val="Hyperlink"/>
            <w:rFonts w:ascii="Times New Roman" w:hAnsi="Times New Roman" w:cs="Times New Roman"/>
            <w:color w:val="000000" w:themeColor="text1"/>
            <w:sz w:val="24"/>
            <w:szCs w:val="24"/>
            <w:u w:val="none"/>
          </w:rPr>
          <w:t>https://www.cimaglobal.com/Documents/Student%20docs/2010%20syllabus%20docs/P1/May-Study-Notes-CIMA-FM--p1.pdf</w:t>
        </w:r>
      </w:hyperlink>
    </w:p>
    <w:p w14:paraId="766A785B"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t xml:space="preserve">Mehta, D. K. 2020. </w:t>
      </w:r>
      <w:r w:rsidRPr="006A51E8">
        <w:rPr>
          <w:rFonts w:ascii="Times New Roman" w:hAnsi="Times New Roman" w:cs="Times New Roman"/>
          <w:i/>
          <w:color w:val="000000" w:themeColor="text1"/>
          <w:sz w:val="24"/>
          <w:szCs w:val="24"/>
        </w:rPr>
        <w:t>Cost and management accounting</w:t>
      </w:r>
      <w:r w:rsidRPr="006A51E8">
        <w:rPr>
          <w:rFonts w:ascii="Times New Roman" w:hAnsi="Times New Roman" w:cs="Times New Roman"/>
          <w:color w:val="000000" w:themeColor="text1"/>
          <w:sz w:val="24"/>
          <w:szCs w:val="24"/>
        </w:rPr>
        <w:t xml:space="preserve">. </w:t>
      </w:r>
      <w:r w:rsidRPr="006A51E8">
        <w:rPr>
          <w:rFonts w:ascii="Times New Roman" w:hAnsi="Times New Roman" w:cs="Times New Roman"/>
          <w:color w:val="000000" w:themeColor="text1"/>
          <w:sz w:val="24"/>
          <w:szCs w:val="24"/>
          <w:shd w:val="clear" w:color="auto" w:fill="FFFFFF"/>
        </w:rPr>
        <w:t xml:space="preserve">SBPD Publications. </w:t>
      </w:r>
    </w:p>
    <w:p w14:paraId="766A785C"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proofErr w:type="spellStart"/>
      <w:r w:rsidRPr="006A51E8">
        <w:rPr>
          <w:rFonts w:ascii="Times New Roman" w:hAnsi="Times New Roman" w:cs="Times New Roman"/>
          <w:color w:val="000000" w:themeColor="text1"/>
          <w:sz w:val="24"/>
          <w:szCs w:val="24"/>
        </w:rPr>
        <w:t>Tayauova</w:t>
      </w:r>
      <w:proofErr w:type="spellEnd"/>
      <w:r w:rsidRPr="006A51E8">
        <w:rPr>
          <w:rFonts w:ascii="Times New Roman" w:hAnsi="Times New Roman" w:cs="Times New Roman"/>
          <w:color w:val="000000" w:themeColor="text1"/>
          <w:sz w:val="24"/>
          <w:szCs w:val="24"/>
        </w:rPr>
        <w:t>, G. 2012. Advantages and disadvantages of outsourcing: a</w:t>
      </w:r>
      <w:r>
        <w:rPr>
          <w:rFonts w:ascii="Times New Roman" w:hAnsi="Times New Roman" w:cs="Times New Roman"/>
          <w:color w:val="000000" w:themeColor="text1"/>
          <w:sz w:val="24"/>
          <w:szCs w:val="24"/>
        </w:rPr>
        <w:t xml:space="preserve">nalysis of outsourcing </w:t>
      </w:r>
      <w:r w:rsidRPr="006A51E8">
        <w:rPr>
          <w:rFonts w:ascii="Times New Roman" w:hAnsi="Times New Roman" w:cs="Times New Roman"/>
          <w:color w:val="000000" w:themeColor="text1"/>
          <w:sz w:val="24"/>
          <w:szCs w:val="24"/>
        </w:rPr>
        <w:t xml:space="preserve">practices of Kazakhstan banks. </w:t>
      </w:r>
      <w:r w:rsidRPr="006A51E8">
        <w:rPr>
          <w:rFonts w:ascii="Times New Roman" w:hAnsi="Times New Roman" w:cs="Times New Roman"/>
          <w:i/>
          <w:color w:val="000000" w:themeColor="text1"/>
          <w:sz w:val="24"/>
          <w:szCs w:val="24"/>
        </w:rPr>
        <w:t xml:space="preserve">Procedia - Social and </w:t>
      </w:r>
      <w:r w:rsidR="000E00EE" w:rsidRPr="006A51E8">
        <w:rPr>
          <w:rFonts w:ascii="Times New Roman" w:hAnsi="Times New Roman" w:cs="Times New Roman"/>
          <w:i/>
          <w:color w:val="000000" w:themeColor="text1"/>
          <w:sz w:val="24"/>
          <w:szCs w:val="24"/>
        </w:rPr>
        <w:t>Behavioural</w:t>
      </w:r>
      <w:r w:rsidRPr="006A51E8">
        <w:rPr>
          <w:rFonts w:ascii="Times New Roman" w:hAnsi="Times New Roman" w:cs="Times New Roman"/>
          <w:i/>
          <w:color w:val="000000" w:themeColor="text1"/>
          <w:sz w:val="24"/>
          <w:szCs w:val="24"/>
        </w:rPr>
        <w:t xml:space="preserve"> Sciences</w:t>
      </w:r>
      <w:r>
        <w:rPr>
          <w:rFonts w:ascii="Times New Roman" w:hAnsi="Times New Roman" w:cs="Times New Roman"/>
          <w:color w:val="000000" w:themeColor="text1"/>
          <w:sz w:val="24"/>
          <w:szCs w:val="24"/>
        </w:rPr>
        <w:t xml:space="preserve">, </w:t>
      </w:r>
      <w:r w:rsidRPr="006A51E8">
        <w:rPr>
          <w:rFonts w:ascii="Times New Roman" w:hAnsi="Times New Roman" w:cs="Times New Roman"/>
          <w:b/>
          <w:color w:val="000000" w:themeColor="text1"/>
          <w:sz w:val="24"/>
          <w:szCs w:val="24"/>
        </w:rPr>
        <w:t>41</w:t>
      </w:r>
      <w:r>
        <w:rPr>
          <w:rFonts w:ascii="Times New Roman" w:hAnsi="Times New Roman" w:cs="Times New Roman"/>
          <w:color w:val="000000" w:themeColor="text1"/>
          <w:sz w:val="24"/>
          <w:szCs w:val="24"/>
        </w:rPr>
        <w:t>, pp.</w:t>
      </w:r>
      <w:r w:rsidRPr="006A51E8">
        <w:rPr>
          <w:rFonts w:ascii="Times New Roman" w:hAnsi="Times New Roman" w:cs="Times New Roman"/>
          <w:color w:val="000000" w:themeColor="text1"/>
          <w:sz w:val="24"/>
          <w:szCs w:val="24"/>
        </w:rPr>
        <w:t>188–195. https://doi.org/10.1016/j.sbspro.2012.04.023.</w:t>
      </w:r>
    </w:p>
    <w:p w14:paraId="766A785D"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r w:rsidRPr="006A51E8">
        <w:rPr>
          <w:rFonts w:ascii="Times New Roman" w:hAnsi="Times New Roman" w:cs="Times New Roman"/>
          <w:color w:val="000000" w:themeColor="text1"/>
          <w:sz w:val="24"/>
          <w:szCs w:val="24"/>
        </w:rPr>
        <w:lastRenderedPageBreak/>
        <w:t xml:space="preserve">Teece, D., </w:t>
      </w:r>
      <w:proofErr w:type="spellStart"/>
      <w:r w:rsidRPr="006A51E8">
        <w:rPr>
          <w:rFonts w:ascii="Times New Roman" w:hAnsi="Times New Roman" w:cs="Times New Roman"/>
          <w:color w:val="000000" w:themeColor="text1"/>
          <w:sz w:val="24"/>
          <w:szCs w:val="24"/>
        </w:rPr>
        <w:t>Peteraf</w:t>
      </w:r>
      <w:proofErr w:type="spellEnd"/>
      <w:r w:rsidRPr="006A51E8">
        <w:rPr>
          <w:rFonts w:ascii="Times New Roman" w:hAnsi="Times New Roman" w:cs="Times New Roman"/>
          <w:color w:val="000000" w:themeColor="text1"/>
          <w:sz w:val="24"/>
          <w:szCs w:val="24"/>
        </w:rPr>
        <w:t xml:space="preserve">, M., &amp; </w:t>
      </w:r>
      <w:proofErr w:type="spellStart"/>
      <w:r w:rsidRPr="006A51E8">
        <w:rPr>
          <w:rFonts w:ascii="Times New Roman" w:hAnsi="Times New Roman" w:cs="Times New Roman"/>
          <w:color w:val="000000" w:themeColor="text1"/>
          <w:sz w:val="24"/>
          <w:szCs w:val="24"/>
        </w:rPr>
        <w:t>Leih</w:t>
      </w:r>
      <w:proofErr w:type="spellEnd"/>
      <w:r w:rsidRPr="006A51E8">
        <w:rPr>
          <w:rFonts w:ascii="Times New Roman" w:hAnsi="Times New Roman" w:cs="Times New Roman"/>
          <w:color w:val="000000" w:themeColor="text1"/>
          <w:sz w:val="24"/>
          <w:szCs w:val="24"/>
        </w:rPr>
        <w:t>, S.</w:t>
      </w:r>
      <w:r>
        <w:rPr>
          <w:rFonts w:ascii="Times New Roman" w:hAnsi="Times New Roman" w:cs="Times New Roman"/>
          <w:color w:val="000000" w:themeColor="text1"/>
          <w:sz w:val="24"/>
          <w:szCs w:val="24"/>
        </w:rPr>
        <w:t>, 2016</w:t>
      </w:r>
      <w:r w:rsidRPr="006A51E8">
        <w:rPr>
          <w:rFonts w:ascii="Times New Roman" w:hAnsi="Times New Roman" w:cs="Times New Roman"/>
          <w:color w:val="000000" w:themeColor="text1"/>
          <w:sz w:val="24"/>
          <w:szCs w:val="24"/>
        </w:rPr>
        <w:t xml:space="preserve">. Dynamic capabilities and organizational agility: </w:t>
      </w:r>
      <w:r>
        <w:rPr>
          <w:rFonts w:ascii="Times New Roman" w:hAnsi="Times New Roman" w:cs="Times New Roman"/>
          <w:color w:val="000000" w:themeColor="text1"/>
          <w:sz w:val="24"/>
          <w:szCs w:val="24"/>
        </w:rPr>
        <w:t>r</w:t>
      </w:r>
      <w:r w:rsidRPr="006A51E8">
        <w:rPr>
          <w:rFonts w:ascii="Times New Roman" w:hAnsi="Times New Roman" w:cs="Times New Roman"/>
          <w:color w:val="000000" w:themeColor="text1"/>
          <w:sz w:val="24"/>
          <w:szCs w:val="24"/>
        </w:rPr>
        <w:t xml:space="preserve">isk, uncertainty, and strategy in the innovation economy. </w:t>
      </w:r>
      <w:r w:rsidRPr="006A51E8">
        <w:rPr>
          <w:rFonts w:ascii="Times New Roman" w:hAnsi="Times New Roman" w:cs="Times New Roman"/>
          <w:i/>
          <w:color w:val="000000" w:themeColor="text1"/>
          <w:sz w:val="24"/>
          <w:szCs w:val="24"/>
        </w:rPr>
        <w:t>California Management Review</w:t>
      </w:r>
      <w:r w:rsidRPr="006A51E8">
        <w:rPr>
          <w:rFonts w:ascii="Times New Roman" w:hAnsi="Times New Roman" w:cs="Times New Roman"/>
          <w:color w:val="000000" w:themeColor="text1"/>
          <w:sz w:val="24"/>
          <w:szCs w:val="24"/>
        </w:rPr>
        <w:t xml:space="preserve">, </w:t>
      </w:r>
      <w:r w:rsidRPr="006A51E8">
        <w:rPr>
          <w:rFonts w:ascii="Times New Roman" w:hAnsi="Times New Roman" w:cs="Times New Roman"/>
          <w:b/>
          <w:color w:val="000000" w:themeColor="text1"/>
          <w:sz w:val="24"/>
          <w:szCs w:val="24"/>
        </w:rPr>
        <w:t>58</w:t>
      </w:r>
      <w:r w:rsidRPr="006A51E8">
        <w:rPr>
          <w:rFonts w:ascii="Times New Roman" w:hAnsi="Times New Roman" w:cs="Times New Roman"/>
          <w:color w:val="000000" w:themeColor="text1"/>
          <w:sz w:val="24"/>
          <w:szCs w:val="24"/>
        </w:rPr>
        <w:t xml:space="preserve">(4), 13-35. </w:t>
      </w:r>
      <w:hyperlink r:id="rId9" w:history="1">
        <w:r w:rsidRPr="006A51E8">
          <w:rPr>
            <w:rStyle w:val="Hyperlink"/>
            <w:rFonts w:ascii="Times New Roman" w:hAnsi="Times New Roman" w:cs="Times New Roman"/>
            <w:color w:val="000000" w:themeColor="text1"/>
            <w:sz w:val="24"/>
            <w:szCs w:val="24"/>
            <w:u w:val="none"/>
          </w:rPr>
          <w:t>https://doi.org/10.1525/cmr.2016.58.4.13</w:t>
        </w:r>
      </w:hyperlink>
    </w:p>
    <w:p w14:paraId="766A785E"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proofErr w:type="spellStart"/>
      <w:r w:rsidRPr="006A51E8">
        <w:rPr>
          <w:rFonts w:ascii="Times New Roman" w:hAnsi="Times New Roman" w:cs="Times New Roman"/>
          <w:color w:val="000000" w:themeColor="text1"/>
          <w:sz w:val="24"/>
          <w:szCs w:val="24"/>
        </w:rPr>
        <w:t>Weetman</w:t>
      </w:r>
      <w:proofErr w:type="spellEnd"/>
      <w:r w:rsidRPr="006A51E8">
        <w:rPr>
          <w:rFonts w:ascii="Times New Roman" w:hAnsi="Times New Roman" w:cs="Times New Roman"/>
          <w:color w:val="000000" w:themeColor="text1"/>
          <w:sz w:val="24"/>
          <w:szCs w:val="24"/>
        </w:rPr>
        <w:t xml:space="preserve">, P. 2006. </w:t>
      </w:r>
      <w:r w:rsidRPr="006A51E8">
        <w:rPr>
          <w:rFonts w:ascii="Times New Roman" w:hAnsi="Times New Roman" w:cs="Times New Roman"/>
          <w:i/>
          <w:color w:val="000000" w:themeColor="text1"/>
          <w:sz w:val="24"/>
          <w:szCs w:val="24"/>
        </w:rPr>
        <w:t xml:space="preserve">Financial and </w:t>
      </w:r>
      <w:r>
        <w:rPr>
          <w:rFonts w:ascii="Times New Roman" w:hAnsi="Times New Roman" w:cs="Times New Roman"/>
          <w:i/>
          <w:color w:val="000000" w:themeColor="text1"/>
          <w:sz w:val="24"/>
          <w:szCs w:val="24"/>
        </w:rPr>
        <w:t>m</w:t>
      </w:r>
      <w:r w:rsidRPr="006A51E8">
        <w:rPr>
          <w:rFonts w:ascii="Times New Roman" w:hAnsi="Times New Roman" w:cs="Times New Roman"/>
          <w:i/>
          <w:color w:val="000000" w:themeColor="text1"/>
          <w:sz w:val="24"/>
          <w:szCs w:val="24"/>
        </w:rPr>
        <w:t>anagement accounting</w:t>
      </w:r>
      <w:r w:rsidRPr="006A51E8">
        <w:rPr>
          <w:rFonts w:ascii="Times New Roman" w:hAnsi="Times New Roman" w:cs="Times New Roman"/>
          <w:color w:val="000000" w:themeColor="text1"/>
          <w:sz w:val="24"/>
          <w:szCs w:val="24"/>
        </w:rPr>
        <w:t>. Prentice Hall.</w:t>
      </w:r>
    </w:p>
    <w:p w14:paraId="766A785F" w14:textId="77777777" w:rsidR="00340133" w:rsidRPr="006A51E8" w:rsidRDefault="00340133" w:rsidP="00340133">
      <w:pPr>
        <w:spacing w:after="0" w:line="480" w:lineRule="auto"/>
        <w:ind w:left="720" w:hanging="720"/>
        <w:rPr>
          <w:rFonts w:ascii="Times New Roman" w:hAnsi="Times New Roman" w:cs="Times New Roman"/>
          <w:color w:val="000000" w:themeColor="text1"/>
          <w:sz w:val="24"/>
          <w:szCs w:val="24"/>
        </w:rPr>
      </w:pPr>
      <w:proofErr w:type="spellStart"/>
      <w:r w:rsidRPr="006A51E8">
        <w:rPr>
          <w:rFonts w:ascii="Times New Roman" w:hAnsi="Times New Roman" w:cs="Times New Roman"/>
          <w:color w:val="000000" w:themeColor="text1"/>
          <w:sz w:val="24"/>
          <w:szCs w:val="24"/>
        </w:rPr>
        <w:t>Yampolskiy</w:t>
      </w:r>
      <w:proofErr w:type="spellEnd"/>
      <w:r w:rsidRPr="006A51E8">
        <w:rPr>
          <w:rFonts w:ascii="Times New Roman" w:hAnsi="Times New Roman" w:cs="Times New Roman"/>
          <w:color w:val="000000" w:themeColor="text1"/>
          <w:sz w:val="24"/>
          <w:szCs w:val="24"/>
        </w:rPr>
        <w:t>, M</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&amp; </w:t>
      </w:r>
      <w:proofErr w:type="spellStart"/>
      <w:r w:rsidRPr="006A51E8">
        <w:rPr>
          <w:rFonts w:ascii="Times New Roman" w:hAnsi="Times New Roman" w:cs="Times New Roman"/>
          <w:color w:val="000000" w:themeColor="text1"/>
          <w:sz w:val="24"/>
          <w:szCs w:val="24"/>
        </w:rPr>
        <w:t>Andel</w:t>
      </w:r>
      <w:proofErr w:type="spellEnd"/>
      <w:r w:rsidRPr="006A51E8">
        <w:rPr>
          <w:rFonts w:ascii="Times New Roman" w:hAnsi="Times New Roman" w:cs="Times New Roman"/>
          <w:color w:val="000000" w:themeColor="text1"/>
          <w:sz w:val="24"/>
          <w:szCs w:val="24"/>
        </w:rPr>
        <w:t>, T</w:t>
      </w:r>
      <w:r>
        <w:rPr>
          <w:rFonts w:ascii="Times New Roman" w:hAnsi="Times New Roman" w:cs="Times New Roman"/>
          <w:color w:val="000000" w:themeColor="text1"/>
          <w:sz w:val="24"/>
          <w:szCs w:val="24"/>
        </w:rPr>
        <w:t xml:space="preserve">., </w:t>
      </w:r>
      <w:proofErr w:type="spellStart"/>
      <w:r w:rsidRPr="006A51E8">
        <w:rPr>
          <w:rFonts w:ascii="Times New Roman" w:hAnsi="Times New Roman" w:cs="Times New Roman"/>
          <w:color w:val="000000" w:themeColor="text1"/>
          <w:sz w:val="24"/>
          <w:szCs w:val="24"/>
        </w:rPr>
        <w:t>Mcdonald</w:t>
      </w:r>
      <w:proofErr w:type="spellEnd"/>
      <w:r w:rsidRPr="006A51E8">
        <w:rPr>
          <w:rFonts w:ascii="Times New Roman" w:hAnsi="Times New Roman" w:cs="Times New Roman"/>
          <w:color w:val="000000" w:themeColor="text1"/>
          <w:sz w:val="24"/>
          <w:szCs w:val="24"/>
        </w:rPr>
        <w:t>, J.</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Glisson, W</w:t>
      </w:r>
      <w:r>
        <w:rPr>
          <w:rFonts w:ascii="Times New Roman" w:hAnsi="Times New Roman" w:cs="Times New Roman"/>
          <w:color w:val="000000" w:themeColor="text1"/>
          <w:sz w:val="24"/>
          <w:szCs w:val="24"/>
        </w:rPr>
        <w:t xml:space="preserve">., </w:t>
      </w:r>
      <w:r w:rsidRPr="006A51E8">
        <w:rPr>
          <w:rFonts w:ascii="Times New Roman" w:hAnsi="Times New Roman" w:cs="Times New Roman"/>
          <w:color w:val="000000" w:themeColor="text1"/>
          <w:sz w:val="24"/>
          <w:szCs w:val="24"/>
        </w:rPr>
        <w:t xml:space="preserve">&amp; </w:t>
      </w:r>
      <w:proofErr w:type="spellStart"/>
      <w:r w:rsidRPr="006A51E8">
        <w:rPr>
          <w:rFonts w:ascii="Times New Roman" w:hAnsi="Times New Roman" w:cs="Times New Roman"/>
          <w:color w:val="000000" w:themeColor="text1"/>
          <w:sz w:val="24"/>
          <w:szCs w:val="24"/>
        </w:rPr>
        <w:t>Yasinsac</w:t>
      </w:r>
      <w:proofErr w:type="spellEnd"/>
      <w:r w:rsidRPr="006A51E8">
        <w:rPr>
          <w:rFonts w:ascii="Times New Roman" w:hAnsi="Times New Roman" w:cs="Times New Roman"/>
          <w:color w:val="000000" w:themeColor="text1"/>
          <w:sz w:val="24"/>
          <w:szCs w:val="24"/>
        </w:rPr>
        <w:t>, A</w:t>
      </w:r>
      <w:r>
        <w:rPr>
          <w:rFonts w:ascii="Times New Roman" w:hAnsi="Times New Roman" w:cs="Times New Roman"/>
          <w:color w:val="000000" w:themeColor="text1"/>
          <w:sz w:val="24"/>
          <w:szCs w:val="24"/>
        </w:rPr>
        <w:t>., 2014</w:t>
      </w:r>
      <w:r w:rsidRPr="006A51E8">
        <w:rPr>
          <w:rFonts w:ascii="Times New Roman" w:hAnsi="Times New Roman" w:cs="Times New Roman"/>
          <w:color w:val="000000" w:themeColor="text1"/>
          <w:sz w:val="24"/>
          <w:szCs w:val="24"/>
        </w:rPr>
        <w:t xml:space="preserve">. </w:t>
      </w:r>
      <w:r w:rsidRPr="006A51E8">
        <w:rPr>
          <w:rFonts w:ascii="Times New Roman" w:hAnsi="Times New Roman" w:cs="Times New Roman"/>
          <w:i/>
          <w:color w:val="000000" w:themeColor="text1"/>
          <w:sz w:val="24"/>
          <w:szCs w:val="24"/>
        </w:rPr>
        <w:t>Intellectual property protection in additive layer manufacturing: requirements for secure outsourcing</w:t>
      </w:r>
      <w:r>
        <w:rPr>
          <w:rFonts w:ascii="Times New Roman" w:hAnsi="Times New Roman" w:cs="Times New Roman"/>
          <w:color w:val="000000" w:themeColor="text1"/>
          <w:sz w:val="24"/>
          <w:szCs w:val="24"/>
        </w:rPr>
        <w:t>,</w:t>
      </w:r>
      <w:r w:rsidRPr="006A51E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pp.</w:t>
      </w:r>
      <w:r w:rsidRPr="006A51E8">
        <w:rPr>
          <w:rFonts w:ascii="Times New Roman" w:hAnsi="Times New Roman" w:cs="Times New Roman"/>
          <w:color w:val="000000" w:themeColor="text1"/>
          <w:sz w:val="24"/>
          <w:szCs w:val="24"/>
        </w:rPr>
        <w:t>1-9. https://doi.org/10.1145/2689702.2689709.</w:t>
      </w:r>
    </w:p>
    <w:sectPr w:rsidR="00340133" w:rsidRPr="006A51E8" w:rsidSect="000E00EE">
      <w:headerReference w:type="default" r:id="rId10"/>
      <w:footerReference w:type="default" r:id="rId11"/>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6A7862" w14:textId="77777777" w:rsidR="00102B4D" w:rsidRDefault="00102B4D">
      <w:pPr>
        <w:spacing w:after="0" w:line="240" w:lineRule="auto"/>
      </w:pPr>
      <w:r>
        <w:separator/>
      </w:r>
    </w:p>
  </w:endnote>
  <w:endnote w:type="continuationSeparator" w:id="0">
    <w:p w14:paraId="766A7863" w14:textId="77777777" w:rsidR="00102B4D" w:rsidRDefault="00102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5132958"/>
      <w:docPartObj>
        <w:docPartGallery w:val="Page Numbers (Bottom of Page)"/>
        <w:docPartUnique/>
      </w:docPartObj>
    </w:sdtPr>
    <w:sdtEndPr>
      <w:rPr>
        <w:noProof/>
      </w:rPr>
    </w:sdtEndPr>
    <w:sdtContent>
      <w:p w14:paraId="4CBDC489" w14:textId="0296A540" w:rsidR="0080774E" w:rsidRDefault="008077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F80741" w14:textId="77777777" w:rsidR="0080774E" w:rsidRDefault="00807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A7860" w14:textId="77777777" w:rsidR="00102B4D" w:rsidRDefault="00102B4D">
      <w:pPr>
        <w:spacing w:after="0" w:line="240" w:lineRule="auto"/>
      </w:pPr>
      <w:r>
        <w:separator/>
      </w:r>
    </w:p>
  </w:footnote>
  <w:footnote w:type="continuationSeparator" w:id="0">
    <w:p w14:paraId="766A7861" w14:textId="77777777" w:rsidR="00102B4D" w:rsidRDefault="00102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A7864" w14:textId="24B56CD3" w:rsidR="00632E80" w:rsidRPr="00C76CE9" w:rsidRDefault="00632E80" w:rsidP="00E90375">
    <w:pPr>
      <w:spacing w:line="480" w:lineRule="auto"/>
      <w:ind w:left="6480"/>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70D89"/>
    <w:multiLevelType w:val="hybridMultilevel"/>
    <w:tmpl w:val="3BF8EB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0E3D14"/>
    <w:multiLevelType w:val="hybridMultilevel"/>
    <w:tmpl w:val="D2742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E41399"/>
    <w:multiLevelType w:val="hybridMultilevel"/>
    <w:tmpl w:val="3D88FB20"/>
    <w:lvl w:ilvl="0" w:tplc="AD60C3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360"/>
    <w:rsid w:val="00001F3E"/>
    <w:rsid w:val="0000445A"/>
    <w:rsid w:val="000172C8"/>
    <w:rsid w:val="000235EB"/>
    <w:rsid w:val="00023C15"/>
    <w:rsid w:val="00027400"/>
    <w:rsid w:val="00031C71"/>
    <w:rsid w:val="00045409"/>
    <w:rsid w:val="00067753"/>
    <w:rsid w:val="00076C0E"/>
    <w:rsid w:val="00086569"/>
    <w:rsid w:val="00092229"/>
    <w:rsid w:val="00094384"/>
    <w:rsid w:val="000B36F5"/>
    <w:rsid w:val="000B7C2A"/>
    <w:rsid w:val="000E00EE"/>
    <w:rsid w:val="000E326E"/>
    <w:rsid w:val="000E49AD"/>
    <w:rsid w:val="0010262B"/>
    <w:rsid w:val="00102B4D"/>
    <w:rsid w:val="00106265"/>
    <w:rsid w:val="00106CF1"/>
    <w:rsid w:val="00115FD4"/>
    <w:rsid w:val="00127844"/>
    <w:rsid w:val="001318EF"/>
    <w:rsid w:val="0014149A"/>
    <w:rsid w:val="00193B1B"/>
    <w:rsid w:val="001A48A1"/>
    <w:rsid w:val="001B6A86"/>
    <w:rsid w:val="001E0CB5"/>
    <w:rsid w:val="001E5B7F"/>
    <w:rsid w:val="001F1777"/>
    <w:rsid w:val="00212658"/>
    <w:rsid w:val="00212CAC"/>
    <w:rsid w:val="00221F25"/>
    <w:rsid w:val="00241BF0"/>
    <w:rsid w:val="00243460"/>
    <w:rsid w:val="00247C8D"/>
    <w:rsid w:val="00247F18"/>
    <w:rsid w:val="002569AD"/>
    <w:rsid w:val="00264C40"/>
    <w:rsid w:val="00274BA6"/>
    <w:rsid w:val="0029594D"/>
    <w:rsid w:val="002969A4"/>
    <w:rsid w:val="00296B46"/>
    <w:rsid w:val="002A1EC1"/>
    <w:rsid w:val="002B69CB"/>
    <w:rsid w:val="002D349F"/>
    <w:rsid w:val="002D371F"/>
    <w:rsid w:val="002D428B"/>
    <w:rsid w:val="002E3AA9"/>
    <w:rsid w:val="002F598B"/>
    <w:rsid w:val="002F5BF1"/>
    <w:rsid w:val="00301D58"/>
    <w:rsid w:val="003204FF"/>
    <w:rsid w:val="003208FA"/>
    <w:rsid w:val="003305ED"/>
    <w:rsid w:val="003377F9"/>
    <w:rsid w:val="00340133"/>
    <w:rsid w:val="00342BA1"/>
    <w:rsid w:val="003466B4"/>
    <w:rsid w:val="003603BA"/>
    <w:rsid w:val="00362A74"/>
    <w:rsid w:val="003901D2"/>
    <w:rsid w:val="00390CFA"/>
    <w:rsid w:val="00393ED6"/>
    <w:rsid w:val="003D0524"/>
    <w:rsid w:val="003E37FF"/>
    <w:rsid w:val="00400503"/>
    <w:rsid w:val="00405529"/>
    <w:rsid w:val="00413AD4"/>
    <w:rsid w:val="004141FD"/>
    <w:rsid w:val="004440AF"/>
    <w:rsid w:val="0044490B"/>
    <w:rsid w:val="004513A1"/>
    <w:rsid w:val="004634BA"/>
    <w:rsid w:val="00470E36"/>
    <w:rsid w:val="00496F0C"/>
    <w:rsid w:val="004A5CD2"/>
    <w:rsid w:val="004C433C"/>
    <w:rsid w:val="004D4E8A"/>
    <w:rsid w:val="004F1025"/>
    <w:rsid w:val="00523860"/>
    <w:rsid w:val="0052742D"/>
    <w:rsid w:val="0053711C"/>
    <w:rsid w:val="0055239A"/>
    <w:rsid w:val="00570401"/>
    <w:rsid w:val="005B5167"/>
    <w:rsid w:val="005E43D5"/>
    <w:rsid w:val="005E71B2"/>
    <w:rsid w:val="005F5D53"/>
    <w:rsid w:val="006059B0"/>
    <w:rsid w:val="00620D8A"/>
    <w:rsid w:val="00623EDA"/>
    <w:rsid w:val="00624FCD"/>
    <w:rsid w:val="00632E80"/>
    <w:rsid w:val="006658E6"/>
    <w:rsid w:val="00673085"/>
    <w:rsid w:val="00677B65"/>
    <w:rsid w:val="006832F6"/>
    <w:rsid w:val="006A51E8"/>
    <w:rsid w:val="006A5AB9"/>
    <w:rsid w:val="006B4029"/>
    <w:rsid w:val="006B7462"/>
    <w:rsid w:val="006E62F3"/>
    <w:rsid w:val="006F37FC"/>
    <w:rsid w:val="006F6D5C"/>
    <w:rsid w:val="0070670D"/>
    <w:rsid w:val="00707E05"/>
    <w:rsid w:val="00713A74"/>
    <w:rsid w:val="007206DF"/>
    <w:rsid w:val="00721B56"/>
    <w:rsid w:val="007222A6"/>
    <w:rsid w:val="00734E23"/>
    <w:rsid w:val="00741F07"/>
    <w:rsid w:val="007477D2"/>
    <w:rsid w:val="00747A30"/>
    <w:rsid w:val="007748E8"/>
    <w:rsid w:val="0079791F"/>
    <w:rsid w:val="007A0DF1"/>
    <w:rsid w:val="007B21D8"/>
    <w:rsid w:val="007C037D"/>
    <w:rsid w:val="007F30BF"/>
    <w:rsid w:val="007F4633"/>
    <w:rsid w:val="0080459C"/>
    <w:rsid w:val="00807126"/>
    <w:rsid w:val="0080774E"/>
    <w:rsid w:val="00811A3F"/>
    <w:rsid w:val="0081341F"/>
    <w:rsid w:val="0081631C"/>
    <w:rsid w:val="008235CA"/>
    <w:rsid w:val="0083090E"/>
    <w:rsid w:val="0083392A"/>
    <w:rsid w:val="00844E04"/>
    <w:rsid w:val="00854EDB"/>
    <w:rsid w:val="00862D44"/>
    <w:rsid w:val="00870974"/>
    <w:rsid w:val="008732F4"/>
    <w:rsid w:val="008847B3"/>
    <w:rsid w:val="008B3D21"/>
    <w:rsid w:val="008D3BC6"/>
    <w:rsid w:val="008E61A7"/>
    <w:rsid w:val="008E6292"/>
    <w:rsid w:val="008F2858"/>
    <w:rsid w:val="009065FF"/>
    <w:rsid w:val="00916BBB"/>
    <w:rsid w:val="00923207"/>
    <w:rsid w:val="00942DD7"/>
    <w:rsid w:val="00944ADB"/>
    <w:rsid w:val="00944B29"/>
    <w:rsid w:val="009526C4"/>
    <w:rsid w:val="009553AF"/>
    <w:rsid w:val="009874C6"/>
    <w:rsid w:val="009A16AD"/>
    <w:rsid w:val="009B30BA"/>
    <w:rsid w:val="009C236A"/>
    <w:rsid w:val="009C2816"/>
    <w:rsid w:val="009D6E4D"/>
    <w:rsid w:val="009E199C"/>
    <w:rsid w:val="00A02CAA"/>
    <w:rsid w:val="00A12E46"/>
    <w:rsid w:val="00A430A6"/>
    <w:rsid w:val="00A51CB7"/>
    <w:rsid w:val="00A57150"/>
    <w:rsid w:val="00A61755"/>
    <w:rsid w:val="00A67C79"/>
    <w:rsid w:val="00A95A10"/>
    <w:rsid w:val="00AA4866"/>
    <w:rsid w:val="00AC1113"/>
    <w:rsid w:val="00B02AD3"/>
    <w:rsid w:val="00B07323"/>
    <w:rsid w:val="00B242AA"/>
    <w:rsid w:val="00B34A88"/>
    <w:rsid w:val="00B42DE8"/>
    <w:rsid w:val="00B451C6"/>
    <w:rsid w:val="00B60031"/>
    <w:rsid w:val="00B6332B"/>
    <w:rsid w:val="00B76772"/>
    <w:rsid w:val="00B96B74"/>
    <w:rsid w:val="00BA1E7E"/>
    <w:rsid w:val="00BB35A8"/>
    <w:rsid w:val="00BC2C3A"/>
    <w:rsid w:val="00BC5621"/>
    <w:rsid w:val="00C23C0C"/>
    <w:rsid w:val="00C36471"/>
    <w:rsid w:val="00C54360"/>
    <w:rsid w:val="00C709A9"/>
    <w:rsid w:val="00C76CE9"/>
    <w:rsid w:val="00C908BC"/>
    <w:rsid w:val="00C913DD"/>
    <w:rsid w:val="00CA1FBB"/>
    <w:rsid w:val="00CA4575"/>
    <w:rsid w:val="00CC3698"/>
    <w:rsid w:val="00CC4C26"/>
    <w:rsid w:val="00CE29E3"/>
    <w:rsid w:val="00D3349D"/>
    <w:rsid w:val="00D50411"/>
    <w:rsid w:val="00D80AE7"/>
    <w:rsid w:val="00D847F9"/>
    <w:rsid w:val="00DA41BC"/>
    <w:rsid w:val="00DB0708"/>
    <w:rsid w:val="00DB4B9A"/>
    <w:rsid w:val="00DF734A"/>
    <w:rsid w:val="00E00CFF"/>
    <w:rsid w:val="00E142C1"/>
    <w:rsid w:val="00E6217F"/>
    <w:rsid w:val="00E62644"/>
    <w:rsid w:val="00E63370"/>
    <w:rsid w:val="00E64CEC"/>
    <w:rsid w:val="00E6733A"/>
    <w:rsid w:val="00E67C64"/>
    <w:rsid w:val="00E734FE"/>
    <w:rsid w:val="00E745AA"/>
    <w:rsid w:val="00E90375"/>
    <w:rsid w:val="00EA7E02"/>
    <w:rsid w:val="00EB6969"/>
    <w:rsid w:val="00EF2A59"/>
    <w:rsid w:val="00F14166"/>
    <w:rsid w:val="00F34102"/>
    <w:rsid w:val="00F52B41"/>
    <w:rsid w:val="00F562FD"/>
    <w:rsid w:val="00F60C3E"/>
    <w:rsid w:val="00F80495"/>
    <w:rsid w:val="00F80F0B"/>
    <w:rsid w:val="00FA51B4"/>
    <w:rsid w:val="00FA51D9"/>
    <w:rsid w:val="00FA72C7"/>
    <w:rsid w:val="00FE208E"/>
    <w:rsid w:val="00FE54B9"/>
    <w:rsid w:val="00FE64C4"/>
    <w:rsid w:val="00FE73D8"/>
    <w:rsid w:val="00FF00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77F0"/>
  <w15:chartTrackingRefBased/>
  <w15:docId w15:val="{C78FE003-B913-43E7-B7C7-439D8A256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360"/>
    <w:rPr>
      <w:lang w:val="en-GB"/>
    </w:rPr>
  </w:style>
  <w:style w:type="paragraph" w:styleId="Heading1">
    <w:name w:val="heading 1"/>
    <w:basedOn w:val="Normal"/>
    <w:next w:val="Normal"/>
    <w:link w:val="Heading1Char"/>
    <w:uiPriority w:val="9"/>
    <w:qFormat/>
    <w:rsid w:val="00C543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543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360"/>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C54360"/>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632E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E80"/>
    <w:rPr>
      <w:lang w:val="en-GB"/>
    </w:rPr>
  </w:style>
  <w:style w:type="paragraph" w:styleId="Footer">
    <w:name w:val="footer"/>
    <w:basedOn w:val="Normal"/>
    <w:link w:val="FooterChar"/>
    <w:uiPriority w:val="99"/>
    <w:unhideWhenUsed/>
    <w:rsid w:val="00632E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E80"/>
    <w:rPr>
      <w:lang w:val="en-GB"/>
    </w:rPr>
  </w:style>
  <w:style w:type="character" w:styleId="Hyperlink">
    <w:name w:val="Hyperlink"/>
    <w:basedOn w:val="DefaultParagraphFont"/>
    <w:uiPriority w:val="99"/>
    <w:unhideWhenUsed/>
    <w:rsid w:val="002B69CB"/>
    <w:rPr>
      <w:color w:val="0563C1" w:themeColor="hyperlink"/>
      <w:u w:val="single"/>
    </w:rPr>
  </w:style>
  <w:style w:type="paragraph" w:styleId="ListParagraph">
    <w:name w:val="List Paragraph"/>
    <w:basedOn w:val="Normal"/>
    <w:uiPriority w:val="34"/>
    <w:qFormat/>
    <w:rsid w:val="002569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maglobal.com/Documents/Student%20docs/2010%20syllabus%20docs/P1/May-Study-Notes-CIMA-FM--p1.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2.deloitte.com/content/dam/Deloitte/se/Documents/finance/InsightsfromDeloittes2012globaloutsourcingandinsourcingsurvey_SE.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525/cmr.2016.58.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14</Pages>
  <Words>2684</Words>
  <Characters>15302</Characters>
  <Application>Microsoft Office Word</Application>
  <DocSecurity>0</DocSecurity>
  <Lines>127</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patrutcristinaanisoara@yahoo.com</cp:lastModifiedBy>
  <dcterms:created xsi:type="dcterms:W3CDTF">2020-09-02T08:52:00Z</dcterms:created>
  <dcterms:modified xsi:type="dcterms:W3CDTF">2020-09-07T18:49:00Z</dcterms:modified>
</cp:coreProperties>
</file>