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charts/chart10.xml" ContentType="application/vnd.openxmlformats-officedocument.drawingml.chart+xml"/>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charts/chart8.xml" ContentType="application/vnd.openxmlformats-officedocument.drawingml.chart+xml"/>
  <Override PartName="/word/charts/chart9.xml" ContentType="application/vnd.openxmlformats-officedocument.drawingml.chart+xml"/>
  <Override PartName="/word/charts/chart19.xml" ContentType="application/vnd.openxmlformats-officedocument.drawingml.chart+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7.xml" ContentType="application/vnd.openxmlformats-officedocument.drawingml.chart+xml"/>
  <Override PartName="/word/charts/chart17.xml" ContentType="application/vnd.openxmlformats-officedocument.drawingml.chart+xml"/>
  <Override PartName="/word/charts/chart18.xml" ContentType="application/vnd.openxmlformats-officedocument.drawingml.chart+xml"/>
  <Default Extension="gif" ContentType="image/gif"/>
  <Override PartName="/word/charts/chart4.xml" ContentType="application/vnd.openxmlformats-officedocument.drawingml.chart+xml"/>
  <Override PartName="/word/charts/chart5.xml" ContentType="application/vnd.openxmlformats-officedocument.drawingml.chart+xml"/>
  <Override PartName="/word/charts/chart15.xml" ContentType="application/vnd.openxmlformats-officedocument.drawingml.chart+xml"/>
  <Override PartName="/word/charts/chart16.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Default Extension="xlsx" ContentType="application/vnd.openxmlformats-officedocument.spreadsheetml.sheet"/>
  <Override PartName="/word/charts/chart22.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20.xml" ContentType="application/vnd.openxmlformats-officedocument.drawingml.chart+xml"/>
  <Override PartName="/word/charts/chart2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43059" w:rsidRPr="00BF5756" w:rsidRDefault="00BF5756">
      <w:pPr>
        <w:rPr>
          <w:sz w:val="36"/>
          <w:szCs w:val="36"/>
          <w:lang w:val="en-IN"/>
        </w:rPr>
      </w:pPr>
      <w:r w:rsidRPr="00BF5756">
        <w:rPr>
          <w:sz w:val="36"/>
          <w:szCs w:val="36"/>
          <w:lang w:val="en-IN"/>
        </w:rPr>
        <w:t>Student ID: 2109787</w:t>
      </w:r>
    </w:p>
    <w:p w:rsidR="00BF5756" w:rsidRDefault="00BF5756">
      <w:pPr>
        <w:rPr>
          <w:sz w:val="36"/>
          <w:szCs w:val="36"/>
          <w:lang w:val="en-IN"/>
        </w:rPr>
      </w:pPr>
      <w:r w:rsidRPr="00BF5756">
        <w:rPr>
          <w:sz w:val="36"/>
          <w:szCs w:val="36"/>
          <w:lang w:val="en-IN"/>
        </w:rPr>
        <w:t>Jaimishkumar V. Navadiya</w:t>
      </w:r>
    </w:p>
    <w:p w:rsidR="00BF5756" w:rsidRPr="00BF5756" w:rsidRDefault="00BF5756">
      <w:pPr>
        <w:rPr>
          <w:sz w:val="36"/>
          <w:szCs w:val="36"/>
          <w:lang w:val="en-IN"/>
        </w:rPr>
      </w:pPr>
    </w:p>
    <w:p w:rsidR="00BF5756" w:rsidRDefault="00BF5756">
      <w:pPr>
        <w:rPr>
          <w:lang w:val="en-IN"/>
        </w:rPr>
      </w:pPr>
    </w:p>
    <w:p w:rsidR="00BF5756" w:rsidRPr="00BF5756" w:rsidRDefault="00BF5756" w:rsidP="00BF5756">
      <w:pPr>
        <w:jc w:val="center"/>
        <w:rPr>
          <w:rStyle w:val="normaltextrun"/>
          <w:rFonts w:asciiTheme="majorHAnsi" w:hAnsiTheme="majorHAnsi"/>
          <w:b/>
          <w:bCs/>
          <w:color w:val="000000"/>
          <w:sz w:val="48"/>
          <w:szCs w:val="48"/>
          <w:bdr w:val="none" w:sz="0" w:space="0" w:color="auto" w:frame="1"/>
          <w:lang w:val="en-GB"/>
        </w:rPr>
      </w:pPr>
      <w:r w:rsidRPr="00BF5756">
        <w:rPr>
          <w:rStyle w:val="normaltextrun"/>
          <w:rFonts w:asciiTheme="majorHAnsi" w:hAnsiTheme="majorHAnsi"/>
          <w:b/>
          <w:bCs/>
          <w:color w:val="000000"/>
          <w:sz w:val="48"/>
          <w:szCs w:val="48"/>
          <w:bdr w:val="none" w:sz="0" w:space="0" w:color="auto" w:frame="1"/>
          <w:lang w:val="en-GB"/>
        </w:rPr>
        <w:t>Probability of Detection and Probability of Sizing Analysis</w:t>
      </w:r>
    </w:p>
    <w:p w:rsidR="00BF5756" w:rsidRDefault="00BF5756">
      <w:pPr>
        <w:rPr>
          <w:rStyle w:val="normaltextrun"/>
          <w:b/>
          <w:bCs/>
          <w:color w:val="000000"/>
          <w:bdr w:val="none" w:sz="0" w:space="0" w:color="auto" w:frame="1"/>
          <w:lang w:val="en-GB"/>
        </w:rPr>
      </w:pPr>
    </w:p>
    <w:p w:rsidR="00BF5756" w:rsidRPr="00BF5756" w:rsidRDefault="00BF5756" w:rsidP="00BF5756">
      <w:pPr>
        <w:jc w:val="center"/>
        <w:rPr>
          <w:rStyle w:val="normaltextrun"/>
          <w:rFonts w:cstheme="minorHAnsi"/>
          <w:bCs/>
          <w:color w:val="000000"/>
          <w:sz w:val="36"/>
          <w:szCs w:val="36"/>
          <w:bdr w:val="none" w:sz="0" w:space="0" w:color="auto" w:frame="1"/>
          <w:lang w:val="en-GB"/>
        </w:rPr>
      </w:pPr>
      <w:r w:rsidRPr="00BF5756">
        <w:rPr>
          <w:rStyle w:val="normaltextrun"/>
          <w:rFonts w:cstheme="minorHAnsi"/>
          <w:bCs/>
          <w:color w:val="000000"/>
          <w:sz w:val="36"/>
          <w:szCs w:val="36"/>
          <w:shd w:val="clear" w:color="auto" w:fill="FFFFFF"/>
          <w:lang w:val="en-GB"/>
        </w:rPr>
        <w:t>ACEA7013</w:t>
      </w:r>
      <w:r w:rsidRPr="00BF5756">
        <w:rPr>
          <w:rStyle w:val="eop"/>
          <w:rFonts w:cstheme="minorHAnsi"/>
          <w:color w:val="000000"/>
          <w:sz w:val="36"/>
          <w:szCs w:val="36"/>
          <w:shd w:val="clear" w:color="auto" w:fill="FFFFFF"/>
        </w:rPr>
        <w:t xml:space="preserve">: </w:t>
      </w:r>
      <w:r w:rsidRPr="00BF5756">
        <w:rPr>
          <w:rStyle w:val="normaltextrun"/>
          <w:rFonts w:cstheme="minorHAnsi"/>
          <w:bCs/>
          <w:color w:val="000000"/>
          <w:sz w:val="36"/>
          <w:szCs w:val="36"/>
          <w:bdr w:val="none" w:sz="0" w:space="0" w:color="auto" w:frame="1"/>
          <w:lang w:val="en-GB"/>
        </w:rPr>
        <w:t>Structural Integrity &amp; Materials Evaluation</w:t>
      </w:r>
    </w:p>
    <w:p w:rsidR="00BF5756" w:rsidRDefault="00BF5756" w:rsidP="00BF5756">
      <w:pPr>
        <w:jc w:val="center"/>
        <w:rPr>
          <w:rStyle w:val="normaltextrun"/>
          <w:sz w:val="36"/>
          <w:szCs w:val="36"/>
        </w:rPr>
      </w:pPr>
      <w:r w:rsidRPr="006D00CC">
        <w:rPr>
          <w:rStyle w:val="normaltextrun"/>
          <w:sz w:val="36"/>
          <w:szCs w:val="36"/>
        </w:rPr>
        <w:t>M.Sc Automotive Engineering</w:t>
      </w:r>
    </w:p>
    <w:p w:rsidR="00BF5756" w:rsidRDefault="00BF5756" w:rsidP="00BF5756">
      <w:pPr>
        <w:jc w:val="center"/>
        <w:rPr>
          <w:rStyle w:val="normaltextrun"/>
          <w:sz w:val="36"/>
          <w:szCs w:val="36"/>
        </w:rPr>
      </w:pPr>
    </w:p>
    <w:p w:rsidR="00BF5756" w:rsidRDefault="00BF5756" w:rsidP="00BF5756">
      <w:pPr>
        <w:jc w:val="center"/>
        <w:rPr>
          <w:rStyle w:val="normaltextrun"/>
          <w:sz w:val="36"/>
          <w:szCs w:val="36"/>
        </w:rPr>
      </w:pPr>
    </w:p>
    <w:p w:rsidR="00BF5756" w:rsidRDefault="00BF5756" w:rsidP="00BF5756">
      <w:pPr>
        <w:jc w:val="center"/>
        <w:rPr>
          <w:rStyle w:val="normaltextrun"/>
          <w:sz w:val="36"/>
          <w:szCs w:val="36"/>
        </w:rPr>
      </w:pPr>
    </w:p>
    <w:p w:rsidR="00BF5756" w:rsidRPr="00061B93" w:rsidRDefault="00BF5756" w:rsidP="00BF5756">
      <w:pPr>
        <w:pStyle w:val="paragraph"/>
        <w:spacing w:before="0" w:beforeAutospacing="0" w:after="0" w:afterAutospacing="0"/>
        <w:jc w:val="center"/>
        <w:textAlignment w:val="baseline"/>
        <w:rPr>
          <w:sz w:val="52"/>
          <w:szCs w:val="52"/>
        </w:rPr>
      </w:pPr>
      <w:r w:rsidRPr="00061B93">
        <w:rPr>
          <w:rStyle w:val="normaltextrun"/>
          <w:b/>
          <w:bCs/>
          <w:sz w:val="52"/>
          <w:szCs w:val="52"/>
        </w:rPr>
        <w:t>University of Wales Trinity Saint David</w:t>
      </w:r>
      <w:r w:rsidRPr="00061B93">
        <w:rPr>
          <w:rStyle w:val="eop"/>
          <w:sz w:val="52"/>
          <w:szCs w:val="52"/>
        </w:rPr>
        <w:t> </w:t>
      </w:r>
    </w:p>
    <w:p w:rsidR="00BF5756" w:rsidRDefault="00BF5756" w:rsidP="00BF5756">
      <w:pPr>
        <w:jc w:val="right"/>
        <w:rPr>
          <w:lang w:val="en-IN"/>
        </w:rPr>
      </w:pPr>
    </w:p>
    <w:p w:rsidR="00BF5756" w:rsidRDefault="00BF5756" w:rsidP="00BF5756">
      <w:pPr>
        <w:jc w:val="right"/>
        <w:rPr>
          <w:lang w:val="en-IN"/>
        </w:rPr>
      </w:pPr>
      <w:r w:rsidRPr="00BF5756">
        <w:rPr>
          <w:noProof/>
        </w:rPr>
        <w:drawing>
          <wp:inline distT="0" distB="0" distL="0" distR="0">
            <wp:extent cx="3214687" cy="2143125"/>
            <wp:effectExtent l="19050" t="0" r="4763" b="0"/>
            <wp:docPr id="1" name="Picture 0" descr="uow-black-e153072048578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ow-black-e1530720485783.png"/>
                    <pic:cNvPicPr/>
                  </pic:nvPicPr>
                  <pic:blipFill>
                    <a:blip r:embed="rId8"/>
                    <a:stretch>
                      <a:fillRect/>
                    </a:stretch>
                  </pic:blipFill>
                  <pic:spPr>
                    <a:xfrm>
                      <a:off x="0" y="0"/>
                      <a:ext cx="3214687" cy="2143125"/>
                    </a:xfrm>
                    <a:prstGeom prst="rect">
                      <a:avLst/>
                    </a:prstGeom>
                  </pic:spPr>
                </pic:pic>
              </a:graphicData>
            </a:graphic>
          </wp:inline>
        </w:drawing>
      </w:r>
    </w:p>
    <w:p w:rsidR="00BF5756" w:rsidRDefault="00BF5756">
      <w:pPr>
        <w:rPr>
          <w:lang w:val="en-IN"/>
        </w:rPr>
      </w:pPr>
    </w:p>
    <w:p w:rsidR="00BF5756" w:rsidRPr="00A1368D" w:rsidRDefault="00BF5756" w:rsidP="00BF5756">
      <w:pPr>
        <w:jc w:val="center"/>
        <w:rPr>
          <w:rFonts w:asciiTheme="majorHAnsi" w:hAnsiTheme="majorHAnsi"/>
          <w:b/>
          <w:sz w:val="28"/>
          <w:szCs w:val="28"/>
          <w:lang w:val="en-IN"/>
        </w:rPr>
      </w:pPr>
      <w:r w:rsidRPr="00A1368D">
        <w:rPr>
          <w:rFonts w:asciiTheme="majorHAnsi" w:hAnsiTheme="majorHAnsi"/>
          <w:b/>
          <w:sz w:val="28"/>
          <w:szCs w:val="28"/>
          <w:lang w:val="en-IN"/>
        </w:rPr>
        <w:lastRenderedPageBreak/>
        <w:t>Content</w:t>
      </w:r>
    </w:p>
    <w:p w:rsidR="00433571" w:rsidRDefault="00433571" w:rsidP="00433571">
      <w:pPr>
        <w:pStyle w:val="ListParagraph"/>
        <w:numPr>
          <w:ilvl w:val="0"/>
          <w:numId w:val="2"/>
        </w:numPr>
        <w:rPr>
          <w:rFonts w:cstheme="minorHAnsi"/>
          <w:lang w:val="en-IN"/>
        </w:rPr>
      </w:pPr>
      <w:r>
        <w:rPr>
          <w:rFonts w:cstheme="minorHAnsi"/>
          <w:lang w:val="en-IN"/>
        </w:rPr>
        <w:t>Abstract</w:t>
      </w:r>
      <w:r w:rsidR="00516DEA" w:rsidRPr="00516DEA">
        <w:rPr>
          <w:rFonts w:cstheme="minorHAnsi"/>
          <w:sz w:val="28"/>
          <w:szCs w:val="28"/>
          <w:lang w:val="en-IN"/>
        </w:rPr>
        <w:t>.................................................................................</w:t>
      </w:r>
      <w:r w:rsidR="00516DEA">
        <w:rPr>
          <w:rFonts w:cstheme="minorHAnsi"/>
          <w:sz w:val="28"/>
          <w:szCs w:val="28"/>
          <w:lang w:val="en-IN"/>
        </w:rPr>
        <w:t>...</w:t>
      </w:r>
      <w:r w:rsidR="00F32A06">
        <w:rPr>
          <w:rFonts w:cstheme="minorHAnsi"/>
          <w:sz w:val="28"/>
          <w:szCs w:val="28"/>
          <w:lang w:val="en-IN"/>
        </w:rPr>
        <w:t>.</w:t>
      </w:r>
      <w:r w:rsidR="00516DEA">
        <w:rPr>
          <w:rFonts w:cstheme="minorHAnsi"/>
          <w:sz w:val="28"/>
          <w:szCs w:val="28"/>
          <w:lang w:val="en-IN"/>
        </w:rPr>
        <w:t xml:space="preserve">.................... </w:t>
      </w:r>
      <w:r w:rsidR="00516DEA">
        <w:rPr>
          <w:rFonts w:cstheme="minorHAnsi"/>
          <w:lang w:val="en-IN"/>
        </w:rPr>
        <w:t>3</w:t>
      </w:r>
    </w:p>
    <w:p w:rsidR="00433571" w:rsidRDefault="00433571" w:rsidP="00433571">
      <w:pPr>
        <w:pStyle w:val="ListParagraph"/>
        <w:numPr>
          <w:ilvl w:val="0"/>
          <w:numId w:val="2"/>
        </w:numPr>
        <w:rPr>
          <w:rFonts w:cstheme="minorHAnsi"/>
          <w:lang w:val="en-IN"/>
        </w:rPr>
      </w:pPr>
      <w:r>
        <w:rPr>
          <w:rFonts w:cstheme="minorHAnsi"/>
          <w:lang w:val="en-IN"/>
        </w:rPr>
        <w:t>Introduction</w:t>
      </w:r>
      <w:r w:rsidR="00516DEA" w:rsidRPr="00516DEA">
        <w:rPr>
          <w:rFonts w:cstheme="minorHAnsi"/>
          <w:sz w:val="28"/>
          <w:szCs w:val="28"/>
          <w:lang w:val="en-IN"/>
        </w:rPr>
        <w:t>...............................................................................</w:t>
      </w:r>
      <w:r w:rsidR="00F32A06">
        <w:rPr>
          <w:rFonts w:cstheme="minorHAnsi"/>
          <w:sz w:val="28"/>
          <w:szCs w:val="28"/>
          <w:lang w:val="en-IN"/>
        </w:rPr>
        <w:t>.</w:t>
      </w:r>
      <w:r w:rsidR="00516DEA" w:rsidRPr="00516DEA">
        <w:rPr>
          <w:rFonts w:cstheme="minorHAnsi"/>
          <w:sz w:val="28"/>
          <w:szCs w:val="28"/>
          <w:lang w:val="en-IN"/>
        </w:rPr>
        <w:t>..</w:t>
      </w:r>
      <w:r w:rsidR="00516DEA">
        <w:rPr>
          <w:rFonts w:cstheme="minorHAnsi"/>
          <w:sz w:val="28"/>
          <w:szCs w:val="28"/>
          <w:lang w:val="en-IN"/>
        </w:rPr>
        <w:t xml:space="preserve">.................. </w:t>
      </w:r>
      <w:r w:rsidR="00516DEA">
        <w:rPr>
          <w:rFonts w:cstheme="minorHAnsi"/>
          <w:lang w:val="en-IN"/>
        </w:rPr>
        <w:t>3</w:t>
      </w:r>
    </w:p>
    <w:p w:rsidR="00C32CEF" w:rsidRDefault="00516DEA" w:rsidP="00433571">
      <w:pPr>
        <w:pStyle w:val="ListParagraph"/>
        <w:numPr>
          <w:ilvl w:val="0"/>
          <w:numId w:val="2"/>
        </w:numPr>
        <w:rPr>
          <w:rFonts w:cstheme="minorHAnsi"/>
          <w:lang w:val="en-IN"/>
        </w:rPr>
      </w:pPr>
      <w:r>
        <w:rPr>
          <w:rFonts w:cstheme="minorHAnsi"/>
          <w:lang w:val="en-IN"/>
        </w:rPr>
        <w:t>Non-Destructive Test</w:t>
      </w:r>
      <w:r w:rsidRPr="00516DEA">
        <w:rPr>
          <w:rFonts w:cstheme="minorHAnsi"/>
          <w:sz w:val="28"/>
          <w:szCs w:val="28"/>
          <w:lang w:val="en-IN"/>
        </w:rPr>
        <w:t>.................................................................................</w:t>
      </w:r>
      <w:r>
        <w:rPr>
          <w:rFonts w:cstheme="minorHAnsi"/>
          <w:sz w:val="28"/>
          <w:szCs w:val="28"/>
          <w:lang w:val="en-IN"/>
        </w:rPr>
        <w:t xml:space="preserve">....... </w:t>
      </w:r>
      <w:r>
        <w:rPr>
          <w:rFonts w:cstheme="minorHAnsi"/>
          <w:lang w:val="en-IN"/>
        </w:rPr>
        <w:t>4</w:t>
      </w:r>
    </w:p>
    <w:p w:rsidR="00516DEA" w:rsidRDefault="00516DEA" w:rsidP="00516DEA">
      <w:pPr>
        <w:pStyle w:val="ListParagraph"/>
        <w:numPr>
          <w:ilvl w:val="1"/>
          <w:numId w:val="2"/>
        </w:numPr>
        <w:rPr>
          <w:rFonts w:cstheme="minorHAnsi"/>
          <w:lang w:val="en-IN"/>
        </w:rPr>
      </w:pPr>
      <w:r>
        <w:rPr>
          <w:rFonts w:cstheme="minorHAnsi"/>
          <w:lang w:val="en-IN"/>
        </w:rPr>
        <w:t>What is Non-Destructive Test or NDT?</w:t>
      </w:r>
      <w:r w:rsidRPr="00516DEA">
        <w:rPr>
          <w:rFonts w:cstheme="minorHAnsi"/>
          <w:sz w:val="28"/>
          <w:szCs w:val="28"/>
          <w:lang w:val="en-IN"/>
        </w:rPr>
        <w:t xml:space="preserve"> .......................................................</w:t>
      </w:r>
      <w:r>
        <w:rPr>
          <w:rFonts w:cstheme="minorHAnsi"/>
          <w:sz w:val="28"/>
          <w:szCs w:val="28"/>
          <w:lang w:val="en-IN"/>
        </w:rPr>
        <w:t>.</w:t>
      </w:r>
      <w:r w:rsidRPr="00516DEA">
        <w:rPr>
          <w:rFonts w:cstheme="minorHAnsi"/>
          <w:sz w:val="28"/>
          <w:szCs w:val="28"/>
          <w:lang w:val="en-IN"/>
        </w:rPr>
        <w:t>.</w:t>
      </w:r>
      <w:r>
        <w:rPr>
          <w:rFonts w:cstheme="minorHAnsi"/>
          <w:sz w:val="28"/>
          <w:szCs w:val="28"/>
          <w:lang w:val="en-IN"/>
        </w:rPr>
        <w:t xml:space="preserve">.. </w:t>
      </w:r>
      <w:r>
        <w:rPr>
          <w:rFonts w:cstheme="minorHAnsi"/>
          <w:lang w:val="en-IN"/>
        </w:rPr>
        <w:t>4</w:t>
      </w:r>
    </w:p>
    <w:p w:rsidR="00516DEA" w:rsidRDefault="00516DEA" w:rsidP="00516DEA">
      <w:pPr>
        <w:pStyle w:val="ListParagraph"/>
        <w:numPr>
          <w:ilvl w:val="1"/>
          <w:numId w:val="2"/>
        </w:numPr>
        <w:rPr>
          <w:rFonts w:cstheme="minorHAnsi"/>
          <w:lang w:val="en-IN"/>
        </w:rPr>
      </w:pPr>
      <w:r>
        <w:rPr>
          <w:rFonts w:cstheme="minorHAnsi"/>
          <w:lang w:val="en-IN"/>
        </w:rPr>
        <w:t>Non-Destructive Testing methods</w:t>
      </w:r>
      <w:r w:rsidRPr="00516DEA">
        <w:rPr>
          <w:rFonts w:cstheme="minorHAnsi"/>
          <w:sz w:val="28"/>
          <w:szCs w:val="28"/>
          <w:lang w:val="en-IN"/>
        </w:rPr>
        <w:t>..............................................................</w:t>
      </w:r>
      <w:r>
        <w:rPr>
          <w:rFonts w:cstheme="minorHAnsi"/>
          <w:sz w:val="28"/>
          <w:szCs w:val="28"/>
          <w:lang w:val="en-IN"/>
        </w:rPr>
        <w:t xml:space="preserve">..... </w:t>
      </w:r>
      <w:r>
        <w:rPr>
          <w:rFonts w:cstheme="minorHAnsi"/>
          <w:lang w:val="en-IN"/>
        </w:rPr>
        <w:t>4</w:t>
      </w:r>
    </w:p>
    <w:p w:rsidR="00F32A06" w:rsidRDefault="00516DEA" w:rsidP="00F32A06">
      <w:pPr>
        <w:pStyle w:val="ListParagraph"/>
        <w:numPr>
          <w:ilvl w:val="0"/>
          <w:numId w:val="2"/>
        </w:numPr>
        <w:rPr>
          <w:rFonts w:cstheme="minorHAnsi"/>
          <w:lang w:val="en-IN"/>
        </w:rPr>
      </w:pPr>
      <w:r>
        <w:rPr>
          <w:rFonts w:cstheme="minorHAnsi"/>
          <w:lang w:val="en-IN"/>
        </w:rPr>
        <w:t>Detection Uncertainty</w:t>
      </w:r>
      <w:r w:rsidRPr="00516DEA">
        <w:rPr>
          <w:rFonts w:cstheme="minorHAnsi"/>
          <w:sz w:val="28"/>
          <w:szCs w:val="28"/>
          <w:lang w:val="en-IN"/>
        </w:rPr>
        <w:t>.................................................................................</w:t>
      </w:r>
      <w:r>
        <w:rPr>
          <w:rFonts w:cstheme="minorHAnsi"/>
          <w:sz w:val="28"/>
          <w:szCs w:val="28"/>
          <w:lang w:val="en-IN"/>
        </w:rPr>
        <w:t>......</w:t>
      </w:r>
      <w:r w:rsidR="00F32A06">
        <w:rPr>
          <w:rFonts w:cstheme="minorHAnsi"/>
          <w:sz w:val="28"/>
          <w:szCs w:val="28"/>
          <w:lang w:val="en-IN"/>
        </w:rPr>
        <w:t xml:space="preserve"> </w:t>
      </w:r>
      <w:r w:rsidR="00F32A06" w:rsidRPr="00F32A06">
        <w:rPr>
          <w:rFonts w:cstheme="minorHAnsi"/>
          <w:lang w:val="en-IN"/>
        </w:rPr>
        <w:t>5</w:t>
      </w:r>
    </w:p>
    <w:p w:rsidR="0068285E" w:rsidRPr="00F32A06" w:rsidRDefault="0068285E" w:rsidP="00F32A06">
      <w:pPr>
        <w:pStyle w:val="ListParagraph"/>
        <w:numPr>
          <w:ilvl w:val="0"/>
          <w:numId w:val="2"/>
        </w:numPr>
        <w:rPr>
          <w:rFonts w:cstheme="minorHAnsi"/>
          <w:lang w:val="en-IN"/>
        </w:rPr>
      </w:pPr>
      <w:r>
        <w:rPr>
          <w:rFonts w:cstheme="minorHAnsi"/>
          <w:lang w:val="en-IN"/>
        </w:rPr>
        <w:t>Dimensioning Uncertainty</w:t>
      </w:r>
      <w:r w:rsidRPr="00516DEA">
        <w:rPr>
          <w:rFonts w:cstheme="minorHAnsi"/>
          <w:sz w:val="28"/>
          <w:szCs w:val="28"/>
          <w:lang w:val="en-IN"/>
        </w:rPr>
        <w:t>.................................</w:t>
      </w:r>
      <w:r>
        <w:rPr>
          <w:rFonts w:cstheme="minorHAnsi"/>
          <w:sz w:val="28"/>
          <w:szCs w:val="28"/>
          <w:lang w:val="en-IN"/>
        </w:rPr>
        <w:t>.................................................</w:t>
      </w:r>
      <w:r>
        <w:rPr>
          <w:rFonts w:cstheme="minorHAnsi"/>
          <w:lang w:val="en-IN"/>
        </w:rPr>
        <w:t xml:space="preserve"> 7</w:t>
      </w:r>
    </w:p>
    <w:p w:rsidR="00516DEA" w:rsidRDefault="00F32A06" w:rsidP="00F32A06">
      <w:pPr>
        <w:pStyle w:val="ListParagraph"/>
        <w:numPr>
          <w:ilvl w:val="0"/>
          <w:numId w:val="2"/>
        </w:numPr>
        <w:rPr>
          <w:rFonts w:cstheme="minorHAnsi"/>
          <w:lang w:val="en-IN"/>
        </w:rPr>
      </w:pPr>
      <w:r>
        <w:rPr>
          <w:rFonts w:cstheme="minorHAnsi"/>
          <w:lang w:val="en-IN"/>
        </w:rPr>
        <w:t>Probability of Detection (POD)</w:t>
      </w:r>
      <w:r>
        <w:rPr>
          <w:rFonts w:cstheme="minorHAnsi"/>
          <w:sz w:val="28"/>
          <w:szCs w:val="28"/>
          <w:lang w:val="en-IN"/>
        </w:rPr>
        <w:t>...</w:t>
      </w:r>
      <w:r w:rsidR="00516DEA" w:rsidRPr="00F32A06">
        <w:rPr>
          <w:rFonts w:cstheme="minorHAnsi"/>
          <w:sz w:val="28"/>
          <w:szCs w:val="28"/>
          <w:lang w:val="en-IN"/>
        </w:rPr>
        <w:t>...........................................................</w:t>
      </w:r>
      <w:r>
        <w:rPr>
          <w:rFonts w:cstheme="minorHAnsi"/>
          <w:sz w:val="28"/>
          <w:szCs w:val="28"/>
          <w:lang w:val="en-IN"/>
        </w:rPr>
        <w:t>...</w:t>
      </w:r>
      <w:r w:rsidR="00516DEA" w:rsidRPr="00F32A06">
        <w:rPr>
          <w:rFonts w:cstheme="minorHAnsi"/>
          <w:sz w:val="28"/>
          <w:szCs w:val="28"/>
          <w:lang w:val="en-IN"/>
        </w:rPr>
        <w:t xml:space="preserve">........... </w:t>
      </w:r>
      <w:r w:rsidR="0068285E">
        <w:rPr>
          <w:rFonts w:cstheme="minorHAnsi"/>
          <w:lang w:val="en-IN"/>
        </w:rPr>
        <w:t>8</w:t>
      </w:r>
    </w:p>
    <w:p w:rsidR="00F32A06" w:rsidRDefault="00F32A06" w:rsidP="00F32A06">
      <w:pPr>
        <w:pStyle w:val="ListParagraph"/>
        <w:numPr>
          <w:ilvl w:val="1"/>
          <w:numId w:val="2"/>
        </w:numPr>
        <w:rPr>
          <w:rFonts w:cstheme="minorHAnsi"/>
          <w:lang w:val="en-IN"/>
        </w:rPr>
      </w:pPr>
      <w:r>
        <w:rPr>
          <w:rFonts w:cstheme="minorHAnsi"/>
          <w:lang w:val="en-IN"/>
        </w:rPr>
        <w:t>What is POD?</w:t>
      </w:r>
      <w:r w:rsidRPr="00F32A06">
        <w:rPr>
          <w:rFonts w:cstheme="minorHAnsi"/>
          <w:sz w:val="28"/>
          <w:szCs w:val="28"/>
          <w:lang w:val="en-IN"/>
        </w:rPr>
        <w:t xml:space="preserve"> </w:t>
      </w:r>
      <w:r w:rsidRPr="00516DEA">
        <w:rPr>
          <w:rFonts w:cstheme="minorHAnsi"/>
          <w:sz w:val="28"/>
          <w:szCs w:val="28"/>
          <w:lang w:val="en-IN"/>
        </w:rPr>
        <w:t>............................</w:t>
      </w:r>
      <w:r>
        <w:rPr>
          <w:rFonts w:cstheme="minorHAnsi"/>
          <w:sz w:val="28"/>
          <w:szCs w:val="28"/>
          <w:lang w:val="en-IN"/>
        </w:rPr>
        <w:t>...............................................................</w:t>
      </w:r>
      <w:r>
        <w:rPr>
          <w:rFonts w:cstheme="minorHAnsi"/>
          <w:lang w:val="en-IN"/>
        </w:rPr>
        <w:t xml:space="preserve"> </w:t>
      </w:r>
      <w:r w:rsidR="0068285E">
        <w:rPr>
          <w:rFonts w:cstheme="minorHAnsi"/>
          <w:lang w:val="en-IN"/>
        </w:rPr>
        <w:t>8</w:t>
      </w:r>
    </w:p>
    <w:p w:rsidR="00F32A06" w:rsidRDefault="00F32A06" w:rsidP="00F32A06">
      <w:pPr>
        <w:pStyle w:val="ListParagraph"/>
        <w:numPr>
          <w:ilvl w:val="1"/>
          <w:numId w:val="2"/>
        </w:numPr>
        <w:rPr>
          <w:rFonts w:cstheme="minorHAnsi"/>
          <w:lang w:val="en-IN"/>
        </w:rPr>
      </w:pPr>
      <w:r>
        <w:rPr>
          <w:rFonts w:cstheme="minorHAnsi"/>
          <w:lang w:val="en-IN"/>
        </w:rPr>
        <w:t>History of POD</w:t>
      </w:r>
      <w:r w:rsidRPr="00516DEA">
        <w:rPr>
          <w:rFonts w:cstheme="minorHAnsi"/>
          <w:sz w:val="28"/>
          <w:szCs w:val="28"/>
          <w:lang w:val="en-IN"/>
        </w:rPr>
        <w:t>............................</w:t>
      </w:r>
      <w:r>
        <w:rPr>
          <w:rFonts w:cstheme="minorHAnsi"/>
          <w:sz w:val="28"/>
          <w:szCs w:val="28"/>
          <w:lang w:val="en-IN"/>
        </w:rPr>
        <w:t>..............................................................</w:t>
      </w:r>
      <w:r>
        <w:rPr>
          <w:rFonts w:cstheme="minorHAnsi"/>
          <w:lang w:val="en-IN"/>
        </w:rPr>
        <w:t xml:space="preserve"> </w:t>
      </w:r>
      <w:r w:rsidR="0068285E">
        <w:rPr>
          <w:rFonts w:cstheme="minorHAnsi"/>
          <w:lang w:val="en-IN"/>
        </w:rPr>
        <w:t>8</w:t>
      </w:r>
    </w:p>
    <w:p w:rsidR="001E3E22" w:rsidRDefault="001E3E22" w:rsidP="001E3E22">
      <w:pPr>
        <w:pStyle w:val="ListParagraph"/>
        <w:numPr>
          <w:ilvl w:val="1"/>
          <w:numId w:val="2"/>
        </w:numPr>
        <w:rPr>
          <w:rFonts w:cstheme="minorHAnsi"/>
        </w:rPr>
      </w:pPr>
      <w:r w:rsidRPr="001E3E22">
        <w:rPr>
          <w:rFonts w:cstheme="minorHAnsi"/>
        </w:rPr>
        <w:t>Development towards Computational POD</w:t>
      </w:r>
      <w:r>
        <w:rPr>
          <w:rFonts w:cstheme="minorHAnsi"/>
          <w:sz w:val="28"/>
          <w:szCs w:val="28"/>
          <w:lang w:val="en-IN"/>
        </w:rPr>
        <w:t>........................................................</w:t>
      </w:r>
      <w:r w:rsidR="0068285E">
        <w:rPr>
          <w:rFonts w:cstheme="minorHAnsi"/>
        </w:rPr>
        <w:t xml:space="preserve"> 9</w:t>
      </w:r>
    </w:p>
    <w:p w:rsidR="00A1368D" w:rsidRDefault="00A1368D" w:rsidP="00A1368D">
      <w:pPr>
        <w:pStyle w:val="ListParagraph"/>
        <w:numPr>
          <w:ilvl w:val="0"/>
          <w:numId w:val="2"/>
        </w:numPr>
        <w:rPr>
          <w:rFonts w:cstheme="minorHAnsi"/>
        </w:rPr>
      </w:pPr>
      <w:r w:rsidRPr="00A1368D">
        <w:rPr>
          <w:rFonts w:cstheme="minorHAnsi"/>
        </w:rPr>
        <w:t>Analysis of outcomes</w:t>
      </w:r>
      <w:r w:rsidRPr="00A1368D">
        <w:rPr>
          <w:rFonts w:cstheme="minorHAnsi"/>
          <w:sz w:val="28"/>
          <w:szCs w:val="28"/>
          <w:lang w:val="en-IN"/>
        </w:rPr>
        <w:t>.........................................................................</w:t>
      </w:r>
      <w:r>
        <w:rPr>
          <w:rFonts w:cstheme="minorHAnsi"/>
          <w:sz w:val="28"/>
          <w:szCs w:val="28"/>
          <w:lang w:val="en-IN"/>
        </w:rPr>
        <w:t>.....</w:t>
      </w:r>
      <w:r w:rsidRPr="00A1368D">
        <w:rPr>
          <w:rFonts w:cstheme="minorHAnsi"/>
          <w:sz w:val="28"/>
          <w:szCs w:val="28"/>
          <w:lang w:val="en-IN"/>
        </w:rPr>
        <w:t>........</w:t>
      </w:r>
      <w:r w:rsidRPr="00A1368D">
        <w:rPr>
          <w:rFonts w:cstheme="minorHAnsi"/>
        </w:rPr>
        <w:t xml:space="preserve"> 11</w:t>
      </w:r>
    </w:p>
    <w:p w:rsidR="00A1368D" w:rsidRDefault="00A1368D" w:rsidP="00A1368D">
      <w:pPr>
        <w:pStyle w:val="ListParagraph"/>
        <w:numPr>
          <w:ilvl w:val="1"/>
          <w:numId w:val="2"/>
        </w:numPr>
        <w:rPr>
          <w:rFonts w:cstheme="minorHAnsi"/>
          <w:color w:val="000000" w:themeColor="text1"/>
          <w:lang w:val="en-IN"/>
        </w:rPr>
      </w:pPr>
      <w:r w:rsidRPr="00A1368D">
        <w:rPr>
          <w:rFonts w:cstheme="minorHAnsi"/>
          <w:color w:val="000000" w:themeColor="text1"/>
          <w:lang w:val="en-IN"/>
        </w:rPr>
        <w:t>Graphs of Size accuracy and Normal Bell shape</w:t>
      </w:r>
      <w:r w:rsidRPr="00A1368D">
        <w:rPr>
          <w:rFonts w:cstheme="minorHAnsi"/>
          <w:sz w:val="28"/>
          <w:szCs w:val="28"/>
          <w:lang w:val="en-IN"/>
        </w:rPr>
        <w:t>............</w:t>
      </w:r>
      <w:r>
        <w:rPr>
          <w:rFonts w:cstheme="minorHAnsi"/>
          <w:sz w:val="28"/>
          <w:szCs w:val="28"/>
          <w:lang w:val="en-IN"/>
        </w:rPr>
        <w:t>...........................</w:t>
      </w:r>
      <w:r w:rsidRPr="00A1368D">
        <w:rPr>
          <w:rFonts w:cstheme="minorHAnsi"/>
          <w:sz w:val="28"/>
          <w:szCs w:val="28"/>
          <w:lang w:val="en-IN"/>
        </w:rPr>
        <w:t>.........</w:t>
      </w:r>
      <w:r w:rsidR="00376B14">
        <w:rPr>
          <w:rFonts w:cstheme="minorHAnsi"/>
          <w:color w:val="000000" w:themeColor="text1"/>
          <w:lang w:val="en-IN"/>
        </w:rPr>
        <w:t xml:space="preserve"> 13</w:t>
      </w:r>
    </w:p>
    <w:p w:rsidR="00A1368D" w:rsidRDefault="00A1368D" w:rsidP="00A1368D">
      <w:pPr>
        <w:pStyle w:val="ListParagraph"/>
        <w:numPr>
          <w:ilvl w:val="2"/>
          <w:numId w:val="2"/>
        </w:numPr>
        <w:rPr>
          <w:rFonts w:cstheme="minorHAnsi"/>
          <w:color w:val="000000" w:themeColor="text1"/>
          <w:lang w:val="en-IN"/>
        </w:rPr>
      </w:pPr>
      <w:r>
        <w:rPr>
          <w:rFonts w:cstheme="minorHAnsi"/>
          <w:color w:val="000000" w:themeColor="text1"/>
          <w:lang w:val="en-IN"/>
        </w:rPr>
        <w:t>Operator</w:t>
      </w:r>
      <w:r w:rsidR="00376B14">
        <w:rPr>
          <w:rFonts w:cstheme="minorHAnsi"/>
          <w:color w:val="000000" w:themeColor="text1"/>
          <w:lang w:val="en-IN"/>
        </w:rPr>
        <w:t xml:space="preserve"> 1</w:t>
      </w:r>
      <w:r w:rsidR="00376B14" w:rsidRPr="00A1368D">
        <w:rPr>
          <w:rFonts w:cstheme="minorHAnsi"/>
          <w:sz w:val="28"/>
          <w:szCs w:val="28"/>
          <w:lang w:val="en-IN"/>
        </w:rPr>
        <w:t>................................................................</w:t>
      </w:r>
      <w:r w:rsidR="00376B14">
        <w:rPr>
          <w:rFonts w:cstheme="minorHAnsi"/>
          <w:sz w:val="28"/>
          <w:szCs w:val="28"/>
          <w:lang w:val="en-IN"/>
        </w:rPr>
        <w:t>.....................</w:t>
      </w:r>
      <w:r w:rsidR="00376B14">
        <w:rPr>
          <w:rFonts w:cstheme="minorHAnsi"/>
          <w:color w:val="000000" w:themeColor="text1"/>
          <w:lang w:val="en-IN"/>
        </w:rPr>
        <w:t xml:space="preserve"> 13</w:t>
      </w:r>
    </w:p>
    <w:p w:rsidR="00A1368D" w:rsidRDefault="00A1368D" w:rsidP="00A1368D">
      <w:pPr>
        <w:pStyle w:val="ListParagraph"/>
        <w:numPr>
          <w:ilvl w:val="2"/>
          <w:numId w:val="2"/>
        </w:numPr>
        <w:rPr>
          <w:rFonts w:cstheme="minorHAnsi"/>
          <w:color w:val="000000" w:themeColor="text1"/>
          <w:lang w:val="en-IN"/>
        </w:rPr>
      </w:pPr>
      <w:r>
        <w:rPr>
          <w:rFonts w:cstheme="minorHAnsi"/>
          <w:color w:val="000000" w:themeColor="text1"/>
          <w:lang w:val="en-IN"/>
        </w:rPr>
        <w:t>Operator 2</w:t>
      </w:r>
      <w:r w:rsidR="00376B14" w:rsidRPr="00A1368D">
        <w:rPr>
          <w:rFonts w:cstheme="minorHAnsi"/>
          <w:sz w:val="28"/>
          <w:szCs w:val="28"/>
          <w:lang w:val="en-IN"/>
        </w:rPr>
        <w:t>................................................................</w:t>
      </w:r>
      <w:r w:rsidR="00376B14">
        <w:rPr>
          <w:rFonts w:cstheme="minorHAnsi"/>
          <w:sz w:val="28"/>
          <w:szCs w:val="28"/>
          <w:lang w:val="en-IN"/>
        </w:rPr>
        <w:t>.....................</w:t>
      </w:r>
      <w:r w:rsidR="00376B14">
        <w:rPr>
          <w:rFonts w:cstheme="minorHAnsi"/>
          <w:color w:val="000000" w:themeColor="text1"/>
          <w:lang w:val="en-IN"/>
        </w:rPr>
        <w:t xml:space="preserve"> 14</w:t>
      </w:r>
    </w:p>
    <w:p w:rsidR="00A1368D" w:rsidRDefault="00A1368D" w:rsidP="00A1368D">
      <w:pPr>
        <w:pStyle w:val="ListParagraph"/>
        <w:numPr>
          <w:ilvl w:val="2"/>
          <w:numId w:val="2"/>
        </w:numPr>
        <w:rPr>
          <w:rFonts w:cstheme="minorHAnsi"/>
          <w:color w:val="000000" w:themeColor="text1"/>
          <w:lang w:val="en-IN"/>
        </w:rPr>
      </w:pPr>
      <w:r>
        <w:rPr>
          <w:rFonts w:cstheme="minorHAnsi"/>
          <w:color w:val="000000" w:themeColor="text1"/>
          <w:lang w:val="en-IN"/>
        </w:rPr>
        <w:t>Operator 3</w:t>
      </w:r>
      <w:r w:rsidR="00376B14" w:rsidRPr="00A1368D">
        <w:rPr>
          <w:rFonts w:cstheme="minorHAnsi"/>
          <w:sz w:val="28"/>
          <w:szCs w:val="28"/>
          <w:lang w:val="en-IN"/>
        </w:rPr>
        <w:t>................................................................</w:t>
      </w:r>
      <w:r w:rsidR="00376B14">
        <w:rPr>
          <w:rFonts w:cstheme="minorHAnsi"/>
          <w:sz w:val="28"/>
          <w:szCs w:val="28"/>
          <w:lang w:val="en-IN"/>
        </w:rPr>
        <w:t>.....................</w:t>
      </w:r>
      <w:r w:rsidR="00376B14">
        <w:rPr>
          <w:rFonts w:cstheme="minorHAnsi"/>
          <w:color w:val="000000" w:themeColor="text1"/>
          <w:lang w:val="en-IN"/>
        </w:rPr>
        <w:t xml:space="preserve"> 15</w:t>
      </w:r>
    </w:p>
    <w:p w:rsidR="00A1368D" w:rsidRDefault="00A1368D" w:rsidP="00A1368D">
      <w:pPr>
        <w:pStyle w:val="ListParagraph"/>
        <w:numPr>
          <w:ilvl w:val="2"/>
          <w:numId w:val="2"/>
        </w:numPr>
        <w:rPr>
          <w:rFonts w:cstheme="minorHAnsi"/>
          <w:color w:val="000000" w:themeColor="text1"/>
          <w:lang w:val="en-IN"/>
        </w:rPr>
      </w:pPr>
      <w:r>
        <w:rPr>
          <w:rFonts w:cstheme="minorHAnsi"/>
          <w:color w:val="000000" w:themeColor="text1"/>
          <w:lang w:val="en-IN"/>
        </w:rPr>
        <w:t>Operator 4</w:t>
      </w:r>
      <w:r w:rsidR="00376B14" w:rsidRPr="00A1368D">
        <w:rPr>
          <w:rFonts w:cstheme="minorHAnsi"/>
          <w:sz w:val="28"/>
          <w:szCs w:val="28"/>
          <w:lang w:val="en-IN"/>
        </w:rPr>
        <w:t>...............................................................</w:t>
      </w:r>
      <w:r w:rsidR="00376B14">
        <w:rPr>
          <w:rFonts w:cstheme="minorHAnsi"/>
          <w:sz w:val="28"/>
          <w:szCs w:val="28"/>
          <w:lang w:val="en-IN"/>
        </w:rPr>
        <w:t>......................</w:t>
      </w:r>
      <w:r w:rsidR="00376B14">
        <w:rPr>
          <w:rFonts w:cstheme="minorHAnsi"/>
          <w:color w:val="000000" w:themeColor="text1"/>
          <w:lang w:val="en-IN"/>
        </w:rPr>
        <w:t xml:space="preserve"> 16</w:t>
      </w:r>
    </w:p>
    <w:p w:rsidR="00A1368D" w:rsidRDefault="00A1368D" w:rsidP="00A1368D">
      <w:pPr>
        <w:pStyle w:val="ListParagraph"/>
        <w:numPr>
          <w:ilvl w:val="2"/>
          <w:numId w:val="2"/>
        </w:numPr>
        <w:rPr>
          <w:rFonts w:cstheme="minorHAnsi"/>
          <w:color w:val="000000" w:themeColor="text1"/>
          <w:lang w:val="en-IN"/>
        </w:rPr>
      </w:pPr>
      <w:r>
        <w:rPr>
          <w:rFonts w:cstheme="minorHAnsi"/>
          <w:color w:val="000000" w:themeColor="text1"/>
          <w:lang w:val="en-IN"/>
        </w:rPr>
        <w:t>Operator 5</w:t>
      </w:r>
      <w:r w:rsidR="00376B14" w:rsidRPr="00A1368D">
        <w:rPr>
          <w:rFonts w:cstheme="minorHAnsi"/>
          <w:sz w:val="28"/>
          <w:szCs w:val="28"/>
          <w:lang w:val="en-IN"/>
        </w:rPr>
        <w:t>...............................................................</w:t>
      </w:r>
      <w:r w:rsidR="00376B14">
        <w:rPr>
          <w:rFonts w:cstheme="minorHAnsi"/>
          <w:sz w:val="28"/>
          <w:szCs w:val="28"/>
          <w:lang w:val="en-IN"/>
        </w:rPr>
        <w:t>......................</w:t>
      </w:r>
      <w:r w:rsidR="00376B14">
        <w:rPr>
          <w:rFonts w:cstheme="minorHAnsi"/>
          <w:color w:val="000000" w:themeColor="text1"/>
          <w:lang w:val="en-IN"/>
        </w:rPr>
        <w:t xml:space="preserve"> 17</w:t>
      </w:r>
    </w:p>
    <w:p w:rsidR="00A1368D" w:rsidRDefault="00A1368D" w:rsidP="00A1368D">
      <w:pPr>
        <w:pStyle w:val="ListParagraph"/>
        <w:numPr>
          <w:ilvl w:val="2"/>
          <w:numId w:val="2"/>
        </w:numPr>
        <w:rPr>
          <w:rFonts w:cstheme="minorHAnsi"/>
          <w:color w:val="000000" w:themeColor="text1"/>
          <w:lang w:val="en-IN"/>
        </w:rPr>
      </w:pPr>
      <w:r>
        <w:rPr>
          <w:rFonts w:cstheme="minorHAnsi"/>
          <w:color w:val="000000" w:themeColor="text1"/>
          <w:lang w:val="en-IN"/>
        </w:rPr>
        <w:t>Operator 6</w:t>
      </w:r>
      <w:r w:rsidR="00376B14" w:rsidRPr="00A1368D">
        <w:rPr>
          <w:rFonts w:cstheme="minorHAnsi"/>
          <w:sz w:val="28"/>
          <w:szCs w:val="28"/>
          <w:lang w:val="en-IN"/>
        </w:rPr>
        <w:t>...............................................................</w:t>
      </w:r>
      <w:r w:rsidR="00376B14">
        <w:rPr>
          <w:rFonts w:cstheme="minorHAnsi"/>
          <w:sz w:val="28"/>
          <w:szCs w:val="28"/>
          <w:lang w:val="en-IN"/>
        </w:rPr>
        <w:t>......................</w:t>
      </w:r>
      <w:r w:rsidR="00376B14">
        <w:rPr>
          <w:rFonts w:cstheme="minorHAnsi"/>
          <w:color w:val="000000" w:themeColor="text1"/>
          <w:lang w:val="en-IN"/>
        </w:rPr>
        <w:t xml:space="preserve"> 18</w:t>
      </w:r>
    </w:p>
    <w:p w:rsidR="00A1368D" w:rsidRDefault="00A1368D" w:rsidP="00A1368D">
      <w:pPr>
        <w:pStyle w:val="ListParagraph"/>
        <w:numPr>
          <w:ilvl w:val="2"/>
          <w:numId w:val="2"/>
        </w:numPr>
        <w:rPr>
          <w:rFonts w:cstheme="minorHAnsi"/>
          <w:color w:val="000000" w:themeColor="text1"/>
          <w:lang w:val="en-IN"/>
        </w:rPr>
      </w:pPr>
      <w:r>
        <w:rPr>
          <w:rFonts w:cstheme="minorHAnsi"/>
          <w:color w:val="000000" w:themeColor="text1"/>
          <w:lang w:val="en-IN"/>
        </w:rPr>
        <w:t>Operator 7</w:t>
      </w:r>
      <w:r w:rsidR="00376B14" w:rsidRPr="00A1368D">
        <w:rPr>
          <w:rFonts w:cstheme="minorHAnsi"/>
          <w:sz w:val="28"/>
          <w:szCs w:val="28"/>
          <w:lang w:val="en-IN"/>
        </w:rPr>
        <w:t>...............................................................</w:t>
      </w:r>
      <w:r w:rsidR="00376B14">
        <w:rPr>
          <w:rFonts w:cstheme="minorHAnsi"/>
          <w:sz w:val="28"/>
          <w:szCs w:val="28"/>
          <w:lang w:val="en-IN"/>
        </w:rPr>
        <w:t>......................</w:t>
      </w:r>
      <w:r w:rsidR="00376B14">
        <w:rPr>
          <w:rFonts w:cstheme="minorHAnsi"/>
          <w:color w:val="000000" w:themeColor="text1"/>
          <w:lang w:val="en-IN"/>
        </w:rPr>
        <w:t xml:space="preserve"> 19</w:t>
      </w:r>
    </w:p>
    <w:p w:rsidR="00A1368D" w:rsidRDefault="00A1368D" w:rsidP="00A1368D">
      <w:pPr>
        <w:pStyle w:val="ListParagraph"/>
        <w:numPr>
          <w:ilvl w:val="2"/>
          <w:numId w:val="2"/>
        </w:numPr>
        <w:rPr>
          <w:rFonts w:cstheme="minorHAnsi"/>
          <w:color w:val="000000" w:themeColor="text1"/>
          <w:lang w:val="en-IN"/>
        </w:rPr>
      </w:pPr>
      <w:r>
        <w:rPr>
          <w:rFonts w:cstheme="minorHAnsi"/>
          <w:color w:val="000000" w:themeColor="text1"/>
          <w:lang w:val="en-IN"/>
        </w:rPr>
        <w:t>Operator 8</w:t>
      </w:r>
      <w:r w:rsidR="00376B14" w:rsidRPr="00A1368D">
        <w:rPr>
          <w:rFonts w:cstheme="minorHAnsi"/>
          <w:sz w:val="28"/>
          <w:szCs w:val="28"/>
          <w:lang w:val="en-IN"/>
        </w:rPr>
        <w:t>...............................................................</w:t>
      </w:r>
      <w:r w:rsidR="00376B14">
        <w:rPr>
          <w:rFonts w:cstheme="minorHAnsi"/>
          <w:sz w:val="28"/>
          <w:szCs w:val="28"/>
          <w:lang w:val="en-IN"/>
        </w:rPr>
        <w:t>......................</w:t>
      </w:r>
      <w:r w:rsidR="00376B14">
        <w:rPr>
          <w:rFonts w:cstheme="minorHAnsi"/>
          <w:color w:val="000000" w:themeColor="text1"/>
          <w:lang w:val="en-IN"/>
        </w:rPr>
        <w:t xml:space="preserve"> 20</w:t>
      </w:r>
    </w:p>
    <w:p w:rsidR="00A1368D" w:rsidRDefault="00A1368D" w:rsidP="00A1368D">
      <w:pPr>
        <w:pStyle w:val="ListParagraph"/>
        <w:numPr>
          <w:ilvl w:val="2"/>
          <w:numId w:val="2"/>
        </w:numPr>
        <w:rPr>
          <w:rFonts w:cstheme="minorHAnsi"/>
          <w:color w:val="000000" w:themeColor="text1"/>
          <w:lang w:val="en-IN"/>
        </w:rPr>
      </w:pPr>
      <w:r>
        <w:rPr>
          <w:rFonts w:cstheme="minorHAnsi"/>
          <w:color w:val="000000" w:themeColor="text1"/>
          <w:lang w:val="en-IN"/>
        </w:rPr>
        <w:t>Operator 9</w:t>
      </w:r>
      <w:r w:rsidR="00376B14" w:rsidRPr="00A1368D">
        <w:rPr>
          <w:rFonts w:cstheme="minorHAnsi"/>
          <w:sz w:val="28"/>
          <w:szCs w:val="28"/>
          <w:lang w:val="en-IN"/>
        </w:rPr>
        <w:t>...............................................................</w:t>
      </w:r>
      <w:r w:rsidR="00376B14">
        <w:rPr>
          <w:rFonts w:cstheme="minorHAnsi"/>
          <w:sz w:val="28"/>
          <w:szCs w:val="28"/>
          <w:lang w:val="en-IN"/>
        </w:rPr>
        <w:t>......................</w:t>
      </w:r>
      <w:r w:rsidR="00376B14">
        <w:rPr>
          <w:rFonts w:cstheme="minorHAnsi"/>
          <w:color w:val="000000" w:themeColor="text1"/>
          <w:lang w:val="en-IN"/>
        </w:rPr>
        <w:t xml:space="preserve"> 21</w:t>
      </w:r>
    </w:p>
    <w:p w:rsidR="00A1368D" w:rsidRDefault="00A1368D" w:rsidP="00A1368D">
      <w:pPr>
        <w:pStyle w:val="ListParagraph"/>
        <w:numPr>
          <w:ilvl w:val="2"/>
          <w:numId w:val="2"/>
        </w:numPr>
        <w:rPr>
          <w:rFonts w:cstheme="minorHAnsi"/>
          <w:color w:val="000000" w:themeColor="text1"/>
          <w:lang w:val="en-IN"/>
        </w:rPr>
      </w:pPr>
      <w:r w:rsidRPr="00A1368D">
        <w:rPr>
          <w:rFonts w:cstheme="minorHAnsi"/>
          <w:color w:val="000000" w:themeColor="text1"/>
          <w:lang w:val="en-IN"/>
        </w:rPr>
        <w:t xml:space="preserve"> </w:t>
      </w:r>
      <w:r>
        <w:rPr>
          <w:rFonts w:cstheme="minorHAnsi"/>
          <w:color w:val="000000" w:themeColor="text1"/>
          <w:lang w:val="en-IN"/>
        </w:rPr>
        <w:t>Operator10</w:t>
      </w:r>
      <w:r w:rsidR="00376B14" w:rsidRPr="00A1368D">
        <w:rPr>
          <w:rFonts w:cstheme="minorHAnsi"/>
          <w:sz w:val="28"/>
          <w:szCs w:val="28"/>
          <w:lang w:val="en-IN"/>
        </w:rPr>
        <w:t>...............................................................</w:t>
      </w:r>
      <w:r w:rsidR="00376B14">
        <w:rPr>
          <w:rFonts w:cstheme="minorHAnsi"/>
          <w:sz w:val="28"/>
          <w:szCs w:val="28"/>
          <w:lang w:val="en-IN"/>
        </w:rPr>
        <w:t>....................</w:t>
      </w:r>
      <w:r w:rsidR="00376B14">
        <w:rPr>
          <w:rFonts w:cstheme="minorHAnsi"/>
          <w:color w:val="000000" w:themeColor="text1"/>
          <w:lang w:val="en-IN"/>
        </w:rPr>
        <w:t xml:space="preserve"> 22</w:t>
      </w:r>
    </w:p>
    <w:p w:rsidR="00A1368D" w:rsidRDefault="00A1368D" w:rsidP="00A1368D">
      <w:pPr>
        <w:pStyle w:val="ListParagraph"/>
        <w:numPr>
          <w:ilvl w:val="2"/>
          <w:numId w:val="2"/>
        </w:numPr>
        <w:rPr>
          <w:rFonts w:cstheme="minorHAnsi"/>
          <w:color w:val="000000" w:themeColor="text1"/>
          <w:lang w:val="en-IN"/>
        </w:rPr>
      </w:pPr>
      <w:r>
        <w:rPr>
          <w:rFonts w:cstheme="minorHAnsi"/>
          <w:color w:val="000000" w:themeColor="text1"/>
          <w:lang w:val="en-IN"/>
        </w:rPr>
        <w:t>Comparison</w:t>
      </w:r>
      <w:r w:rsidR="00376B14">
        <w:rPr>
          <w:rFonts w:cstheme="minorHAnsi"/>
          <w:color w:val="000000" w:themeColor="text1"/>
          <w:lang w:val="en-IN"/>
        </w:rPr>
        <w:t xml:space="preserve"> </w:t>
      </w:r>
      <w:r w:rsidR="00376B14" w:rsidRPr="00A1368D">
        <w:rPr>
          <w:rFonts w:cstheme="minorHAnsi"/>
          <w:sz w:val="28"/>
          <w:szCs w:val="28"/>
          <w:lang w:val="en-IN"/>
        </w:rPr>
        <w:t>...............................................................</w:t>
      </w:r>
      <w:r w:rsidR="00376B14">
        <w:rPr>
          <w:rFonts w:cstheme="minorHAnsi"/>
          <w:sz w:val="28"/>
          <w:szCs w:val="28"/>
          <w:lang w:val="en-IN"/>
        </w:rPr>
        <w:t xml:space="preserve">................... </w:t>
      </w:r>
      <w:r w:rsidR="00376B14">
        <w:rPr>
          <w:rFonts w:cstheme="minorHAnsi"/>
          <w:color w:val="000000" w:themeColor="text1"/>
          <w:lang w:val="en-IN"/>
        </w:rPr>
        <w:t>23</w:t>
      </w:r>
    </w:p>
    <w:p w:rsidR="00A1368D" w:rsidRDefault="00A1368D" w:rsidP="00A1368D">
      <w:pPr>
        <w:pStyle w:val="ListParagraph"/>
        <w:numPr>
          <w:ilvl w:val="0"/>
          <w:numId w:val="2"/>
        </w:numPr>
        <w:rPr>
          <w:rFonts w:cstheme="minorHAnsi"/>
          <w:color w:val="000000" w:themeColor="text1"/>
          <w:lang w:val="en-IN"/>
        </w:rPr>
      </w:pPr>
      <w:r>
        <w:rPr>
          <w:rFonts w:cstheme="minorHAnsi"/>
          <w:color w:val="000000" w:themeColor="text1"/>
          <w:lang w:val="en-IN"/>
        </w:rPr>
        <w:t>References</w:t>
      </w:r>
      <w:r w:rsidR="00376B14" w:rsidRPr="00A1368D">
        <w:rPr>
          <w:rFonts w:cstheme="minorHAnsi"/>
          <w:sz w:val="28"/>
          <w:szCs w:val="28"/>
          <w:lang w:val="en-IN"/>
        </w:rPr>
        <w:t>...............................................................</w:t>
      </w:r>
      <w:r w:rsidR="00376B14">
        <w:rPr>
          <w:rFonts w:cstheme="minorHAnsi"/>
          <w:sz w:val="28"/>
          <w:szCs w:val="28"/>
          <w:lang w:val="en-IN"/>
        </w:rPr>
        <w:t>.....................................</w:t>
      </w:r>
      <w:r w:rsidR="00376B14">
        <w:rPr>
          <w:rFonts w:cstheme="minorHAnsi"/>
          <w:color w:val="000000" w:themeColor="text1"/>
          <w:lang w:val="en-IN"/>
        </w:rPr>
        <w:t xml:space="preserve"> 24</w:t>
      </w:r>
    </w:p>
    <w:p w:rsidR="00A1368D" w:rsidRPr="00A1368D" w:rsidRDefault="00A1368D" w:rsidP="00376B14">
      <w:pPr>
        <w:pStyle w:val="ListParagraph"/>
        <w:ind w:left="1080"/>
        <w:rPr>
          <w:rFonts w:cstheme="minorHAnsi"/>
          <w:color w:val="000000" w:themeColor="text1"/>
          <w:lang w:val="en-IN"/>
        </w:rPr>
      </w:pPr>
    </w:p>
    <w:p w:rsidR="00A1368D" w:rsidRPr="00A1368D" w:rsidRDefault="00A1368D" w:rsidP="00A1368D">
      <w:pPr>
        <w:pStyle w:val="ListParagraph"/>
        <w:ind w:left="1080"/>
        <w:rPr>
          <w:rFonts w:cstheme="minorHAnsi"/>
        </w:rPr>
      </w:pPr>
    </w:p>
    <w:p w:rsidR="00A1368D" w:rsidRPr="00A1368D" w:rsidRDefault="00A1368D" w:rsidP="00A1368D">
      <w:pPr>
        <w:rPr>
          <w:rFonts w:cstheme="minorHAnsi"/>
        </w:rPr>
      </w:pPr>
    </w:p>
    <w:p w:rsidR="00A1368D" w:rsidRPr="00A1368D" w:rsidRDefault="00A1368D" w:rsidP="00A1368D">
      <w:pPr>
        <w:rPr>
          <w:rFonts w:cstheme="minorHAnsi"/>
        </w:rPr>
      </w:pPr>
    </w:p>
    <w:p w:rsidR="00F32A06" w:rsidRDefault="00F32A06" w:rsidP="00C32CEF">
      <w:pPr>
        <w:rPr>
          <w:rFonts w:cstheme="minorHAnsi"/>
          <w:lang w:val="en-IN"/>
        </w:rPr>
      </w:pPr>
    </w:p>
    <w:p w:rsidR="00376B14" w:rsidRDefault="00376B14" w:rsidP="00C32CEF">
      <w:pPr>
        <w:rPr>
          <w:rFonts w:cstheme="minorHAnsi"/>
          <w:lang w:val="en-IN"/>
        </w:rPr>
      </w:pPr>
    </w:p>
    <w:p w:rsidR="00376B14" w:rsidRDefault="00376B14" w:rsidP="00C32CEF">
      <w:pPr>
        <w:rPr>
          <w:rFonts w:cstheme="minorHAnsi"/>
          <w:lang w:val="en-IN"/>
        </w:rPr>
      </w:pPr>
    </w:p>
    <w:p w:rsidR="00C32CEF" w:rsidRDefault="00C32CEF" w:rsidP="00C32CEF">
      <w:pPr>
        <w:pStyle w:val="ListParagraph"/>
        <w:numPr>
          <w:ilvl w:val="0"/>
          <w:numId w:val="6"/>
        </w:numPr>
        <w:rPr>
          <w:rFonts w:asciiTheme="majorHAnsi" w:hAnsiTheme="majorHAnsi" w:cstheme="minorHAnsi"/>
          <w:b/>
          <w:sz w:val="28"/>
          <w:szCs w:val="28"/>
          <w:lang w:val="en-IN"/>
        </w:rPr>
      </w:pPr>
      <w:r w:rsidRPr="00C32CEF">
        <w:rPr>
          <w:rFonts w:asciiTheme="majorHAnsi" w:hAnsiTheme="majorHAnsi" w:cstheme="minorHAnsi"/>
          <w:b/>
          <w:sz w:val="28"/>
          <w:szCs w:val="28"/>
          <w:lang w:val="en-IN"/>
        </w:rPr>
        <w:lastRenderedPageBreak/>
        <w:t>Abstract</w:t>
      </w:r>
    </w:p>
    <w:p w:rsidR="00C32CEF" w:rsidRDefault="006C7B40" w:rsidP="00836AA7">
      <w:pPr>
        <w:rPr>
          <w:rFonts w:cstheme="minorHAnsi"/>
          <w:lang w:val="en-IN"/>
        </w:rPr>
      </w:pPr>
      <w:r>
        <w:rPr>
          <w:rFonts w:cstheme="minorHAnsi"/>
          <w:lang w:val="en-IN"/>
        </w:rPr>
        <w:t xml:space="preserve">              </w:t>
      </w:r>
      <w:r w:rsidR="00C32CEF">
        <w:rPr>
          <w:rFonts w:cstheme="minorHAnsi"/>
          <w:lang w:val="en-IN"/>
        </w:rPr>
        <w:t>The Non-Destructive Test (NDT) methods are used for the detection of the flaw in the metal. The capability of the NDT methods is expressed by the metric called as the Probabi</w:t>
      </w:r>
      <w:r w:rsidR="00586831">
        <w:rPr>
          <w:rFonts w:cstheme="minorHAnsi"/>
          <w:lang w:val="en-IN"/>
        </w:rPr>
        <w:t>lity of Detection (PO</w:t>
      </w:r>
      <w:r w:rsidR="00C32CEF">
        <w:rPr>
          <w:rFonts w:cstheme="minorHAnsi"/>
          <w:lang w:val="en-IN"/>
        </w:rPr>
        <w:t>D), which is stated as a funct</w:t>
      </w:r>
      <w:r w:rsidR="00586831">
        <w:rPr>
          <w:rFonts w:cstheme="minorHAnsi"/>
          <w:lang w:val="en-IN"/>
        </w:rPr>
        <w:t>ion of crack size through the PO</w:t>
      </w:r>
      <w:r w:rsidR="00C32CEF">
        <w:rPr>
          <w:rFonts w:cstheme="minorHAnsi"/>
          <w:lang w:val="en-IN"/>
        </w:rPr>
        <w:t xml:space="preserve">D curve. </w:t>
      </w:r>
      <w:r w:rsidR="0035220B">
        <w:rPr>
          <w:rFonts w:cstheme="minorHAnsi"/>
          <w:lang w:val="en-IN"/>
        </w:rPr>
        <w:t>This manuscript thus deals</w:t>
      </w:r>
      <w:r w:rsidR="00C32CEF">
        <w:rPr>
          <w:rFonts w:cstheme="minorHAnsi"/>
          <w:lang w:val="en-IN"/>
        </w:rPr>
        <w:t xml:space="preserve"> with introduction and history of the Probability of Detection and Sizing method. Furthermore, considering realistic testing data, which contain 21 defect measurement</w:t>
      </w:r>
      <w:r w:rsidR="0035220B">
        <w:rPr>
          <w:rFonts w:cstheme="minorHAnsi"/>
          <w:lang w:val="en-IN"/>
        </w:rPr>
        <w:t xml:space="preserve">s in total and 10 technicians have used the equipment and procedure to perform measurement. Finally through the statistical data, discus about sizing accuracy of the individual technicians, as well as the equipment and procedure. </w:t>
      </w:r>
    </w:p>
    <w:p w:rsidR="00586831" w:rsidRDefault="00586831" w:rsidP="00C32CEF">
      <w:pPr>
        <w:ind w:left="1080"/>
        <w:rPr>
          <w:rFonts w:cstheme="minorHAnsi"/>
          <w:lang w:val="en-IN"/>
        </w:rPr>
      </w:pPr>
    </w:p>
    <w:p w:rsidR="00586831" w:rsidRDefault="00586831" w:rsidP="00C32CEF">
      <w:pPr>
        <w:ind w:left="1080"/>
        <w:rPr>
          <w:rFonts w:cstheme="minorHAnsi"/>
          <w:lang w:val="en-IN"/>
        </w:rPr>
      </w:pPr>
    </w:p>
    <w:p w:rsidR="00586831" w:rsidRDefault="00586831" w:rsidP="00C32CEF">
      <w:pPr>
        <w:ind w:left="1080"/>
        <w:rPr>
          <w:rFonts w:cstheme="minorHAnsi"/>
          <w:lang w:val="en-IN"/>
        </w:rPr>
      </w:pPr>
    </w:p>
    <w:p w:rsidR="00586831" w:rsidRDefault="00586831" w:rsidP="00586831">
      <w:pPr>
        <w:pStyle w:val="ListParagraph"/>
        <w:numPr>
          <w:ilvl w:val="0"/>
          <w:numId w:val="6"/>
        </w:numPr>
        <w:rPr>
          <w:rFonts w:asciiTheme="majorHAnsi" w:hAnsiTheme="majorHAnsi" w:cstheme="minorHAnsi"/>
          <w:b/>
          <w:sz w:val="28"/>
          <w:szCs w:val="28"/>
          <w:lang w:val="en-IN"/>
        </w:rPr>
      </w:pPr>
      <w:r>
        <w:rPr>
          <w:rFonts w:asciiTheme="majorHAnsi" w:hAnsiTheme="majorHAnsi" w:cstheme="minorHAnsi"/>
          <w:b/>
          <w:sz w:val="28"/>
          <w:szCs w:val="28"/>
          <w:lang w:val="en-IN"/>
        </w:rPr>
        <w:t>Introduction</w:t>
      </w:r>
    </w:p>
    <w:p w:rsidR="00586831" w:rsidRPr="00586831" w:rsidRDefault="006C7B40" w:rsidP="00836AA7">
      <w:pPr>
        <w:rPr>
          <w:rFonts w:cstheme="minorHAnsi"/>
          <w:lang w:val="en-IN"/>
        </w:rPr>
      </w:pPr>
      <w:r>
        <w:rPr>
          <w:rFonts w:cstheme="minorHAnsi"/>
          <w:lang w:val="en-IN"/>
        </w:rPr>
        <w:t xml:space="preserve">              </w:t>
      </w:r>
      <w:r w:rsidR="00B70597">
        <w:rPr>
          <w:rFonts w:cstheme="minorHAnsi"/>
          <w:lang w:val="en-IN"/>
        </w:rPr>
        <w:t>Ultimate</w:t>
      </w:r>
      <w:r w:rsidR="00586831">
        <w:rPr>
          <w:rFonts w:cstheme="minorHAnsi"/>
          <w:lang w:val="en-IN"/>
        </w:rPr>
        <w:t xml:space="preserve"> purpose of the course work is </w:t>
      </w:r>
      <w:r w:rsidR="00B70597">
        <w:rPr>
          <w:rFonts w:cstheme="minorHAnsi"/>
          <w:lang w:val="en-IN"/>
        </w:rPr>
        <w:t xml:space="preserve">through the statistical analysis assess the sizing accuracy of the individual technicians, as well as the equipment and procedure. There are 21 defect measurements of through wall thickness undertaken as part of a larger POD study used to </w:t>
      </w:r>
      <w:r w:rsidR="00B70597" w:rsidRPr="00B70597">
        <w:rPr>
          <w:rStyle w:val="normaltextrun"/>
          <w:rFonts w:cstheme="minorHAnsi"/>
          <w:color w:val="000000"/>
          <w:bdr w:val="none" w:sz="0" w:space="0" w:color="auto" w:frame="1"/>
          <w:lang w:val="en-GB"/>
        </w:rPr>
        <w:t>assess the performance of a new ultrasonic thickness gauging procedure</w:t>
      </w:r>
      <w:r w:rsidR="00B70597">
        <w:rPr>
          <w:rStyle w:val="normaltextrun"/>
          <w:rFonts w:ascii="Arial" w:hAnsi="Arial" w:cs="Arial"/>
          <w:color w:val="000000"/>
          <w:sz w:val="20"/>
          <w:szCs w:val="20"/>
          <w:bdr w:val="none" w:sz="0" w:space="0" w:color="auto" w:frame="1"/>
          <w:lang w:val="en-GB"/>
        </w:rPr>
        <w:t>.</w:t>
      </w:r>
      <w:r w:rsidR="00B70597">
        <w:rPr>
          <w:rFonts w:cstheme="minorHAnsi"/>
          <w:lang w:val="en-IN"/>
        </w:rPr>
        <w:t xml:space="preserve"> These defects</w:t>
      </w:r>
      <w:r w:rsidR="00262A26">
        <w:rPr>
          <w:rFonts w:cstheme="minorHAnsi"/>
          <w:lang w:val="en-IN"/>
        </w:rPr>
        <w:t xml:space="preserve"> are measured by 10 technicians. The statistical flaw data used for generating normal curve graph and as well as estimated measurement graph for individual operators.</w:t>
      </w:r>
    </w:p>
    <w:p w:rsidR="00586831" w:rsidRPr="00586831" w:rsidRDefault="00586831" w:rsidP="00586831">
      <w:pPr>
        <w:pStyle w:val="ListParagraph"/>
        <w:ind w:left="1080"/>
        <w:rPr>
          <w:rFonts w:cstheme="minorHAnsi"/>
          <w:lang w:val="en-IN"/>
        </w:rPr>
      </w:pPr>
    </w:p>
    <w:p w:rsidR="0035220B" w:rsidRPr="0035220B" w:rsidRDefault="0035220B" w:rsidP="00C32CEF">
      <w:pPr>
        <w:ind w:left="1080"/>
        <w:rPr>
          <w:lang w:val="en-IN"/>
        </w:rPr>
      </w:pPr>
    </w:p>
    <w:p w:rsidR="00C32CEF" w:rsidRDefault="00C32CEF" w:rsidP="00C32CEF">
      <w:pPr>
        <w:ind w:left="360"/>
        <w:rPr>
          <w:rFonts w:cstheme="minorHAnsi"/>
          <w:lang w:val="en-IN"/>
        </w:rPr>
      </w:pPr>
    </w:p>
    <w:p w:rsidR="0035220B" w:rsidRDefault="0035220B" w:rsidP="00C32CEF">
      <w:pPr>
        <w:ind w:left="360"/>
        <w:rPr>
          <w:rFonts w:cstheme="minorHAnsi"/>
          <w:lang w:val="en-IN"/>
        </w:rPr>
      </w:pPr>
    </w:p>
    <w:p w:rsidR="0035220B" w:rsidRDefault="0035220B" w:rsidP="00C32CEF">
      <w:pPr>
        <w:ind w:left="360"/>
        <w:rPr>
          <w:rFonts w:cstheme="minorHAnsi"/>
          <w:lang w:val="en-IN"/>
        </w:rPr>
      </w:pPr>
    </w:p>
    <w:p w:rsidR="0035220B" w:rsidRDefault="0035220B" w:rsidP="00C32CEF">
      <w:pPr>
        <w:ind w:left="360"/>
        <w:rPr>
          <w:rFonts w:cstheme="minorHAnsi"/>
          <w:lang w:val="en-IN"/>
        </w:rPr>
      </w:pPr>
    </w:p>
    <w:p w:rsidR="0035220B" w:rsidRDefault="0035220B" w:rsidP="00C32CEF">
      <w:pPr>
        <w:ind w:left="360"/>
        <w:rPr>
          <w:rFonts w:cstheme="minorHAnsi"/>
          <w:lang w:val="en-IN"/>
        </w:rPr>
      </w:pPr>
    </w:p>
    <w:p w:rsidR="0035220B" w:rsidRDefault="0035220B" w:rsidP="00C32CEF">
      <w:pPr>
        <w:ind w:left="360"/>
        <w:rPr>
          <w:rFonts w:cstheme="minorHAnsi"/>
          <w:lang w:val="en-IN"/>
        </w:rPr>
      </w:pPr>
    </w:p>
    <w:p w:rsidR="00B70597" w:rsidRDefault="00B70597" w:rsidP="00B70597">
      <w:pPr>
        <w:rPr>
          <w:rFonts w:cstheme="minorHAnsi"/>
          <w:lang w:val="en-IN"/>
        </w:rPr>
      </w:pPr>
    </w:p>
    <w:p w:rsidR="00F32A06" w:rsidRDefault="00F32A06" w:rsidP="00B70597">
      <w:pPr>
        <w:rPr>
          <w:rFonts w:cstheme="minorHAnsi"/>
          <w:lang w:val="en-IN"/>
        </w:rPr>
      </w:pPr>
    </w:p>
    <w:p w:rsidR="00F32A06" w:rsidRDefault="00F32A06" w:rsidP="00B70597">
      <w:pPr>
        <w:rPr>
          <w:rFonts w:cstheme="minorHAnsi"/>
          <w:lang w:val="en-IN"/>
        </w:rPr>
      </w:pPr>
    </w:p>
    <w:p w:rsidR="00F32A06" w:rsidRDefault="00F32A06" w:rsidP="00B70597">
      <w:pPr>
        <w:rPr>
          <w:rFonts w:cstheme="minorHAnsi"/>
          <w:lang w:val="en-IN"/>
        </w:rPr>
      </w:pPr>
    </w:p>
    <w:p w:rsidR="00204135" w:rsidRDefault="00262A26" w:rsidP="00204135">
      <w:pPr>
        <w:pStyle w:val="ListParagraph"/>
        <w:numPr>
          <w:ilvl w:val="0"/>
          <w:numId w:val="6"/>
        </w:numPr>
        <w:rPr>
          <w:rFonts w:asciiTheme="majorHAnsi" w:hAnsiTheme="majorHAnsi" w:cstheme="minorHAnsi"/>
          <w:b/>
          <w:sz w:val="28"/>
          <w:szCs w:val="28"/>
          <w:lang w:val="en-IN"/>
        </w:rPr>
      </w:pPr>
      <w:r>
        <w:rPr>
          <w:rFonts w:asciiTheme="majorHAnsi" w:hAnsiTheme="majorHAnsi" w:cstheme="minorHAnsi"/>
          <w:b/>
          <w:sz w:val="28"/>
          <w:szCs w:val="28"/>
          <w:lang w:val="en-IN"/>
        </w:rPr>
        <w:lastRenderedPageBreak/>
        <w:t>Non-Destructive Test</w:t>
      </w:r>
    </w:p>
    <w:p w:rsidR="00F32A06" w:rsidRDefault="00F32A06" w:rsidP="00F32A06">
      <w:pPr>
        <w:pStyle w:val="ListParagraph"/>
        <w:ind w:left="1080"/>
        <w:rPr>
          <w:rFonts w:asciiTheme="majorHAnsi" w:hAnsiTheme="majorHAnsi" w:cstheme="minorHAnsi"/>
          <w:b/>
          <w:sz w:val="28"/>
          <w:szCs w:val="28"/>
          <w:lang w:val="en-IN"/>
        </w:rPr>
      </w:pPr>
    </w:p>
    <w:p w:rsidR="0035220B" w:rsidRPr="00204135" w:rsidRDefault="00BF2291" w:rsidP="00204135">
      <w:pPr>
        <w:pStyle w:val="ListParagraph"/>
        <w:numPr>
          <w:ilvl w:val="1"/>
          <w:numId w:val="6"/>
        </w:numPr>
        <w:rPr>
          <w:rFonts w:asciiTheme="majorHAnsi" w:hAnsiTheme="majorHAnsi" w:cstheme="minorHAnsi"/>
          <w:b/>
          <w:sz w:val="28"/>
          <w:szCs w:val="28"/>
          <w:lang w:val="en-IN"/>
        </w:rPr>
      </w:pPr>
      <w:r w:rsidRPr="00204135">
        <w:rPr>
          <w:rFonts w:asciiTheme="majorHAnsi" w:hAnsiTheme="majorHAnsi" w:cstheme="minorHAnsi"/>
          <w:b/>
          <w:sz w:val="28"/>
          <w:szCs w:val="28"/>
          <w:lang w:val="en-IN"/>
        </w:rPr>
        <w:t>What is Non-Destructive Test or NDT?</w:t>
      </w:r>
    </w:p>
    <w:p w:rsidR="00BF2291" w:rsidRPr="00472632" w:rsidRDefault="006C7B40" w:rsidP="00BF2291">
      <w:pPr>
        <w:rPr>
          <w:rFonts w:cstheme="minorHAnsi"/>
          <w:color w:val="000000" w:themeColor="text1"/>
          <w:vertAlign w:val="superscript"/>
          <w:lang w:val="en-IN"/>
        </w:rPr>
      </w:pPr>
      <w:r>
        <w:rPr>
          <w:rFonts w:cstheme="minorHAnsi"/>
          <w:color w:val="000000" w:themeColor="text1"/>
          <w:sz w:val="28"/>
          <w:szCs w:val="28"/>
          <w:lang w:val="en-IN"/>
        </w:rPr>
        <w:t xml:space="preserve">              </w:t>
      </w:r>
      <w:hyperlink r:id="rId9" w:tooltip="Non-Destructive Testing and Inspection Services" w:history="1">
        <w:r w:rsidR="00BF2291" w:rsidRPr="00BF2291">
          <w:rPr>
            <w:rStyle w:val="Hyperlink"/>
            <w:rFonts w:cstheme="minorHAnsi"/>
            <w:bCs/>
            <w:color w:val="000000" w:themeColor="text1"/>
            <w:u w:val="none"/>
          </w:rPr>
          <w:t>Non-destructive testing (NDT)</w:t>
        </w:r>
      </w:hyperlink>
      <w:r w:rsidR="00BF2291" w:rsidRPr="00BF2291">
        <w:rPr>
          <w:rFonts w:cstheme="minorHAnsi"/>
          <w:bCs/>
          <w:color w:val="000000" w:themeColor="text1"/>
        </w:rPr>
        <w:t xml:space="preserve"> is a testing and analysis technique used by industry to evaluate the properties of a material, component, structure or system for characteristic differences or welding defects and discontinuities without causing damage to the original part. NDT </w:t>
      </w:r>
      <w:r w:rsidR="00BF2291">
        <w:rPr>
          <w:rFonts w:cstheme="minorHAnsi"/>
          <w:bCs/>
          <w:color w:val="000000" w:themeColor="text1"/>
        </w:rPr>
        <w:t xml:space="preserve">is </w:t>
      </w:r>
      <w:r w:rsidR="00BF2291" w:rsidRPr="00BF2291">
        <w:rPr>
          <w:rFonts w:cstheme="minorHAnsi"/>
          <w:bCs/>
          <w:color w:val="000000" w:themeColor="text1"/>
        </w:rPr>
        <w:t>also known as non-destructive examination (NDE), non-destructive inspection (NDI) and non-destructive evaluation (NDE).</w:t>
      </w:r>
      <w:r w:rsidR="00BF2291" w:rsidRPr="00BF2291">
        <w:rPr>
          <w:rFonts w:cstheme="minorHAnsi"/>
          <w:color w:val="000000" w:themeColor="text1"/>
          <w:sz w:val="28"/>
          <w:szCs w:val="28"/>
          <w:lang w:val="en-IN"/>
        </w:rPr>
        <w:t xml:space="preserve"> </w:t>
      </w:r>
      <w:r w:rsidR="00472632">
        <w:rPr>
          <w:rFonts w:cstheme="minorHAnsi"/>
          <w:color w:val="000000" w:themeColor="text1"/>
          <w:vertAlign w:val="superscript"/>
          <w:lang w:val="en-IN"/>
        </w:rPr>
        <w:t>[1]</w:t>
      </w:r>
    </w:p>
    <w:p w:rsidR="00D347CE" w:rsidRPr="00D347CE" w:rsidRDefault="00D347CE" w:rsidP="00D347CE">
      <w:pPr>
        <w:numPr>
          <w:ilvl w:val="0"/>
          <w:numId w:val="10"/>
        </w:numPr>
        <w:shd w:val="clear" w:color="auto" w:fill="FFFFFF"/>
        <w:spacing w:before="100" w:beforeAutospacing="1" w:after="100" w:afterAutospacing="1" w:line="240" w:lineRule="auto"/>
        <w:ind w:left="600"/>
        <w:rPr>
          <w:rFonts w:eastAsia="Times New Roman" w:cstheme="minorHAnsi"/>
          <w:color w:val="000000"/>
        </w:rPr>
      </w:pPr>
      <w:r w:rsidRPr="00D347CE">
        <w:rPr>
          <w:rFonts w:eastAsia="Times New Roman" w:cstheme="minorHAnsi"/>
          <w:color w:val="000000"/>
        </w:rPr>
        <w:t>The Non-destructive tests are employed for the finished products.</w:t>
      </w:r>
    </w:p>
    <w:p w:rsidR="00D347CE" w:rsidRPr="00D347CE" w:rsidRDefault="00D347CE" w:rsidP="00D347CE">
      <w:pPr>
        <w:numPr>
          <w:ilvl w:val="0"/>
          <w:numId w:val="10"/>
        </w:numPr>
        <w:shd w:val="clear" w:color="auto" w:fill="FFFFFF"/>
        <w:spacing w:before="100" w:beforeAutospacing="1" w:after="100" w:afterAutospacing="1" w:line="240" w:lineRule="auto"/>
        <w:ind w:left="600"/>
        <w:rPr>
          <w:rFonts w:eastAsia="Times New Roman" w:cstheme="minorHAnsi"/>
          <w:color w:val="000000"/>
        </w:rPr>
      </w:pPr>
      <w:r w:rsidRPr="00D347CE">
        <w:rPr>
          <w:rFonts w:eastAsia="Times New Roman" w:cstheme="minorHAnsi"/>
          <w:color w:val="000000"/>
        </w:rPr>
        <w:t>The finished product which is under Non-destructive testing will not be subjected to the fracture.</w:t>
      </w:r>
    </w:p>
    <w:p w:rsidR="00D347CE" w:rsidRPr="00D347CE" w:rsidRDefault="00D347CE" w:rsidP="00D347CE">
      <w:pPr>
        <w:numPr>
          <w:ilvl w:val="0"/>
          <w:numId w:val="10"/>
        </w:numPr>
        <w:shd w:val="clear" w:color="auto" w:fill="FFFFFF"/>
        <w:spacing w:before="100" w:beforeAutospacing="1" w:after="100" w:afterAutospacing="1" w:line="240" w:lineRule="auto"/>
        <w:ind w:left="600"/>
        <w:rPr>
          <w:rFonts w:eastAsia="Times New Roman" w:cstheme="minorHAnsi"/>
          <w:color w:val="000000"/>
        </w:rPr>
      </w:pPr>
      <w:r w:rsidRPr="00D347CE">
        <w:rPr>
          <w:rFonts w:eastAsia="Times New Roman" w:cstheme="minorHAnsi"/>
          <w:color w:val="000000"/>
        </w:rPr>
        <w:t>The Non-destructive test intended to know the internal defects and surface defects of the finished product.</w:t>
      </w:r>
    </w:p>
    <w:p w:rsidR="00D347CE" w:rsidRPr="00D347CE" w:rsidRDefault="00D347CE" w:rsidP="00BF2291">
      <w:pPr>
        <w:rPr>
          <w:rFonts w:cstheme="minorHAnsi"/>
          <w:color w:val="000000" w:themeColor="text1"/>
          <w:lang w:val="en-IN"/>
        </w:rPr>
      </w:pPr>
    </w:p>
    <w:p w:rsidR="00BF2291" w:rsidRDefault="008574E4" w:rsidP="00BF2291">
      <w:pPr>
        <w:pStyle w:val="ListParagraph"/>
        <w:numPr>
          <w:ilvl w:val="1"/>
          <w:numId w:val="6"/>
        </w:numPr>
        <w:rPr>
          <w:rFonts w:asciiTheme="majorHAnsi" w:hAnsiTheme="majorHAnsi" w:cstheme="minorHAnsi"/>
          <w:b/>
          <w:color w:val="000000" w:themeColor="text1"/>
          <w:sz w:val="28"/>
          <w:szCs w:val="28"/>
          <w:lang w:val="en-IN"/>
        </w:rPr>
      </w:pPr>
      <w:r>
        <w:rPr>
          <w:rFonts w:asciiTheme="majorHAnsi" w:hAnsiTheme="majorHAnsi" w:cstheme="minorHAnsi"/>
          <w:b/>
          <w:color w:val="000000" w:themeColor="text1"/>
          <w:sz w:val="28"/>
          <w:szCs w:val="28"/>
          <w:lang w:val="en-IN"/>
        </w:rPr>
        <w:t>Non-Destructive Testing Methods</w:t>
      </w:r>
    </w:p>
    <w:p w:rsidR="008574E4" w:rsidRPr="00472632" w:rsidRDefault="006C7B40" w:rsidP="008574E4">
      <w:pPr>
        <w:rPr>
          <w:rFonts w:cstheme="minorHAnsi"/>
          <w:color w:val="000000" w:themeColor="text1"/>
          <w:vertAlign w:val="superscript"/>
          <w:lang w:val="en-IN"/>
        </w:rPr>
      </w:pPr>
      <w:r>
        <w:rPr>
          <w:rFonts w:cstheme="minorHAnsi"/>
          <w:color w:val="000000" w:themeColor="text1"/>
          <w:lang w:val="en-IN"/>
        </w:rPr>
        <w:t xml:space="preserve">              </w:t>
      </w:r>
      <w:r w:rsidR="008574E4">
        <w:rPr>
          <w:rFonts w:cstheme="minorHAnsi"/>
          <w:color w:val="000000" w:themeColor="text1"/>
          <w:lang w:val="en-IN"/>
        </w:rPr>
        <w:t>As mentioned before, NDT intended to know the internal defects and surface defects of the finished product. BUT HOW??????...... So there are so many methods used to test th</w:t>
      </w:r>
      <w:r w:rsidR="004C4DEF">
        <w:rPr>
          <w:rFonts w:cstheme="minorHAnsi"/>
          <w:color w:val="000000" w:themeColor="text1"/>
          <w:lang w:val="en-IN"/>
        </w:rPr>
        <w:t>e finished product as listed below.</w:t>
      </w:r>
      <w:r w:rsidR="00472632">
        <w:rPr>
          <w:rFonts w:cstheme="minorHAnsi"/>
          <w:color w:val="000000" w:themeColor="text1"/>
          <w:vertAlign w:val="superscript"/>
          <w:lang w:val="en-IN"/>
        </w:rPr>
        <w:t>[2]</w:t>
      </w:r>
    </w:p>
    <w:p w:rsidR="004C4DEF" w:rsidRDefault="00E37BFA" w:rsidP="004C4DEF">
      <w:pPr>
        <w:pStyle w:val="ListParagraph"/>
        <w:numPr>
          <w:ilvl w:val="0"/>
          <w:numId w:val="11"/>
        </w:numPr>
        <w:rPr>
          <w:rFonts w:cstheme="minorHAnsi"/>
          <w:color w:val="000000" w:themeColor="text1"/>
          <w:lang w:val="en-IN"/>
        </w:rPr>
      </w:pPr>
      <w:r>
        <w:rPr>
          <w:rFonts w:cstheme="minorHAnsi"/>
          <w:color w:val="000000" w:themeColor="text1"/>
          <w:lang w:val="en-IN"/>
        </w:rPr>
        <w:t xml:space="preserve">         </w:t>
      </w:r>
      <w:r w:rsidR="004C4DEF">
        <w:rPr>
          <w:rFonts w:cstheme="minorHAnsi"/>
          <w:color w:val="000000" w:themeColor="text1"/>
          <w:lang w:val="en-IN"/>
        </w:rPr>
        <w:t>Acoustic Emission Testing</w:t>
      </w:r>
    </w:p>
    <w:p w:rsidR="004C4DEF" w:rsidRDefault="00E37BFA" w:rsidP="004C4DEF">
      <w:pPr>
        <w:pStyle w:val="ListParagraph"/>
        <w:numPr>
          <w:ilvl w:val="0"/>
          <w:numId w:val="11"/>
        </w:numPr>
        <w:rPr>
          <w:rFonts w:cstheme="minorHAnsi"/>
          <w:color w:val="000000" w:themeColor="text1"/>
          <w:lang w:val="en-IN"/>
        </w:rPr>
      </w:pPr>
      <w:r>
        <w:rPr>
          <w:rFonts w:cstheme="minorHAnsi"/>
          <w:color w:val="000000" w:themeColor="text1"/>
          <w:lang w:val="en-IN"/>
        </w:rPr>
        <w:t xml:space="preserve">         </w:t>
      </w:r>
      <w:r w:rsidR="004C4DEF">
        <w:rPr>
          <w:rFonts w:cstheme="minorHAnsi"/>
          <w:color w:val="000000" w:themeColor="text1"/>
          <w:lang w:val="en-IN"/>
        </w:rPr>
        <w:t>Electromagnetic Testing</w:t>
      </w:r>
    </w:p>
    <w:p w:rsidR="00E37BFA" w:rsidRDefault="00E37BFA" w:rsidP="004C4DEF">
      <w:pPr>
        <w:pStyle w:val="ListParagraph"/>
        <w:numPr>
          <w:ilvl w:val="0"/>
          <w:numId w:val="11"/>
        </w:numPr>
        <w:rPr>
          <w:rFonts w:cstheme="minorHAnsi"/>
          <w:color w:val="000000" w:themeColor="text1"/>
          <w:lang w:val="en-IN"/>
        </w:rPr>
      </w:pPr>
      <w:r>
        <w:rPr>
          <w:rFonts w:cstheme="minorHAnsi"/>
          <w:color w:val="000000" w:themeColor="text1"/>
          <w:lang w:val="en-IN"/>
        </w:rPr>
        <w:t xml:space="preserve">         Laser Testing</w:t>
      </w:r>
    </w:p>
    <w:p w:rsidR="004C4DEF" w:rsidRDefault="00E37BFA" w:rsidP="004C4DEF">
      <w:pPr>
        <w:pStyle w:val="ListParagraph"/>
        <w:numPr>
          <w:ilvl w:val="0"/>
          <w:numId w:val="11"/>
        </w:numPr>
        <w:rPr>
          <w:rFonts w:cstheme="minorHAnsi"/>
          <w:color w:val="000000" w:themeColor="text1"/>
          <w:lang w:val="en-IN"/>
        </w:rPr>
      </w:pPr>
      <w:r>
        <w:rPr>
          <w:rFonts w:cstheme="minorHAnsi"/>
          <w:color w:val="000000" w:themeColor="text1"/>
          <w:lang w:val="en-IN"/>
        </w:rPr>
        <w:t xml:space="preserve">         Leak Testing</w:t>
      </w:r>
      <w:r w:rsidR="004C4DEF">
        <w:rPr>
          <w:rFonts w:cstheme="minorHAnsi"/>
          <w:color w:val="000000" w:themeColor="text1"/>
          <w:lang w:val="en-IN"/>
        </w:rPr>
        <w:t xml:space="preserve"> </w:t>
      </w:r>
    </w:p>
    <w:p w:rsidR="00E37BFA" w:rsidRDefault="00E37BFA" w:rsidP="004C4DEF">
      <w:pPr>
        <w:pStyle w:val="ListParagraph"/>
        <w:numPr>
          <w:ilvl w:val="0"/>
          <w:numId w:val="11"/>
        </w:numPr>
        <w:rPr>
          <w:rFonts w:cstheme="minorHAnsi"/>
          <w:color w:val="000000" w:themeColor="text1"/>
          <w:lang w:val="en-IN"/>
        </w:rPr>
      </w:pPr>
      <w:r>
        <w:rPr>
          <w:rFonts w:cstheme="minorHAnsi"/>
          <w:color w:val="000000" w:themeColor="text1"/>
          <w:lang w:val="en-IN"/>
        </w:rPr>
        <w:t xml:space="preserve">         Liquid Penetrate Testing</w:t>
      </w:r>
    </w:p>
    <w:p w:rsidR="00E37BFA" w:rsidRDefault="00E37BFA" w:rsidP="004C4DEF">
      <w:pPr>
        <w:pStyle w:val="ListParagraph"/>
        <w:numPr>
          <w:ilvl w:val="0"/>
          <w:numId w:val="11"/>
        </w:numPr>
        <w:rPr>
          <w:rFonts w:cstheme="minorHAnsi"/>
          <w:color w:val="000000" w:themeColor="text1"/>
          <w:lang w:val="en-IN"/>
        </w:rPr>
      </w:pPr>
      <w:r>
        <w:rPr>
          <w:rFonts w:cstheme="minorHAnsi"/>
          <w:color w:val="000000" w:themeColor="text1"/>
          <w:lang w:val="en-IN"/>
        </w:rPr>
        <w:t xml:space="preserve">         Magnetic Flux Leakage Testing</w:t>
      </w:r>
    </w:p>
    <w:p w:rsidR="00E37BFA" w:rsidRPr="00E37BFA" w:rsidRDefault="00E37BFA" w:rsidP="00E37BFA">
      <w:pPr>
        <w:pStyle w:val="ListParagraph"/>
        <w:numPr>
          <w:ilvl w:val="0"/>
          <w:numId w:val="11"/>
        </w:numPr>
        <w:rPr>
          <w:rFonts w:cstheme="minorHAnsi"/>
          <w:color w:val="000000" w:themeColor="text1"/>
          <w:lang w:val="en-IN"/>
        </w:rPr>
      </w:pPr>
      <w:r>
        <w:rPr>
          <w:rFonts w:cstheme="minorHAnsi"/>
          <w:color w:val="000000" w:themeColor="text1"/>
          <w:lang w:val="en-IN"/>
        </w:rPr>
        <w:t xml:space="preserve">         Microwave Testing</w:t>
      </w:r>
    </w:p>
    <w:p w:rsidR="00E37BFA" w:rsidRDefault="00E37BFA" w:rsidP="004C4DEF">
      <w:pPr>
        <w:pStyle w:val="ListParagraph"/>
        <w:numPr>
          <w:ilvl w:val="0"/>
          <w:numId w:val="11"/>
        </w:numPr>
        <w:rPr>
          <w:rFonts w:cstheme="minorHAnsi"/>
          <w:color w:val="000000" w:themeColor="text1"/>
          <w:lang w:val="en-IN"/>
        </w:rPr>
      </w:pPr>
      <w:r>
        <w:rPr>
          <w:rFonts w:cstheme="minorHAnsi"/>
          <w:color w:val="000000" w:themeColor="text1"/>
          <w:lang w:val="en-IN"/>
        </w:rPr>
        <w:t xml:space="preserve">         Magnetic Particle Testing</w:t>
      </w:r>
    </w:p>
    <w:p w:rsidR="00E37BFA" w:rsidRPr="00E37BFA" w:rsidRDefault="00E37BFA" w:rsidP="00E37BFA">
      <w:pPr>
        <w:pStyle w:val="ListParagraph"/>
        <w:numPr>
          <w:ilvl w:val="0"/>
          <w:numId w:val="11"/>
        </w:numPr>
        <w:rPr>
          <w:rFonts w:cstheme="minorHAnsi"/>
          <w:color w:val="000000" w:themeColor="text1"/>
          <w:lang w:val="en-IN"/>
        </w:rPr>
      </w:pPr>
      <w:r>
        <w:rPr>
          <w:rFonts w:cstheme="minorHAnsi"/>
          <w:color w:val="000000" w:themeColor="text1"/>
          <w:lang w:val="en-IN"/>
        </w:rPr>
        <w:t xml:space="preserve">         Radiographic Testing</w:t>
      </w:r>
    </w:p>
    <w:p w:rsidR="00E37BFA" w:rsidRDefault="00E37BFA" w:rsidP="004C4DEF">
      <w:pPr>
        <w:pStyle w:val="ListParagraph"/>
        <w:numPr>
          <w:ilvl w:val="0"/>
          <w:numId w:val="11"/>
        </w:numPr>
        <w:rPr>
          <w:rFonts w:cstheme="minorHAnsi"/>
          <w:color w:val="000000" w:themeColor="text1"/>
          <w:lang w:val="en-IN"/>
        </w:rPr>
      </w:pPr>
      <w:r>
        <w:rPr>
          <w:rFonts w:cstheme="minorHAnsi"/>
          <w:color w:val="000000" w:themeColor="text1"/>
          <w:lang w:val="en-IN"/>
        </w:rPr>
        <w:t>Thermal/Infrared Testing</w:t>
      </w:r>
    </w:p>
    <w:p w:rsidR="00E37BFA" w:rsidRDefault="00E37BFA" w:rsidP="004C4DEF">
      <w:pPr>
        <w:pStyle w:val="ListParagraph"/>
        <w:numPr>
          <w:ilvl w:val="0"/>
          <w:numId w:val="11"/>
        </w:numPr>
        <w:rPr>
          <w:rFonts w:cstheme="minorHAnsi"/>
          <w:color w:val="000000" w:themeColor="text1"/>
          <w:lang w:val="en-IN"/>
        </w:rPr>
      </w:pPr>
      <w:r>
        <w:rPr>
          <w:rFonts w:cstheme="minorHAnsi"/>
          <w:color w:val="000000" w:themeColor="text1"/>
          <w:lang w:val="en-IN"/>
        </w:rPr>
        <w:t>Ultrasonic Testing</w:t>
      </w:r>
    </w:p>
    <w:p w:rsidR="00E37BFA" w:rsidRDefault="00E37BFA" w:rsidP="004C4DEF">
      <w:pPr>
        <w:pStyle w:val="ListParagraph"/>
        <w:numPr>
          <w:ilvl w:val="0"/>
          <w:numId w:val="11"/>
        </w:numPr>
        <w:rPr>
          <w:rFonts w:cstheme="minorHAnsi"/>
          <w:color w:val="000000" w:themeColor="text1"/>
          <w:lang w:val="en-IN"/>
        </w:rPr>
      </w:pPr>
      <w:r>
        <w:rPr>
          <w:rFonts w:cstheme="minorHAnsi"/>
          <w:color w:val="000000" w:themeColor="text1"/>
          <w:lang w:val="en-IN"/>
        </w:rPr>
        <w:t>Vibration Testing</w:t>
      </w:r>
    </w:p>
    <w:p w:rsidR="00E37BFA" w:rsidRDefault="00E37BFA" w:rsidP="004C4DEF">
      <w:pPr>
        <w:pStyle w:val="ListParagraph"/>
        <w:numPr>
          <w:ilvl w:val="0"/>
          <w:numId w:val="11"/>
        </w:numPr>
        <w:rPr>
          <w:rFonts w:cstheme="minorHAnsi"/>
          <w:color w:val="000000" w:themeColor="text1"/>
          <w:lang w:val="en-IN"/>
        </w:rPr>
      </w:pPr>
      <w:r>
        <w:rPr>
          <w:rFonts w:cstheme="minorHAnsi"/>
          <w:color w:val="000000" w:themeColor="text1"/>
          <w:lang w:val="en-IN"/>
        </w:rPr>
        <w:t>Visual Testing</w:t>
      </w:r>
    </w:p>
    <w:p w:rsidR="00E37BFA" w:rsidRPr="00E37BFA" w:rsidRDefault="006C7B40" w:rsidP="00E37BFA">
      <w:pPr>
        <w:rPr>
          <w:rFonts w:cstheme="minorHAnsi"/>
          <w:color w:val="000000" w:themeColor="text1"/>
          <w:lang w:val="en-IN"/>
        </w:rPr>
      </w:pPr>
      <w:r>
        <w:rPr>
          <w:rFonts w:cstheme="minorHAnsi"/>
          <w:color w:val="000000" w:themeColor="text1"/>
          <w:lang w:val="en-IN"/>
        </w:rPr>
        <w:t xml:space="preserve">              </w:t>
      </w:r>
      <w:r w:rsidR="00E37BFA">
        <w:rPr>
          <w:rFonts w:cstheme="minorHAnsi"/>
          <w:color w:val="000000" w:themeColor="text1"/>
          <w:lang w:val="en-IN"/>
        </w:rPr>
        <w:t>We use one of these methods to obtain</w:t>
      </w:r>
      <w:r w:rsidR="00586831">
        <w:rPr>
          <w:rFonts w:cstheme="minorHAnsi"/>
          <w:color w:val="000000" w:themeColor="text1"/>
          <w:lang w:val="en-IN"/>
        </w:rPr>
        <w:t xml:space="preserve"> statistical</w:t>
      </w:r>
      <w:r w:rsidR="00E37BFA">
        <w:rPr>
          <w:rFonts w:cstheme="minorHAnsi"/>
          <w:color w:val="000000" w:themeColor="text1"/>
          <w:lang w:val="en-IN"/>
        </w:rPr>
        <w:t xml:space="preserve"> data. There are many factors which are considering</w:t>
      </w:r>
      <w:r w:rsidR="00586831">
        <w:rPr>
          <w:rFonts w:cstheme="minorHAnsi"/>
          <w:color w:val="000000" w:themeColor="text1"/>
          <w:lang w:val="en-IN"/>
        </w:rPr>
        <w:t xml:space="preserve"> </w:t>
      </w:r>
      <w:r w:rsidR="00E37BFA">
        <w:rPr>
          <w:rFonts w:cstheme="minorHAnsi"/>
          <w:color w:val="000000" w:themeColor="text1"/>
          <w:lang w:val="en-IN"/>
        </w:rPr>
        <w:t xml:space="preserve">choosing appropriate method such as </w:t>
      </w:r>
      <w:r>
        <w:rPr>
          <w:rFonts w:cstheme="minorHAnsi"/>
          <w:color w:val="000000" w:themeColor="text1"/>
          <w:lang w:val="en-IN"/>
        </w:rPr>
        <w:t>nature of the flaw, test method used, sensitivity of the test method used, human factor,</w:t>
      </w:r>
      <w:r w:rsidR="00586831">
        <w:rPr>
          <w:rFonts w:cstheme="minorHAnsi"/>
          <w:color w:val="000000" w:themeColor="text1"/>
          <w:lang w:val="en-IN"/>
        </w:rPr>
        <w:t xml:space="preserve"> etc. This statistical data then used for create POD curve.</w:t>
      </w:r>
      <w:r w:rsidR="00F32A06">
        <w:rPr>
          <w:rFonts w:cstheme="minorHAnsi"/>
          <w:color w:val="000000" w:themeColor="text1"/>
          <w:lang w:val="en-IN"/>
        </w:rPr>
        <w:t xml:space="preserve">  </w:t>
      </w:r>
    </w:p>
    <w:p w:rsidR="00E37BFA" w:rsidRDefault="00E37BFA" w:rsidP="00E37BFA">
      <w:pPr>
        <w:ind w:left="585"/>
        <w:rPr>
          <w:rFonts w:cstheme="minorHAnsi"/>
          <w:color w:val="000000" w:themeColor="text1"/>
          <w:lang w:val="en-IN"/>
        </w:rPr>
      </w:pPr>
    </w:p>
    <w:p w:rsidR="006C7B40" w:rsidRDefault="006C7B40" w:rsidP="00E37BFA">
      <w:pPr>
        <w:ind w:left="585"/>
        <w:rPr>
          <w:rFonts w:cstheme="minorHAnsi"/>
          <w:color w:val="000000" w:themeColor="text1"/>
          <w:lang w:val="en-IN"/>
        </w:rPr>
      </w:pPr>
    </w:p>
    <w:p w:rsidR="006C7B40" w:rsidRPr="00E37BFA" w:rsidRDefault="006C7B40" w:rsidP="00E37BFA">
      <w:pPr>
        <w:ind w:left="585"/>
        <w:rPr>
          <w:rFonts w:cstheme="minorHAnsi"/>
          <w:color w:val="000000" w:themeColor="text1"/>
          <w:lang w:val="en-IN"/>
        </w:rPr>
      </w:pPr>
    </w:p>
    <w:p w:rsidR="00472632" w:rsidRPr="006C7B40" w:rsidRDefault="00472632" w:rsidP="006C7B40">
      <w:pPr>
        <w:pStyle w:val="ListParagraph"/>
        <w:numPr>
          <w:ilvl w:val="0"/>
          <w:numId w:val="6"/>
        </w:numPr>
        <w:rPr>
          <w:rFonts w:asciiTheme="majorHAnsi" w:hAnsiTheme="majorHAnsi" w:cstheme="minorHAnsi"/>
          <w:b/>
          <w:color w:val="000000" w:themeColor="text1"/>
          <w:sz w:val="28"/>
          <w:szCs w:val="28"/>
          <w:lang w:val="en-IN"/>
        </w:rPr>
      </w:pPr>
      <w:r w:rsidRPr="006C7B40">
        <w:rPr>
          <w:rFonts w:asciiTheme="majorHAnsi" w:hAnsiTheme="majorHAnsi" w:cstheme="minorHAnsi"/>
          <w:b/>
          <w:color w:val="000000" w:themeColor="text1"/>
          <w:sz w:val="28"/>
          <w:szCs w:val="28"/>
          <w:lang w:val="en-IN"/>
        </w:rPr>
        <w:lastRenderedPageBreak/>
        <w:t>Detection Uncertainty</w:t>
      </w:r>
    </w:p>
    <w:p w:rsidR="00472632" w:rsidRDefault="006C7B40" w:rsidP="006C7B40">
      <w:pPr>
        <w:rPr>
          <w:rFonts w:cstheme="minorHAnsi"/>
          <w:color w:val="000000"/>
          <w:shd w:val="clear" w:color="auto" w:fill="FFFFF0"/>
        </w:rPr>
      </w:pPr>
      <w:r>
        <w:rPr>
          <w:rFonts w:cstheme="minorHAnsi"/>
          <w:color w:val="000000"/>
          <w:shd w:val="clear" w:color="auto" w:fill="FFFFF0"/>
          <w:vertAlign w:val="superscript"/>
        </w:rPr>
        <w:t xml:space="preserve">              [3]</w:t>
      </w:r>
      <w:r w:rsidR="00472632" w:rsidRPr="00472632">
        <w:rPr>
          <w:rFonts w:cstheme="minorHAnsi"/>
          <w:color w:val="000000"/>
          <w:shd w:val="clear" w:color="auto" w:fill="FFFFF0"/>
        </w:rPr>
        <w:t>Detection uncertainty relates to whether or not a flaw has been found. This is in itself is a controversial topic. What constitutes a flaw? If we consider that any deviation from a pure condition constitutes a "flawed" item then even the smallest crystal dislocation in a metal structure could be interpreted as a "flaw". Not many (probably not any) components would be considered "unflawed" if the definition was taken to this extreme. Flaw detection must therefore take on some practical considerations. Detection of flaws in NDT is by indirect means and whether or not a flaw is detected therefore depends on a variety of factors. These factors include the nature of the flaw itself, the test method used, the sensitivity of the test method used and human factors.</w:t>
      </w:r>
    </w:p>
    <w:p w:rsidR="00472632" w:rsidRPr="006B005A" w:rsidRDefault="006C7B40" w:rsidP="00472632">
      <w:pPr>
        <w:rPr>
          <w:rFonts w:cstheme="minorHAnsi"/>
          <w:color w:val="000000"/>
          <w:shd w:val="clear" w:color="auto" w:fill="FFFFF0"/>
        </w:rPr>
      </w:pPr>
      <w:r>
        <w:rPr>
          <w:rFonts w:cstheme="minorHAnsi"/>
          <w:color w:val="000000"/>
          <w:shd w:val="clear" w:color="auto" w:fill="FFFFF0"/>
        </w:rPr>
        <w:t xml:space="preserve">              </w:t>
      </w:r>
      <w:r w:rsidR="00472632" w:rsidRPr="006B005A">
        <w:rPr>
          <w:rFonts w:cstheme="minorHAnsi"/>
          <w:color w:val="000000"/>
          <w:shd w:val="clear" w:color="auto" w:fill="FFFFF0"/>
        </w:rPr>
        <w:t>Having agreed upon the test method and test protocol, there are four possible outcomes in an inspection of a component. These four options constitute the probability matrix of detection.</w:t>
      </w:r>
    </w:p>
    <w:p w:rsidR="00472632" w:rsidRPr="00472632" w:rsidRDefault="00472632" w:rsidP="00472632">
      <w:pPr>
        <w:numPr>
          <w:ilvl w:val="0"/>
          <w:numId w:val="12"/>
        </w:numPr>
        <w:shd w:val="clear" w:color="auto" w:fill="FFFFF0"/>
        <w:spacing w:before="100" w:beforeAutospacing="1" w:after="100" w:afterAutospacing="1" w:line="240" w:lineRule="auto"/>
        <w:rPr>
          <w:rFonts w:eastAsia="Times New Roman" w:cstheme="minorHAnsi"/>
          <w:color w:val="000000"/>
        </w:rPr>
      </w:pPr>
      <w:r w:rsidRPr="00472632">
        <w:rPr>
          <w:rFonts w:eastAsia="Times New Roman" w:cstheme="minorHAnsi"/>
          <w:color w:val="000000"/>
        </w:rPr>
        <w:t>An item is flawed and the NDT method detects it (True Positive)</w:t>
      </w:r>
    </w:p>
    <w:p w:rsidR="00472632" w:rsidRPr="00472632" w:rsidRDefault="00472632" w:rsidP="00472632">
      <w:pPr>
        <w:numPr>
          <w:ilvl w:val="0"/>
          <w:numId w:val="12"/>
        </w:numPr>
        <w:shd w:val="clear" w:color="auto" w:fill="FFFFF0"/>
        <w:spacing w:before="100" w:beforeAutospacing="1" w:after="100" w:afterAutospacing="1" w:line="240" w:lineRule="auto"/>
        <w:rPr>
          <w:rFonts w:eastAsia="Times New Roman" w:cstheme="minorHAnsi"/>
          <w:color w:val="000000"/>
        </w:rPr>
      </w:pPr>
      <w:r w:rsidRPr="00472632">
        <w:rPr>
          <w:rFonts w:eastAsia="Times New Roman" w:cstheme="minorHAnsi"/>
          <w:color w:val="000000"/>
        </w:rPr>
        <w:t>No flaw exists and the NDT method indicates a flaw present (False Positive)</w:t>
      </w:r>
    </w:p>
    <w:p w:rsidR="00472632" w:rsidRPr="00472632" w:rsidRDefault="00472632" w:rsidP="00472632">
      <w:pPr>
        <w:numPr>
          <w:ilvl w:val="0"/>
          <w:numId w:val="12"/>
        </w:numPr>
        <w:shd w:val="clear" w:color="auto" w:fill="FFFFF0"/>
        <w:spacing w:before="100" w:beforeAutospacing="1" w:after="100" w:afterAutospacing="1" w:line="240" w:lineRule="auto"/>
        <w:rPr>
          <w:rFonts w:eastAsia="Times New Roman" w:cstheme="minorHAnsi"/>
          <w:color w:val="000000"/>
        </w:rPr>
      </w:pPr>
      <w:r w:rsidRPr="00472632">
        <w:rPr>
          <w:rFonts w:eastAsia="Times New Roman" w:cstheme="minorHAnsi"/>
          <w:color w:val="000000"/>
        </w:rPr>
        <w:t>An item is flawed and the NDT method does not detect it (False Negative)</w:t>
      </w:r>
    </w:p>
    <w:p w:rsidR="00472632" w:rsidRPr="00472632" w:rsidRDefault="00472632" w:rsidP="00472632">
      <w:pPr>
        <w:numPr>
          <w:ilvl w:val="0"/>
          <w:numId w:val="12"/>
        </w:numPr>
        <w:shd w:val="clear" w:color="auto" w:fill="FFFFF0"/>
        <w:spacing w:before="100" w:beforeAutospacing="1" w:after="100" w:afterAutospacing="1" w:line="240" w:lineRule="auto"/>
        <w:rPr>
          <w:rFonts w:eastAsia="Times New Roman" w:cstheme="minorHAnsi"/>
          <w:color w:val="000000"/>
        </w:rPr>
      </w:pPr>
      <w:r w:rsidRPr="00472632">
        <w:rPr>
          <w:rFonts w:eastAsia="Times New Roman" w:cstheme="minorHAnsi"/>
          <w:color w:val="000000"/>
        </w:rPr>
        <w:t>No flaw exists and the NDT method has no indication of a flaw (True Negative)</w:t>
      </w:r>
    </w:p>
    <w:p w:rsidR="00D362B2" w:rsidRDefault="006C7B40" w:rsidP="00472632">
      <w:pPr>
        <w:rPr>
          <w:rFonts w:cstheme="minorHAnsi"/>
          <w:color w:val="000000"/>
          <w:shd w:val="clear" w:color="auto" w:fill="FFFFF0"/>
        </w:rPr>
      </w:pPr>
      <w:r>
        <w:rPr>
          <w:rFonts w:cstheme="minorHAnsi"/>
          <w:color w:val="000000"/>
          <w:shd w:val="clear" w:color="auto" w:fill="FFFFF0"/>
        </w:rPr>
        <w:t xml:space="preserve">             </w:t>
      </w:r>
      <w:r w:rsidR="00BA32B5" w:rsidRPr="00BA32B5">
        <w:rPr>
          <w:rFonts w:cstheme="minorHAnsi"/>
          <w:color w:val="000000"/>
          <w:shd w:val="clear" w:color="auto" w:fill="FFFFF0"/>
        </w:rPr>
        <w:t xml:space="preserve"> These are the foundations of the concept of "Probability of Detection" or POD</w:t>
      </w:r>
      <w:r w:rsidR="00D362B2">
        <w:rPr>
          <w:rFonts w:cstheme="minorHAnsi"/>
          <w:color w:val="000000"/>
          <w:shd w:val="clear" w:color="auto" w:fill="FFFFF0"/>
        </w:rPr>
        <w:t>.</w:t>
      </w:r>
    </w:p>
    <w:p w:rsidR="00D362B2" w:rsidRDefault="00D362B2" w:rsidP="00472632">
      <w:pPr>
        <w:rPr>
          <w:rFonts w:cstheme="minorHAnsi"/>
          <w:color w:val="000000"/>
          <w:shd w:val="clear" w:color="auto" w:fill="FFFFF0"/>
        </w:rPr>
      </w:pPr>
      <w:r w:rsidRPr="00D362B2">
        <w:rPr>
          <w:rFonts w:cstheme="minorHAnsi"/>
          <w:color w:val="000000"/>
          <w:shd w:val="clear" w:color="auto" w:fill="FFFFF0"/>
        </w:rPr>
        <w:t xml:space="preserve">              PODs try to assess a minimum flaw size that will be reliably detected by the NDT technique. This is best done by plotting the accumulation of flaws detected against the flaw size of all the flaws "detected" or that produce a response over some threshold. Ideally all flaws over some critical size will be detected and flaws smaller than that are not "detected". The tool most commonly used for POD description is the POD curve. Figure 1 illustrates a POD curve that indicates there is an 80% chance of detecting a flaw 2.2mm high and we can state with 90% confidence that it would not be greater than 3.3mm high. Or conversely we may state that we have a 90% confidence that a flaw 2.2mm high will be detected will not have a POD less than 65%.</w:t>
      </w:r>
    </w:p>
    <w:p w:rsidR="00D362B2" w:rsidRDefault="00D362B2" w:rsidP="00472632">
      <w:pPr>
        <w:rPr>
          <w:rFonts w:cstheme="minorHAnsi"/>
          <w:color w:val="000000"/>
          <w:shd w:val="clear" w:color="auto" w:fill="FFFFF0"/>
        </w:rPr>
      </w:pPr>
      <w:r>
        <w:rPr>
          <w:rFonts w:cstheme="minorHAnsi"/>
          <w:noProof/>
          <w:color w:val="000000"/>
          <w:shd w:val="clear" w:color="auto" w:fill="FFFFF0"/>
        </w:rPr>
        <w:lastRenderedPageBreak/>
        <w:drawing>
          <wp:inline distT="0" distB="0" distL="0" distR="0">
            <wp:extent cx="5810250" cy="3590925"/>
            <wp:effectExtent l="0" t="0" r="0" b="0"/>
            <wp:docPr id="3" name="Picture 2" descr="fig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gif"/>
                    <pic:cNvPicPr/>
                  </pic:nvPicPr>
                  <pic:blipFill>
                    <a:blip r:embed="rId10"/>
                    <a:stretch>
                      <a:fillRect/>
                    </a:stretch>
                  </pic:blipFill>
                  <pic:spPr>
                    <a:xfrm>
                      <a:off x="0" y="0"/>
                      <a:ext cx="5810250" cy="3590925"/>
                    </a:xfrm>
                    <a:prstGeom prst="rect">
                      <a:avLst/>
                    </a:prstGeom>
                  </pic:spPr>
                </pic:pic>
              </a:graphicData>
            </a:graphic>
          </wp:inline>
        </w:drawing>
      </w:r>
    </w:p>
    <w:p w:rsidR="00D362B2" w:rsidRPr="00D362B2" w:rsidRDefault="00D362B2" w:rsidP="00D362B2">
      <w:pPr>
        <w:pStyle w:val="NormalWeb"/>
        <w:shd w:val="clear" w:color="auto" w:fill="FFFFF0"/>
        <w:rPr>
          <w:rFonts w:asciiTheme="minorHAnsi" w:hAnsiTheme="minorHAnsi" w:cstheme="minorHAnsi"/>
          <w:color w:val="000000"/>
          <w:sz w:val="22"/>
          <w:szCs w:val="22"/>
        </w:rPr>
      </w:pPr>
      <w:r w:rsidRPr="00D362B2">
        <w:rPr>
          <w:rFonts w:asciiTheme="minorHAnsi" w:hAnsiTheme="minorHAnsi" w:cstheme="minorHAnsi"/>
          <w:color w:val="000000"/>
          <w:sz w:val="22"/>
          <w:szCs w:val="22"/>
        </w:rPr>
        <w:t>The best way to describe a confidence curve (e.g. 95 %) is to state that: If the actual POD curve were to be reconstructed over and over using the same method and data, then 95% of those constructed curves would be above the confidence curve (i.e. 5% would be below). In other words, we are 95% sure that the REAL POD curve is above the confidence curve.</w:t>
      </w:r>
    </w:p>
    <w:p w:rsidR="00D362B2" w:rsidRPr="00D362B2" w:rsidRDefault="00D362B2" w:rsidP="00D362B2">
      <w:pPr>
        <w:pStyle w:val="NormalWeb"/>
        <w:shd w:val="clear" w:color="auto" w:fill="FFFFF0"/>
        <w:rPr>
          <w:rFonts w:asciiTheme="minorHAnsi" w:hAnsiTheme="minorHAnsi" w:cstheme="minorHAnsi"/>
          <w:color w:val="000000"/>
          <w:sz w:val="22"/>
          <w:szCs w:val="22"/>
        </w:rPr>
      </w:pPr>
      <w:r w:rsidRPr="00D362B2">
        <w:rPr>
          <w:rFonts w:asciiTheme="minorHAnsi" w:hAnsiTheme="minorHAnsi" w:cstheme="minorHAnsi"/>
          <w:color w:val="000000"/>
          <w:sz w:val="22"/>
          <w:szCs w:val="22"/>
        </w:rPr>
        <w:t>The confidence level must also consider the effects of the full matrix for POD where we have the potential for false calls. In a set of specimens with known flaws over the minimum required size for detection we can see that a miss of one item could destroy our confidence in the system if a high confidence is required. E.g. if there was a selection of 30 specimens it would require that 28 samples be tested in order to provide assurance that we have we could have a 95% confidence that the results are indicative of the detection capabilities of the test system. However, if we missed a flaw in one of the 28 samples we would no longer have 95% confidence of in the probability of detection.</w:t>
      </w:r>
    </w:p>
    <w:p w:rsidR="00D362B2" w:rsidRPr="00D362B2" w:rsidRDefault="00D362B2" w:rsidP="00D362B2">
      <w:pPr>
        <w:pStyle w:val="NormalWeb"/>
        <w:shd w:val="clear" w:color="auto" w:fill="FFFFF0"/>
        <w:rPr>
          <w:rFonts w:asciiTheme="minorHAnsi" w:hAnsiTheme="minorHAnsi" w:cstheme="minorHAnsi"/>
          <w:color w:val="000000"/>
          <w:sz w:val="22"/>
          <w:szCs w:val="22"/>
        </w:rPr>
      </w:pPr>
      <w:r w:rsidRPr="00D362B2">
        <w:rPr>
          <w:rFonts w:asciiTheme="minorHAnsi" w:hAnsiTheme="minorHAnsi" w:cstheme="minorHAnsi"/>
          <w:color w:val="000000"/>
          <w:sz w:val="22"/>
          <w:szCs w:val="22"/>
        </w:rPr>
        <w:t>An example of the population size required to be tested to assess the probability reliability is found at the website http://www.surveysystem.com/sscalc.htm There they explain that the confidence level tells you the larger your sample, the more sure you can be that the test results truly reflect the population distribution. This indicates that for a given confidence level, the larger your sample size, the smaller your confidence interval can be. However, the relationship is not linear (i.e., doubling the sample size does not halve the confidence interval).</w:t>
      </w:r>
    </w:p>
    <w:p w:rsidR="00D362B2" w:rsidRPr="00D362B2" w:rsidRDefault="00D362B2" w:rsidP="00D362B2">
      <w:pPr>
        <w:pStyle w:val="NormalWeb"/>
        <w:shd w:val="clear" w:color="auto" w:fill="FFFFF0"/>
        <w:rPr>
          <w:rFonts w:asciiTheme="minorHAnsi" w:hAnsiTheme="minorHAnsi" w:cstheme="minorHAnsi"/>
          <w:color w:val="000000"/>
          <w:sz w:val="22"/>
          <w:szCs w:val="22"/>
        </w:rPr>
      </w:pPr>
      <w:r w:rsidRPr="00D362B2">
        <w:rPr>
          <w:rFonts w:asciiTheme="minorHAnsi" w:hAnsiTheme="minorHAnsi" w:cstheme="minorHAnsi"/>
          <w:color w:val="000000"/>
          <w:sz w:val="22"/>
          <w:szCs w:val="22"/>
        </w:rPr>
        <w:t>Conversely, if we have a large population we need to make a test of many samples to ensure that the results are indicative of the entire population (the calculator at the referenced website indicates 278 samples are required in a population of 1000 to ensure a 95% confidence level).</w:t>
      </w:r>
    </w:p>
    <w:p w:rsidR="00D362B2" w:rsidRDefault="00D362B2" w:rsidP="00472632">
      <w:pPr>
        <w:rPr>
          <w:rFonts w:cstheme="minorHAnsi"/>
          <w:color w:val="000000"/>
          <w:shd w:val="clear" w:color="auto" w:fill="FFFFF0"/>
        </w:rPr>
      </w:pPr>
    </w:p>
    <w:p w:rsidR="00D362B2" w:rsidRDefault="00D362B2" w:rsidP="00472632">
      <w:pPr>
        <w:rPr>
          <w:rFonts w:cstheme="minorHAnsi"/>
          <w:color w:val="000000"/>
          <w:shd w:val="clear" w:color="auto" w:fill="FFFFF0"/>
        </w:rPr>
      </w:pPr>
    </w:p>
    <w:p w:rsidR="00D362B2" w:rsidRDefault="00D362B2" w:rsidP="00D362B2">
      <w:pPr>
        <w:pStyle w:val="ListParagraph"/>
        <w:numPr>
          <w:ilvl w:val="0"/>
          <w:numId w:val="12"/>
        </w:numPr>
        <w:rPr>
          <w:rFonts w:asciiTheme="majorHAnsi" w:hAnsiTheme="majorHAnsi" w:cstheme="minorHAnsi"/>
          <w:b/>
          <w:color w:val="000000"/>
          <w:sz w:val="28"/>
          <w:szCs w:val="28"/>
          <w:shd w:val="clear" w:color="auto" w:fill="FFFFF0"/>
        </w:rPr>
      </w:pPr>
      <w:r>
        <w:rPr>
          <w:rFonts w:asciiTheme="majorHAnsi" w:hAnsiTheme="majorHAnsi" w:cstheme="minorHAnsi"/>
          <w:b/>
          <w:color w:val="000000"/>
          <w:sz w:val="28"/>
          <w:szCs w:val="28"/>
          <w:shd w:val="clear" w:color="auto" w:fill="FFFFF0"/>
        </w:rPr>
        <w:lastRenderedPageBreak/>
        <w:t>Dimensioning Uncertainty</w:t>
      </w:r>
    </w:p>
    <w:p w:rsidR="00D362B2" w:rsidRPr="0068285E" w:rsidRDefault="00D362B2" w:rsidP="00D362B2">
      <w:pPr>
        <w:spacing w:after="0" w:line="240" w:lineRule="auto"/>
        <w:rPr>
          <w:rFonts w:eastAsia="Times New Roman" w:cstheme="minorHAnsi"/>
        </w:rPr>
      </w:pPr>
      <w:r>
        <w:rPr>
          <w:rFonts w:ascii="Verdana" w:eastAsia="Times New Roman" w:hAnsi="Verdana" w:cs="Times New Roman"/>
          <w:color w:val="000000"/>
          <w:sz w:val="20"/>
          <w:szCs w:val="20"/>
          <w:shd w:val="clear" w:color="auto" w:fill="FFFFF0"/>
        </w:rPr>
        <w:t xml:space="preserve">              </w:t>
      </w:r>
      <w:r w:rsidRPr="0068285E">
        <w:rPr>
          <w:rFonts w:eastAsia="Times New Roman" w:cstheme="minorHAnsi"/>
          <w:color w:val="000000"/>
          <w:shd w:val="clear" w:color="auto" w:fill="FFFFF0"/>
        </w:rPr>
        <w:t>Quite a different set of uncertainties exists when an NDT operator is required to provide dimensional information about the flaws detected. Dimensions usually requested include; length, maximum vertical extent, depth below a test surface and position with respect to some X-Y coordinate system.</w:t>
      </w:r>
    </w:p>
    <w:p w:rsidR="00D362B2" w:rsidRPr="0068285E" w:rsidRDefault="0068285E" w:rsidP="0068285E">
      <w:pPr>
        <w:shd w:val="clear" w:color="auto" w:fill="FFFFF0"/>
        <w:spacing w:before="100" w:beforeAutospacing="1" w:after="100" w:afterAutospacing="1" w:line="240" w:lineRule="auto"/>
        <w:rPr>
          <w:rFonts w:eastAsia="Times New Roman" w:cstheme="minorHAnsi"/>
          <w:color w:val="000000"/>
        </w:rPr>
      </w:pPr>
      <w:r w:rsidRPr="0068285E">
        <w:rPr>
          <w:rFonts w:eastAsia="Times New Roman" w:cstheme="minorHAnsi"/>
          <w:color w:val="000000"/>
        </w:rPr>
        <w:t xml:space="preserve">              </w:t>
      </w:r>
      <w:r w:rsidR="00D362B2" w:rsidRPr="0068285E">
        <w:rPr>
          <w:rFonts w:eastAsia="Times New Roman" w:cstheme="minorHAnsi"/>
          <w:color w:val="000000"/>
        </w:rPr>
        <w:t>NDT uses indirect measurement methods to assess flaw dimensions. Magnetic particle inspection uses the pattern of small particles entrapped in a magnetic field. Eddy current uses coil impedance phase and amplitude information to gauge flaw depth and size. Ultrasonic testing uses arrival times, amplitude and phase information to provide depth, area and nature of a flaw.</w:t>
      </w:r>
    </w:p>
    <w:p w:rsidR="00D362B2" w:rsidRPr="0068285E" w:rsidRDefault="0068285E" w:rsidP="0068285E">
      <w:pPr>
        <w:shd w:val="clear" w:color="auto" w:fill="FFFFF0"/>
        <w:spacing w:before="100" w:beforeAutospacing="1" w:after="100" w:afterAutospacing="1" w:line="240" w:lineRule="auto"/>
        <w:rPr>
          <w:rFonts w:eastAsia="Times New Roman" w:cstheme="minorHAnsi"/>
          <w:color w:val="000000"/>
        </w:rPr>
      </w:pPr>
      <w:r w:rsidRPr="0068285E">
        <w:rPr>
          <w:rFonts w:eastAsia="Times New Roman" w:cstheme="minorHAnsi"/>
          <w:color w:val="000000"/>
        </w:rPr>
        <w:t xml:space="preserve">              </w:t>
      </w:r>
      <w:r w:rsidR="00D362B2" w:rsidRPr="0068285E">
        <w:rPr>
          <w:rFonts w:eastAsia="Times New Roman" w:cstheme="minorHAnsi"/>
          <w:color w:val="000000"/>
        </w:rPr>
        <w:t>However, even more direct methods can suffer from variation in estimates of dimensions. Handing a vernier calliper to ten people and asking them to provide the three dimensions (length, width, height) of a steel block will still result in a scattering of dimensions being recorded. Variations will result due to; different skill levels with the calliper, measurements at different places along the block surfaces, different pressures used on the calliper actuator and even rounding of readings if the vernier is mechanical instead of digital.</w:t>
      </w:r>
    </w:p>
    <w:p w:rsidR="0068285E" w:rsidRPr="0068285E" w:rsidRDefault="0068285E" w:rsidP="0068285E">
      <w:pPr>
        <w:shd w:val="clear" w:color="auto" w:fill="FFFFF0"/>
        <w:spacing w:before="100" w:beforeAutospacing="1" w:after="100" w:afterAutospacing="1" w:line="240" w:lineRule="auto"/>
        <w:rPr>
          <w:rFonts w:eastAsia="Times New Roman" w:cstheme="minorHAnsi"/>
          <w:color w:val="000000"/>
        </w:rPr>
      </w:pPr>
      <w:r w:rsidRPr="0068285E">
        <w:rPr>
          <w:rFonts w:eastAsia="Times New Roman" w:cstheme="minorHAnsi"/>
          <w:color w:val="000000"/>
        </w:rPr>
        <w:t xml:space="preserve">              </w:t>
      </w:r>
      <w:r w:rsidR="00D362B2" w:rsidRPr="0068285E">
        <w:rPr>
          <w:rFonts w:eastAsia="Times New Roman" w:cstheme="minorHAnsi"/>
          <w:color w:val="000000"/>
        </w:rPr>
        <w:t>Analysis of the variations of sizing in NDT becomes important when the results are used with fracture mechanics to assess if a flaw can be allowed to remain in the part or not. Materials' properties are studied in mechanical laboratories to determine the maximum flaw size that will not result in the component failing. This is an important concept for NDT users as it stresses the opposite to what most people ask of NDT. Instead of "What is the smallest flaw a test method can find?" the real concern is, "What is the largest flaw that could be missed by the NDT method?"</w:t>
      </w:r>
    </w:p>
    <w:p w:rsidR="00D362B2" w:rsidRPr="0068285E" w:rsidRDefault="0068285E" w:rsidP="0068285E">
      <w:pPr>
        <w:shd w:val="clear" w:color="auto" w:fill="FFFFF0"/>
        <w:spacing w:before="100" w:beforeAutospacing="1" w:after="100" w:afterAutospacing="1" w:line="240" w:lineRule="auto"/>
        <w:rPr>
          <w:rFonts w:eastAsia="Times New Roman" w:cstheme="minorHAnsi"/>
          <w:color w:val="000000"/>
        </w:rPr>
      </w:pPr>
      <w:r w:rsidRPr="0068285E">
        <w:rPr>
          <w:rFonts w:eastAsia="Times New Roman" w:cstheme="minorHAnsi"/>
          <w:color w:val="000000"/>
        </w:rPr>
        <w:t xml:space="preserve">              </w:t>
      </w:r>
      <w:r w:rsidR="00D362B2" w:rsidRPr="0068285E">
        <w:rPr>
          <w:rFonts w:eastAsia="Times New Roman" w:cstheme="minorHAnsi"/>
          <w:color w:val="000000"/>
        </w:rPr>
        <w:t>When an NDT operator is asked to make a judgment about the size of the flaw the result is then compared to an allowable dimension chart. But if the NDT method is not exactly accurate then there is some possibility that the dimension estimated by the NDT operator is less than actually exists, i.e. the operator under sizes the flaw. The NDT operator's estimate then results in an underestimate of the severity of the flaw. By an analysis of the sizing technique, the fracture mechanics engineer can incorporate a safety factor in the calculations that provides for the potential that the sizing technique used might undersize a flaw.</w:t>
      </w:r>
    </w:p>
    <w:p w:rsidR="00D362B2" w:rsidRPr="0068285E" w:rsidRDefault="0068285E" w:rsidP="0068285E">
      <w:pPr>
        <w:shd w:val="clear" w:color="auto" w:fill="FFFFF0"/>
        <w:spacing w:before="100" w:beforeAutospacing="1" w:after="100" w:afterAutospacing="1" w:line="240" w:lineRule="auto"/>
        <w:rPr>
          <w:rFonts w:eastAsia="Times New Roman" w:cstheme="minorHAnsi"/>
          <w:color w:val="000000"/>
        </w:rPr>
      </w:pPr>
      <w:r w:rsidRPr="0068285E">
        <w:rPr>
          <w:rFonts w:eastAsia="Times New Roman" w:cstheme="minorHAnsi"/>
          <w:color w:val="000000"/>
        </w:rPr>
        <w:t xml:space="preserve">              </w:t>
      </w:r>
      <w:r w:rsidR="00D362B2" w:rsidRPr="0068285E">
        <w:rPr>
          <w:rFonts w:eastAsia="Times New Roman" w:cstheme="minorHAnsi"/>
          <w:color w:val="000000"/>
        </w:rPr>
        <w:t xml:space="preserve">As with POD calculations, the sizing estimates are </w:t>
      </w:r>
      <w:r w:rsidR="00376B14" w:rsidRPr="0068285E">
        <w:rPr>
          <w:rFonts w:eastAsia="Times New Roman" w:cstheme="minorHAnsi"/>
          <w:color w:val="000000"/>
        </w:rPr>
        <w:t>analyzed</w:t>
      </w:r>
      <w:r w:rsidR="00D362B2" w:rsidRPr="0068285E">
        <w:rPr>
          <w:rFonts w:eastAsia="Times New Roman" w:cstheme="minorHAnsi"/>
          <w:color w:val="000000"/>
        </w:rPr>
        <w:t xml:space="preserve"> using a comparison to results obtained from destructive testing. One such analysis is illustrated in Figure 2. Figure 2 is a plot of the vertical extent of flaws that were sized by destructively examining the test sample and comparing those values to the NDT estimate of vertical extent. Destructive testing involves cutting and polishing or splitting the sample by means of a "nick break" and examining the flaws under a microscope to determine the maximum flaw size. This method too has some variability associated with it. It is the maximum overall value that is generally considered the reference to which the NDT size is compared. An ideal NDT method would plot all the NDT estimates along the line that equals the destructive test sizes. However, a scatter of estimates from the ideal is more typical of NDT methods assigned the task of sizing. This scatter is indicated in Figure 2.</w:t>
      </w:r>
    </w:p>
    <w:p w:rsidR="00D362B2" w:rsidRDefault="0068285E" w:rsidP="0068285E">
      <w:pPr>
        <w:shd w:val="clear" w:color="auto" w:fill="FFFFF0"/>
        <w:spacing w:before="100" w:beforeAutospacing="1" w:after="100" w:afterAutospacing="1" w:line="240" w:lineRule="auto"/>
        <w:rPr>
          <w:rFonts w:eastAsia="Times New Roman" w:cstheme="minorHAnsi"/>
          <w:color w:val="000000"/>
        </w:rPr>
      </w:pPr>
      <w:r w:rsidRPr="0068285E">
        <w:rPr>
          <w:rFonts w:eastAsia="Times New Roman" w:cstheme="minorHAnsi"/>
          <w:color w:val="000000"/>
        </w:rPr>
        <w:t xml:space="preserve">              </w:t>
      </w:r>
      <w:r w:rsidR="00D362B2" w:rsidRPr="0068285E">
        <w:rPr>
          <w:rFonts w:eastAsia="Times New Roman" w:cstheme="minorHAnsi"/>
          <w:color w:val="000000"/>
        </w:rPr>
        <w:t>Figure 2 also incorporates sizing tolerance lines. These are lines parallel to the ideal indicating the error in the size as estimated by NDT compared to the ideal or "assumed" correct size.</w:t>
      </w:r>
    </w:p>
    <w:p w:rsidR="0068285E" w:rsidRPr="0068285E" w:rsidRDefault="0068285E" w:rsidP="001E2AB3">
      <w:pPr>
        <w:pBdr>
          <w:top w:val="single" w:sz="4" w:space="1" w:color="auto" w:shadow="1"/>
          <w:left w:val="single" w:sz="4" w:space="4" w:color="auto" w:shadow="1"/>
          <w:bottom w:val="single" w:sz="4" w:space="1" w:color="auto" w:shadow="1"/>
          <w:right w:val="single" w:sz="4" w:space="4" w:color="auto" w:shadow="1"/>
        </w:pBdr>
        <w:shd w:val="clear" w:color="auto" w:fill="FFFFF0"/>
        <w:spacing w:before="100" w:beforeAutospacing="1" w:after="100" w:afterAutospacing="1" w:line="240" w:lineRule="auto"/>
        <w:rPr>
          <w:rFonts w:eastAsia="Times New Roman" w:cstheme="minorHAnsi"/>
          <w:color w:val="000000"/>
        </w:rPr>
      </w:pPr>
      <w:r>
        <w:rPr>
          <w:rFonts w:eastAsia="Times New Roman" w:cstheme="minorHAnsi"/>
          <w:noProof/>
          <w:color w:val="000000"/>
        </w:rPr>
        <w:lastRenderedPageBreak/>
        <w:drawing>
          <wp:inline distT="0" distB="0" distL="0" distR="0">
            <wp:extent cx="6305550" cy="4631510"/>
            <wp:effectExtent l="0" t="0" r="0" b="0"/>
            <wp:docPr id="4" name="Picture 3" descr="fig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gif"/>
                    <pic:cNvPicPr/>
                  </pic:nvPicPr>
                  <pic:blipFill>
                    <a:blip r:embed="rId11"/>
                    <a:stretch>
                      <a:fillRect/>
                    </a:stretch>
                  </pic:blipFill>
                  <pic:spPr>
                    <a:xfrm>
                      <a:off x="0" y="0"/>
                      <a:ext cx="6305550" cy="4631510"/>
                    </a:xfrm>
                    <a:prstGeom prst="rect">
                      <a:avLst/>
                    </a:prstGeom>
                  </pic:spPr>
                </pic:pic>
              </a:graphicData>
            </a:graphic>
          </wp:inline>
        </w:drawing>
      </w:r>
    </w:p>
    <w:p w:rsidR="00D362B2" w:rsidRPr="00D362B2" w:rsidRDefault="00D362B2" w:rsidP="00D362B2">
      <w:pPr>
        <w:pStyle w:val="ListParagraph"/>
        <w:rPr>
          <w:rFonts w:asciiTheme="majorHAnsi" w:hAnsiTheme="majorHAnsi" w:cstheme="minorHAnsi"/>
          <w:b/>
          <w:color w:val="000000"/>
          <w:sz w:val="28"/>
          <w:szCs w:val="28"/>
          <w:shd w:val="clear" w:color="auto" w:fill="FFFFF0"/>
        </w:rPr>
      </w:pPr>
    </w:p>
    <w:p w:rsidR="00BA32B5" w:rsidRDefault="00BA32B5" w:rsidP="00472632">
      <w:pPr>
        <w:rPr>
          <w:rFonts w:cstheme="minorHAnsi"/>
          <w:color w:val="000000"/>
          <w:shd w:val="clear" w:color="auto" w:fill="FFFFF0"/>
        </w:rPr>
      </w:pPr>
    </w:p>
    <w:p w:rsidR="00204135" w:rsidRDefault="00204135" w:rsidP="00204135">
      <w:pPr>
        <w:pStyle w:val="ListParagraph"/>
        <w:numPr>
          <w:ilvl w:val="0"/>
          <w:numId w:val="12"/>
        </w:numPr>
        <w:rPr>
          <w:rFonts w:asciiTheme="majorHAnsi" w:hAnsiTheme="majorHAnsi" w:cstheme="minorHAnsi"/>
          <w:b/>
          <w:color w:val="000000"/>
          <w:sz w:val="28"/>
          <w:szCs w:val="28"/>
          <w:shd w:val="clear" w:color="auto" w:fill="FFFFF0"/>
        </w:rPr>
      </w:pPr>
      <w:r>
        <w:rPr>
          <w:rFonts w:asciiTheme="majorHAnsi" w:hAnsiTheme="majorHAnsi" w:cstheme="minorHAnsi"/>
          <w:b/>
          <w:color w:val="000000"/>
          <w:sz w:val="28"/>
          <w:szCs w:val="28"/>
          <w:shd w:val="clear" w:color="auto" w:fill="FFFFF0"/>
        </w:rPr>
        <w:t>Probability of Detection</w:t>
      </w:r>
    </w:p>
    <w:p w:rsidR="00204135" w:rsidRPr="00204135" w:rsidRDefault="00204135" w:rsidP="00204135">
      <w:pPr>
        <w:pStyle w:val="ListParagraph"/>
        <w:rPr>
          <w:rFonts w:asciiTheme="majorHAnsi" w:hAnsiTheme="majorHAnsi" w:cstheme="minorHAnsi"/>
          <w:b/>
          <w:color w:val="000000"/>
          <w:sz w:val="28"/>
          <w:szCs w:val="28"/>
          <w:shd w:val="clear" w:color="auto" w:fill="FFFFF0"/>
        </w:rPr>
      </w:pPr>
    </w:p>
    <w:p w:rsidR="0068285E" w:rsidRPr="0068285E" w:rsidRDefault="0068285E" w:rsidP="0068285E">
      <w:pPr>
        <w:pStyle w:val="ListParagraph"/>
        <w:ind w:left="1440"/>
        <w:rPr>
          <w:rFonts w:asciiTheme="majorHAnsi" w:hAnsiTheme="majorHAnsi" w:cstheme="minorHAnsi"/>
          <w:b/>
          <w:color w:val="000000"/>
          <w:sz w:val="28"/>
          <w:szCs w:val="28"/>
          <w:shd w:val="clear" w:color="auto" w:fill="FFFFF0"/>
        </w:rPr>
      </w:pPr>
      <w:r>
        <w:rPr>
          <w:rFonts w:asciiTheme="majorHAnsi" w:hAnsiTheme="majorHAnsi" w:cstheme="minorHAnsi"/>
          <w:b/>
          <w:color w:val="000000"/>
          <w:sz w:val="28"/>
          <w:szCs w:val="28"/>
          <w:shd w:val="clear" w:color="auto" w:fill="FFFFF0"/>
        </w:rPr>
        <w:t xml:space="preserve">6.1 </w:t>
      </w:r>
      <w:r w:rsidR="00204135">
        <w:rPr>
          <w:rFonts w:asciiTheme="majorHAnsi" w:hAnsiTheme="majorHAnsi" w:cstheme="minorHAnsi"/>
          <w:b/>
          <w:color w:val="000000"/>
          <w:sz w:val="28"/>
          <w:szCs w:val="28"/>
          <w:shd w:val="clear" w:color="auto" w:fill="FFFFF0"/>
        </w:rPr>
        <w:t>What is POD?</w:t>
      </w:r>
    </w:p>
    <w:p w:rsidR="00204135" w:rsidRDefault="00204135" w:rsidP="00204135">
      <w:pPr>
        <w:rPr>
          <w:rFonts w:ascii="Arial" w:hAnsi="Arial" w:cs="Arial"/>
          <w:color w:val="000000"/>
          <w:vertAlign w:val="superscript"/>
        </w:rPr>
      </w:pPr>
      <w:r>
        <w:rPr>
          <w:rFonts w:asciiTheme="majorHAnsi" w:hAnsiTheme="majorHAnsi" w:cstheme="minorHAnsi"/>
          <w:b/>
          <w:color w:val="000000"/>
          <w:sz w:val="28"/>
          <w:szCs w:val="28"/>
          <w:shd w:val="clear" w:color="auto" w:fill="FFFFF0"/>
        </w:rPr>
        <w:t xml:space="preserve">              </w:t>
      </w:r>
      <w:r w:rsidRPr="00472632">
        <w:rPr>
          <w:rFonts w:cstheme="minorHAnsi"/>
          <w:color w:val="000000"/>
        </w:rPr>
        <w:t>POD – </w:t>
      </w:r>
      <w:r w:rsidRPr="00472632">
        <w:rPr>
          <w:rFonts w:cstheme="minorHAnsi"/>
          <w:bCs/>
          <w:color w:val="000000"/>
        </w:rPr>
        <w:t>P</w:t>
      </w:r>
      <w:r w:rsidRPr="00472632">
        <w:rPr>
          <w:rFonts w:cstheme="minorHAnsi"/>
          <w:color w:val="000000"/>
        </w:rPr>
        <w:t>robability </w:t>
      </w:r>
      <w:r w:rsidR="00FC3D0F">
        <w:rPr>
          <w:rFonts w:cstheme="minorHAnsi"/>
          <w:bCs/>
          <w:color w:val="000000"/>
        </w:rPr>
        <w:t>o</w:t>
      </w:r>
      <w:r w:rsidRPr="00472632">
        <w:rPr>
          <w:rFonts w:cstheme="minorHAnsi"/>
          <w:color w:val="000000"/>
        </w:rPr>
        <w:t>f </w:t>
      </w:r>
      <w:r w:rsidRPr="00472632">
        <w:rPr>
          <w:rFonts w:cstheme="minorHAnsi"/>
          <w:bCs/>
          <w:color w:val="000000"/>
        </w:rPr>
        <w:t>D</w:t>
      </w:r>
      <w:r w:rsidRPr="00472632">
        <w:rPr>
          <w:rFonts w:cstheme="minorHAnsi"/>
          <w:color w:val="000000"/>
        </w:rPr>
        <w:t>etection – is a means of describing how well an inspection procedure can detect the required defects. The chance or probability of detecting a defect will lie somewhere between 0 (no chance of detecting a defect) and 1 (no chance of not detecting a defect). By assigning POD values to a procedure, it is possible to compare the effectiveness of different inspection techniques. Alternatively, POD values can be used as a target which procedures have to be shown to be able to achieve</w:t>
      </w:r>
      <w:r>
        <w:rPr>
          <w:rFonts w:ascii="Arial" w:hAnsi="Arial" w:cs="Arial"/>
          <w:color w:val="000000"/>
          <w:sz w:val="19"/>
          <w:szCs w:val="19"/>
        </w:rPr>
        <w:t>.</w:t>
      </w:r>
      <w:r>
        <w:rPr>
          <w:rFonts w:ascii="Arial" w:hAnsi="Arial" w:cs="Arial"/>
          <w:color w:val="000000"/>
          <w:vertAlign w:val="superscript"/>
        </w:rPr>
        <w:t>[</w:t>
      </w:r>
      <w:r w:rsidR="00FC3D0F">
        <w:rPr>
          <w:rFonts w:cstheme="minorHAnsi"/>
          <w:color w:val="000000"/>
          <w:vertAlign w:val="superscript"/>
        </w:rPr>
        <w:t>4</w:t>
      </w:r>
      <w:r>
        <w:rPr>
          <w:rFonts w:ascii="Arial" w:hAnsi="Arial" w:cs="Arial"/>
          <w:color w:val="000000"/>
          <w:vertAlign w:val="superscript"/>
        </w:rPr>
        <w:t>]</w:t>
      </w:r>
    </w:p>
    <w:p w:rsidR="00204135" w:rsidRDefault="00204135" w:rsidP="00204135">
      <w:pPr>
        <w:rPr>
          <w:rFonts w:ascii="Arial" w:hAnsi="Arial" w:cs="Arial"/>
          <w:color w:val="000000"/>
          <w:vertAlign w:val="superscript"/>
        </w:rPr>
      </w:pPr>
    </w:p>
    <w:p w:rsidR="0068285E" w:rsidRDefault="0068285E" w:rsidP="00204135">
      <w:pPr>
        <w:rPr>
          <w:rFonts w:ascii="Arial" w:hAnsi="Arial" w:cs="Arial"/>
          <w:color w:val="000000"/>
          <w:vertAlign w:val="superscript"/>
        </w:rPr>
      </w:pPr>
    </w:p>
    <w:p w:rsidR="00BA32B5" w:rsidRPr="0068285E" w:rsidRDefault="0068285E" w:rsidP="0068285E">
      <w:pPr>
        <w:pStyle w:val="ListParagraph"/>
        <w:ind w:left="1440"/>
        <w:rPr>
          <w:rFonts w:asciiTheme="majorHAnsi" w:hAnsiTheme="majorHAnsi" w:cstheme="minorHAnsi"/>
          <w:b/>
          <w:color w:val="000000"/>
          <w:sz w:val="28"/>
          <w:szCs w:val="28"/>
          <w:shd w:val="clear" w:color="auto" w:fill="FFFFF0"/>
        </w:rPr>
      </w:pPr>
      <w:r w:rsidRPr="0068285E">
        <w:rPr>
          <w:rFonts w:asciiTheme="majorHAnsi" w:hAnsiTheme="majorHAnsi" w:cstheme="minorHAnsi"/>
          <w:b/>
          <w:color w:val="000000"/>
          <w:sz w:val="28"/>
          <w:szCs w:val="28"/>
          <w:shd w:val="clear" w:color="auto" w:fill="FFFFF0"/>
        </w:rPr>
        <w:lastRenderedPageBreak/>
        <w:t>6.2 History</w:t>
      </w:r>
      <w:r w:rsidR="00204135" w:rsidRPr="0068285E">
        <w:rPr>
          <w:rFonts w:asciiTheme="majorHAnsi" w:hAnsiTheme="majorHAnsi" w:cstheme="minorHAnsi"/>
          <w:b/>
          <w:color w:val="000000"/>
          <w:sz w:val="28"/>
          <w:szCs w:val="28"/>
          <w:shd w:val="clear" w:color="auto" w:fill="FFFFF0"/>
        </w:rPr>
        <w:t xml:space="preserve"> of POD</w:t>
      </w:r>
    </w:p>
    <w:p w:rsidR="006C7B40" w:rsidRDefault="006C7B40" w:rsidP="00BA32B5">
      <w:r>
        <w:t xml:space="preserve">               </w:t>
      </w:r>
      <w:r w:rsidR="00BA32B5">
        <w:t>The use of the POD functions as a metric for quantifying the NDE capability has undergone considerable development circa</w:t>
      </w:r>
      <w:r w:rsidR="00FC3D0F">
        <w:t xml:space="preserve"> late 1960’s and early 1970’s </w:t>
      </w:r>
      <w:r w:rsidR="00FC3D0F" w:rsidRPr="00F40BCD">
        <w:rPr>
          <w:vertAlign w:val="superscript"/>
        </w:rPr>
        <w:t>[5</w:t>
      </w:r>
      <w:r w:rsidR="00BA32B5" w:rsidRPr="00F40BCD">
        <w:rPr>
          <w:vertAlign w:val="superscript"/>
        </w:rPr>
        <w:t>]</w:t>
      </w:r>
      <w:r w:rsidR="00BA32B5">
        <w:t>. In 1969, the National Astronautics and Space Administration (NASA) recognized the need for NDE quantification for design and produc</w:t>
      </w:r>
      <w:r w:rsidR="00FC3D0F">
        <w:t xml:space="preserve">tion of the space shuttle </w:t>
      </w:r>
      <w:r w:rsidR="00FC3D0F" w:rsidRPr="00F40BCD">
        <w:rPr>
          <w:vertAlign w:val="superscript"/>
        </w:rPr>
        <w:t>[6, 7</w:t>
      </w:r>
      <w:r w:rsidR="00F40BCD">
        <w:rPr>
          <w:vertAlign w:val="superscript"/>
        </w:rPr>
        <w:t>]</w:t>
      </w:r>
      <w:r w:rsidR="00BA32B5">
        <w:t>. In order to meet the damage tolerance requirement, NASA appraised NDE reliability based on the largest fl aw, which is possible to be missed rather than the smallest fl aw that is possibl</w:t>
      </w:r>
      <w:r w:rsidR="00FC3D0F">
        <w:t xml:space="preserve">e to be detected </w:t>
      </w:r>
      <w:r w:rsidR="00FC3D0F" w:rsidRPr="00F40BCD">
        <w:rPr>
          <w:vertAlign w:val="superscript"/>
        </w:rPr>
        <w:t>[6, 7</w:t>
      </w:r>
      <w:r w:rsidR="00BA32B5" w:rsidRPr="00F40BCD">
        <w:rPr>
          <w:vertAlign w:val="superscript"/>
        </w:rPr>
        <w:t>]</w:t>
      </w:r>
      <w:r w:rsidR="00F40BCD">
        <w:t xml:space="preserve">. </w:t>
      </w:r>
      <w:r w:rsidR="00BA32B5">
        <w:t xml:space="preserve">The need for this transition was felt because detecting the smallest fl aw by NDE method was more cumbersome and less reliable, than detecting the largest fl aw that could be missed by a NDE method. </w:t>
      </w:r>
    </w:p>
    <w:p w:rsidR="006C7B40" w:rsidRDefault="006C7B40" w:rsidP="00BA32B5">
      <w:r>
        <w:t xml:space="preserve">              </w:t>
      </w:r>
      <w:r w:rsidR="00BA32B5">
        <w:t>The NASA methodology of quantifying NDE capability was incorporated in the standard NASA-5009 and was soon adopted by the US Air Force (USAF) by issuing the document MIL A-834</w:t>
      </w:r>
      <w:r w:rsidR="00FC3D0F">
        <w:t xml:space="preserve">44 </w:t>
      </w:r>
      <w:r w:rsidR="00FC3D0F" w:rsidRPr="00F40BCD">
        <w:rPr>
          <w:vertAlign w:val="superscript"/>
        </w:rPr>
        <w:t>[6, 7</w:t>
      </w:r>
      <w:r w:rsidR="00BA32B5" w:rsidRPr="00F40BCD">
        <w:rPr>
          <w:vertAlign w:val="superscript"/>
        </w:rPr>
        <w:t>]</w:t>
      </w:r>
      <w:r w:rsidR="00F40BCD">
        <w:t>.</w:t>
      </w:r>
      <w:r w:rsidR="00BA32B5">
        <w:t xml:space="preserve"> Thereafter, the concept of the POD was introduced in 1973 and was incorporated into the design requirements for the NASA Space Shut</w:t>
      </w:r>
      <w:r w:rsidR="00F40BCD">
        <w:t xml:space="preserve">tle program </w:t>
      </w:r>
      <w:r w:rsidR="00F40BCD">
        <w:rPr>
          <w:vertAlign w:val="superscript"/>
        </w:rPr>
        <w:t>[8]</w:t>
      </w:r>
      <w:r w:rsidR="00BA32B5">
        <w:t xml:space="preserve">. The NASA POD development project was pioneering work in quantifying the NDE capabilities and was soon accepted as a standard method. </w:t>
      </w:r>
    </w:p>
    <w:p w:rsidR="006C7B40" w:rsidRDefault="006C7B40" w:rsidP="00BA32B5">
      <w:r>
        <w:t xml:space="preserve">              </w:t>
      </w:r>
      <w:r w:rsidR="00BA32B5">
        <w:t>The initial plots of POD curves were constructed using moving averages, and manually fitting a curve through the</w:t>
      </w:r>
      <w:r w:rsidR="00FC3D0F">
        <w:t xml:space="preserve">se points </w:t>
      </w:r>
      <w:r w:rsidR="00FC3D0F" w:rsidRPr="00F40BCD">
        <w:rPr>
          <w:vertAlign w:val="superscript"/>
        </w:rPr>
        <w:t>[9</w:t>
      </w:r>
      <w:r w:rsidR="00BA32B5" w:rsidRPr="00F40BCD">
        <w:rPr>
          <w:vertAlign w:val="superscript"/>
        </w:rPr>
        <w:t>]</w:t>
      </w:r>
      <w:r w:rsidR="00F40BCD">
        <w:t>.</w:t>
      </w:r>
      <w:r w:rsidR="00BA32B5">
        <w:t xml:space="preserve"> Thereafter, large number of methods was formulated to draw the POD curves. The equation POD (a) = </w:t>
      </w:r>
      <m:oMath>
        <m:f>
          <m:fPr>
            <m:ctrlPr>
              <w:rPr>
                <w:rFonts w:ascii="Cambria Math" w:hAnsi="Cambria Math"/>
                <w:i/>
              </w:rPr>
            </m:ctrlPr>
          </m:fPr>
          <m:num>
            <m:sSub>
              <m:sSubPr>
                <m:ctrlPr>
                  <w:rPr>
                    <w:rFonts w:ascii="Cambria Math" w:hAnsi="Cambria Math"/>
                    <w:i/>
                  </w:rPr>
                </m:ctrlPr>
              </m:sSubPr>
              <m:e>
                <m:r>
                  <w:rPr>
                    <w:rFonts w:ascii="Cambria Math" w:hAnsi="Cambria Math"/>
                  </w:rPr>
                  <m:t>n</m:t>
                </m:r>
              </m:e>
              <m:sub>
                <m:r>
                  <w:rPr>
                    <w:rFonts w:ascii="Cambria Math" w:hAnsi="Cambria Math"/>
                  </w:rPr>
                  <m:t>d</m:t>
                </m:r>
              </m:sub>
            </m:sSub>
          </m:num>
          <m:den>
            <m:r>
              <w:rPr>
                <w:rFonts w:ascii="Cambria Math" w:hAnsi="Cambria Math"/>
              </w:rPr>
              <m:t>n</m:t>
            </m:r>
          </m:den>
        </m:f>
      </m:oMath>
      <w:r>
        <w:rPr>
          <w:rFonts w:eastAsiaTheme="minorEastAsia"/>
        </w:rPr>
        <w:t xml:space="preserve"> </w:t>
      </w:r>
      <w:r w:rsidR="00BA32B5">
        <w:t>served as the main equation of these methods and binomial statistics was used to calculate the confi</w:t>
      </w:r>
      <w:r w:rsidR="00F40BCD">
        <w:t>dence bounds</w:t>
      </w:r>
      <w:r w:rsidR="00F40BCD">
        <w:rPr>
          <w:vertAlign w:val="superscript"/>
        </w:rPr>
        <w:t xml:space="preserve"> [10]</w:t>
      </w:r>
      <w:r w:rsidR="00BA32B5">
        <w:t>. Nevertheless, this non-parametric method was inadequate as it produced coherent results for a single fl aw size, but often led to the requirement of extremely large sample sizes to obtain reasonable lower confidence bounds on the POD</w:t>
      </w:r>
      <w:r w:rsidR="00F40BCD">
        <w:t xml:space="preserve"> </w:t>
      </w:r>
      <w:r w:rsidR="00F40BCD">
        <w:rPr>
          <w:vertAlign w:val="superscript"/>
        </w:rPr>
        <w:t>[11]</w:t>
      </w:r>
      <w:r w:rsidR="00BA32B5">
        <w:t xml:space="preserve">. </w:t>
      </w:r>
    </w:p>
    <w:p w:rsidR="006C7B40" w:rsidRDefault="006C7B40" w:rsidP="00BA32B5">
      <w:r>
        <w:t xml:space="preserve">              </w:t>
      </w:r>
      <w:r w:rsidR="00BA32B5">
        <w:t>Thereafter, in 1978 a fi</w:t>
      </w:r>
      <w:r w:rsidR="00F40BCD">
        <w:t xml:space="preserve">nal report </w:t>
      </w:r>
      <w:r w:rsidR="00F40BCD">
        <w:rPr>
          <w:vertAlign w:val="superscript"/>
        </w:rPr>
        <w:t>[12]</w:t>
      </w:r>
      <w:r w:rsidR="00BA32B5">
        <w:t xml:space="preserve"> of a large NDE reliability program carried out by the USAF and statisticians based on the logistic regression to anal</w:t>
      </w:r>
      <w:r w:rsidR="00FC3D0F">
        <w:t xml:space="preserve">yze hit/miss data was issued </w:t>
      </w:r>
      <w:r w:rsidR="00FC3D0F" w:rsidRPr="00F40BCD">
        <w:rPr>
          <w:vertAlign w:val="superscript"/>
        </w:rPr>
        <w:t>[13</w:t>
      </w:r>
      <w:r w:rsidR="00F40BCD" w:rsidRPr="00F40BCD">
        <w:rPr>
          <w:vertAlign w:val="superscript"/>
        </w:rPr>
        <w:t>]</w:t>
      </w:r>
      <w:r w:rsidR="00F40BCD">
        <w:t xml:space="preserve">. </w:t>
      </w:r>
      <w:r w:rsidR="00BA32B5">
        <w:t>The program was called “Have-Cracks-Will-Travel” and the experimental data from the program included numerous examples of two cracks of approximately equal length having significantly different POD. These results clearly demonstrated that besides crack length, the POD was influ</w:t>
      </w:r>
      <w:r w:rsidR="00FC3D0F">
        <w:t xml:space="preserve">enced by many other factors </w:t>
      </w:r>
      <w:r w:rsidR="00FC3D0F" w:rsidRPr="00F40BCD">
        <w:rPr>
          <w:vertAlign w:val="superscript"/>
        </w:rPr>
        <w:t>[14</w:t>
      </w:r>
      <w:r w:rsidR="00F40BCD">
        <w:rPr>
          <w:vertAlign w:val="superscript"/>
        </w:rPr>
        <w:t>]</w:t>
      </w:r>
      <w:r w:rsidR="00BA32B5">
        <w:t>. It is to be noted that the “Have-Cracks-Will-Travel” data was recorded in terms of ‘hit/miss’ only. Based on the analysis of the above data</w:t>
      </w:r>
      <w:r w:rsidR="00F40BCD">
        <w:t xml:space="preserve">, Berens and Hovey </w:t>
      </w:r>
      <w:r w:rsidR="00F40BCD">
        <w:rPr>
          <w:vertAlign w:val="superscript"/>
        </w:rPr>
        <w:t>[13]</w:t>
      </w:r>
      <w:r w:rsidR="00BA32B5">
        <w:t xml:space="preserve"> proposed a probabilistic description of POD, “as a curve through the averages of detection probabilities for all cracks of the same length”. They called such a curve as regression curve. The aforementioned approach was documented in an American Society for Testing of Materials (ASTM) Special Technical Publi</w:t>
      </w:r>
      <w:r w:rsidR="00F40BCD">
        <w:t xml:space="preserve">cation </w:t>
      </w:r>
      <w:r w:rsidR="00F40BCD">
        <w:rPr>
          <w:vertAlign w:val="superscript"/>
        </w:rPr>
        <w:t>[14]</w:t>
      </w:r>
      <w:r w:rsidR="00BA32B5">
        <w:t xml:space="preserve">. </w:t>
      </w:r>
    </w:p>
    <w:p w:rsidR="00BA32B5" w:rsidRDefault="006C7B40" w:rsidP="00BA32B5">
      <w:r>
        <w:t xml:space="preserve">              </w:t>
      </w:r>
      <w:r w:rsidR="00BA32B5">
        <w:t>It is mentioned in the a</w:t>
      </w:r>
      <w:r>
        <w:t xml:space="preserve">forementioned document that log </w:t>
      </w:r>
      <w:r w:rsidR="00BA32B5">
        <w:t>odds models of the POD provides better estimates of the POD with less scatter, as compared to the non-parametric method which used binomial based estimates.</w:t>
      </w:r>
    </w:p>
    <w:p w:rsidR="001E3E22" w:rsidRDefault="00BF480E" w:rsidP="00BA32B5">
      <w:r>
        <w:t xml:space="preserve">              The next evolution of POD was </w:t>
      </w:r>
      <w:r w:rsidR="001E3E22">
        <w:t>driven by development of the au</w:t>
      </w:r>
      <w:r>
        <w:t>tomated EC which besides ‘hit/miss’ data, allowed the collection of signal response, which may be interpreted as the perceived flaw size (i.e. â vs a” data). A me</w:t>
      </w:r>
      <w:r w:rsidR="001E3E22">
        <w:t>thod of estimating the POD func</w:t>
      </w:r>
      <w:r>
        <w:t>tion from â</w:t>
      </w:r>
      <w:r w:rsidR="00FC3D0F">
        <w:t xml:space="preserve"> vs a” data wa</w:t>
      </w:r>
      <w:r w:rsidR="00457C06">
        <w:t xml:space="preserve">s presented in </w:t>
      </w:r>
      <w:r w:rsidR="00457C06">
        <w:rPr>
          <w:vertAlign w:val="superscript"/>
        </w:rPr>
        <w:t>[15]</w:t>
      </w:r>
      <w:r>
        <w:t>. The review of the signal response data indicated that the data was generally linear on a logarithmic scale and the variance was normally distributed around the mea</w:t>
      </w:r>
      <w:r w:rsidR="00457C06">
        <w:t xml:space="preserve">n, independent of crack size </w:t>
      </w:r>
      <w:r w:rsidR="00457C06">
        <w:rPr>
          <w:vertAlign w:val="superscript"/>
        </w:rPr>
        <w:t>[16]</w:t>
      </w:r>
      <w:r>
        <w:t xml:space="preserve">. Thereafter, </w:t>
      </w:r>
      <w:r w:rsidR="001E3E22">
        <w:t>Be</w:t>
      </w:r>
      <w:r>
        <w:t xml:space="preserve">rens showed that ‘log-normal’ or ‘Probit’ was the best fit for </w:t>
      </w:r>
      <w:r w:rsidR="00457C06">
        <w:t xml:space="preserve">the signal response NDE data </w:t>
      </w:r>
      <w:r w:rsidR="00457C06">
        <w:rPr>
          <w:vertAlign w:val="superscript"/>
        </w:rPr>
        <w:t>[8]</w:t>
      </w:r>
      <w:r>
        <w:t xml:space="preserve">. </w:t>
      </w:r>
    </w:p>
    <w:p w:rsidR="001E3E22" w:rsidRDefault="001E3E22" w:rsidP="00BA32B5">
      <w:r>
        <w:lastRenderedPageBreak/>
        <w:t xml:space="preserve">              </w:t>
      </w:r>
      <w:r w:rsidR="00BF480E">
        <w:t>Until late 90s the work done by Berens, as published in the ASM Handbook was treated as the main reference standard in</w:t>
      </w:r>
      <w:r w:rsidR="00457C06">
        <w:t xml:space="preserve"> the field of POD evaluation </w:t>
      </w:r>
      <w:r w:rsidR="00457C06">
        <w:rPr>
          <w:vertAlign w:val="superscript"/>
        </w:rPr>
        <w:t>[11]</w:t>
      </w:r>
      <w:r w:rsidR="00BF480E">
        <w:t>. Later, this work was documented into the US Department of Defense (DOD) Handbook for POD studies,</w:t>
      </w:r>
      <w:r w:rsidR="00457C06">
        <w:t xml:space="preserve"> which was published in 1999 </w:t>
      </w:r>
      <w:r w:rsidR="00457C06">
        <w:rPr>
          <w:vertAlign w:val="superscript"/>
        </w:rPr>
        <w:t>[17]</w:t>
      </w:r>
      <w:r w:rsidR="00BF480E">
        <w:t>. The main challenge in the development of POD was to calculate the confide</w:t>
      </w:r>
      <w:r w:rsidR="00457C06">
        <w:t xml:space="preserve">nce interval (CI) accurately </w:t>
      </w:r>
      <w:r w:rsidR="00457C06">
        <w:rPr>
          <w:vertAlign w:val="superscript"/>
        </w:rPr>
        <w:t>[18]</w:t>
      </w:r>
      <w:r w:rsidR="00BF480E">
        <w:t>. Since 2000, several modifications have been sugge</w:t>
      </w:r>
      <w:r w:rsidR="00457C06">
        <w:t xml:space="preserve">sted for POD CI calculations </w:t>
      </w:r>
      <w:r w:rsidR="00457C06">
        <w:rPr>
          <w:vertAlign w:val="superscript"/>
        </w:rPr>
        <w:t>[17]</w:t>
      </w:r>
      <w:r w:rsidR="00BF480E">
        <w:t>. Firstly, the CI for ‘hit/miss’ data</w:t>
      </w:r>
      <w:r>
        <w:t xml:space="preserve"> were considered overly conserv</w:t>
      </w:r>
      <w:r w:rsidR="00BF480E">
        <w:t>ative as they were applied simultaneously to all the points on the POD curve. This method of calculating CI was based on th</w:t>
      </w:r>
      <w:r w:rsidR="00457C06">
        <w:t xml:space="preserve">e so called Wald Statistic </w:t>
      </w:r>
      <w:r w:rsidR="00457C06">
        <w:rPr>
          <w:vertAlign w:val="superscript"/>
        </w:rPr>
        <w:t>[18]</w:t>
      </w:r>
      <w:r w:rsidR="00BF480E">
        <w:t>. Later, the likelihood ratio method was recommended as a more accurat</w:t>
      </w:r>
      <w:r w:rsidR="00F40BCD">
        <w:t>e method for CI calculations</w:t>
      </w:r>
      <w:r w:rsidR="00457C06">
        <w:t xml:space="preserve"> </w:t>
      </w:r>
      <w:r w:rsidR="00457C06">
        <w:rPr>
          <w:vertAlign w:val="superscript"/>
        </w:rPr>
        <w:t>[19]</w:t>
      </w:r>
      <w:r w:rsidR="00BF480E">
        <w:t xml:space="preserve">. </w:t>
      </w:r>
    </w:p>
    <w:p w:rsidR="00BF480E" w:rsidRDefault="001E3E22" w:rsidP="00BA32B5">
      <w:r>
        <w:t xml:space="preserve">              </w:t>
      </w:r>
      <w:r w:rsidR="00BF480E">
        <w:t>MIL-HDBK-1823 was revised to include these developments in POD CI calculations and finally MIL-HDBK-1823A (an updated version of MIL-HDBK</w:t>
      </w:r>
      <w:r w:rsidR="00457C06">
        <w:t xml:space="preserve">-1823) was published in 2009 </w:t>
      </w:r>
      <w:r w:rsidR="00457C06">
        <w:rPr>
          <w:vertAlign w:val="superscript"/>
        </w:rPr>
        <w:t>[20]</w:t>
      </w:r>
      <w:r w:rsidR="00BF480E">
        <w:t>. At present, MIL-HDBK1823A is considered as the state-of-the-art guidance for conducting POD studies by the USAF and other industries</w:t>
      </w:r>
      <w:r>
        <w:t>.</w:t>
      </w:r>
    </w:p>
    <w:p w:rsidR="001E3E22" w:rsidRDefault="001E3E22" w:rsidP="00BA32B5"/>
    <w:p w:rsidR="001E3E22" w:rsidRPr="001E3E22" w:rsidRDefault="0068285E" w:rsidP="0068285E">
      <w:pPr>
        <w:pStyle w:val="ListParagraph"/>
        <w:ind w:left="792"/>
        <w:rPr>
          <w:rFonts w:asciiTheme="majorHAnsi" w:hAnsiTheme="majorHAnsi"/>
          <w:b/>
          <w:sz w:val="28"/>
          <w:szCs w:val="28"/>
        </w:rPr>
      </w:pPr>
      <w:r>
        <w:rPr>
          <w:rFonts w:asciiTheme="majorHAnsi" w:hAnsiTheme="majorHAnsi"/>
          <w:b/>
          <w:sz w:val="28"/>
          <w:szCs w:val="28"/>
        </w:rPr>
        <w:t xml:space="preserve">      6.3 </w:t>
      </w:r>
      <w:r w:rsidR="001E3E22" w:rsidRPr="001E3E22">
        <w:rPr>
          <w:rFonts w:asciiTheme="majorHAnsi" w:hAnsiTheme="majorHAnsi"/>
          <w:b/>
          <w:sz w:val="28"/>
          <w:szCs w:val="28"/>
        </w:rPr>
        <w:t>Development towards Computational POD</w:t>
      </w:r>
    </w:p>
    <w:p w:rsidR="001E3E22" w:rsidRDefault="001E3E22" w:rsidP="00BA32B5">
      <w:r>
        <w:t xml:space="preserve">              Until mid 90s the reliability of NDE inspection had traditionally been evaluated by experimental trials. Since it was a laborious and time consuming task, this led to transition in the POD curve generation philosophy from experimental to computational models, most notably within UK National </w:t>
      </w:r>
      <w:r w:rsidR="00457C06">
        <w:t xml:space="preserve">NDT Centre and also in the USA </w:t>
      </w:r>
      <w:r w:rsidR="00457C06">
        <w:rPr>
          <w:vertAlign w:val="superscript"/>
        </w:rPr>
        <w:t>[21]</w:t>
      </w:r>
      <w:r>
        <w:t xml:space="preserve">. </w:t>
      </w:r>
    </w:p>
    <w:p w:rsidR="001E3E22" w:rsidRDefault="001E3E22" w:rsidP="00BA32B5">
      <w:r>
        <w:t xml:space="preserve">              In 1989, Gray and colleagues at Iowa State University published a paper reviewing NDE reliability models. The authors concluded that due to the time and economic reasons there is a need to come up with the computational models for predicting the NDE r</w:t>
      </w:r>
      <w:r w:rsidR="00457C06">
        <w:t xml:space="preserve">eliability </w:t>
      </w:r>
      <w:r w:rsidR="00457C06">
        <w:rPr>
          <w:vertAlign w:val="superscript"/>
        </w:rPr>
        <w:t>[22]</w:t>
      </w:r>
      <w:r>
        <w:t>. Later in 1990, Nakagawa, at Iowa State, and Beissner, at Southwest Research Institute, used a novice approach of substituting the experimental flaw signals with the theoretical</w:t>
      </w:r>
      <w:r w:rsidR="00457C06">
        <w:t xml:space="preserve"> physical modeling technique </w:t>
      </w:r>
      <w:r w:rsidR="00457C06">
        <w:rPr>
          <w:vertAlign w:val="superscript"/>
        </w:rPr>
        <w:t>[23]</w:t>
      </w:r>
      <w:r>
        <w:t>. The authors concluded from their work, that computer simulations are possible replacement of a large number of experimental EC measurements to determin</w:t>
      </w:r>
      <w:r w:rsidR="00457C06">
        <w:t xml:space="preserve">e POD for the fatigue cracks </w:t>
      </w:r>
      <w:r w:rsidR="00457C06">
        <w:rPr>
          <w:vertAlign w:val="superscript"/>
        </w:rPr>
        <w:t>[23]</w:t>
      </w:r>
      <w:r>
        <w:t xml:space="preserve">. </w:t>
      </w:r>
    </w:p>
    <w:p w:rsidR="001E3E22" w:rsidRDefault="001E3E22" w:rsidP="00BA32B5">
      <w:r>
        <w:t xml:space="preserve">              Contemporary to the efforts on modeling of POD at Iowa State University, researchers at Harwell Laboratory in Oxford were also pursuing development of computational POD models. Ogilvy in 1993 created a mathematical model to predict the theoretical POD of planar buried defects from conventional ultr</w:t>
      </w:r>
      <w:r w:rsidR="00457C06">
        <w:t xml:space="preserve">asonic pulse-echo inspection </w:t>
      </w:r>
      <w:r w:rsidR="00457C06">
        <w:rPr>
          <w:vertAlign w:val="superscript"/>
        </w:rPr>
        <w:t>[24]</w:t>
      </w:r>
      <w:r>
        <w:t>. In 1994, Wall and Wedgwood presented a review of the economic benefits to be derived from being able to improve and quantify speed, coverage and reliabi</w:t>
      </w:r>
      <w:r w:rsidR="00F40BCD">
        <w:t>l</w:t>
      </w:r>
      <w:r w:rsidR="00457C06">
        <w:t xml:space="preserve">ity of the NDE measurements </w:t>
      </w:r>
      <w:r w:rsidR="00457C06">
        <w:rPr>
          <w:vertAlign w:val="superscript"/>
        </w:rPr>
        <w:t>[25]</w:t>
      </w:r>
      <w:r>
        <w:t xml:space="preserve">. </w:t>
      </w:r>
    </w:p>
    <w:p w:rsidR="001E3E22" w:rsidRDefault="001E3E22" w:rsidP="00BA32B5">
      <w:r>
        <w:t xml:space="preserve">             In the same year, Schmerr and Thompson at Iowa State University based on their research concluded that modeling of NDE allowed it to be fully integrated in the desig</w:t>
      </w:r>
      <w:r w:rsidR="00457C06">
        <w:t xml:space="preserve">n and life cycle performance </w:t>
      </w:r>
      <w:r w:rsidR="00457C06">
        <w:rPr>
          <w:vertAlign w:val="superscript"/>
        </w:rPr>
        <w:t>[26]</w:t>
      </w:r>
      <w:r>
        <w:t>. Two years later in 1996, Meeker, et al. discussed the physical models based on theory of ultrasonic wave scattering that could be used to predict measurements from t</w:t>
      </w:r>
      <w:r w:rsidR="00F40BCD">
        <w:t xml:space="preserve">he flaw signal </w:t>
      </w:r>
      <w:r w:rsidR="00457C06">
        <w:t xml:space="preserve">distributions </w:t>
      </w:r>
      <w:r w:rsidR="00457C06">
        <w:rPr>
          <w:vertAlign w:val="superscript"/>
        </w:rPr>
        <w:t>[27]</w:t>
      </w:r>
      <w:r>
        <w:t>. In the following year, Wall at the National NDT Centre (NNDTC), Harwell presented a review on modeling of NDE reliability and the application of c</w:t>
      </w:r>
      <w:r w:rsidR="00457C06">
        <w:t xml:space="preserve">orrections for human factors </w:t>
      </w:r>
      <w:r w:rsidR="00457C06">
        <w:rPr>
          <w:vertAlign w:val="superscript"/>
        </w:rPr>
        <w:t>[21]</w:t>
      </w:r>
      <w:r>
        <w:t>. In the same year, an overall review of the POD modeling methodology developed at Iowa State University was pres</w:t>
      </w:r>
      <w:r w:rsidR="00457C06">
        <w:t xml:space="preserve">ented by Thompson and Meeker </w:t>
      </w:r>
      <w:r w:rsidR="00457C06">
        <w:rPr>
          <w:vertAlign w:val="superscript"/>
        </w:rPr>
        <w:t>[28]</w:t>
      </w:r>
      <w:r>
        <w:t xml:space="preserve">. </w:t>
      </w:r>
    </w:p>
    <w:p w:rsidR="00203AC0" w:rsidRDefault="001E3E22" w:rsidP="00203AC0">
      <w:r>
        <w:lastRenderedPageBreak/>
        <w:t xml:space="preserve">              In 1998, Sarkar, et al. combined a deterministic POD model with a statistical model to predict POD at inspection conditions that are different from the original conditions for which exp</w:t>
      </w:r>
      <w:r w:rsidR="00457C06">
        <w:t xml:space="preserve">erimental data was available </w:t>
      </w:r>
      <w:r w:rsidR="00457C06">
        <w:rPr>
          <w:vertAlign w:val="superscript"/>
        </w:rPr>
        <w:t>[29]</w:t>
      </w:r>
      <w:r>
        <w:t>. Thereafter in 2001,Meeker, et al. described a novice modeling methodology combining the use of physical modeling and statistical modeling to account for other important factors that are not included in the physical model (e.g., human factors, unavoidable changes in i</w:t>
      </w:r>
      <w:r w:rsidR="00457C06">
        <w:t xml:space="preserve">nspection system properties) </w:t>
      </w:r>
      <w:r w:rsidR="00457C06">
        <w:rPr>
          <w:vertAlign w:val="superscript"/>
        </w:rPr>
        <w:t>[30]</w:t>
      </w:r>
      <w:r w:rsidR="00457C06">
        <w:t>.</w:t>
      </w:r>
    </w:p>
    <w:p w:rsidR="003C7638" w:rsidRDefault="003C7638" w:rsidP="00203AC0"/>
    <w:p w:rsidR="00953906" w:rsidRDefault="00953906" w:rsidP="00203AC0"/>
    <w:p w:rsidR="00953906" w:rsidRDefault="0030098E" w:rsidP="0030098E">
      <w:pPr>
        <w:pStyle w:val="ListParagraph"/>
        <w:numPr>
          <w:ilvl w:val="0"/>
          <w:numId w:val="12"/>
        </w:numPr>
        <w:rPr>
          <w:rFonts w:asciiTheme="majorHAnsi" w:hAnsiTheme="majorHAnsi"/>
          <w:b/>
          <w:sz w:val="28"/>
          <w:szCs w:val="28"/>
        </w:rPr>
      </w:pPr>
      <w:r>
        <w:rPr>
          <w:rFonts w:asciiTheme="majorHAnsi" w:hAnsiTheme="majorHAnsi"/>
          <w:b/>
          <w:sz w:val="28"/>
          <w:szCs w:val="28"/>
        </w:rPr>
        <w:t>Analysis of Outcomes</w:t>
      </w:r>
    </w:p>
    <w:p w:rsidR="00722BD3" w:rsidRDefault="00722BD3" w:rsidP="0030098E">
      <w:pPr>
        <w:ind w:left="720"/>
        <w:rPr>
          <w:rFonts w:cstheme="minorHAnsi"/>
        </w:rPr>
      </w:pPr>
      <w:r>
        <w:rPr>
          <w:rFonts w:cstheme="minorHAnsi"/>
        </w:rPr>
        <w:t>In one Non-Destructive test, 21 flaws are found which are measured by 10 technicians with ultrasonic wall thickness method. Table (1) shows actual defect size as well as size measured by all technicians.</w:t>
      </w:r>
    </w:p>
    <w:p w:rsidR="0030098E" w:rsidRPr="0030098E" w:rsidRDefault="00722BD3" w:rsidP="00722BD3">
      <w:pPr>
        <w:ind w:left="720"/>
        <w:jc w:val="center"/>
        <w:rPr>
          <w:rFonts w:cstheme="minorHAnsi"/>
        </w:rPr>
      </w:pPr>
      <w:r w:rsidRPr="00722BD3">
        <w:drawing>
          <wp:inline distT="0" distB="0" distL="0" distR="0">
            <wp:extent cx="5943600" cy="2941782"/>
            <wp:effectExtent l="19050" t="0" r="0" b="0"/>
            <wp:docPr id="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srcRect/>
                    <a:stretch>
                      <a:fillRect/>
                    </a:stretch>
                  </pic:blipFill>
                  <pic:spPr bwMode="auto">
                    <a:xfrm>
                      <a:off x="0" y="0"/>
                      <a:ext cx="5943600" cy="2941782"/>
                    </a:xfrm>
                    <a:prstGeom prst="rect">
                      <a:avLst/>
                    </a:prstGeom>
                    <a:noFill/>
                    <a:ln w="9525">
                      <a:noFill/>
                      <a:miter lim="800000"/>
                      <a:headEnd/>
                      <a:tailEnd/>
                    </a:ln>
                  </pic:spPr>
                </pic:pic>
              </a:graphicData>
            </a:graphic>
          </wp:inline>
        </w:drawing>
      </w:r>
      <w:r w:rsidRPr="00722BD3">
        <w:rPr>
          <w:rFonts w:cstheme="minorHAnsi"/>
          <w:sz w:val="20"/>
          <w:szCs w:val="20"/>
        </w:rPr>
        <w:t>Table 1: Given Data</w:t>
      </w:r>
    </w:p>
    <w:p w:rsidR="00953906" w:rsidRDefault="00953906" w:rsidP="00203AC0"/>
    <w:p w:rsidR="00953906" w:rsidRDefault="00722BD3" w:rsidP="00203AC0">
      <w:r>
        <w:t xml:space="preserve">              From given data, first of all, we find ERROR for all defects for all individual </w:t>
      </w:r>
      <w:r w:rsidR="00C8548C">
        <w:t>operators</w:t>
      </w:r>
      <w:r>
        <w:t>.</w:t>
      </w:r>
    </w:p>
    <w:p w:rsidR="00722BD3" w:rsidRPr="00F079DD" w:rsidRDefault="00F079DD" w:rsidP="00203AC0">
      <w:pPr>
        <w:rPr>
          <w:rFonts w:eastAsiaTheme="minorEastAsia" w:cstheme="minorHAnsi"/>
          <w:b/>
          <w:i/>
        </w:rPr>
      </w:pPr>
      <m:oMathPara>
        <m:oMath>
          <m:r>
            <m:rPr>
              <m:sty m:val="bi"/>
            </m:rPr>
            <w:rPr>
              <w:rFonts w:ascii="Cambria Math" w:hAnsi="Cambria Math" w:cstheme="minorHAnsi"/>
              <w:highlight w:val="lightGray"/>
            </w:rPr>
            <m:t>Error</m:t>
          </m:r>
          <m:r>
            <m:rPr>
              <m:sty m:val="bi"/>
            </m:rPr>
            <w:rPr>
              <w:rFonts w:ascii="Cambria Math" w:cstheme="minorHAnsi"/>
              <w:highlight w:val="lightGray"/>
            </w:rPr>
            <m:t xml:space="preserve"> </m:t>
          </m:r>
          <m:d>
            <m:dPr>
              <m:ctrlPr>
                <w:rPr>
                  <w:rFonts w:ascii="Cambria Math" w:cstheme="minorHAnsi"/>
                  <w:b/>
                  <w:i/>
                  <w:highlight w:val="lightGray"/>
                </w:rPr>
              </m:ctrlPr>
            </m:dPr>
            <m:e>
              <m:r>
                <m:rPr>
                  <m:sty m:val="bi"/>
                </m:rPr>
                <w:rPr>
                  <w:rFonts w:ascii="Cambria Math" w:hAnsi="Cambria Math" w:cstheme="minorHAnsi"/>
                  <w:highlight w:val="lightGray"/>
                </w:rPr>
                <m:t>i</m:t>
              </m:r>
            </m:e>
          </m:d>
          <m:r>
            <m:rPr>
              <m:sty m:val="bi"/>
            </m:rPr>
            <w:rPr>
              <w:rFonts w:ascii="Cambria Math" w:cstheme="minorHAnsi"/>
              <w:highlight w:val="lightGray"/>
            </w:rPr>
            <m:t>=</m:t>
          </m:r>
          <m:r>
            <m:rPr>
              <m:sty m:val="bi"/>
            </m:rPr>
            <w:rPr>
              <w:rFonts w:ascii="Cambria Math" w:hAnsi="Cambria Math" w:cstheme="minorHAnsi"/>
              <w:highlight w:val="lightGray"/>
            </w:rPr>
            <m:t>Actual</m:t>
          </m:r>
          <m:r>
            <m:rPr>
              <m:sty m:val="bi"/>
            </m:rPr>
            <w:rPr>
              <w:rFonts w:ascii="Cambria Math" w:cstheme="minorHAnsi"/>
              <w:highlight w:val="lightGray"/>
            </w:rPr>
            <m:t xml:space="preserve"> </m:t>
          </m:r>
          <m:r>
            <m:rPr>
              <m:sty m:val="bi"/>
            </m:rPr>
            <w:rPr>
              <w:rFonts w:ascii="Cambria Math" w:hAnsi="Cambria Math" w:cstheme="minorHAnsi"/>
              <w:highlight w:val="lightGray"/>
            </w:rPr>
            <m:t>f</m:t>
          </m:r>
          <m:r>
            <m:rPr>
              <m:sty m:val="bi"/>
            </m:rPr>
            <w:rPr>
              <w:rFonts w:ascii="Cambria Math" w:hAnsi="Cambria Math" w:cstheme="minorHAnsi"/>
              <w:highlight w:val="lightGray"/>
            </w:rPr>
            <m:t>law</m:t>
          </m:r>
          <m:r>
            <m:rPr>
              <m:sty m:val="bi"/>
            </m:rPr>
            <w:rPr>
              <w:rFonts w:ascii="Cambria Math" w:cstheme="minorHAnsi"/>
              <w:highlight w:val="lightGray"/>
            </w:rPr>
            <m:t xml:space="preserve"> </m:t>
          </m:r>
          <m:r>
            <m:rPr>
              <m:sty m:val="bi"/>
            </m:rPr>
            <w:rPr>
              <w:rFonts w:ascii="Cambria Math" w:hAnsi="Cambria Math" w:cstheme="minorHAnsi"/>
              <w:highlight w:val="lightGray"/>
            </w:rPr>
            <m:t>size</m:t>
          </m:r>
          <m:r>
            <m:rPr>
              <m:sty m:val="bi"/>
            </m:rPr>
            <w:rPr>
              <w:rFonts w:ascii="Cambria Math" w:cstheme="minorHAnsi"/>
              <w:highlight w:val="lightGray"/>
            </w:rPr>
            <m:t xml:space="preserve"> </m:t>
          </m:r>
          <m:d>
            <m:dPr>
              <m:ctrlPr>
                <w:rPr>
                  <w:rFonts w:ascii="Cambria Math" w:cstheme="minorHAnsi"/>
                  <w:b/>
                  <w:i/>
                  <w:highlight w:val="lightGray"/>
                </w:rPr>
              </m:ctrlPr>
            </m:dPr>
            <m:e>
              <m:r>
                <m:rPr>
                  <m:sty m:val="bi"/>
                </m:rPr>
                <w:rPr>
                  <w:rFonts w:ascii="Cambria Math" w:hAnsi="Cambria Math" w:cstheme="minorHAnsi"/>
                  <w:highlight w:val="lightGray"/>
                </w:rPr>
                <m:t>i</m:t>
              </m:r>
            </m:e>
          </m:d>
          <m:r>
            <m:rPr>
              <m:sty m:val="bi"/>
            </m:rPr>
            <w:rPr>
              <w:rFonts w:ascii="Cambria Math" w:hAnsi="Cambria Math" w:cstheme="minorHAnsi"/>
              <w:highlight w:val="lightGray"/>
            </w:rPr>
            <m:t>-</m:t>
          </m:r>
          <m:r>
            <m:rPr>
              <m:sty m:val="bi"/>
            </m:rPr>
            <w:rPr>
              <w:rFonts w:ascii="Cambria Math" w:cstheme="minorHAnsi"/>
              <w:highlight w:val="lightGray"/>
            </w:rPr>
            <m:t xml:space="preserve"> </m:t>
          </m:r>
          <m:r>
            <m:rPr>
              <m:sty m:val="bi"/>
            </m:rPr>
            <w:rPr>
              <w:rFonts w:ascii="Cambria Math" w:hAnsi="Cambria Math" w:cstheme="minorHAnsi"/>
              <w:highlight w:val="lightGray"/>
            </w:rPr>
            <m:t>Measured</m:t>
          </m:r>
          <m:r>
            <m:rPr>
              <m:sty m:val="bi"/>
            </m:rPr>
            <w:rPr>
              <w:rFonts w:ascii="Cambria Math" w:cstheme="minorHAnsi"/>
              <w:highlight w:val="lightGray"/>
            </w:rPr>
            <m:t xml:space="preserve"> </m:t>
          </m:r>
          <m:r>
            <m:rPr>
              <m:sty m:val="bi"/>
            </m:rPr>
            <w:rPr>
              <w:rFonts w:ascii="Cambria Math" w:hAnsi="Cambria Math" w:cstheme="minorHAnsi"/>
              <w:highlight w:val="lightGray"/>
            </w:rPr>
            <m:t>size</m:t>
          </m:r>
          <m:r>
            <m:rPr>
              <m:sty m:val="bi"/>
            </m:rPr>
            <w:rPr>
              <w:rFonts w:ascii="Cambria Math" w:cstheme="minorHAnsi"/>
              <w:highlight w:val="lightGray"/>
            </w:rPr>
            <m:t xml:space="preserve"> (</m:t>
          </m:r>
          <m:r>
            <m:rPr>
              <m:sty m:val="bi"/>
            </m:rPr>
            <w:rPr>
              <w:rFonts w:ascii="Cambria Math" w:hAnsi="Cambria Math" w:cstheme="minorHAnsi"/>
              <w:highlight w:val="lightGray"/>
            </w:rPr>
            <m:t>i</m:t>
          </m:r>
          <m:r>
            <m:rPr>
              <m:sty m:val="bi"/>
            </m:rPr>
            <w:rPr>
              <w:rFonts w:ascii="Cambria Math" w:cstheme="minorHAnsi"/>
              <w:highlight w:val="lightGray"/>
            </w:rPr>
            <m:t>)</m:t>
          </m:r>
          <m:r>
            <m:rPr>
              <m:sty m:val="bi"/>
            </m:rPr>
            <w:rPr>
              <w:rFonts w:ascii="Cambria Math" w:cstheme="minorHAnsi"/>
            </w:rPr>
            <m:t xml:space="preserve"> </m:t>
          </m:r>
        </m:oMath>
      </m:oMathPara>
    </w:p>
    <w:p w:rsidR="00722BD3" w:rsidRDefault="00722BD3" w:rsidP="00203AC0">
      <w:pPr>
        <w:rPr>
          <w:rFonts w:eastAsiaTheme="minorEastAsia"/>
        </w:rPr>
      </w:pPr>
      <w:r>
        <w:rPr>
          <w:rFonts w:eastAsiaTheme="minorEastAsia"/>
        </w:rPr>
        <w:t>After that, find average of all error as well as Standard Deviation for error (s).</w:t>
      </w:r>
    </w:p>
    <w:p w:rsidR="00722BD3" w:rsidRPr="00F079DD" w:rsidRDefault="00F079DD" w:rsidP="00203AC0">
      <w:pPr>
        <w:rPr>
          <w:rFonts w:eastAsiaTheme="minorEastAsia"/>
          <w:b/>
        </w:rPr>
      </w:pPr>
      <m:oMathPara>
        <m:oMath>
          <m:r>
            <m:rPr>
              <m:sty m:val="bi"/>
            </m:rPr>
            <w:rPr>
              <w:rFonts w:ascii="Cambria Math" w:eastAsiaTheme="minorEastAsia" w:hAnsi="Cambria Math"/>
              <w:highlight w:val="lightGray"/>
            </w:rPr>
            <m:t>Mean of error=</m:t>
          </m:r>
          <m:f>
            <m:fPr>
              <m:ctrlPr>
                <w:rPr>
                  <w:rFonts w:ascii="Cambria Math" w:eastAsiaTheme="minorEastAsia" w:hAnsi="Cambria Math"/>
                  <w:b/>
                  <w:i/>
                  <w:highlight w:val="lightGray"/>
                </w:rPr>
              </m:ctrlPr>
            </m:fPr>
            <m:num>
              <m:r>
                <m:rPr>
                  <m:sty m:val="bi"/>
                </m:rPr>
                <w:rPr>
                  <w:rFonts w:ascii="Cambria Math" w:eastAsiaTheme="minorEastAsia" w:hAnsi="Cambria Math"/>
                  <w:highlight w:val="lightGray"/>
                </w:rPr>
                <m:t>Sum of Error</m:t>
              </m:r>
            </m:num>
            <m:den>
              <m:r>
                <m:rPr>
                  <m:sty m:val="bi"/>
                </m:rPr>
                <w:rPr>
                  <w:rFonts w:ascii="Cambria Math" w:eastAsiaTheme="minorEastAsia" w:hAnsi="Cambria Math"/>
                  <w:highlight w:val="lightGray"/>
                </w:rPr>
                <m:t>Number of Defects</m:t>
              </m:r>
            </m:den>
          </m:f>
        </m:oMath>
      </m:oMathPara>
    </w:p>
    <w:p w:rsidR="00F079DD" w:rsidRDefault="00F079DD" w:rsidP="00203AC0">
      <w:pPr>
        <w:rPr>
          <w:rFonts w:eastAsiaTheme="minorEastAsia"/>
        </w:rPr>
      </w:pPr>
    </w:p>
    <w:p w:rsidR="00722BD3" w:rsidRPr="00F079DD" w:rsidRDefault="00F079DD" w:rsidP="00203AC0">
      <w:pPr>
        <w:rPr>
          <w:rFonts w:eastAsiaTheme="minorEastAsia"/>
          <w:b/>
          <w:sz w:val="24"/>
          <w:szCs w:val="24"/>
        </w:rPr>
      </w:pPr>
      <m:oMathPara>
        <m:oMath>
          <m:sSubSup>
            <m:sSubSupPr>
              <m:ctrlPr>
                <w:rPr>
                  <w:rFonts w:ascii="Cambria Math" w:eastAsiaTheme="minorEastAsia" w:hAnsi="Cambria Math"/>
                  <w:b/>
                  <w:i/>
                  <w:sz w:val="24"/>
                  <w:szCs w:val="24"/>
                  <w:highlight w:val="lightGray"/>
                </w:rPr>
              </m:ctrlPr>
            </m:sSubSupPr>
            <m:e>
              <m:r>
                <m:rPr>
                  <m:sty m:val="bi"/>
                </m:rPr>
                <w:rPr>
                  <w:rFonts w:ascii="Cambria Math" w:eastAsiaTheme="minorEastAsia" w:hAnsi="Cambria Math"/>
                  <w:sz w:val="24"/>
                  <w:szCs w:val="24"/>
                  <w:highlight w:val="lightGray"/>
                </w:rPr>
                <m:t>s</m:t>
              </m:r>
            </m:e>
            <m:sub>
              <m:r>
                <m:rPr>
                  <m:sty m:val="bi"/>
                </m:rPr>
                <w:rPr>
                  <w:rFonts w:ascii="Cambria Math" w:eastAsiaTheme="minorEastAsia" w:hAnsi="Cambria Math"/>
                  <w:sz w:val="24"/>
                  <w:szCs w:val="24"/>
                  <w:highlight w:val="lightGray"/>
                </w:rPr>
                <m:t>i</m:t>
              </m:r>
            </m:sub>
            <m:sup>
              <m:r>
                <m:rPr>
                  <m:sty m:val="bi"/>
                </m:rPr>
                <w:rPr>
                  <w:rFonts w:ascii="Cambria Math" w:eastAsiaTheme="minorEastAsia" w:hAnsi="Cambria Math"/>
                  <w:sz w:val="24"/>
                  <w:szCs w:val="24"/>
                  <w:highlight w:val="lightGray"/>
                </w:rPr>
                <m:t>2</m:t>
              </m:r>
            </m:sup>
          </m:sSubSup>
          <m:r>
            <m:rPr>
              <m:sty m:val="bi"/>
            </m:rPr>
            <w:rPr>
              <w:rFonts w:ascii="Cambria Math" w:eastAsiaTheme="minorEastAsia" w:hAnsi="Cambria Math"/>
              <w:sz w:val="24"/>
              <w:szCs w:val="24"/>
              <w:highlight w:val="lightGray"/>
            </w:rPr>
            <m:t xml:space="preserve">= </m:t>
          </m:r>
          <m:sSubSup>
            <m:sSubSupPr>
              <m:ctrlPr>
                <w:rPr>
                  <w:rFonts w:ascii="Cambria Math" w:eastAsiaTheme="minorEastAsia" w:hAnsi="Cambria Math"/>
                  <w:b/>
                  <w:i/>
                  <w:sz w:val="24"/>
                  <w:szCs w:val="24"/>
                  <w:highlight w:val="lightGray"/>
                </w:rPr>
              </m:ctrlPr>
            </m:sSubSupPr>
            <m:e>
              <m:r>
                <m:rPr>
                  <m:sty m:val="bi"/>
                </m:rPr>
                <w:rPr>
                  <w:rFonts w:ascii="Cambria Math" w:eastAsiaTheme="minorEastAsia" w:hAnsi="Cambria Math"/>
                  <w:sz w:val="24"/>
                  <w:szCs w:val="24"/>
                  <w:highlight w:val="lightGray"/>
                </w:rPr>
                <m:t>Error</m:t>
              </m:r>
            </m:e>
            <m:sub>
              <m:r>
                <m:rPr>
                  <m:sty m:val="bi"/>
                </m:rPr>
                <w:rPr>
                  <w:rFonts w:ascii="Cambria Math" w:eastAsiaTheme="minorEastAsia" w:hAnsi="Cambria Math"/>
                  <w:sz w:val="24"/>
                  <w:szCs w:val="24"/>
                  <w:highlight w:val="lightGray"/>
                </w:rPr>
                <m:t>i</m:t>
              </m:r>
            </m:sub>
            <m:sup>
              <m:r>
                <m:rPr>
                  <m:sty m:val="bi"/>
                </m:rPr>
                <w:rPr>
                  <w:rFonts w:ascii="Cambria Math" w:eastAsiaTheme="minorEastAsia" w:hAnsi="Cambria Math"/>
                  <w:sz w:val="24"/>
                  <w:szCs w:val="24"/>
                  <w:highlight w:val="lightGray"/>
                </w:rPr>
                <m:t>2</m:t>
              </m:r>
            </m:sup>
          </m:sSubSup>
          <m:r>
            <m:rPr>
              <m:sty m:val="bi"/>
            </m:rPr>
            <w:rPr>
              <w:rFonts w:ascii="Cambria Math" w:eastAsiaTheme="minorEastAsia" w:hAnsi="Cambria Math"/>
              <w:sz w:val="24"/>
              <w:szCs w:val="24"/>
              <w:highlight w:val="lightGray"/>
            </w:rPr>
            <m:t>-</m:t>
          </m:r>
          <m:sSup>
            <m:sSupPr>
              <m:ctrlPr>
                <w:rPr>
                  <w:rFonts w:ascii="Cambria Math" w:eastAsiaTheme="minorEastAsia" w:hAnsi="Cambria Math"/>
                  <w:b/>
                  <w:i/>
                  <w:sz w:val="24"/>
                  <w:szCs w:val="24"/>
                  <w:highlight w:val="lightGray"/>
                </w:rPr>
              </m:ctrlPr>
            </m:sSupPr>
            <m:e>
              <m:r>
                <m:rPr>
                  <m:sty m:val="bi"/>
                </m:rPr>
                <w:rPr>
                  <w:rFonts w:ascii="Cambria Math" w:eastAsiaTheme="minorEastAsia" w:hAnsi="Cambria Math"/>
                  <w:sz w:val="24"/>
                  <w:szCs w:val="24"/>
                  <w:highlight w:val="lightGray"/>
                </w:rPr>
                <m:t>Mean</m:t>
              </m:r>
            </m:e>
            <m:sup>
              <m:r>
                <m:rPr>
                  <m:sty m:val="bi"/>
                </m:rPr>
                <w:rPr>
                  <w:rFonts w:ascii="Cambria Math" w:eastAsiaTheme="minorEastAsia" w:hAnsi="Cambria Math"/>
                  <w:sz w:val="24"/>
                  <w:szCs w:val="24"/>
                  <w:highlight w:val="lightGray"/>
                </w:rPr>
                <m:t>2</m:t>
              </m:r>
            </m:sup>
          </m:sSup>
        </m:oMath>
      </m:oMathPara>
    </w:p>
    <w:p w:rsidR="00F079DD" w:rsidRPr="00F079DD" w:rsidRDefault="00F079DD" w:rsidP="00203AC0">
      <w:pPr>
        <w:rPr>
          <w:rFonts w:eastAsiaTheme="minorEastAsia"/>
          <w:b/>
          <w:sz w:val="24"/>
          <w:szCs w:val="24"/>
        </w:rPr>
      </w:pPr>
      <m:oMathPara>
        <m:oMath>
          <m:sSup>
            <m:sSupPr>
              <m:ctrlPr>
                <w:rPr>
                  <w:rFonts w:ascii="Cambria Math" w:eastAsiaTheme="minorEastAsia" w:hAnsi="Cambria Math"/>
                  <w:b/>
                  <w:i/>
                  <w:sz w:val="24"/>
                  <w:szCs w:val="24"/>
                  <w:highlight w:val="lightGray"/>
                </w:rPr>
              </m:ctrlPr>
            </m:sSupPr>
            <m:e>
              <m:r>
                <m:rPr>
                  <m:sty m:val="bi"/>
                </m:rPr>
                <w:rPr>
                  <w:rFonts w:ascii="Cambria Math" w:eastAsiaTheme="minorEastAsia" w:hAnsi="Cambria Math"/>
                  <w:sz w:val="24"/>
                  <w:szCs w:val="24"/>
                  <w:highlight w:val="lightGray"/>
                </w:rPr>
                <m:t>s</m:t>
              </m:r>
            </m:e>
            <m:sup>
              <m:r>
                <m:rPr>
                  <m:sty m:val="bi"/>
                </m:rPr>
                <w:rPr>
                  <w:rFonts w:ascii="Cambria Math" w:eastAsiaTheme="minorEastAsia" w:hAnsi="Cambria Math"/>
                  <w:sz w:val="24"/>
                  <w:szCs w:val="24"/>
                  <w:highlight w:val="lightGray"/>
                </w:rPr>
                <m:t>2</m:t>
              </m:r>
            </m:sup>
          </m:sSup>
          <m:r>
            <m:rPr>
              <m:sty m:val="bi"/>
            </m:rPr>
            <w:rPr>
              <w:rFonts w:ascii="Cambria Math" w:eastAsiaTheme="minorEastAsia" w:hAnsi="Cambria Math"/>
              <w:sz w:val="24"/>
              <w:szCs w:val="24"/>
              <w:highlight w:val="lightGray"/>
            </w:rPr>
            <m:t>=</m:t>
          </m:r>
          <m:f>
            <m:fPr>
              <m:ctrlPr>
                <w:rPr>
                  <w:rFonts w:ascii="Cambria Math" w:eastAsiaTheme="minorEastAsia" w:hAnsi="Cambria Math"/>
                  <w:b/>
                  <w:i/>
                  <w:sz w:val="24"/>
                  <w:szCs w:val="24"/>
                  <w:highlight w:val="lightGray"/>
                </w:rPr>
              </m:ctrlPr>
            </m:fPr>
            <m:num>
              <m:nary>
                <m:naryPr>
                  <m:chr m:val="∑"/>
                  <m:limLoc m:val="undOvr"/>
                  <m:ctrlPr>
                    <w:rPr>
                      <w:rFonts w:ascii="Cambria Math" w:eastAsiaTheme="minorEastAsia" w:hAnsi="Cambria Math"/>
                      <w:b/>
                      <w:i/>
                      <w:sz w:val="24"/>
                      <w:szCs w:val="24"/>
                      <w:highlight w:val="lightGray"/>
                    </w:rPr>
                  </m:ctrlPr>
                </m:naryPr>
                <m:sub>
                  <m:r>
                    <m:rPr>
                      <m:sty m:val="bi"/>
                    </m:rPr>
                    <w:rPr>
                      <w:rFonts w:ascii="Cambria Math" w:eastAsiaTheme="minorEastAsia" w:hAnsi="Cambria Math"/>
                      <w:sz w:val="24"/>
                      <w:szCs w:val="24"/>
                      <w:highlight w:val="lightGray"/>
                    </w:rPr>
                    <m:t>i=1</m:t>
                  </m:r>
                </m:sub>
                <m:sup>
                  <m:r>
                    <m:rPr>
                      <m:sty m:val="bi"/>
                    </m:rPr>
                    <w:rPr>
                      <w:rFonts w:ascii="Cambria Math" w:eastAsiaTheme="minorEastAsia" w:hAnsi="Cambria Math"/>
                      <w:sz w:val="24"/>
                      <w:szCs w:val="24"/>
                      <w:highlight w:val="lightGray"/>
                    </w:rPr>
                    <m:t>21</m:t>
                  </m:r>
                </m:sup>
                <m:e>
                  <m:sSub>
                    <m:sSubPr>
                      <m:ctrlPr>
                        <w:rPr>
                          <w:rFonts w:ascii="Cambria Math" w:eastAsiaTheme="minorEastAsia" w:hAnsi="Cambria Math"/>
                          <w:b/>
                          <w:i/>
                          <w:sz w:val="24"/>
                          <w:szCs w:val="24"/>
                          <w:highlight w:val="lightGray"/>
                        </w:rPr>
                      </m:ctrlPr>
                    </m:sSubPr>
                    <m:e>
                      <m:r>
                        <m:rPr>
                          <m:sty m:val="bi"/>
                        </m:rPr>
                        <w:rPr>
                          <w:rFonts w:ascii="Cambria Math" w:eastAsiaTheme="minorEastAsia" w:hAnsi="Cambria Math"/>
                          <w:sz w:val="24"/>
                          <w:szCs w:val="24"/>
                          <w:highlight w:val="lightGray"/>
                        </w:rPr>
                        <m:t>s</m:t>
                      </m:r>
                    </m:e>
                    <m:sub>
                      <m:r>
                        <m:rPr>
                          <m:sty m:val="bi"/>
                        </m:rPr>
                        <w:rPr>
                          <w:rFonts w:ascii="Cambria Math" w:eastAsiaTheme="minorEastAsia" w:hAnsi="Cambria Math"/>
                          <w:sz w:val="24"/>
                          <w:szCs w:val="24"/>
                          <w:highlight w:val="lightGray"/>
                        </w:rPr>
                        <m:t>i</m:t>
                      </m:r>
                    </m:sub>
                  </m:sSub>
                </m:e>
              </m:nary>
            </m:num>
            <m:den>
              <m:r>
                <m:rPr>
                  <m:sty m:val="bi"/>
                </m:rPr>
                <w:rPr>
                  <w:rFonts w:ascii="Cambria Math" w:eastAsiaTheme="minorEastAsia" w:hAnsi="Cambria Math"/>
                  <w:sz w:val="24"/>
                  <w:szCs w:val="24"/>
                  <w:highlight w:val="lightGray"/>
                </w:rPr>
                <m:t>21</m:t>
              </m:r>
            </m:den>
          </m:f>
        </m:oMath>
      </m:oMathPara>
    </w:p>
    <w:p w:rsidR="00F079DD" w:rsidRDefault="00F079DD" w:rsidP="00203AC0">
      <w:pPr>
        <w:rPr>
          <w:rFonts w:eastAsiaTheme="minorEastAsia"/>
        </w:rPr>
      </w:pPr>
      <w:r>
        <w:rPr>
          <w:rFonts w:eastAsiaTheme="minorEastAsia"/>
        </w:rPr>
        <w:t xml:space="preserve">              So, Standard Deviation</w:t>
      </w:r>
      <w:r w:rsidRPr="00F079DD">
        <w:rPr>
          <w:rFonts w:eastAsiaTheme="minorEastAsia"/>
          <w:b/>
          <w:sz w:val="24"/>
          <w:szCs w:val="24"/>
        </w:rPr>
        <w:t xml:space="preserve"> </w:t>
      </w:r>
      <w:r w:rsidRPr="00F079DD">
        <w:rPr>
          <w:rFonts w:eastAsiaTheme="minorEastAsia"/>
          <w:b/>
          <w:sz w:val="24"/>
          <w:szCs w:val="24"/>
          <w:highlight w:val="lightGray"/>
        </w:rPr>
        <w:t xml:space="preserve">(s) = </w:t>
      </w:r>
      <m:oMath>
        <m:rad>
          <m:radPr>
            <m:degHide m:val="on"/>
            <m:ctrlPr>
              <w:rPr>
                <w:rFonts w:ascii="Cambria Math" w:eastAsiaTheme="minorEastAsia" w:hAnsi="Cambria Math"/>
                <w:b/>
                <w:i/>
                <w:sz w:val="24"/>
                <w:szCs w:val="24"/>
                <w:highlight w:val="lightGray"/>
              </w:rPr>
            </m:ctrlPr>
          </m:radPr>
          <m:deg/>
          <m:e>
            <m:sSup>
              <m:sSupPr>
                <m:ctrlPr>
                  <w:rPr>
                    <w:rFonts w:ascii="Cambria Math" w:eastAsiaTheme="minorEastAsia" w:hAnsi="Cambria Math"/>
                    <w:b/>
                    <w:i/>
                    <w:sz w:val="24"/>
                    <w:szCs w:val="24"/>
                    <w:highlight w:val="lightGray"/>
                  </w:rPr>
                </m:ctrlPr>
              </m:sSupPr>
              <m:e>
                <m:r>
                  <m:rPr>
                    <m:sty m:val="bi"/>
                  </m:rPr>
                  <w:rPr>
                    <w:rFonts w:ascii="Cambria Math" w:eastAsiaTheme="minorEastAsia" w:hAnsi="Cambria Math"/>
                    <w:sz w:val="24"/>
                    <w:szCs w:val="24"/>
                    <w:highlight w:val="lightGray"/>
                  </w:rPr>
                  <m:t>s</m:t>
                </m:r>
              </m:e>
              <m:sup>
                <m:r>
                  <m:rPr>
                    <m:sty m:val="bi"/>
                  </m:rPr>
                  <w:rPr>
                    <w:rFonts w:ascii="Cambria Math" w:eastAsiaTheme="minorEastAsia" w:hAnsi="Cambria Math"/>
                    <w:sz w:val="24"/>
                    <w:szCs w:val="24"/>
                    <w:highlight w:val="lightGray"/>
                  </w:rPr>
                  <m:t>2</m:t>
                </m:r>
              </m:sup>
            </m:sSup>
          </m:e>
        </m:rad>
      </m:oMath>
      <w:r>
        <w:rPr>
          <w:rFonts w:eastAsiaTheme="minorEastAsia"/>
        </w:rPr>
        <w:t>.</w:t>
      </w:r>
    </w:p>
    <w:p w:rsidR="00C8548C" w:rsidRDefault="00C8548C" w:rsidP="00203AC0">
      <w:pPr>
        <w:rPr>
          <w:rFonts w:eastAsiaTheme="minorEastAsia"/>
        </w:rPr>
      </w:pPr>
    </w:p>
    <w:p w:rsidR="00F079DD" w:rsidRPr="00C8548C" w:rsidRDefault="00C8548C" w:rsidP="00203AC0">
      <w:pPr>
        <w:rPr>
          <w:rFonts w:eastAsiaTheme="minorEastAsia"/>
          <w:b/>
          <w:sz w:val="24"/>
          <w:szCs w:val="24"/>
        </w:rPr>
      </w:pPr>
      <m:oMathPara>
        <m:oMath>
          <m:r>
            <m:rPr>
              <m:sty m:val="bi"/>
            </m:rPr>
            <w:rPr>
              <w:rFonts w:ascii="Cambria Math" w:eastAsiaTheme="minorEastAsia" w:hAnsi="Cambria Math"/>
              <w:sz w:val="24"/>
              <w:szCs w:val="24"/>
              <w:highlight w:val="lightGray"/>
            </w:rPr>
            <m:t xml:space="preserve">95% Probability=1.95× </m:t>
          </m:r>
          <m:rad>
            <m:radPr>
              <m:degHide m:val="on"/>
              <m:ctrlPr>
                <w:rPr>
                  <w:rFonts w:ascii="Cambria Math" w:eastAsiaTheme="minorEastAsia" w:hAnsi="Cambria Math"/>
                  <w:b/>
                  <w:i/>
                  <w:sz w:val="24"/>
                  <w:szCs w:val="24"/>
                  <w:highlight w:val="lightGray"/>
                </w:rPr>
              </m:ctrlPr>
            </m:radPr>
            <m:deg/>
            <m:e>
              <m:sSup>
                <m:sSupPr>
                  <m:ctrlPr>
                    <w:rPr>
                      <w:rFonts w:ascii="Cambria Math" w:eastAsiaTheme="minorEastAsia" w:hAnsi="Cambria Math"/>
                      <w:b/>
                      <w:i/>
                      <w:sz w:val="24"/>
                      <w:szCs w:val="24"/>
                      <w:highlight w:val="lightGray"/>
                    </w:rPr>
                  </m:ctrlPr>
                </m:sSupPr>
                <m:e>
                  <m:r>
                    <m:rPr>
                      <m:sty m:val="bi"/>
                    </m:rPr>
                    <w:rPr>
                      <w:rFonts w:ascii="Cambria Math" w:eastAsiaTheme="minorEastAsia" w:hAnsi="Cambria Math"/>
                      <w:sz w:val="24"/>
                      <w:szCs w:val="24"/>
                      <w:highlight w:val="lightGray"/>
                    </w:rPr>
                    <m:t>s</m:t>
                  </m:r>
                </m:e>
                <m:sup>
                  <m:r>
                    <m:rPr>
                      <m:sty m:val="bi"/>
                    </m:rPr>
                    <w:rPr>
                      <w:rFonts w:ascii="Cambria Math" w:eastAsiaTheme="minorEastAsia" w:hAnsi="Cambria Math"/>
                      <w:sz w:val="24"/>
                      <w:szCs w:val="24"/>
                      <w:highlight w:val="lightGray"/>
                    </w:rPr>
                    <m:t>2</m:t>
                  </m:r>
                </m:sup>
              </m:sSup>
            </m:e>
          </m:rad>
        </m:oMath>
      </m:oMathPara>
    </w:p>
    <w:p w:rsidR="00953906" w:rsidRPr="00C8548C" w:rsidRDefault="00C8548C" w:rsidP="00203AC0">
      <w:pPr>
        <w:rPr>
          <w:rFonts w:eastAsiaTheme="minorEastAsia"/>
        </w:rPr>
      </w:pPr>
      <w:r>
        <w:rPr>
          <w:rFonts w:eastAsiaTheme="minorEastAsia"/>
        </w:rPr>
        <w:t xml:space="preserve">              Table (2) shows the mean, standard deviation and 95% probability of 10 operators.</w:t>
      </w:r>
    </w:p>
    <w:p w:rsidR="003C7638" w:rsidRDefault="003C7638" w:rsidP="00203AC0"/>
    <w:p w:rsidR="00203AC0" w:rsidRDefault="00953906" w:rsidP="00C8548C">
      <w:pPr>
        <w:jc w:val="center"/>
      </w:pPr>
      <w:r w:rsidRPr="00953906">
        <w:drawing>
          <wp:inline distT="0" distB="0" distL="0" distR="0">
            <wp:extent cx="3990975" cy="2105025"/>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3990975" cy="2105025"/>
                    </a:xfrm>
                    <a:prstGeom prst="rect">
                      <a:avLst/>
                    </a:prstGeom>
                    <a:noFill/>
                    <a:ln w="9525">
                      <a:noFill/>
                      <a:miter lim="800000"/>
                      <a:headEnd/>
                      <a:tailEnd/>
                    </a:ln>
                  </pic:spPr>
                </pic:pic>
              </a:graphicData>
            </a:graphic>
          </wp:inline>
        </w:drawing>
      </w:r>
    </w:p>
    <w:p w:rsidR="00C8548C" w:rsidRPr="00C8548C" w:rsidRDefault="00C8548C" w:rsidP="00C8548C">
      <w:pPr>
        <w:jc w:val="center"/>
        <w:rPr>
          <w:sz w:val="20"/>
          <w:szCs w:val="20"/>
        </w:rPr>
      </w:pPr>
      <w:r w:rsidRPr="00C8548C">
        <w:rPr>
          <w:sz w:val="20"/>
          <w:szCs w:val="20"/>
        </w:rPr>
        <w:t>Table 2: Mean, Standard deviation, 95% probability</w:t>
      </w:r>
    </w:p>
    <w:p w:rsidR="00CD6CB6" w:rsidRDefault="00CD6CB6" w:rsidP="00CD6CB6"/>
    <w:p w:rsidR="00376B14" w:rsidRDefault="00376B14" w:rsidP="00CD6CB6"/>
    <w:p w:rsidR="00376B14" w:rsidRDefault="00376B14" w:rsidP="00CD6CB6"/>
    <w:p w:rsidR="00376B14" w:rsidRDefault="00376B14" w:rsidP="00CD6CB6"/>
    <w:p w:rsidR="00376B14" w:rsidRDefault="00376B14" w:rsidP="00CD6CB6"/>
    <w:p w:rsidR="00376B14" w:rsidRDefault="00376B14" w:rsidP="00CD6CB6"/>
    <w:p w:rsidR="00376B14" w:rsidRDefault="00376B14" w:rsidP="00CD6CB6"/>
    <w:p w:rsidR="00376B14" w:rsidRDefault="00376B14" w:rsidP="00CD6CB6"/>
    <w:p w:rsidR="00376B14" w:rsidRDefault="00376B14" w:rsidP="00CD6CB6"/>
    <w:p w:rsidR="00376B14" w:rsidRDefault="00376B14" w:rsidP="00CD6CB6"/>
    <w:p w:rsidR="00A1368D" w:rsidRPr="00376B14" w:rsidRDefault="00CD6CB6" w:rsidP="00A1368D">
      <w:pPr>
        <w:pStyle w:val="ListParagraph"/>
        <w:numPr>
          <w:ilvl w:val="1"/>
          <w:numId w:val="18"/>
        </w:numPr>
        <w:rPr>
          <w:rFonts w:asciiTheme="majorHAnsi" w:hAnsiTheme="majorHAnsi" w:cstheme="minorHAnsi"/>
          <w:b/>
          <w:color w:val="000000" w:themeColor="text1"/>
          <w:sz w:val="28"/>
          <w:szCs w:val="28"/>
          <w:lang w:val="en-IN"/>
        </w:rPr>
      </w:pPr>
      <w:r w:rsidRPr="00CD6CB6">
        <w:rPr>
          <w:rFonts w:asciiTheme="majorHAnsi" w:hAnsiTheme="majorHAnsi" w:cstheme="minorHAnsi"/>
          <w:b/>
          <w:color w:val="000000" w:themeColor="text1"/>
          <w:sz w:val="28"/>
          <w:szCs w:val="28"/>
          <w:lang w:val="en-IN"/>
        </w:rPr>
        <w:lastRenderedPageBreak/>
        <w:t>Graphs of Size accuracy and Normal Bell shape</w:t>
      </w:r>
    </w:p>
    <w:p w:rsidR="00CD6CB6" w:rsidRPr="00CD6CB6" w:rsidRDefault="00CD6CB6" w:rsidP="00CD6CB6">
      <w:pPr>
        <w:pStyle w:val="ListParagraph"/>
        <w:ind w:left="1080"/>
        <w:rPr>
          <w:rFonts w:asciiTheme="majorHAnsi" w:hAnsiTheme="majorHAnsi" w:cstheme="minorHAnsi"/>
          <w:b/>
          <w:color w:val="000000" w:themeColor="text1"/>
          <w:sz w:val="28"/>
          <w:szCs w:val="28"/>
          <w:lang w:val="en-IN"/>
        </w:rPr>
      </w:pPr>
    </w:p>
    <w:p w:rsidR="00CD6CB6" w:rsidRPr="00376B14" w:rsidRDefault="00CD6CB6" w:rsidP="00376B14">
      <w:pPr>
        <w:pStyle w:val="ListParagraph"/>
        <w:numPr>
          <w:ilvl w:val="2"/>
          <w:numId w:val="18"/>
        </w:numPr>
        <w:rPr>
          <w:rFonts w:asciiTheme="majorHAnsi" w:hAnsiTheme="majorHAnsi" w:cstheme="minorHAnsi"/>
          <w:b/>
          <w:color w:val="000000" w:themeColor="text1"/>
          <w:sz w:val="28"/>
          <w:szCs w:val="28"/>
          <w:lang w:val="en-IN"/>
        </w:rPr>
      </w:pPr>
      <w:r w:rsidRPr="00CD6CB6">
        <w:rPr>
          <w:rFonts w:asciiTheme="majorHAnsi" w:hAnsiTheme="majorHAnsi" w:cstheme="minorHAnsi"/>
          <w:b/>
          <w:color w:val="000000" w:themeColor="text1"/>
          <w:sz w:val="28"/>
          <w:szCs w:val="28"/>
          <w:lang w:val="en-IN"/>
        </w:rPr>
        <w:t>Operator 1</w:t>
      </w:r>
    </w:p>
    <w:p w:rsidR="00CD6CB6" w:rsidRDefault="00CD6CB6" w:rsidP="00CD6CB6">
      <w:pPr>
        <w:rPr>
          <w:rFonts w:asciiTheme="majorHAnsi" w:hAnsiTheme="majorHAnsi" w:cstheme="minorHAnsi"/>
          <w:b/>
          <w:color w:val="000000" w:themeColor="text1"/>
          <w:sz w:val="28"/>
          <w:szCs w:val="28"/>
          <w:lang w:val="en-IN"/>
        </w:rPr>
      </w:pPr>
      <w:r w:rsidRPr="00CD6CB6">
        <w:rPr>
          <w:rFonts w:asciiTheme="majorHAnsi" w:hAnsiTheme="majorHAnsi" w:cstheme="minorHAnsi"/>
          <w:b/>
          <w:color w:val="000000" w:themeColor="text1"/>
          <w:sz w:val="28"/>
          <w:szCs w:val="28"/>
          <w:lang w:val="en-IN"/>
        </w:rPr>
        <w:drawing>
          <wp:inline distT="0" distB="0" distL="0" distR="0">
            <wp:extent cx="6800850" cy="4257675"/>
            <wp:effectExtent l="19050" t="0" r="19050" b="0"/>
            <wp:docPr id="18"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376B14" w:rsidRPr="00CD6CB6" w:rsidRDefault="00376B14" w:rsidP="00CD6CB6">
      <w:pPr>
        <w:rPr>
          <w:rFonts w:asciiTheme="majorHAnsi" w:hAnsiTheme="majorHAnsi" w:cstheme="minorHAnsi"/>
          <w:b/>
          <w:color w:val="000000" w:themeColor="text1"/>
          <w:sz w:val="28"/>
          <w:szCs w:val="28"/>
          <w:lang w:val="en-IN"/>
        </w:rPr>
      </w:pPr>
      <w:r w:rsidRPr="00376B14">
        <w:rPr>
          <w:rFonts w:asciiTheme="majorHAnsi" w:hAnsiTheme="majorHAnsi" w:cstheme="minorHAnsi"/>
          <w:b/>
          <w:color w:val="000000" w:themeColor="text1"/>
          <w:sz w:val="28"/>
          <w:szCs w:val="28"/>
          <w:lang w:val="en-IN"/>
        </w:rPr>
        <w:drawing>
          <wp:inline distT="0" distB="0" distL="0" distR="0">
            <wp:extent cx="6743700" cy="2790825"/>
            <wp:effectExtent l="19050" t="0" r="19050" b="0"/>
            <wp:docPr id="33"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CD6CB6" w:rsidRDefault="00CD6CB6" w:rsidP="00CD6CB6">
      <w:pPr>
        <w:pStyle w:val="ListParagraph"/>
        <w:numPr>
          <w:ilvl w:val="2"/>
          <w:numId w:val="18"/>
        </w:numPr>
        <w:rPr>
          <w:rFonts w:asciiTheme="majorHAnsi" w:hAnsiTheme="majorHAnsi" w:cstheme="minorHAnsi"/>
          <w:b/>
          <w:color w:val="000000" w:themeColor="text1"/>
          <w:sz w:val="28"/>
          <w:szCs w:val="28"/>
          <w:lang w:val="en-IN"/>
        </w:rPr>
      </w:pPr>
      <w:r>
        <w:rPr>
          <w:rFonts w:asciiTheme="majorHAnsi" w:hAnsiTheme="majorHAnsi" w:cstheme="minorHAnsi"/>
          <w:b/>
          <w:color w:val="000000" w:themeColor="text1"/>
          <w:sz w:val="28"/>
          <w:szCs w:val="28"/>
          <w:lang w:val="en-IN"/>
        </w:rPr>
        <w:lastRenderedPageBreak/>
        <w:t>Operator 2</w:t>
      </w:r>
    </w:p>
    <w:p w:rsidR="00CD6CB6" w:rsidRDefault="00CD6CB6" w:rsidP="00CD6CB6">
      <w:pPr>
        <w:rPr>
          <w:rFonts w:asciiTheme="majorHAnsi" w:hAnsiTheme="majorHAnsi" w:cstheme="minorHAnsi"/>
          <w:b/>
          <w:color w:val="000000" w:themeColor="text1"/>
          <w:sz w:val="28"/>
          <w:szCs w:val="28"/>
          <w:lang w:val="en-IN"/>
        </w:rPr>
      </w:pPr>
      <w:r w:rsidRPr="00CD6CB6">
        <w:rPr>
          <w:rFonts w:asciiTheme="majorHAnsi" w:hAnsiTheme="majorHAnsi" w:cstheme="minorHAnsi"/>
          <w:b/>
          <w:color w:val="000000" w:themeColor="text1"/>
          <w:sz w:val="28"/>
          <w:szCs w:val="28"/>
          <w:lang w:val="en-IN"/>
        </w:rPr>
        <w:drawing>
          <wp:inline distT="0" distB="0" distL="0" distR="0">
            <wp:extent cx="6743700" cy="4343400"/>
            <wp:effectExtent l="19050" t="0" r="19050" b="0"/>
            <wp:docPr id="17"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376B14" w:rsidRPr="00376B14" w:rsidRDefault="00F7384C" w:rsidP="00376B14">
      <w:pPr>
        <w:jc w:val="center"/>
        <w:rPr>
          <w:rFonts w:asciiTheme="majorHAnsi" w:hAnsiTheme="majorHAnsi" w:cstheme="minorHAnsi"/>
          <w:b/>
          <w:color w:val="000000" w:themeColor="text1"/>
          <w:sz w:val="28"/>
          <w:szCs w:val="28"/>
          <w:lang w:val="en-IN"/>
        </w:rPr>
      </w:pPr>
      <w:r w:rsidRPr="00F7384C">
        <w:rPr>
          <w:rFonts w:asciiTheme="majorHAnsi" w:hAnsiTheme="majorHAnsi" w:cstheme="minorHAnsi"/>
          <w:b/>
          <w:color w:val="000000" w:themeColor="text1"/>
          <w:sz w:val="28"/>
          <w:szCs w:val="28"/>
          <w:lang w:val="en-IN"/>
        </w:rPr>
        <w:drawing>
          <wp:inline distT="0" distB="0" distL="0" distR="0">
            <wp:extent cx="6677025" cy="3038475"/>
            <wp:effectExtent l="19050" t="0" r="9525" b="0"/>
            <wp:docPr id="19"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CD6CB6" w:rsidRDefault="00F7384C" w:rsidP="00F7384C">
      <w:pPr>
        <w:pStyle w:val="ListParagraph"/>
        <w:numPr>
          <w:ilvl w:val="2"/>
          <w:numId w:val="18"/>
        </w:numPr>
        <w:rPr>
          <w:rFonts w:asciiTheme="majorHAnsi" w:hAnsiTheme="majorHAnsi" w:cstheme="minorHAnsi"/>
          <w:b/>
          <w:color w:val="000000" w:themeColor="text1"/>
          <w:sz w:val="28"/>
          <w:szCs w:val="28"/>
          <w:lang w:val="en-IN"/>
        </w:rPr>
      </w:pPr>
      <w:r>
        <w:rPr>
          <w:rFonts w:asciiTheme="majorHAnsi" w:hAnsiTheme="majorHAnsi" w:cstheme="minorHAnsi"/>
          <w:b/>
          <w:color w:val="000000" w:themeColor="text1"/>
          <w:sz w:val="28"/>
          <w:szCs w:val="28"/>
          <w:lang w:val="en-IN"/>
        </w:rPr>
        <w:lastRenderedPageBreak/>
        <w:t>Operator 3</w:t>
      </w:r>
    </w:p>
    <w:p w:rsidR="00C8548C" w:rsidRPr="00376B14" w:rsidRDefault="00F7384C" w:rsidP="00F7384C">
      <w:pPr>
        <w:rPr>
          <w:rFonts w:asciiTheme="majorHAnsi" w:hAnsiTheme="majorHAnsi" w:cstheme="minorHAnsi"/>
          <w:b/>
          <w:color w:val="000000" w:themeColor="text1"/>
          <w:sz w:val="28"/>
          <w:szCs w:val="28"/>
          <w:lang w:val="en-IN"/>
        </w:rPr>
      </w:pPr>
      <w:r w:rsidRPr="00F7384C">
        <w:rPr>
          <w:rFonts w:asciiTheme="majorHAnsi" w:hAnsiTheme="majorHAnsi" w:cstheme="minorHAnsi"/>
          <w:b/>
          <w:color w:val="000000" w:themeColor="text1"/>
          <w:sz w:val="28"/>
          <w:szCs w:val="28"/>
          <w:lang w:val="en-IN"/>
        </w:rPr>
        <w:drawing>
          <wp:inline distT="0" distB="0" distL="0" distR="0">
            <wp:extent cx="6715125" cy="4762500"/>
            <wp:effectExtent l="19050" t="0" r="9525" b="0"/>
            <wp:docPr id="20"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F7384C" w:rsidRPr="00F7384C" w:rsidRDefault="00F7384C" w:rsidP="00F7384C">
      <w:pPr>
        <w:rPr>
          <w:rFonts w:cstheme="minorHAnsi"/>
          <w:color w:val="000000" w:themeColor="text1"/>
          <w:sz w:val="28"/>
          <w:szCs w:val="28"/>
          <w:lang w:val="en-IN"/>
        </w:rPr>
      </w:pPr>
      <w:r w:rsidRPr="00F7384C">
        <w:rPr>
          <w:rFonts w:cstheme="minorHAnsi"/>
          <w:color w:val="000000" w:themeColor="text1"/>
          <w:sz w:val="28"/>
          <w:szCs w:val="28"/>
          <w:lang w:val="en-IN"/>
        </w:rPr>
        <w:drawing>
          <wp:inline distT="0" distB="0" distL="0" distR="0">
            <wp:extent cx="6715125" cy="2714625"/>
            <wp:effectExtent l="19050" t="0" r="9525" b="0"/>
            <wp:docPr id="21"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F7384C" w:rsidRPr="00376B14" w:rsidRDefault="00F7384C" w:rsidP="00376B14">
      <w:pPr>
        <w:pStyle w:val="ListParagraph"/>
        <w:numPr>
          <w:ilvl w:val="2"/>
          <w:numId w:val="18"/>
        </w:numPr>
        <w:rPr>
          <w:rFonts w:asciiTheme="majorHAnsi" w:hAnsiTheme="majorHAnsi" w:cstheme="minorHAnsi"/>
          <w:b/>
          <w:color w:val="000000" w:themeColor="text1"/>
          <w:sz w:val="28"/>
          <w:szCs w:val="28"/>
          <w:lang w:val="en-IN"/>
        </w:rPr>
      </w:pPr>
      <w:r w:rsidRPr="00F7384C">
        <w:rPr>
          <w:rFonts w:asciiTheme="majorHAnsi" w:hAnsiTheme="majorHAnsi" w:cstheme="minorHAnsi"/>
          <w:b/>
          <w:color w:val="000000" w:themeColor="text1"/>
          <w:sz w:val="28"/>
          <w:szCs w:val="28"/>
          <w:lang w:val="en-IN"/>
        </w:rPr>
        <w:lastRenderedPageBreak/>
        <w:t>Operator 4</w:t>
      </w:r>
    </w:p>
    <w:p w:rsidR="00F7384C" w:rsidRPr="00A1368D" w:rsidRDefault="00F65B6A" w:rsidP="00A1368D">
      <w:pPr>
        <w:rPr>
          <w:rFonts w:asciiTheme="majorHAnsi" w:hAnsiTheme="majorHAnsi" w:cstheme="minorHAnsi"/>
          <w:b/>
          <w:color w:val="000000" w:themeColor="text1"/>
          <w:sz w:val="28"/>
          <w:szCs w:val="28"/>
          <w:lang w:val="en-IN"/>
        </w:rPr>
      </w:pPr>
      <w:r w:rsidRPr="00F7384C">
        <w:rPr>
          <w:lang w:val="en-IN"/>
        </w:rPr>
        <w:drawing>
          <wp:inline distT="0" distB="0" distL="0" distR="0">
            <wp:extent cx="6619875" cy="4572000"/>
            <wp:effectExtent l="19050" t="0" r="9525" b="0"/>
            <wp:docPr id="5"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F65B6A" w:rsidRDefault="00F65B6A" w:rsidP="00953906">
      <w:pPr>
        <w:rPr>
          <w:rFonts w:cstheme="minorHAnsi"/>
          <w:color w:val="000000" w:themeColor="text1"/>
          <w:sz w:val="28"/>
          <w:szCs w:val="28"/>
          <w:lang w:val="en-IN"/>
        </w:rPr>
      </w:pPr>
      <w:r w:rsidRPr="00F65B6A">
        <w:rPr>
          <w:rFonts w:cstheme="minorHAnsi"/>
          <w:color w:val="000000" w:themeColor="text1"/>
          <w:sz w:val="28"/>
          <w:szCs w:val="28"/>
          <w:lang w:val="en-IN"/>
        </w:rPr>
        <w:drawing>
          <wp:inline distT="0" distB="0" distL="0" distR="0">
            <wp:extent cx="6619875" cy="2628900"/>
            <wp:effectExtent l="19050" t="0" r="9525" b="0"/>
            <wp:docPr id="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F65B6A" w:rsidRDefault="00F65B6A" w:rsidP="00953906">
      <w:pPr>
        <w:rPr>
          <w:rFonts w:cstheme="minorHAnsi"/>
          <w:color w:val="000000" w:themeColor="text1"/>
          <w:sz w:val="28"/>
          <w:szCs w:val="28"/>
          <w:lang w:val="en-IN"/>
        </w:rPr>
      </w:pPr>
    </w:p>
    <w:p w:rsidR="00F65B6A" w:rsidRPr="00F65B6A" w:rsidRDefault="00F65B6A" w:rsidP="00F65B6A">
      <w:pPr>
        <w:pStyle w:val="ListParagraph"/>
        <w:numPr>
          <w:ilvl w:val="2"/>
          <w:numId w:val="18"/>
        </w:numPr>
        <w:rPr>
          <w:rFonts w:asciiTheme="majorHAnsi" w:hAnsiTheme="majorHAnsi" w:cstheme="minorHAnsi"/>
          <w:b/>
          <w:color w:val="000000" w:themeColor="text1"/>
          <w:sz w:val="28"/>
          <w:szCs w:val="28"/>
          <w:lang w:val="en-IN"/>
        </w:rPr>
      </w:pPr>
      <w:r w:rsidRPr="00F65B6A">
        <w:rPr>
          <w:rFonts w:asciiTheme="majorHAnsi" w:hAnsiTheme="majorHAnsi" w:cstheme="minorHAnsi"/>
          <w:b/>
          <w:color w:val="000000" w:themeColor="text1"/>
          <w:sz w:val="28"/>
          <w:szCs w:val="28"/>
          <w:lang w:val="en-IN"/>
        </w:rPr>
        <w:lastRenderedPageBreak/>
        <w:t>Operator 5</w:t>
      </w:r>
    </w:p>
    <w:p w:rsidR="00F65B6A" w:rsidRPr="00F65B6A" w:rsidRDefault="00F65B6A" w:rsidP="00376B14">
      <w:pPr>
        <w:rPr>
          <w:rFonts w:cstheme="minorHAnsi"/>
          <w:color w:val="000000" w:themeColor="text1"/>
          <w:sz w:val="28"/>
          <w:szCs w:val="28"/>
          <w:lang w:val="en-IN"/>
        </w:rPr>
      </w:pPr>
      <w:r w:rsidRPr="00F65B6A">
        <w:rPr>
          <w:rFonts w:cstheme="minorHAnsi"/>
          <w:color w:val="000000" w:themeColor="text1"/>
          <w:sz w:val="28"/>
          <w:szCs w:val="28"/>
          <w:lang w:val="en-IN"/>
        </w:rPr>
        <w:drawing>
          <wp:inline distT="0" distB="0" distL="0" distR="0">
            <wp:extent cx="6648450" cy="4533900"/>
            <wp:effectExtent l="19050" t="0" r="19050" b="0"/>
            <wp:docPr id="9"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F65B6A" w:rsidRDefault="00F65B6A" w:rsidP="00953906">
      <w:pPr>
        <w:rPr>
          <w:rFonts w:cstheme="minorHAnsi"/>
          <w:color w:val="000000" w:themeColor="text1"/>
          <w:sz w:val="28"/>
          <w:szCs w:val="28"/>
          <w:lang w:val="en-IN"/>
        </w:rPr>
      </w:pPr>
      <w:r w:rsidRPr="00F65B6A">
        <w:rPr>
          <w:rFonts w:cstheme="minorHAnsi"/>
          <w:color w:val="000000" w:themeColor="text1"/>
          <w:sz w:val="28"/>
          <w:szCs w:val="28"/>
          <w:lang w:val="en-IN"/>
        </w:rPr>
        <w:drawing>
          <wp:inline distT="0" distB="0" distL="0" distR="0">
            <wp:extent cx="6648450" cy="2419350"/>
            <wp:effectExtent l="19050" t="0" r="19050" b="0"/>
            <wp:docPr id="12"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A1368D" w:rsidRDefault="00A1368D" w:rsidP="00953906">
      <w:pPr>
        <w:rPr>
          <w:rFonts w:cstheme="minorHAnsi"/>
          <w:color w:val="000000" w:themeColor="text1"/>
          <w:sz w:val="28"/>
          <w:szCs w:val="28"/>
          <w:lang w:val="en-IN"/>
        </w:rPr>
      </w:pPr>
    </w:p>
    <w:p w:rsidR="00376B14" w:rsidRDefault="00376B14" w:rsidP="00953906">
      <w:pPr>
        <w:rPr>
          <w:rFonts w:cstheme="minorHAnsi"/>
          <w:color w:val="000000" w:themeColor="text1"/>
          <w:sz w:val="28"/>
          <w:szCs w:val="28"/>
          <w:lang w:val="en-IN"/>
        </w:rPr>
      </w:pPr>
    </w:p>
    <w:p w:rsidR="00F65B6A" w:rsidRDefault="00F65B6A" w:rsidP="00F65B6A">
      <w:pPr>
        <w:pStyle w:val="ListParagraph"/>
        <w:numPr>
          <w:ilvl w:val="2"/>
          <w:numId w:val="18"/>
        </w:numPr>
        <w:rPr>
          <w:rFonts w:asciiTheme="majorHAnsi" w:hAnsiTheme="majorHAnsi" w:cstheme="minorHAnsi"/>
          <w:b/>
          <w:color w:val="000000" w:themeColor="text1"/>
          <w:sz w:val="28"/>
          <w:szCs w:val="28"/>
          <w:lang w:val="en-IN"/>
        </w:rPr>
      </w:pPr>
      <w:r w:rsidRPr="00F65B6A">
        <w:rPr>
          <w:rFonts w:asciiTheme="majorHAnsi" w:hAnsiTheme="majorHAnsi" w:cstheme="minorHAnsi"/>
          <w:b/>
          <w:color w:val="000000" w:themeColor="text1"/>
          <w:sz w:val="28"/>
          <w:szCs w:val="28"/>
          <w:lang w:val="en-IN"/>
        </w:rPr>
        <w:lastRenderedPageBreak/>
        <w:t>Operator 6</w:t>
      </w:r>
    </w:p>
    <w:p w:rsidR="00F65B6A" w:rsidRDefault="00F65B6A" w:rsidP="00F65B6A">
      <w:pPr>
        <w:rPr>
          <w:rFonts w:asciiTheme="majorHAnsi" w:hAnsiTheme="majorHAnsi" w:cstheme="minorHAnsi"/>
          <w:b/>
          <w:color w:val="000000" w:themeColor="text1"/>
          <w:sz w:val="28"/>
          <w:szCs w:val="28"/>
          <w:lang w:val="en-IN"/>
        </w:rPr>
      </w:pPr>
      <w:r w:rsidRPr="00F65B6A">
        <w:rPr>
          <w:rFonts w:asciiTheme="majorHAnsi" w:hAnsiTheme="majorHAnsi" w:cstheme="minorHAnsi"/>
          <w:b/>
          <w:color w:val="000000" w:themeColor="text1"/>
          <w:sz w:val="28"/>
          <w:szCs w:val="28"/>
          <w:lang w:val="en-IN"/>
        </w:rPr>
        <w:drawing>
          <wp:inline distT="0" distB="0" distL="0" distR="0">
            <wp:extent cx="6724650" cy="4743450"/>
            <wp:effectExtent l="19050" t="0" r="19050" b="0"/>
            <wp:docPr id="13"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F65B6A" w:rsidRPr="00F65B6A" w:rsidRDefault="00F65B6A" w:rsidP="00F65B6A">
      <w:pPr>
        <w:rPr>
          <w:rFonts w:asciiTheme="majorHAnsi" w:hAnsiTheme="majorHAnsi" w:cstheme="minorHAnsi"/>
          <w:b/>
          <w:color w:val="000000" w:themeColor="text1"/>
          <w:sz w:val="28"/>
          <w:szCs w:val="28"/>
          <w:lang w:val="en-IN"/>
        </w:rPr>
      </w:pPr>
      <w:r w:rsidRPr="00F65B6A">
        <w:rPr>
          <w:rFonts w:asciiTheme="majorHAnsi" w:hAnsiTheme="majorHAnsi" w:cstheme="minorHAnsi"/>
          <w:b/>
          <w:color w:val="000000" w:themeColor="text1"/>
          <w:sz w:val="28"/>
          <w:szCs w:val="28"/>
          <w:lang w:val="en-IN"/>
        </w:rPr>
        <w:drawing>
          <wp:inline distT="0" distB="0" distL="0" distR="0">
            <wp:extent cx="6667500" cy="2600325"/>
            <wp:effectExtent l="19050" t="0" r="19050" b="0"/>
            <wp:docPr id="14"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rsidR="00171232" w:rsidRPr="00376B14" w:rsidRDefault="00F65B6A" w:rsidP="00171232">
      <w:pPr>
        <w:pStyle w:val="ListParagraph"/>
        <w:numPr>
          <w:ilvl w:val="2"/>
          <w:numId w:val="18"/>
        </w:numPr>
        <w:rPr>
          <w:rFonts w:asciiTheme="majorHAnsi" w:hAnsiTheme="majorHAnsi" w:cstheme="minorHAnsi"/>
          <w:b/>
          <w:color w:val="000000" w:themeColor="text1"/>
          <w:sz w:val="28"/>
          <w:szCs w:val="28"/>
          <w:lang w:val="en-IN"/>
        </w:rPr>
      </w:pPr>
      <w:r>
        <w:rPr>
          <w:rFonts w:asciiTheme="majorHAnsi" w:hAnsiTheme="majorHAnsi" w:cstheme="minorHAnsi"/>
          <w:b/>
          <w:color w:val="000000" w:themeColor="text1"/>
          <w:sz w:val="28"/>
          <w:szCs w:val="28"/>
          <w:lang w:val="en-IN"/>
        </w:rPr>
        <w:lastRenderedPageBreak/>
        <w:t>Operator 7</w:t>
      </w:r>
    </w:p>
    <w:p w:rsidR="00171232" w:rsidRPr="00171232" w:rsidRDefault="00171232" w:rsidP="00171232">
      <w:pPr>
        <w:rPr>
          <w:rFonts w:asciiTheme="majorHAnsi" w:hAnsiTheme="majorHAnsi" w:cstheme="minorHAnsi"/>
          <w:b/>
          <w:color w:val="000000" w:themeColor="text1"/>
          <w:sz w:val="28"/>
          <w:szCs w:val="28"/>
          <w:lang w:val="en-IN"/>
        </w:rPr>
      </w:pPr>
      <w:r w:rsidRPr="00171232">
        <w:rPr>
          <w:rFonts w:asciiTheme="majorHAnsi" w:hAnsiTheme="majorHAnsi" w:cstheme="minorHAnsi"/>
          <w:b/>
          <w:color w:val="000000" w:themeColor="text1"/>
          <w:sz w:val="28"/>
          <w:szCs w:val="28"/>
          <w:lang w:val="en-IN"/>
        </w:rPr>
        <w:drawing>
          <wp:inline distT="0" distB="0" distL="0" distR="0">
            <wp:extent cx="6734175" cy="4552950"/>
            <wp:effectExtent l="19050" t="0" r="9525" b="0"/>
            <wp:docPr id="24"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171232" w:rsidRDefault="00376B14" w:rsidP="00171232">
      <w:pPr>
        <w:rPr>
          <w:rFonts w:asciiTheme="majorHAnsi" w:hAnsiTheme="majorHAnsi" w:cstheme="minorHAnsi"/>
          <w:b/>
          <w:color w:val="000000" w:themeColor="text1"/>
          <w:sz w:val="28"/>
          <w:szCs w:val="28"/>
          <w:lang w:val="en-IN"/>
        </w:rPr>
      </w:pPr>
      <w:r w:rsidRPr="00376B14">
        <w:rPr>
          <w:rFonts w:asciiTheme="majorHAnsi" w:hAnsiTheme="majorHAnsi" w:cstheme="minorHAnsi"/>
          <w:b/>
          <w:color w:val="000000" w:themeColor="text1"/>
          <w:sz w:val="28"/>
          <w:szCs w:val="28"/>
          <w:lang w:val="en-IN"/>
        </w:rPr>
        <w:drawing>
          <wp:inline distT="0" distB="0" distL="0" distR="0">
            <wp:extent cx="6667500" cy="2647950"/>
            <wp:effectExtent l="19050" t="0" r="19050" b="0"/>
            <wp:docPr id="37"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rsidR="00171232" w:rsidRPr="00171232" w:rsidRDefault="00171232" w:rsidP="00171232">
      <w:pPr>
        <w:rPr>
          <w:rFonts w:asciiTheme="majorHAnsi" w:hAnsiTheme="majorHAnsi" w:cstheme="minorHAnsi"/>
          <w:b/>
          <w:color w:val="000000" w:themeColor="text1"/>
          <w:sz w:val="28"/>
          <w:szCs w:val="28"/>
          <w:lang w:val="en-IN"/>
        </w:rPr>
      </w:pPr>
    </w:p>
    <w:p w:rsidR="00171232" w:rsidRPr="00376B14" w:rsidRDefault="00171232" w:rsidP="00171232">
      <w:pPr>
        <w:pStyle w:val="ListParagraph"/>
        <w:numPr>
          <w:ilvl w:val="2"/>
          <w:numId w:val="18"/>
        </w:numPr>
        <w:rPr>
          <w:rFonts w:asciiTheme="majorHAnsi" w:hAnsiTheme="majorHAnsi" w:cstheme="minorHAnsi"/>
          <w:b/>
          <w:color w:val="000000" w:themeColor="text1"/>
          <w:sz w:val="28"/>
          <w:szCs w:val="28"/>
          <w:lang w:val="en-IN"/>
        </w:rPr>
      </w:pPr>
      <w:r>
        <w:rPr>
          <w:rFonts w:asciiTheme="majorHAnsi" w:hAnsiTheme="majorHAnsi" w:cstheme="minorHAnsi"/>
          <w:b/>
          <w:color w:val="000000" w:themeColor="text1"/>
          <w:sz w:val="28"/>
          <w:szCs w:val="28"/>
          <w:lang w:val="en-IN"/>
        </w:rPr>
        <w:lastRenderedPageBreak/>
        <w:t>Operator 8</w:t>
      </w:r>
    </w:p>
    <w:p w:rsidR="00171232" w:rsidRPr="00171232" w:rsidRDefault="00171232" w:rsidP="00171232">
      <w:pPr>
        <w:rPr>
          <w:rFonts w:asciiTheme="majorHAnsi" w:hAnsiTheme="majorHAnsi" w:cstheme="minorHAnsi"/>
          <w:b/>
          <w:color w:val="000000" w:themeColor="text1"/>
          <w:sz w:val="28"/>
          <w:szCs w:val="28"/>
          <w:lang w:val="en-IN"/>
        </w:rPr>
      </w:pPr>
      <w:r w:rsidRPr="00171232">
        <w:rPr>
          <w:rFonts w:asciiTheme="majorHAnsi" w:hAnsiTheme="majorHAnsi" w:cstheme="minorHAnsi"/>
          <w:b/>
          <w:color w:val="000000" w:themeColor="text1"/>
          <w:sz w:val="28"/>
          <w:szCs w:val="28"/>
          <w:lang w:val="en-IN"/>
        </w:rPr>
        <w:drawing>
          <wp:inline distT="0" distB="0" distL="0" distR="0">
            <wp:extent cx="6715125" cy="4591050"/>
            <wp:effectExtent l="19050" t="0" r="9525" b="0"/>
            <wp:docPr id="26"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rsidR="00171232" w:rsidRDefault="00376B14" w:rsidP="00171232">
      <w:pPr>
        <w:rPr>
          <w:rFonts w:asciiTheme="majorHAnsi" w:hAnsiTheme="majorHAnsi" w:cstheme="minorHAnsi"/>
          <w:b/>
          <w:color w:val="000000" w:themeColor="text1"/>
          <w:sz w:val="28"/>
          <w:szCs w:val="28"/>
          <w:lang w:val="en-IN"/>
        </w:rPr>
      </w:pPr>
      <w:r w:rsidRPr="00376B14">
        <w:rPr>
          <w:rFonts w:asciiTheme="majorHAnsi" w:hAnsiTheme="majorHAnsi" w:cstheme="minorHAnsi"/>
          <w:b/>
          <w:color w:val="000000" w:themeColor="text1"/>
          <w:sz w:val="28"/>
          <w:szCs w:val="28"/>
          <w:lang w:val="en-IN"/>
        </w:rPr>
        <w:drawing>
          <wp:inline distT="0" distB="0" distL="0" distR="0">
            <wp:extent cx="6715125" cy="2600325"/>
            <wp:effectExtent l="19050" t="0" r="9525" b="0"/>
            <wp:docPr id="36"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rsidR="00376B14" w:rsidRPr="00171232" w:rsidRDefault="00376B14" w:rsidP="00171232">
      <w:pPr>
        <w:rPr>
          <w:rFonts w:asciiTheme="majorHAnsi" w:hAnsiTheme="majorHAnsi" w:cstheme="minorHAnsi"/>
          <w:b/>
          <w:color w:val="000000" w:themeColor="text1"/>
          <w:sz w:val="28"/>
          <w:szCs w:val="28"/>
          <w:lang w:val="en-IN"/>
        </w:rPr>
      </w:pPr>
    </w:p>
    <w:p w:rsidR="00171232" w:rsidRPr="00376B14" w:rsidRDefault="00171232" w:rsidP="00171232">
      <w:pPr>
        <w:pStyle w:val="ListParagraph"/>
        <w:numPr>
          <w:ilvl w:val="2"/>
          <w:numId w:val="18"/>
        </w:numPr>
        <w:rPr>
          <w:rFonts w:asciiTheme="majorHAnsi" w:hAnsiTheme="majorHAnsi" w:cstheme="minorHAnsi"/>
          <w:b/>
          <w:color w:val="000000" w:themeColor="text1"/>
          <w:sz w:val="28"/>
          <w:szCs w:val="28"/>
          <w:lang w:val="en-IN"/>
        </w:rPr>
      </w:pPr>
      <w:r>
        <w:rPr>
          <w:rFonts w:asciiTheme="majorHAnsi" w:hAnsiTheme="majorHAnsi" w:cstheme="minorHAnsi"/>
          <w:b/>
          <w:color w:val="000000" w:themeColor="text1"/>
          <w:sz w:val="28"/>
          <w:szCs w:val="28"/>
          <w:lang w:val="en-IN"/>
        </w:rPr>
        <w:lastRenderedPageBreak/>
        <w:t>Operator 9</w:t>
      </w:r>
    </w:p>
    <w:p w:rsidR="00171232" w:rsidRPr="00171232" w:rsidRDefault="00171232" w:rsidP="00171232">
      <w:pPr>
        <w:rPr>
          <w:rFonts w:asciiTheme="majorHAnsi" w:hAnsiTheme="majorHAnsi" w:cstheme="minorHAnsi"/>
          <w:b/>
          <w:color w:val="000000" w:themeColor="text1"/>
          <w:sz w:val="28"/>
          <w:szCs w:val="28"/>
          <w:lang w:val="en-IN"/>
        </w:rPr>
      </w:pPr>
      <w:r w:rsidRPr="00171232">
        <w:rPr>
          <w:rFonts w:asciiTheme="majorHAnsi" w:hAnsiTheme="majorHAnsi" w:cstheme="minorHAnsi"/>
          <w:b/>
          <w:color w:val="000000" w:themeColor="text1"/>
          <w:sz w:val="28"/>
          <w:szCs w:val="28"/>
          <w:lang w:val="en-IN"/>
        </w:rPr>
        <w:drawing>
          <wp:inline distT="0" distB="0" distL="0" distR="0">
            <wp:extent cx="6715125" cy="4733925"/>
            <wp:effectExtent l="19050" t="0" r="9525" b="0"/>
            <wp:docPr id="28"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rsidR="00171232" w:rsidRDefault="00376B14" w:rsidP="00171232">
      <w:pPr>
        <w:rPr>
          <w:rFonts w:asciiTheme="majorHAnsi" w:hAnsiTheme="majorHAnsi" w:cstheme="minorHAnsi"/>
          <w:b/>
          <w:color w:val="000000" w:themeColor="text1"/>
          <w:sz w:val="28"/>
          <w:szCs w:val="28"/>
          <w:lang w:val="en-IN"/>
        </w:rPr>
      </w:pPr>
      <w:r w:rsidRPr="00376B14">
        <w:rPr>
          <w:rFonts w:asciiTheme="majorHAnsi" w:hAnsiTheme="majorHAnsi" w:cstheme="minorHAnsi"/>
          <w:b/>
          <w:color w:val="000000" w:themeColor="text1"/>
          <w:sz w:val="28"/>
          <w:szCs w:val="28"/>
          <w:lang w:val="en-IN"/>
        </w:rPr>
        <w:drawing>
          <wp:inline distT="0" distB="0" distL="0" distR="0">
            <wp:extent cx="6715125" cy="2510155"/>
            <wp:effectExtent l="19050" t="0" r="9525" b="4445"/>
            <wp:docPr id="34"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rsidR="00376B14" w:rsidRPr="00171232" w:rsidRDefault="00376B14" w:rsidP="00171232">
      <w:pPr>
        <w:rPr>
          <w:rFonts w:asciiTheme="majorHAnsi" w:hAnsiTheme="majorHAnsi" w:cstheme="minorHAnsi"/>
          <w:b/>
          <w:color w:val="000000" w:themeColor="text1"/>
          <w:sz w:val="28"/>
          <w:szCs w:val="28"/>
          <w:lang w:val="en-IN"/>
        </w:rPr>
      </w:pPr>
    </w:p>
    <w:p w:rsidR="00171232" w:rsidRPr="00376B14" w:rsidRDefault="00171232" w:rsidP="00171232">
      <w:pPr>
        <w:pStyle w:val="ListParagraph"/>
        <w:numPr>
          <w:ilvl w:val="2"/>
          <w:numId w:val="18"/>
        </w:numPr>
        <w:rPr>
          <w:rFonts w:asciiTheme="majorHAnsi" w:hAnsiTheme="majorHAnsi" w:cstheme="minorHAnsi"/>
          <w:b/>
          <w:color w:val="000000" w:themeColor="text1"/>
          <w:sz w:val="28"/>
          <w:szCs w:val="28"/>
          <w:lang w:val="en-IN"/>
        </w:rPr>
      </w:pPr>
      <w:r>
        <w:rPr>
          <w:rFonts w:asciiTheme="majorHAnsi" w:hAnsiTheme="majorHAnsi" w:cstheme="minorHAnsi"/>
          <w:b/>
          <w:color w:val="000000" w:themeColor="text1"/>
          <w:sz w:val="28"/>
          <w:szCs w:val="28"/>
          <w:lang w:val="en-IN"/>
        </w:rPr>
        <w:lastRenderedPageBreak/>
        <w:t>Operator 10</w:t>
      </w:r>
    </w:p>
    <w:p w:rsidR="00171232" w:rsidRDefault="00171232" w:rsidP="00171232">
      <w:pPr>
        <w:rPr>
          <w:rFonts w:asciiTheme="majorHAnsi" w:hAnsiTheme="majorHAnsi" w:cstheme="minorHAnsi"/>
          <w:b/>
          <w:color w:val="000000" w:themeColor="text1"/>
          <w:sz w:val="28"/>
          <w:szCs w:val="28"/>
          <w:lang w:val="en-IN"/>
        </w:rPr>
      </w:pPr>
      <w:r w:rsidRPr="00171232">
        <w:rPr>
          <w:rFonts w:asciiTheme="majorHAnsi" w:hAnsiTheme="majorHAnsi" w:cstheme="minorHAnsi"/>
          <w:b/>
          <w:color w:val="000000" w:themeColor="text1"/>
          <w:sz w:val="28"/>
          <w:szCs w:val="28"/>
          <w:lang w:val="en-IN"/>
        </w:rPr>
        <w:drawing>
          <wp:inline distT="0" distB="0" distL="0" distR="0">
            <wp:extent cx="6696075" cy="4410075"/>
            <wp:effectExtent l="19050" t="0" r="9525" b="0"/>
            <wp:docPr id="30"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rsidR="00171232" w:rsidRDefault="00376B14" w:rsidP="00171232">
      <w:pPr>
        <w:rPr>
          <w:rFonts w:asciiTheme="majorHAnsi" w:hAnsiTheme="majorHAnsi" w:cstheme="minorHAnsi"/>
          <w:b/>
          <w:color w:val="000000" w:themeColor="text1"/>
          <w:sz w:val="28"/>
          <w:szCs w:val="28"/>
          <w:lang w:val="en-IN"/>
        </w:rPr>
      </w:pPr>
      <w:r w:rsidRPr="00376B14">
        <w:rPr>
          <w:rFonts w:asciiTheme="majorHAnsi" w:hAnsiTheme="majorHAnsi" w:cstheme="minorHAnsi"/>
          <w:b/>
          <w:color w:val="000000" w:themeColor="text1"/>
          <w:sz w:val="28"/>
          <w:szCs w:val="28"/>
          <w:lang w:val="en-IN"/>
        </w:rPr>
        <w:drawing>
          <wp:inline distT="0" distB="0" distL="0" distR="0">
            <wp:extent cx="6696075" cy="2686050"/>
            <wp:effectExtent l="19050" t="0" r="9525" b="0"/>
            <wp:docPr id="35"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rsidR="00376B14" w:rsidRPr="00171232" w:rsidRDefault="00376B14" w:rsidP="00171232">
      <w:pPr>
        <w:rPr>
          <w:rFonts w:asciiTheme="majorHAnsi" w:hAnsiTheme="majorHAnsi" w:cstheme="minorHAnsi"/>
          <w:b/>
          <w:color w:val="000000" w:themeColor="text1"/>
          <w:sz w:val="28"/>
          <w:szCs w:val="28"/>
          <w:lang w:val="en-IN"/>
        </w:rPr>
      </w:pPr>
    </w:p>
    <w:p w:rsidR="00203AC0" w:rsidRPr="00171232" w:rsidRDefault="00171232" w:rsidP="00171232">
      <w:pPr>
        <w:pStyle w:val="ListParagraph"/>
        <w:numPr>
          <w:ilvl w:val="2"/>
          <w:numId w:val="18"/>
        </w:numPr>
        <w:rPr>
          <w:rFonts w:asciiTheme="majorHAnsi" w:hAnsiTheme="majorHAnsi" w:cstheme="minorHAnsi"/>
          <w:b/>
          <w:color w:val="000000" w:themeColor="text1"/>
          <w:sz w:val="28"/>
          <w:szCs w:val="28"/>
          <w:lang w:val="en-IN"/>
        </w:rPr>
      </w:pPr>
      <w:r>
        <w:rPr>
          <w:rFonts w:asciiTheme="majorHAnsi" w:hAnsiTheme="majorHAnsi" w:cstheme="minorHAnsi"/>
          <w:b/>
          <w:color w:val="000000" w:themeColor="text1"/>
          <w:sz w:val="28"/>
          <w:szCs w:val="28"/>
          <w:lang w:val="en-IN"/>
        </w:rPr>
        <w:lastRenderedPageBreak/>
        <w:t>Comparison</w:t>
      </w:r>
    </w:p>
    <w:p w:rsidR="00171232" w:rsidRDefault="00171232" w:rsidP="00953906">
      <w:pPr>
        <w:rPr>
          <w:rFonts w:cstheme="minorHAnsi"/>
          <w:color w:val="000000" w:themeColor="text1"/>
          <w:sz w:val="28"/>
          <w:szCs w:val="28"/>
          <w:lang w:val="en-IN"/>
        </w:rPr>
      </w:pPr>
      <w:r w:rsidRPr="00171232">
        <w:rPr>
          <w:lang w:val="en-IN"/>
        </w:rPr>
        <w:drawing>
          <wp:inline distT="0" distB="0" distL="0" distR="0">
            <wp:extent cx="6762750" cy="5057775"/>
            <wp:effectExtent l="19050" t="0" r="19050" b="0"/>
            <wp:docPr id="32"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rsidR="00A1368D" w:rsidRPr="00376B14" w:rsidRDefault="00953906" w:rsidP="00376B14">
      <w:pPr>
        <w:rPr>
          <w:rFonts w:cstheme="minorHAnsi"/>
          <w:color w:val="000000" w:themeColor="text1"/>
          <w:sz w:val="28"/>
          <w:szCs w:val="28"/>
          <w:lang w:val="en-IN"/>
        </w:rPr>
      </w:pPr>
      <w:r w:rsidRPr="00953906">
        <w:rPr>
          <w:rFonts w:cstheme="minorHAnsi"/>
          <w:color w:val="000000" w:themeColor="text1"/>
          <w:sz w:val="28"/>
          <w:szCs w:val="28"/>
          <w:lang w:val="en-IN"/>
        </w:rPr>
        <w:drawing>
          <wp:inline distT="0" distB="0" distL="0" distR="0">
            <wp:extent cx="6705600" cy="2581275"/>
            <wp:effectExtent l="19050" t="0" r="19050" b="0"/>
            <wp:docPr id="10"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rsidR="0043671D" w:rsidRDefault="001E3E22" w:rsidP="00A1368D">
      <w:pPr>
        <w:pStyle w:val="ListParagraph"/>
        <w:numPr>
          <w:ilvl w:val="0"/>
          <w:numId w:val="12"/>
        </w:numPr>
        <w:rPr>
          <w:rFonts w:asciiTheme="majorHAnsi" w:hAnsiTheme="majorHAnsi" w:cstheme="minorHAnsi"/>
          <w:b/>
          <w:color w:val="000000" w:themeColor="text1"/>
          <w:sz w:val="28"/>
          <w:szCs w:val="28"/>
          <w:lang w:val="en-IN"/>
        </w:rPr>
      </w:pPr>
      <w:r>
        <w:rPr>
          <w:rFonts w:asciiTheme="majorHAnsi" w:hAnsiTheme="majorHAnsi" w:cstheme="minorHAnsi"/>
          <w:b/>
          <w:color w:val="000000" w:themeColor="text1"/>
          <w:sz w:val="28"/>
          <w:szCs w:val="28"/>
          <w:lang w:val="en-IN"/>
        </w:rPr>
        <w:lastRenderedPageBreak/>
        <w:t>References</w:t>
      </w:r>
    </w:p>
    <w:p w:rsidR="00D362B2" w:rsidRDefault="00D362B2" w:rsidP="00457C06">
      <w:pPr>
        <w:rPr>
          <w:rFonts w:cstheme="minorHAnsi"/>
          <w:color w:val="000000" w:themeColor="text1"/>
          <w:lang w:val="en-IN"/>
        </w:rPr>
      </w:pPr>
      <w:r>
        <w:rPr>
          <w:rFonts w:cstheme="minorHAnsi"/>
          <w:color w:val="000000" w:themeColor="text1"/>
          <w:lang w:val="en-IN"/>
        </w:rPr>
        <w:t xml:space="preserve">[1] </w:t>
      </w:r>
      <w:hyperlink r:id="rId36" w:history="1">
        <w:r>
          <w:rPr>
            <w:rStyle w:val="Hyperlink"/>
          </w:rPr>
          <w:t>The 5 Types - What Is Non-Destructive Testing (NDT)? - sentin</w:t>
        </w:r>
      </w:hyperlink>
    </w:p>
    <w:p w:rsidR="00D362B2" w:rsidRDefault="00D362B2" w:rsidP="00457C06">
      <w:pPr>
        <w:rPr>
          <w:rFonts w:cstheme="minorHAnsi"/>
          <w:color w:val="000000" w:themeColor="text1"/>
          <w:lang w:val="en-IN"/>
        </w:rPr>
      </w:pPr>
      <w:r>
        <w:rPr>
          <w:rFonts w:cstheme="minorHAnsi"/>
          <w:color w:val="000000" w:themeColor="text1"/>
          <w:lang w:val="en-IN"/>
        </w:rPr>
        <w:t xml:space="preserve">[2] </w:t>
      </w:r>
      <w:hyperlink r:id="rId37" w:anchor="WhereisNonDestructiveTestingused" w:history="1">
        <w:r>
          <w:rPr>
            <w:rStyle w:val="Hyperlink"/>
          </w:rPr>
          <w:t>What is Non-Destructive Testing (NDT)? Methods and Definition - TWI (twi-global.com)</w:t>
        </w:r>
      </w:hyperlink>
    </w:p>
    <w:p w:rsidR="00D362B2" w:rsidRDefault="00D362B2" w:rsidP="00457C06">
      <w:pPr>
        <w:rPr>
          <w:rFonts w:cstheme="minorHAnsi"/>
          <w:color w:val="000000" w:themeColor="text1"/>
          <w:lang w:val="en-IN"/>
        </w:rPr>
      </w:pPr>
      <w:r>
        <w:rPr>
          <w:rFonts w:cstheme="minorHAnsi"/>
          <w:color w:val="000000" w:themeColor="text1"/>
          <w:lang w:val="en-IN"/>
        </w:rPr>
        <w:t xml:space="preserve">[3] </w:t>
      </w:r>
      <w:hyperlink r:id="rId38" w:history="1">
        <w:r>
          <w:rPr>
            <w:rStyle w:val="Hyperlink"/>
          </w:rPr>
          <w:t>Introduction to the Statistics of NDT</w:t>
        </w:r>
      </w:hyperlink>
    </w:p>
    <w:p w:rsidR="00457C06" w:rsidRPr="00457C06" w:rsidRDefault="00457C06" w:rsidP="00457C06">
      <w:pPr>
        <w:rPr>
          <w:rFonts w:cstheme="minorHAnsi"/>
          <w:color w:val="000000" w:themeColor="text1"/>
          <w:lang w:val="en-IN"/>
        </w:rPr>
      </w:pPr>
      <w:r>
        <w:rPr>
          <w:rFonts w:cstheme="minorHAnsi"/>
          <w:color w:val="000000" w:themeColor="text1"/>
          <w:lang w:val="en-IN"/>
        </w:rPr>
        <w:t xml:space="preserve">[4] </w:t>
      </w:r>
      <w:hyperlink r:id="rId39" w:history="1">
        <w:r>
          <w:rPr>
            <w:rStyle w:val="Hyperlink"/>
          </w:rPr>
          <w:t>POD (bindt.org)</w:t>
        </w:r>
      </w:hyperlink>
      <w:r>
        <w:t xml:space="preserve">  &amp; </w:t>
      </w:r>
      <w:r w:rsidRPr="00457C06">
        <w:t>https://www.youtube.com/watch?v=-d-NjNuC3LI</w:t>
      </w:r>
    </w:p>
    <w:p w:rsidR="009A03DB" w:rsidRDefault="00457C06" w:rsidP="009A03DB">
      <w:r>
        <w:t xml:space="preserve"> </w:t>
      </w:r>
      <w:r w:rsidR="00FC3D0F">
        <w:t>[5</w:t>
      </w:r>
      <w:r w:rsidR="009A03DB">
        <w:t xml:space="preserve">] HSE-RR-454, 2006. Probability of detection curves; derivation, applications and limitations. Health and Safety Executive, Merseyside, UK. </w:t>
      </w:r>
    </w:p>
    <w:p w:rsidR="009A03DB" w:rsidRDefault="00FC3D0F" w:rsidP="009A03DB">
      <w:r>
        <w:t>[6</w:t>
      </w:r>
      <w:r w:rsidR="009A03DB">
        <w:t xml:space="preserve">] NASA-STD-5009. NDE requirements for fracture critical metallic components. NASA, Washington DC, USA. </w:t>
      </w:r>
    </w:p>
    <w:p w:rsidR="009A03DB" w:rsidRDefault="00FC3D0F" w:rsidP="009A03DB">
      <w:r>
        <w:t>[7</w:t>
      </w:r>
      <w:r w:rsidR="009A03DB">
        <w:t xml:space="preserve">] MIL-A-83444, 1974. USAF damage tolerant design handbook: guidelines for the analysis and design of damage tolerant aircraft structures. </w:t>
      </w:r>
    </w:p>
    <w:p w:rsidR="009A03DB" w:rsidRDefault="009A03DB" w:rsidP="009A03DB">
      <w:r>
        <w:t xml:space="preserve">[11] W.D.Rummel and G.A.Matzkanin, 1997. NDE capabilities data book-third edition. NTIAC, Texas Research Institute Austin, Texas, USA. </w:t>
      </w:r>
    </w:p>
    <w:p w:rsidR="009A03DB" w:rsidRDefault="009A03DB" w:rsidP="009A03DB">
      <w:r>
        <w:t xml:space="preserve">[12] R.T.Anderson, T.J.DeLacy, R.C.Stewart, 1973. Detection of Fatigue Cracks by Nondestructive Testing Methods. NASA CR-128946, Washington DC, USA. </w:t>
      </w:r>
    </w:p>
    <w:p w:rsidR="009A03DB" w:rsidRDefault="009A03DB" w:rsidP="009A03DB">
      <w:r>
        <w:t xml:space="preserve">[13] B.G.W.Yee, F.H.Chang, J.C.Couchman, G.H. Lemon and P.F.Packman, 1976. Assessment of NDE Reliability Data. NASA CR-134991, Washington DC, USA. </w:t>
      </w:r>
    </w:p>
    <w:p w:rsidR="009A03DB" w:rsidRDefault="009A03DB" w:rsidP="009A03DB">
      <w:r>
        <w:t xml:space="preserve">[14] A.P.Berens, 1989. NDE reliability data analysis. ASMMetals Handbook, Ninth Edition Vol. 17, 689- 701, Ohio, USA. </w:t>
      </w:r>
    </w:p>
    <w:p w:rsidR="009A03DB" w:rsidRDefault="009A03DB" w:rsidP="009A03DB">
      <w:r>
        <w:t xml:space="preserve">[15] W.H.Lewis, W.H.Sproat, B.D.Dodd, and J.M. Hamilton, 1978. Reliability of Nondestructive Inspections – Final Report. Technical Report SA-ALC/MME 76-6-38-1, San Antonio Air Logistics Center, USA. </w:t>
      </w:r>
    </w:p>
    <w:p w:rsidR="009A03DB" w:rsidRDefault="009A03DB" w:rsidP="009A03DB">
      <w:r>
        <w:t>[16] A.P.Berens and P.W.Hovey, 1981. Evaluation of NDE reliability characterization. AFWAL-TR-81- 4160. Air Force Wright Aeronautical Labs, Wright- Patterson Air Force Base, OH, USA.</w:t>
      </w:r>
    </w:p>
    <w:p w:rsidR="009A03DB" w:rsidRDefault="009A03DB" w:rsidP="009A03DB">
      <w:r>
        <w:t xml:space="preserve">[17] A.P. Berens and P.W.Hovey, 1983. Statistical Methods for Estimating Crack Detection Probabilities. Probabilistic Fracture Mechanics and Fatigue Methods: Application for Structural Design and Maintenance, ASTM STP 798, 79-94, USA. </w:t>
      </w:r>
    </w:p>
    <w:p w:rsidR="009A03DB" w:rsidRDefault="009A03DB" w:rsidP="009A03DB">
      <w:r>
        <w:t>[18] P.G.Packman, J.S.Klima, R.L.Davies, J. Malpani, J. Moyzis, W.Walker, B.G.W.Yee, and D.P.Johnson, 1976. Reliability of flaw detection by nondestructive inspection. ASM Metals Handbook, Eighth Edition Vol. 11, 214-224, Ohio, USA.</w:t>
      </w:r>
    </w:p>
    <w:p w:rsidR="009A03DB" w:rsidRDefault="009A03DB" w:rsidP="009A03DB">
      <w:r>
        <w:t xml:space="preserve">[19] D.S.Forsyth and J.C.Aldrin, 2009. Build your own POD. Proceedings of Fourth European American Workshop on Reliability of NDE, Berlin, Germany. </w:t>
      </w:r>
    </w:p>
    <w:p w:rsidR="009A03DB" w:rsidRDefault="009A03DB" w:rsidP="009A03DB">
      <w:r>
        <w:lastRenderedPageBreak/>
        <w:t xml:space="preserve">[20] MIL-HDBK-1823, 1999. Nondestructive evaluation system reliability assessment. US Department of Defense. </w:t>
      </w:r>
    </w:p>
    <w:p w:rsidR="009A03DB" w:rsidRDefault="009A03DB" w:rsidP="009A03DB">
      <w:r>
        <w:t xml:space="preserve">[21] J.S.Knopp, R.Grandh, L.Zeng and J.C. Aldrin, 2012. Consideration for statistical analysis of NDE data: hit/miss analysis. E-Journal of Advanced Maintenance, Vol 4, no. 3, 105-115, Japan Society of Maintenology. </w:t>
      </w:r>
    </w:p>
    <w:p w:rsidR="009A03DB" w:rsidRDefault="009A03DB" w:rsidP="009A03DB">
      <w:r>
        <w:t xml:space="preserve">[22] C.Annis and J.S.Knopp, 2007. Comparing the effectiveness of a 90/95 calculations. Review of Progress in Quantitative Nondestructive Evaluation, Vol 26, 1767-1774. </w:t>
      </w:r>
    </w:p>
    <w:p w:rsidR="009A03DB" w:rsidRDefault="009A03DB" w:rsidP="009A03DB">
      <w:r>
        <w:t xml:space="preserve">[23] MIL-HDBK-1823-A, 2009. Nondestructive evaluation system reliability assessment. US Department of Defense. </w:t>
      </w:r>
    </w:p>
    <w:p w:rsidR="009A03DB" w:rsidRDefault="009A03DB" w:rsidP="009A03DB">
      <w:r>
        <w:t xml:space="preserve">[24]M.Wall, F.A.Wegwood and S.Burch, 1998. Modelling of NDT reliability (POD) and applying corrections for human factors. Proceedings of 7th European Conference on Nondestructive Testing, Vol.3, 87-98 Copenhagen, Denmark. </w:t>
      </w:r>
    </w:p>
    <w:p w:rsidR="009A03DB" w:rsidRDefault="009A03DB" w:rsidP="009A03DB">
      <w:r>
        <w:t xml:space="preserve">[25] J.N.Gray, T.A.Gray, N.Nakagawa and R.B.Thomson, 1989. Models for predicting NDE reliability. ASM Metals Handbook, Ninth Edition Vol. 17, 701-715, Ohio, USA. </w:t>
      </w:r>
    </w:p>
    <w:p w:rsidR="009A03DB" w:rsidRDefault="009A03DB" w:rsidP="009A03DB">
      <w:r>
        <w:t xml:space="preserve">[26] N. Nakagawa, M.W.Kubovich, and J.C.Moulder, 1990. Modeling inspectability for an automated eddy current measurement system. Review of Progress in Quantitative Nondestructive Evaluation, Vol. 9, 1065-1072, Springer, USA. </w:t>
      </w:r>
    </w:p>
    <w:p w:rsidR="009A03DB" w:rsidRDefault="009A03DB" w:rsidP="009A03DB">
      <w:r>
        <w:t xml:space="preserve">[27] J.A.Ogilvy, 1993. Model for predicting ultrasonic pulse-echo probability of detection”. NDT&amp;E International, Vol. 26, no. 1, 19-29, Butterworth- Heinemann LTD., Oxford, UK. </w:t>
      </w:r>
    </w:p>
    <w:p w:rsidR="009A03DB" w:rsidRDefault="009A03DB" w:rsidP="009A03DB">
      <w:r>
        <w:t xml:space="preserve">[28] M.Wall, and F.A.Wedgwood, 1994. NDT - value for money”. Insight, vol. 36, no. 10, 782-790, British Institute of Nondestructive Testing, Northampton, UK. </w:t>
      </w:r>
    </w:p>
    <w:p w:rsidR="009A03DB" w:rsidRDefault="009A03DB" w:rsidP="009A03DB">
      <w:r>
        <w:t xml:space="preserve">[29] Jr.Schmerr, W.Lester, and D.O.Thompson, 1994. NDE models and design - a unified life-cycle engineering. Review of Progress in Quantitative Nondestructive Evaluation, Vol. 13, 2183-2190, Springer, USA. </w:t>
      </w:r>
    </w:p>
    <w:p w:rsidR="009A03DB" w:rsidRDefault="009A03DB" w:rsidP="009A03DB">
      <w:r>
        <w:t xml:space="preserve">[30] W.Q.Meeker, C.P.Chiou, V.Chan, and R.B. Thompson, 1998. Improved methodology for inspection reliability assessment for detecting synthetic hard alpha inclusions in Titanium”. Review of Progress in Quantitative Nondestructive Evaluation, Vol. 17b, 2061-2068, Springer, USA. </w:t>
      </w:r>
    </w:p>
    <w:p w:rsidR="0043671D" w:rsidRDefault="0043671D" w:rsidP="00BF2291">
      <w:pPr>
        <w:pStyle w:val="ListParagraph"/>
        <w:ind w:left="1080"/>
        <w:rPr>
          <w:rFonts w:cstheme="minorHAnsi"/>
          <w:color w:val="000000" w:themeColor="text1"/>
          <w:sz w:val="28"/>
          <w:szCs w:val="28"/>
          <w:lang w:val="en-IN"/>
        </w:rPr>
      </w:pPr>
    </w:p>
    <w:p w:rsidR="0043671D" w:rsidRDefault="0043671D" w:rsidP="00BF2291">
      <w:pPr>
        <w:pStyle w:val="ListParagraph"/>
        <w:ind w:left="1080"/>
        <w:rPr>
          <w:rFonts w:cstheme="minorHAnsi"/>
          <w:color w:val="000000" w:themeColor="text1"/>
          <w:sz w:val="28"/>
          <w:szCs w:val="28"/>
          <w:lang w:val="en-IN"/>
        </w:rPr>
      </w:pPr>
    </w:p>
    <w:p w:rsidR="0043671D" w:rsidRDefault="0043671D" w:rsidP="00BF2291">
      <w:pPr>
        <w:pStyle w:val="ListParagraph"/>
        <w:ind w:left="1080"/>
        <w:rPr>
          <w:rFonts w:cstheme="minorHAnsi"/>
          <w:color w:val="000000" w:themeColor="text1"/>
          <w:sz w:val="28"/>
          <w:szCs w:val="28"/>
          <w:lang w:val="en-IN"/>
        </w:rPr>
      </w:pPr>
    </w:p>
    <w:p w:rsidR="0043671D" w:rsidRDefault="0043671D" w:rsidP="00BF2291">
      <w:pPr>
        <w:pStyle w:val="ListParagraph"/>
        <w:ind w:left="1080"/>
        <w:rPr>
          <w:rFonts w:cstheme="minorHAnsi"/>
          <w:color w:val="000000" w:themeColor="text1"/>
          <w:sz w:val="28"/>
          <w:szCs w:val="28"/>
          <w:lang w:val="en-IN"/>
        </w:rPr>
      </w:pPr>
    </w:p>
    <w:p w:rsidR="0043671D" w:rsidRDefault="0043671D" w:rsidP="00BF2291">
      <w:pPr>
        <w:pStyle w:val="ListParagraph"/>
        <w:ind w:left="1080"/>
        <w:rPr>
          <w:rFonts w:cstheme="minorHAnsi"/>
          <w:color w:val="000000" w:themeColor="text1"/>
          <w:sz w:val="28"/>
          <w:szCs w:val="28"/>
          <w:lang w:val="en-IN"/>
        </w:rPr>
      </w:pPr>
    </w:p>
    <w:p w:rsidR="0043671D" w:rsidRDefault="0043671D" w:rsidP="00203AC0"/>
    <w:sectPr w:rsidR="0043671D" w:rsidSect="001E2AB3">
      <w:footerReference w:type="default" r:id="rId40"/>
      <w:pgSz w:w="12240" w:h="15840"/>
      <w:pgMar w:top="1440" w:right="1440" w:bottom="1440" w:left="1440" w:header="709" w:footer="709"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C06FA" w:rsidRDefault="003C06FA" w:rsidP="00DD7155">
      <w:pPr>
        <w:spacing w:after="0" w:line="240" w:lineRule="auto"/>
      </w:pPr>
      <w:r>
        <w:separator/>
      </w:r>
    </w:p>
  </w:endnote>
  <w:endnote w:type="continuationSeparator" w:id="1">
    <w:p w:rsidR="003C06FA" w:rsidRDefault="003C06FA" w:rsidP="00DD715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ookman Old Style">
    <w:panose1 w:val="020506040505050202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D7155" w:rsidRDefault="001E2AB3">
    <w:pPr>
      <w:pStyle w:val="Footer"/>
    </w:pPr>
    <w:fldSimple w:instr=" PAGE   \* MERGEFORMAT ">
      <w:r w:rsidRPr="001E2AB3">
        <w:rPr>
          <w:b/>
          <w:noProof/>
        </w:rPr>
        <w:t>18</w:t>
      </w:r>
    </w:fldSimple>
    <w:r>
      <w:rPr>
        <w:b/>
      </w:rPr>
      <w:t xml:space="preserve"> </w:t>
    </w:r>
    <w:r>
      <w:t>|</w:t>
    </w:r>
    <w:r>
      <w:rPr>
        <w:b/>
      </w:rPr>
      <w:t xml:space="preserve"> </w:t>
    </w:r>
    <w:r>
      <w:rPr>
        <w:color w:val="7F7F7F" w:themeColor="background1" w:themeShade="7F"/>
        <w:spacing w:val="60"/>
      </w:rPr>
      <w:t>Page</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C06FA" w:rsidRDefault="003C06FA" w:rsidP="00DD7155">
      <w:pPr>
        <w:spacing w:after="0" w:line="240" w:lineRule="auto"/>
      </w:pPr>
      <w:r>
        <w:separator/>
      </w:r>
    </w:p>
  </w:footnote>
  <w:footnote w:type="continuationSeparator" w:id="1">
    <w:p w:rsidR="003C06FA" w:rsidRDefault="003C06FA" w:rsidP="00DD715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D00BE3"/>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4332"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nsid w:val="056B0DCB"/>
    <w:multiLevelType w:val="hybridMultilevel"/>
    <w:tmpl w:val="CACEF5B6"/>
    <w:lvl w:ilvl="0" w:tplc="486816D2">
      <w:start w:val="1"/>
      <w:numFmt w:val="decimal"/>
      <w:lvlText w:val="(%1)"/>
      <w:lvlJc w:val="left"/>
      <w:pPr>
        <w:ind w:left="945" w:hanging="360"/>
      </w:pPr>
      <w:rPr>
        <w:rFonts w:hint="default"/>
      </w:rPr>
    </w:lvl>
    <w:lvl w:ilvl="1" w:tplc="04090019" w:tentative="1">
      <w:start w:val="1"/>
      <w:numFmt w:val="lowerLetter"/>
      <w:lvlText w:val="%2."/>
      <w:lvlJc w:val="left"/>
      <w:pPr>
        <w:ind w:left="1665" w:hanging="360"/>
      </w:pPr>
    </w:lvl>
    <w:lvl w:ilvl="2" w:tplc="0409001B" w:tentative="1">
      <w:start w:val="1"/>
      <w:numFmt w:val="lowerRoman"/>
      <w:lvlText w:val="%3."/>
      <w:lvlJc w:val="right"/>
      <w:pPr>
        <w:ind w:left="2385" w:hanging="180"/>
      </w:pPr>
    </w:lvl>
    <w:lvl w:ilvl="3" w:tplc="0409000F" w:tentative="1">
      <w:start w:val="1"/>
      <w:numFmt w:val="decimal"/>
      <w:lvlText w:val="%4."/>
      <w:lvlJc w:val="left"/>
      <w:pPr>
        <w:ind w:left="3105" w:hanging="360"/>
      </w:pPr>
    </w:lvl>
    <w:lvl w:ilvl="4" w:tplc="04090019" w:tentative="1">
      <w:start w:val="1"/>
      <w:numFmt w:val="lowerLetter"/>
      <w:lvlText w:val="%5."/>
      <w:lvlJc w:val="left"/>
      <w:pPr>
        <w:ind w:left="3825" w:hanging="360"/>
      </w:pPr>
    </w:lvl>
    <w:lvl w:ilvl="5" w:tplc="0409001B" w:tentative="1">
      <w:start w:val="1"/>
      <w:numFmt w:val="lowerRoman"/>
      <w:lvlText w:val="%6."/>
      <w:lvlJc w:val="right"/>
      <w:pPr>
        <w:ind w:left="4545" w:hanging="180"/>
      </w:pPr>
    </w:lvl>
    <w:lvl w:ilvl="6" w:tplc="0409000F" w:tentative="1">
      <w:start w:val="1"/>
      <w:numFmt w:val="decimal"/>
      <w:lvlText w:val="%7."/>
      <w:lvlJc w:val="left"/>
      <w:pPr>
        <w:ind w:left="5265" w:hanging="360"/>
      </w:pPr>
    </w:lvl>
    <w:lvl w:ilvl="7" w:tplc="04090019" w:tentative="1">
      <w:start w:val="1"/>
      <w:numFmt w:val="lowerLetter"/>
      <w:lvlText w:val="%8."/>
      <w:lvlJc w:val="left"/>
      <w:pPr>
        <w:ind w:left="5985" w:hanging="360"/>
      </w:pPr>
    </w:lvl>
    <w:lvl w:ilvl="8" w:tplc="0409001B" w:tentative="1">
      <w:start w:val="1"/>
      <w:numFmt w:val="lowerRoman"/>
      <w:lvlText w:val="%9."/>
      <w:lvlJc w:val="right"/>
      <w:pPr>
        <w:ind w:left="6705" w:hanging="180"/>
      </w:pPr>
    </w:lvl>
  </w:abstractNum>
  <w:abstractNum w:abstractNumId="2">
    <w:nsid w:val="0EB61752"/>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nsid w:val="198E191C"/>
    <w:multiLevelType w:val="hybridMultilevel"/>
    <w:tmpl w:val="CCA2F0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F3D0DBC"/>
    <w:multiLevelType w:val="hybridMultilevel"/>
    <w:tmpl w:val="1A7EB2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26B10DA"/>
    <w:multiLevelType w:val="multilevel"/>
    <w:tmpl w:val="DFE4C906"/>
    <w:lvl w:ilvl="0">
      <w:start w:val="1"/>
      <w:numFmt w:val="decimal"/>
      <w:lvlText w:val="%1."/>
      <w:lvlJc w:val="left"/>
      <w:pPr>
        <w:ind w:left="1080" w:hanging="360"/>
      </w:pPr>
      <w:rPr>
        <w:rFonts w:hint="default"/>
      </w:rPr>
    </w:lvl>
    <w:lvl w:ilvl="1">
      <w:start w:val="1"/>
      <w:numFmt w:val="decimal"/>
      <w:isLgl/>
      <w:lvlText w:val="%1.%2"/>
      <w:lvlJc w:val="left"/>
      <w:pPr>
        <w:ind w:left="2448" w:hanging="720"/>
      </w:pPr>
      <w:rPr>
        <w:rFonts w:hint="default"/>
      </w:rPr>
    </w:lvl>
    <w:lvl w:ilvl="2">
      <w:start w:val="1"/>
      <w:numFmt w:val="decimal"/>
      <w:isLgl/>
      <w:lvlText w:val="%1.%2.%3"/>
      <w:lvlJc w:val="left"/>
      <w:pPr>
        <w:ind w:left="3456" w:hanging="720"/>
      </w:pPr>
      <w:rPr>
        <w:rFonts w:hint="default"/>
      </w:rPr>
    </w:lvl>
    <w:lvl w:ilvl="3">
      <w:start w:val="1"/>
      <w:numFmt w:val="decimal"/>
      <w:isLgl/>
      <w:lvlText w:val="%1.%2.%3.%4"/>
      <w:lvlJc w:val="left"/>
      <w:pPr>
        <w:ind w:left="4824" w:hanging="1080"/>
      </w:pPr>
      <w:rPr>
        <w:rFonts w:hint="default"/>
      </w:rPr>
    </w:lvl>
    <w:lvl w:ilvl="4">
      <w:start w:val="1"/>
      <w:numFmt w:val="decimal"/>
      <w:isLgl/>
      <w:lvlText w:val="%1.%2.%3.%4.%5"/>
      <w:lvlJc w:val="left"/>
      <w:pPr>
        <w:ind w:left="6192" w:hanging="1440"/>
      </w:pPr>
      <w:rPr>
        <w:rFonts w:hint="default"/>
      </w:rPr>
    </w:lvl>
    <w:lvl w:ilvl="5">
      <w:start w:val="1"/>
      <w:numFmt w:val="decimal"/>
      <w:isLgl/>
      <w:lvlText w:val="%1.%2.%3.%4.%5.%6"/>
      <w:lvlJc w:val="left"/>
      <w:pPr>
        <w:ind w:left="7560" w:hanging="1800"/>
      </w:pPr>
      <w:rPr>
        <w:rFonts w:hint="default"/>
      </w:rPr>
    </w:lvl>
    <w:lvl w:ilvl="6">
      <w:start w:val="1"/>
      <w:numFmt w:val="decimal"/>
      <w:isLgl/>
      <w:lvlText w:val="%1.%2.%3.%4.%5.%6.%7"/>
      <w:lvlJc w:val="left"/>
      <w:pPr>
        <w:ind w:left="8568" w:hanging="1800"/>
      </w:pPr>
      <w:rPr>
        <w:rFonts w:hint="default"/>
      </w:rPr>
    </w:lvl>
    <w:lvl w:ilvl="7">
      <w:start w:val="1"/>
      <w:numFmt w:val="decimal"/>
      <w:isLgl/>
      <w:lvlText w:val="%1.%2.%3.%4.%5.%6.%7.%8"/>
      <w:lvlJc w:val="left"/>
      <w:pPr>
        <w:ind w:left="9936" w:hanging="2160"/>
      </w:pPr>
      <w:rPr>
        <w:rFonts w:hint="default"/>
      </w:rPr>
    </w:lvl>
    <w:lvl w:ilvl="8">
      <w:start w:val="1"/>
      <w:numFmt w:val="decimal"/>
      <w:isLgl/>
      <w:lvlText w:val="%1.%2.%3.%4.%5.%6.%7.%8.%9"/>
      <w:lvlJc w:val="left"/>
      <w:pPr>
        <w:ind w:left="11304" w:hanging="2520"/>
      </w:pPr>
      <w:rPr>
        <w:rFonts w:hint="default"/>
      </w:rPr>
    </w:lvl>
  </w:abstractNum>
  <w:abstractNum w:abstractNumId="6">
    <w:nsid w:val="29E33003"/>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nsid w:val="2E037837"/>
    <w:multiLevelType w:val="multilevel"/>
    <w:tmpl w:val="340E81C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3F043E7A"/>
    <w:multiLevelType w:val="multilevel"/>
    <w:tmpl w:val="114E2C62"/>
    <w:lvl w:ilvl="0">
      <w:start w:val="7"/>
      <w:numFmt w:val="decimal"/>
      <w:lvlText w:val="%1"/>
      <w:lvlJc w:val="left"/>
      <w:pPr>
        <w:ind w:left="480" w:hanging="480"/>
      </w:pPr>
      <w:rPr>
        <w:rFonts w:hint="default"/>
      </w:rPr>
    </w:lvl>
    <w:lvl w:ilvl="1">
      <w:start w:val="1"/>
      <w:numFmt w:val="decimal"/>
      <w:lvlText w:val="%1.%2"/>
      <w:lvlJc w:val="left"/>
      <w:pPr>
        <w:ind w:left="1287"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9">
    <w:nsid w:val="408B5490"/>
    <w:multiLevelType w:val="hybridMultilevel"/>
    <w:tmpl w:val="33C452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25462A3"/>
    <w:multiLevelType w:val="multilevel"/>
    <w:tmpl w:val="E38E3AA2"/>
    <w:lvl w:ilvl="0">
      <w:start w:val="1"/>
      <w:numFmt w:val="decimal"/>
      <w:lvlText w:val="%1."/>
      <w:lvlJc w:val="left"/>
      <w:pPr>
        <w:ind w:left="1080" w:hanging="36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600" w:hanging="108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4680" w:hanging="1440"/>
      </w:pPr>
      <w:rPr>
        <w:rFonts w:hint="default"/>
      </w:rPr>
    </w:lvl>
    <w:lvl w:ilvl="8">
      <w:start w:val="1"/>
      <w:numFmt w:val="decimal"/>
      <w:isLgl/>
      <w:lvlText w:val="%1.%2.%3.%4.%5.%6.%7.%8.%9"/>
      <w:lvlJc w:val="left"/>
      <w:pPr>
        <w:ind w:left="5040" w:hanging="1440"/>
      </w:pPr>
      <w:rPr>
        <w:rFonts w:hint="default"/>
      </w:rPr>
    </w:lvl>
  </w:abstractNum>
  <w:abstractNum w:abstractNumId="11">
    <w:nsid w:val="48244C0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nsid w:val="4FFC4A54"/>
    <w:multiLevelType w:val="hybridMultilevel"/>
    <w:tmpl w:val="753011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1F57CF0"/>
    <w:multiLevelType w:val="multilevel"/>
    <w:tmpl w:val="340E81C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5C834577"/>
    <w:multiLevelType w:val="multilevel"/>
    <w:tmpl w:val="70E2E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6824313"/>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nsid w:val="772A69E0"/>
    <w:multiLevelType w:val="multilevel"/>
    <w:tmpl w:val="DFE4C906"/>
    <w:lvl w:ilvl="0">
      <w:start w:val="1"/>
      <w:numFmt w:val="decimal"/>
      <w:lvlText w:val="%1."/>
      <w:lvlJc w:val="left"/>
      <w:pPr>
        <w:ind w:left="1080" w:hanging="360"/>
      </w:pPr>
      <w:rPr>
        <w:rFonts w:hint="default"/>
      </w:rPr>
    </w:lvl>
    <w:lvl w:ilvl="1">
      <w:start w:val="1"/>
      <w:numFmt w:val="decimal"/>
      <w:isLgl/>
      <w:lvlText w:val="%1.%2"/>
      <w:lvlJc w:val="left"/>
      <w:pPr>
        <w:ind w:left="2448" w:hanging="720"/>
      </w:pPr>
      <w:rPr>
        <w:rFonts w:hint="default"/>
      </w:rPr>
    </w:lvl>
    <w:lvl w:ilvl="2">
      <w:start w:val="1"/>
      <w:numFmt w:val="decimal"/>
      <w:isLgl/>
      <w:lvlText w:val="%1.%2.%3"/>
      <w:lvlJc w:val="left"/>
      <w:pPr>
        <w:ind w:left="3456" w:hanging="720"/>
      </w:pPr>
      <w:rPr>
        <w:rFonts w:hint="default"/>
      </w:rPr>
    </w:lvl>
    <w:lvl w:ilvl="3">
      <w:start w:val="1"/>
      <w:numFmt w:val="decimal"/>
      <w:isLgl/>
      <w:lvlText w:val="%1.%2.%3.%4"/>
      <w:lvlJc w:val="left"/>
      <w:pPr>
        <w:ind w:left="4824" w:hanging="1080"/>
      </w:pPr>
      <w:rPr>
        <w:rFonts w:hint="default"/>
      </w:rPr>
    </w:lvl>
    <w:lvl w:ilvl="4">
      <w:start w:val="1"/>
      <w:numFmt w:val="decimal"/>
      <w:isLgl/>
      <w:lvlText w:val="%1.%2.%3.%4.%5"/>
      <w:lvlJc w:val="left"/>
      <w:pPr>
        <w:ind w:left="6192" w:hanging="1440"/>
      </w:pPr>
      <w:rPr>
        <w:rFonts w:hint="default"/>
      </w:rPr>
    </w:lvl>
    <w:lvl w:ilvl="5">
      <w:start w:val="1"/>
      <w:numFmt w:val="decimal"/>
      <w:isLgl/>
      <w:lvlText w:val="%1.%2.%3.%4.%5.%6"/>
      <w:lvlJc w:val="left"/>
      <w:pPr>
        <w:ind w:left="7560" w:hanging="1800"/>
      </w:pPr>
      <w:rPr>
        <w:rFonts w:hint="default"/>
      </w:rPr>
    </w:lvl>
    <w:lvl w:ilvl="6">
      <w:start w:val="1"/>
      <w:numFmt w:val="decimal"/>
      <w:isLgl/>
      <w:lvlText w:val="%1.%2.%3.%4.%5.%6.%7"/>
      <w:lvlJc w:val="left"/>
      <w:pPr>
        <w:ind w:left="8568" w:hanging="1800"/>
      </w:pPr>
      <w:rPr>
        <w:rFonts w:hint="default"/>
      </w:rPr>
    </w:lvl>
    <w:lvl w:ilvl="7">
      <w:start w:val="1"/>
      <w:numFmt w:val="decimal"/>
      <w:isLgl/>
      <w:lvlText w:val="%1.%2.%3.%4.%5.%6.%7.%8"/>
      <w:lvlJc w:val="left"/>
      <w:pPr>
        <w:ind w:left="9936" w:hanging="2160"/>
      </w:pPr>
      <w:rPr>
        <w:rFonts w:hint="default"/>
      </w:rPr>
    </w:lvl>
    <w:lvl w:ilvl="8">
      <w:start w:val="1"/>
      <w:numFmt w:val="decimal"/>
      <w:isLgl/>
      <w:lvlText w:val="%1.%2.%3.%4.%5.%6.%7.%8.%9"/>
      <w:lvlJc w:val="left"/>
      <w:pPr>
        <w:ind w:left="11304" w:hanging="2520"/>
      </w:pPr>
      <w:rPr>
        <w:rFonts w:hint="default"/>
      </w:rPr>
    </w:lvl>
  </w:abstractNum>
  <w:abstractNum w:abstractNumId="17">
    <w:nsid w:val="7C6F1371"/>
    <w:multiLevelType w:val="multilevel"/>
    <w:tmpl w:val="DFE4C906"/>
    <w:lvl w:ilvl="0">
      <w:start w:val="1"/>
      <w:numFmt w:val="decimal"/>
      <w:lvlText w:val="%1."/>
      <w:lvlJc w:val="left"/>
      <w:pPr>
        <w:ind w:left="1080" w:hanging="360"/>
      </w:pPr>
      <w:rPr>
        <w:rFonts w:hint="default"/>
      </w:rPr>
    </w:lvl>
    <w:lvl w:ilvl="1">
      <w:start w:val="1"/>
      <w:numFmt w:val="decimal"/>
      <w:isLgl/>
      <w:lvlText w:val="%1.%2"/>
      <w:lvlJc w:val="left"/>
      <w:pPr>
        <w:ind w:left="2448" w:hanging="720"/>
      </w:pPr>
      <w:rPr>
        <w:rFonts w:hint="default"/>
      </w:rPr>
    </w:lvl>
    <w:lvl w:ilvl="2">
      <w:start w:val="1"/>
      <w:numFmt w:val="decimal"/>
      <w:isLgl/>
      <w:lvlText w:val="%1.%2.%3"/>
      <w:lvlJc w:val="left"/>
      <w:pPr>
        <w:ind w:left="3456" w:hanging="720"/>
      </w:pPr>
      <w:rPr>
        <w:rFonts w:hint="default"/>
      </w:rPr>
    </w:lvl>
    <w:lvl w:ilvl="3">
      <w:start w:val="1"/>
      <w:numFmt w:val="decimal"/>
      <w:isLgl/>
      <w:lvlText w:val="%1.%2.%3.%4"/>
      <w:lvlJc w:val="left"/>
      <w:pPr>
        <w:ind w:left="4824" w:hanging="1080"/>
      </w:pPr>
      <w:rPr>
        <w:rFonts w:hint="default"/>
      </w:rPr>
    </w:lvl>
    <w:lvl w:ilvl="4">
      <w:start w:val="1"/>
      <w:numFmt w:val="decimal"/>
      <w:isLgl/>
      <w:lvlText w:val="%1.%2.%3.%4.%5"/>
      <w:lvlJc w:val="left"/>
      <w:pPr>
        <w:ind w:left="6192" w:hanging="1440"/>
      </w:pPr>
      <w:rPr>
        <w:rFonts w:hint="default"/>
      </w:rPr>
    </w:lvl>
    <w:lvl w:ilvl="5">
      <w:start w:val="1"/>
      <w:numFmt w:val="decimal"/>
      <w:isLgl/>
      <w:lvlText w:val="%1.%2.%3.%4.%5.%6"/>
      <w:lvlJc w:val="left"/>
      <w:pPr>
        <w:ind w:left="7560" w:hanging="1800"/>
      </w:pPr>
      <w:rPr>
        <w:rFonts w:hint="default"/>
      </w:rPr>
    </w:lvl>
    <w:lvl w:ilvl="6">
      <w:start w:val="1"/>
      <w:numFmt w:val="decimal"/>
      <w:isLgl/>
      <w:lvlText w:val="%1.%2.%3.%4.%5.%6.%7"/>
      <w:lvlJc w:val="left"/>
      <w:pPr>
        <w:ind w:left="8568" w:hanging="1800"/>
      </w:pPr>
      <w:rPr>
        <w:rFonts w:hint="default"/>
      </w:rPr>
    </w:lvl>
    <w:lvl w:ilvl="7">
      <w:start w:val="1"/>
      <w:numFmt w:val="decimal"/>
      <w:isLgl/>
      <w:lvlText w:val="%1.%2.%3.%4.%5.%6.%7.%8"/>
      <w:lvlJc w:val="left"/>
      <w:pPr>
        <w:ind w:left="9936" w:hanging="2160"/>
      </w:pPr>
      <w:rPr>
        <w:rFonts w:hint="default"/>
      </w:rPr>
    </w:lvl>
    <w:lvl w:ilvl="8">
      <w:start w:val="1"/>
      <w:numFmt w:val="decimal"/>
      <w:isLgl/>
      <w:lvlText w:val="%1.%2.%3.%4.%5.%6.%7.%8.%9"/>
      <w:lvlJc w:val="left"/>
      <w:pPr>
        <w:ind w:left="11304" w:hanging="2520"/>
      </w:pPr>
      <w:rPr>
        <w:rFonts w:hint="default"/>
      </w:rPr>
    </w:lvl>
  </w:abstractNum>
  <w:num w:numId="1">
    <w:abstractNumId w:val="12"/>
  </w:num>
  <w:num w:numId="2">
    <w:abstractNumId w:val="10"/>
  </w:num>
  <w:num w:numId="3">
    <w:abstractNumId w:val="9"/>
  </w:num>
  <w:num w:numId="4">
    <w:abstractNumId w:val="3"/>
  </w:num>
  <w:num w:numId="5">
    <w:abstractNumId w:val="4"/>
  </w:num>
  <w:num w:numId="6">
    <w:abstractNumId w:val="17"/>
  </w:num>
  <w:num w:numId="7">
    <w:abstractNumId w:val="11"/>
  </w:num>
  <w:num w:numId="8">
    <w:abstractNumId w:val="5"/>
  </w:num>
  <w:num w:numId="9">
    <w:abstractNumId w:val="16"/>
  </w:num>
  <w:num w:numId="10">
    <w:abstractNumId w:val="14"/>
  </w:num>
  <w:num w:numId="11">
    <w:abstractNumId w:val="1"/>
  </w:num>
  <w:num w:numId="12">
    <w:abstractNumId w:val="7"/>
  </w:num>
  <w:num w:numId="13">
    <w:abstractNumId w:val="2"/>
  </w:num>
  <w:num w:numId="14">
    <w:abstractNumId w:val="13"/>
  </w:num>
  <w:num w:numId="15">
    <w:abstractNumId w:val="6"/>
  </w:num>
  <w:num w:numId="16">
    <w:abstractNumId w:val="0"/>
  </w:num>
  <w:num w:numId="17">
    <w:abstractNumId w:val="15"/>
  </w:num>
  <w:num w:numId="18">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hdrShapeDefaults>
    <o:shapedefaults v:ext="edit" spidmax="4098"/>
  </w:hdrShapeDefaults>
  <w:footnotePr>
    <w:footnote w:id="0"/>
    <w:footnote w:id="1"/>
  </w:footnotePr>
  <w:endnotePr>
    <w:endnote w:id="0"/>
    <w:endnote w:id="1"/>
  </w:endnotePr>
  <w:compat/>
  <w:rsids>
    <w:rsidRoot w:val="00BF5756"/>
    <w:rsid w:val="00171232"/>
    <w:rsid w:val="001B63AE"/>
    <w:rsid w:val="001E2AB3"/>
    <w:rsid w:val="001E3E22"/>
    <w:rsid w:val="00203AC0"/>
    <w:rsid w:val="00204135"/>
    <w:rsid w:val="00262A26"/>
    <w:rsid w:val="0030098E"/>
    <w:rsid w:val="0035220B"/>
    <w:rsid w:val="00376B14"/>
    <w:rsid w:val="003A7AB2"/>
    <w:rsid w:val="003C06FA"/>
    <w:rsid w:val="003C7638"/>
    <w:rsid w:val="00433571"/>
    <w:rsid w:val="0043671D"/>
    <w:rsid w:val="004468E1"/>
    <w:rsid w:val="00457C06"/>
    <w:rsid w:val="00472632"/>
    <w:rsid w:val="004C4DEF"/>
    <w:rsid w:val="00516DEA"/>
    <w:rsid w:val="00586831"/>
    <w:rsid w:val="0068285E"/>
    <w:rsid w:val="006B005A"/>
    <w:rsid w:val="006C7B40"/>
    <w:rsid w:val="00722BD3"/>
    <w:rsid w:val="00743059"/>
    <w:rsid w:val="00797865"/>
    <w:rsid w:val="00836AA7"/>
    <w:rsid w:val="008574E4"/>
    <w:rsid w:val="00953906"/>
    <w:rsid w:val="00954058"/>
    <w:rsid w:val="009A03DB"/>
    <w:rsid w:val="00A1368D"/>
    <w:rsid w:val="00B24D28"/>
    <w:rsid w:val="00B70597"/>
    <w:rsid w:val="00BA32B5"/>
    <w:rsid w:val="00BF2291"/>
    <w:rsid w:val="00BF480E"/>
    <w:rsid w:val="00BF5756"/>
    <w:rsid w:val="00C32CEF"/>
    <w:rsid w:val="00C8548C"/>
    <w:rsid w:val="00CD6CB6"/>
    <w:rsid w:val="00D347CE"/>
    <w:rsid w:val="00D362B2"/>
    <w:rsid w:val="00D36307"/>
    <w:rsid w:val="00DD7155"/>
    <w:rsid w:val="00E37BFA"/>
    <w:rsid w:val="00F079DD"/>
    <w:rsid w:val="00F32A06"/>
    <w:rsid w:val="00F40BCD"/>
    <w:rsid w:val="00F65B6A"/>
    <w:rsid w:val="00F7384C"/>
    <w:rsid w:val="00FA1323"/>
    <w:rsid w:val="00FC3D0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7AB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BF5756"/>
  </w:style>
  <w:style w:type="character" w:customStyle="1" w:styleId="eop">
    <w:name w:val="eop"/>
    <w:basedOn w:val="DefaultParagraphFont"/>
    <w:rsid w:val="00BF5756"/>
  </w:style>
  <w:style w:type="paragraph" w:customStyle="1" w:styleId="paragraph">
    <w:name w:val="paragraph"/>
    <w:basedOn w:val="Normal"/>
    <w:rsid w:val="00BF5756"/>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BF57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5756"/>
    <w:rPr>
      <w:rFonts w:ascii="Tahoma" w:hAnsi="Tahoma" w:cs="Tahoma"/>
      <w:sz w:val="16"/>
      <w:szCs w:val="16"/>
    </w:rPr>
  </w:style>
  <w:style w:type="paragraph" w:styleId="ListParagraph">
    <w:name w:val="List Paragraph"/>
    <w:basedOn w:val="Normal"/>
    <w:uiPriority w:val="34"/>
    <w:qFormat/>
    <w:rsid w:val="00BF5756"/>
    <w:pPr>
      <w:ind w:left="720"/>
      <w:contextualSpacing/>
    </w:pPr>
  </w:style>
  <w:style w:type="character" w:styleId="Hyperlink">
    <w:name w:val="Hyperlink"/>
    <w:basedOn w:val="DefaultParagraphFont"/>
    <w:uiPriority w:val="99"/>
    <w:semiHidden/>
    <w:unhideWhenUsed/>
    <w:rsid w:val="00BF2291"/>
    <w:rPr>
      <w:color w:val="0000FF"/>
      <w:u w:val="single"/>
    </w:rPr>
  </w:style>
  <w:style w:type="character" w:styleId="PlaceholderText">
    <w:name w:val="Placeholder Text"/>
    <w:basedOn w:val="DefaultParagraphFont"/>
    <w:uiPriority w:val="99"/>
    <w:semiHidden/>
    <w:rsid w:val="006C7B40"/>
    <w:rPr>
      <w:color w:val="808080"/>
    </w:rPr>
  </w:style>
  <w:style w:type="paragraph" w:styleId="NormalWeb">
    <w:name w:val="Normal (Web)"/>
    <w:basedOn w:val="Normal"/>
    <w:uiPriority w:val="99"/>
    <w:semiHidden/>
    <w:unhideWhenUsed/>
    <w:rsid w:val="00D362B2"/>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DD715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D7155"/>
  </w:style>
  <w:style w:type="paragraph" w:styleId="Footer">
    <w:name w:val="footer"/>
    <w:basedOn w:val="Normal"/>
    <w:link w:val="FooterChar"/>
    <w:uiPriority w:val="99"/>
    <w:unhideWhenUsed/>
    <w:rsid w:val="00DD71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7155"/>
  </w:style>
</w:styles>
</file>

<file path=word/webSettings.xml><?xml version="1.0" encoding="utf-8"?>
<w:webSettings xmlns:r="http://schemas.openxmlformats.org/officeDocument/2006/relationships" xmlns:w="http://schemas.openxmlformats.org/wordprocessingml/2006/main">
  <w:divs>
    <w:div w:id="299697434">
      <w:bodyDiv w:val="1"/>
      <w:marLeft w:val="0"/>
      <w:marRight w:val="0"/>
      <w:marTop w:val="0"/>
      <w:marBottom w:val="0"/>
      <w:divBdr>
        <w:top w:val="none" w:sz="0" w:space="0" w:color="auto"/>
        <w:left w:val="none" w:sz="0" w:space="0" w:color="auto"/>
        <w:bottom w:val="none" w:sz="0" w:space="0" w:color="auto"/>
        <w:right w:val="none" w:sz="0" w:space="0" w:color="auto"/>
      </w:divBdr>
    </w:div>
    <w:div w:id="323632290">
      <w:bodyDiv w:val="1"/>
      <w:marLeft w:val="0"/>
      <w:marRight w:val="0"/>
      <w:marTop w:val="0"/>
      <w:marBottom w:val="0"/>
      <w:divBdr>
        <w:top w:val="none" w:sz="0" w:space="0" w:color="auto"/>
        <w:left w:val="none" w:sz="0" w:space="0" w:color="auto"/>
        <w:bottom w:val="none" w:sz="0" w:space="0" w:color="auto"/>
        <w:right w:val="none" w:sz="0" w:space="0" w:color="auto"/>
      </w:divBdr>
    </w:div>
    <w:div w:id="458651128">
      <w:bodyDiv w:val="1"/>
      <w:marLeft w:val="0"/>
      <w:marRight w:val="0"/>
      <w:marTop w:val="0"/>
      <w:marBottom w:val="0"/>
      <w:divBdr>
        <w:top w:val="none" w:sz="0" w:space="0" w:color="auto"/>
        <w:left w:val="none" w:sz="0" w:space="0" w:color="auto"/>
        <w:bottom w:val="none" w:sz="0" w:space="0" w:color="auto"/>
        <w:right w:val="none" w:sz="0" w:space="0" w:color="auto"/>
      </w:divBdr>
    </w:div>
    <w:div w:id="618338279">
      <w:bodyDiv w:val="1"/>
      <w:marLeft w:val="0"/>
      <w:marRight w:val="0"/>
      <w:marTop w:val="0"/>
      <w:marBottom w:val="0"/>
      <w:divBdr>
        <w:top w:val="none" w:sz="0" w:space="0" w:color="auto"/>
        <w:left w:val="none" w:sz="0" w:space="0" w:color="auto"/>
        <w:bottom w:val="none" w:sz="0" w:space="0" w:color="auto"/>
        <w:right w:val="none" w:sz="0" w:space="0" w:color="auto"/>
      </w:divBdr>
    </w:div>
    <w:div w:id="1083330836">
      <w:bodyDiv w:val="1"/>
      <w:marLeft w:val="0"/>
      <w:marRight w:val="0"/>
      <w:marTop w:val="0"/>
      <w:marBottom w:val="0"/>
      <w:divBdr>
        <w:top w:val="none" w:sz="0" w:space="0" w:color="auto"/>
        <w:left w:val="none" w:sz="0" w:space="0" w:color="auto"/>
        <w:bottom w:val="none" w:sz="0" w:space="0" w:color="auto"/>
        <w:right w:val="none" w:sz="0" w:space="0" w:color="auto"/>
      </w:divBdr>
    </w:div>
    <w:div w:id="1727485569">
      <w:bodyDiv w:val="1"/>
      <w:marLeft w:val="0"/>
      <w:marRight w:val="0"/>
      <w:marTop w:val="0"/>
      <w:marBottom w:val="0"/>
      <w:divBdr>
        <w:top w:val="none" w:sz="0" w:space="0" w:color="auto"/>
        <w:left w:val="none" w:sz="0" w:space="0" w:color="auto"/>
        <w:bottom w:val="none" w:sz="0" w:space="0" w:color="auto"/>
        <w:right w:val="none" w:sz="0" w:space="0" w:color="auto"/>
      </w:divBdr>
    </w:div>
    <w:div w:id="1892770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18" Type="http://schemas.openxmlformats.org/officeDocument/2006/relationships/chart" Target="charts/chart5.xml"/><Relationship Id="rId26" Type="http://schemas.openxmlformats.org/officeDocument/2006/relationships/chart" Target="charts/chart13.xml"/><Relationship Id="rId39" Type="http://schemas.openxmlformats.org/officeDocument/2006/relationships/hyperlink" Target="https://www.bindt.org/What-is-NDT/Index-of-acronyms/P/POD/" TargetMode="External"/><Relationship Id="rId3" Type="http://schemas.openxmlformats.org/officeDocument/2006/relationships/styles" Target="styles.xml"/><Relationship Id="rId21" Type="http://schemas.openxmlformats.org/officeDocument/2006/relationships/chart" Target="charts/chart8.xml"/><Relationship Id="rId34" Type="http://schemas.openxmlformats.org/officeDocument/2006/relationships/chart" Target="charts/chart21.xm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chart" Target="charts/chart4.xml"/><Relationship Id="rId25" Type="http://schemas.openxmlformats.org/officeDocument/2006/relationships/chart" Target="charts/chart12.xml"/><Relationship Id="rId33" Type="http://schemas.openxmlformats.org/officeDocument/2006/relationships/chart" Target="charts/chart20.xml"/><Relationship Id="rId38" Type="http://schemas.openxmlformats.org/officeDocument/2006/relationships/hyperlink" Target="https://www.ndt.net/article/v11n05/ginzel2/ginzel2.htm" TargetMode="Externa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chart" Target="charts/chart7.xml"/><Relationship Id="rId29" Type="http://schemas.openxmlformats.org/officeDocument/2006/relationships/chart" Target="charts/chart16.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gif"/><Relationship Id="rId24" Type="http://schemas.openxmlformats.org/officeDocument/2006/relationships/chart" Target="charts/chart11.xml"/><Relationship Id="rId32" Type="http://schemas.openxmlformats.org/officeDocument/2006/relationships/chart" Target="charts/chart19.xml"/><Relationship Id="rId37" Type="http://schemas.openxmlformats.org/officeDocument/2006/relationships/hyperlink" Target="https://www.twi-global.com/technical-knowledge/faqs/what-is-non-destructive-testing"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chart" Target="charts/chart10.xml"/><Relationship Id="rId28" Type="http://schemas.openxmlformats.org/officeDocument/2006/relationships/chart" Target="charts/chart15.xml"/><Relationship Id="rId36" Type="http://schemas.openxmlformats.org/officeDocument/2006/relationships/hyperlink" Target="https://sentin.ai/en/5-types-what-is-non-destructive-testing/" TargetMode="External"/><Relationship Id="rId10" Type="http://schemas.openxmlformats.org/officeDocument/2006/relationships/image" Target="media/image2.gif"/><Relationship Id="rId19" Type="http://schemas.openxmlformats.org/officeDocument/2006/relationships/chart" Target="charts/chart6.xml"/><Relationship Id="rId31" Type="http://schemas.openxmlformats.org/officeDocument/2006/relationships/chart" Target="charts/chart18.xml"/><Relationship Id="rId4" Type="http://schemas.openxmlformats.org/officeDocument/2006/relationships/settings" Target="settings.xml"/><Relationship Id="rId9" Type="http://schemas.openxmlformats.org/officeDocument/2006/relationships/hyperlink" Target="https://www.twi-global.com/what-we-do/services-and-support/asset-management/non-destructive-testing" TargetMode="External"/><Relationship Id="rId14" Type="http://schemas.openxmlformats.org/officeDocument/2006/relationships/chart" Target="charts/chart1.xml"/><Relationship Id="rId22" Type="http://schemas.openxmlformats.org/officeDocument/2006/relationships/chart" Target="charts/chart9.xml"/><Relationship Id="rId27" Type="http://schemas.openxmlformats.org/officeDocument/2006/relationships/chart" Target="charts/chart14.xml"/><Relationship Id="rId30" Type="http://schemas.openxmlformats.org/officeDocument/2006/relationships/chart" Target="charts/chart17.xml"/><Relationship Id="rId35" Type="http://schemas.openxmlformats.org/officeDocument/2006/relationships/chart" Target="charts/chart22.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Linux\Dropbox\My%20PC%20(DESKTOP-CATUQ4B)\Desktop\Structural%20Integrity%20and%20Material%20Evaluation\Assignment%201\2109787%20(1)Probability%20of%20Detection%20and%20Probability%20of%20Sizing%20Analysi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Linux\Dropbox\My%20PC%20(DESKTOP-CATUQ4B)\Desktop\Structural%20Integrity%20and%20Material%20Evaluation\Assignment%201\2109787%20(1)Probability%20of%20Detection%20and%20Probability%20of%20Sizing%20Analysi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Linux\Dropbox\My%20PC%20(DESKTOP-CATUQ4B)\Desktop\Structural%20Integrity%20and%20Material%20Evaluation\Assignment%201\2109787%20(1)Probability%20of%20Detection%20and%20Probability%20of%20Sizing%20Analysis.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Linux\Dropbox\My%20PC%20(DESKTOP-CATUQ4B)\Desktop\Structural%20Integrity%20and%20Material%20Evaluation\Assignment%201\2109787%20(1)Probability%20of%20Detection%20and%20Probability%20of%20Sizing%20Analysis.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Linux\Dropbox\My%20PC%20(DESKTOP-CATUQ4B)\Desktop\Structural%20Integrity%20and%20Material%20Evaluation\Assignment%201\2109787%20(1)Probability%20of%20Detection%20and%20Probability%20of%20Sizing%20Analysis.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Linux\Dropbox\My%20PC%20(DESKTOP-CATUQ4B)\Desktop\Structural%20Integrity%20and%20Material%20Evaluation\Assignment%201\2109787%20(1)Probability%20of%20Detection%20and%20Probability%20of%20Sizing%20Analysis.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Linux\Dropbox\My%20PC%20(DESKTOP-CATUQ4B)\Desktop\Structural%20Integrity%20and%20Material%20Evaluation\Assignment%201\2109787%20(1)Probability%20of%20Detection%20and%20Probability%20of%20Sizing%20Analysis.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Linux\Dropbox\My%20PC%20(DESKTOP-CATUQ4B)\Desktop\Structural%20Integrity%20and%20Material%20Evaluation\Assignment%201\2109787%20(1)Probability%20of%20Detection%20and%20Probability%20of%20Sizing%20Analysis.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Linux\Dropbox\My%20PC%20(DESKTOP-CATUQ4B)\Desktop\Structural%20Integrity%20and%20Material%20Evaluation\Assignment%201\2109787%20(1)Probability%20of%20Detection%20and%20Probability%20of%20Sizing%20Analysis.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C:\Users\Linux\Dropbox\My%20PC%20(DESKTOP-CATUQ4B)\Desktop\Structural%20Integrity%20and%20Material%20Evaluation\Assignment%201\2109787%20(1)Probability%20of%20Detection%20and%20Probability%20of%20Sizing%20Analysis.xlsx"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file:///C:\Users\Linux\Dropbox\My%20PC%20(DESKTOP-CATUQ4B)\Desktop\Structural%20Integrity%20and%20Material%20Evaluation\Assignment%201\2109787%20(1)Probability%20of%20Detection%20and%20Probability%20of%20Sizing%20Analysis.xlsx"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file:///C:\Users\Linux\Dropbox\My%20PC%20(DESKTOP-CATUQ4B)\Desktop\Structural%20Integrity%20and%20Material%20Evaluation\Assignment%201\2109787%20(1)Probability%20of%20Detection%20and%20Probability%20of%20Sizing%20Analysis.xlsx" TargetMode="External"/></Relationships>
</file>

<file path=word/charts/_rels/chart13.xml.rels><?xml version="1.0" encoding="UTF-8" standalone="yes"?>
<Relationships xmlns="http://schemas.openxmlformats.org/package/2006/relationships"><Relationship Id="rId1" Type="http://schemas.openxmlformats.org/officeDocument/2006/relationships/oleObject" Target="file:///C:\Users\Linux\Dropbox\My%20PC%20(DESKTOP-CATUQ4B)\Desktop\Structural%20Integrity%20and%20Material%20Evaluation\Assignment%201\2109787%20(1)Probability%20of%20Detection%20and%20Probability%20of%20Sizing%20Analysis.xlsx" TargetMode="External"/></Relationships>
</file>

<file path=word/charts/_rels/chart14.xml.rels><?xml version="1.0" encoding="UTF-8" standalone="yes"?>
<Relationships xmlns="http://schemas.openxmlformats.org/package/2006/relationships"><Relationship Id="rId1" Type="http://schemas.openxmlformats.org/officeDocument/2006/relationships/oleObject" Target="file:///C:\Users\Linux\Dropbox\My%20PC%20(DESKTOP-CATUQ4B)\Desktop\Structural%20Integrity%20and%20Material%20Evaluation\Assignment%201\2109787%20(1)Probability%20of%20Detection%20and%20Probability%20of%20Sizing%20Analysis.xlsx" TargetMode="External"/></Relationships>
</file>

<file path=word/charts/_rels/chart15.xml.rels><?xml version="1.0" encoding="UTF-8" standalone="yes"?>
<Relationships xmlns="http://schemas.openxmlformats.org/package/2006/relationships"><Relationship Id="rId1" Type="http://schemas.openxmlformats.org/officeDocument/2006/relationships/oleObject" Target="file:///C:\Users\Linux\Dropbox\My%20PC%20(DESKTOP-CATUQ4B)\Desktop\Structural%20Integrity%20and%20Material%20Evaluation\Assignment%201\2109787%20(1)Probability%20of%20Detection%20and%20Probability%20of%20Sizing%20Analysis.xlsx" TargetMode="External"/></Relationships>
</file>

<file path=word/charts/_rels/chart16.xml.rels><?xml version="1.0" encoding="UTF-8" standalone="yes"?>
<Relationships xmlns="http://schemas.openxmlformats.org/package/2006/relationships"><Relationship Id="rId1" Type="http://schemas.openxmlformats.org/officeDocument/2006/relationships/oleObject" Target="file:///C:\Users\Linux\Dropbox\My%20PC%20(DESKTOP-CATUQ4B)\Desktop\Structural%20Integrity%20and%20Material%20Evaluation\Assignment%201\2109787%20(1)Probability%20of%20Detection%20and%20Probability%20of%20Sizing%20Analysis.xlsx" TargetMode="External"/></Relationships>
</file>

<file path=word/charts/_rels/chart17.xml.rels><?xml version="1.0" encoding="UTF-8" standalone="yes"?>
<Relationships xmlns="http://schemas.openxmlformats.org/package/2006/relationships"><Relationship Id="rId1" Type="http://schemas.openxmlformats.org/officeDocument/2006/relationships/oleObject" Target="file:///C:\Users\Linux\Dropbox\My%20PC%20(DESKTOP-CATUQ4B)\Desktop\Structural%20Integrity%20and%20Material%20Evaluation\Assignment%201\2109787%20(1)Probability%20of%20Detection%20and%20Probability%20of%20Sizing%20Analysis.xlsx" TargetMode="External"/></Relationships>
</file>

<file path=word/charts/_rels/chart18.xml.rels><?xml version="1.0" encoding="UTF-8" standalone="yes"?>
<Relationships xmlns="http://schemas.openxmlformats.org/package/2006/relationships"><Relationship Id="rId1" Type="http://schemas.openxmlformats.org/officeDocument/2006/relationships/oleObject" Target="file:///C:\Users\Linux\Dropbox\My%20PC%20(DESKTOP-CATUQ4B)\Desktop\Structural%20Integrity%20and%20Material%20Evaluation\Assignment%201\2109787%20(1)Probability%20of%20Detection%20and%20Probability%20of%20Sizing%20Analysis.xlsx" TargetMode="External"/></Relationships>
</file>

<file path=word/charts/_rels/chart19.xml.rels><?xml version="1.0" encoding="UTF-8" standalone="yes"?>
<Relationships xmlns="http://schemas.openxmlformats.org/package/2006/relationships"><Relationship Id="rId1" Type="http://schemas.openxmlformats.org/officeDocument/2006/relationships/oleObject" Target="file:///C:\Users\Linux\Dropbox\My%20PC%20(DESKTOP-CATUQ4B)\Desktop\Structural%20Integrity%20and%20Material%20Evaluation\Assignment%201\2109787%20(1)Probability%20of%20Detection%20and%20Probability%20of%20Sizing%20Analysis.xlsx" TargetMode="External"/></Relationships>
</file>

<file path=word/charts/_rels/chart20.xml.rels><?xml version="1.0" encoding="UTF-8" standalone="yes"?>
<Relationships xmlns="http://schemas.openxmlformats.org/package/2006/relationships"><Relationship Id="rId1" Type="http://schemas.openxmlformats.org/officeDocument/2006/relationships/oleObject" Target="file:///C:\Users\Linux\Dropbox\My%20PC%20(DESKTOP-CATUQ4B)\Desktop\Structural%20Integrity%20and%20Material%20Evaluation\Assignment%201\2109787%20(1)Probability%20of%20Detection%20and%20Probability%20of%20Sizing%20Analysis.xlsx" TargetMode="External"/></Relationships>
</file>

<file path=word/charts/_rels/chart2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pPr>
            <a:r>
              <a:rPr lang="en-US">
                <a:latin typeface="Times New Roman" pitchFamily="18" charset="0"/>
                <a:cs typeface="Times New Roman" pitchFamily="18" charset="0"/>
              </a:rPr>
              <a:t>Operator</a:t>
            </a:r>
            <a:r>
              <a:rPr lang="en-US"/>
              <a:t> 1 </a:t>
            </a:r>
            <a:r>
              <a:rPr lang="en-US">
                <a:latin typeface="Times New Roman" pitchFamily="18" charset="0"/>
                <a:cs typeface="Times New Roman" pitchFamily="18" charset="0"/>
              </a:rPr>
              <a:t>Sizing Accuracy</a:t>
            </a:r>
          </a:p>
        </c:rich>
      </c:tx>
      <c:layout>
        <c:manualLayout>
          <c:xMode val="edge"/>
          <c:yMode val="edge"/>
          <c:x val="0.41907235700208406"/>
          <c:y val="4.0632033954303322E-2"/>
        </c:manualLayout>
      </c:layout>
      <c:overlay val="1"/>
    </c:title>
    <c:plotArea>
      <c:layout/>
      <c:scatterChart>
        <c:scatterStyle val="lineMarker"/>
        <c:ser>
          <c:idx val="0"/>
          <c:order val="0"/>
          <c:tx>
            <c:v>Operator 1</c:v>
          </c:tx>
          <c:spPr>
            <a:ln w="28575">
              <a:noFill/>
            </a:ln>
          </c:spPr>
          <c:marker>
            <c:symbol val="circle"/>
            <c:size val="4"/>
          </c:marker>
          <c:trendline>
            <c:trendlineType val="linear"/>
            <c:dispRSqr val="1"/>
            <c:dispEq val="1"/>
            <c:trendlineLbl>
              <c:layout>
                <c:manualLayout>
                  <c:x val="-0.51592716250408777"/>
                  <c:y val="-5.2137404954634127E-2"/>
                </c:manualLayout>
              </c:layout>
              <c:numFmt formatCode="General" sourceLinked="0"/>
              <c:spPr>
                <a:solidFill>
                  <a:sysClr val="window" lastClr="FFFFFF"/>
                </a:solidFill>
              </c:spPr>
              <c:txPr>
                <a:bodyPr/>
                <a:lstStyle/>
                <a:p>
                  <a:pPr>
                    <a:defRPr sz="1200">
                      <a:latin typeface="Times New Roman" pitchFamily="18" charset="0"/>
                      <a:cs typeface="Times New Roman" pitchFamily="18" charset="0"/>
                    </a:defRPr>
                  </a:pPr>
                  <a:endParaRPr lang="en-US"/>
                </a:p>
              </c:txPr>
            </c:trendlineLbl>
          </c:trendline>
          <c:xVal>
            <c:numRef>
              <c:f>'Observer 1'!$C$4:$C$24</c:f>
              <c:numCache>
                <c:formatCode>General</c:formatCode>
                <c:ptCount val="21"/>
                <c:pt idx="0">
                  <c:v>0.25</c:v>
                </c:pt>
                <c:pt idx="1">
                  <c:v>0.27</c:v>
                </c:pt>
                <c:pt idx="2">
                  <c:v>0.28000000000000008</c:v>
                </c:pt>
                <c:pt idx="3">
                  <c:v>0.4</c:v>
                </c:pt>
                <c:pt idx="4">
                  <c:v>0.4</c:v>
                </c:pt>
                <c:pt idx="5">
                  <c:v>0.5</c:v>
                </c:pt>
                <c:pt idx="6">
                  <c:v>0.52</c:v>
                </c:pt>
                <c:pt idx="7">
                  <c:v>0.55000000000000004</c:v>
                </c:pt>
                <c:pt idx="8">
                  <c:v>0.70000000000000018</c:v>
                </c:pt>
                <c:pt idx="9">
                  <c:v>0.98</c:v>
                </c:pt>
                <c:pt idx="10">
                  <c:v>1.1200000000000001</c:v>
                </c:pt>
                <c:pt idx="11">
                  <c:v>1.1499999999999995</c:v>
                </c:pt>
                <c:pt idx="12">
                  <c:v>1.1000000000000001</c:v>
                </c:pt>
                <c:pt idx="13">
                  <c:v>1.3</c:v>
                </c:pt>
                <c:pt idx="14">
                  <c:v>1.6</c:v>
                </c:pt>
                <c:pt idx="15">
                  <c:v>1.8</c:v>
                </c:pt>
                <c:pt idx="16">
                  <c:v>2.1</c:v>
                </c:pt>
                <c:pt idx="17">
                  <c:v>2.7</c:v>
                </c:pt>
                <c:pt idx="18">
                  <c:v>4.9000000000000004</c:v>
                </c:pt>
                <c:pt idx="19">
                  <c:v>6</c:v>
                </c:pt>
                <c:pt idx="20">
                  <c:v>7.5</c:v>
                </c:pt>
              </c:numCache>
            </c:numRef>
          </c:xVal>
          <c:yVal>
            <c:numRef>
              <c:f>'Observer 1'!$D$4:$D$24</c:f>
              <c:numCache>
                <c:formatCode>General</c:formatCode>
                <c:ptCount val="21"/>
                <c:pt idx="0">
                  <c:v>0.3000000000000001</c:v>
                </c:pt>
                <c:pt idx="1">
                  <c:v>1.2</c:v>
                </c:pt>
                <c:pt idx="2">
                  <c:v>0.70000000000000018</c:v>
                </c:pt>
                <c:pt idx="3">
                  <c:v>0.8</c:v>
                </c:pt>
                <c:pt idx="4">
                  <c:v>0.9</c:v>
                </c:pt>
                <c:pt idx="5">
                  <c:v>0.5</c:v>
                </c:pt>
                <c:pt idx="6">
                  <c:v>0.70000000000000018</c:v>
                </c:pt>
                <c:pt idx="7">
                  <c:v>0.4</c:v>
                </c:pt>
                <c:pt idx="8">
                  <c:v>1</c:v>
                </c:pt>
                <c:pt idx="9">
                  <c:v>1.4</c:v>
                </c:pt>
                <c:pt idx="10">
                  <c:v>1.3</c:v>
                </c:pt>
                <c:pt idx="11">
                  <c:v>1.2</c:v>
                </c:pt>
                <c:pt idx="12">
                  <c:v>1.6</c:v>
                </c:pt>
                <c:pt idx="13">
                  <c:v>1.7</c:v>
                </c:pt>
                <c:pt idx="14">
                  <c:v>1.5</c:v>
                </c:pt>
                <c:pt idx="15">
                  <c:v>1.1000000000000001</c:v>
                </c:pt>
                <c:pt idx="16">
                  <c:v>2.6</c:v>
                </c:pt>
                <c:pt idx="17">
                  <c:v>2.2000000000000002</c:v>
                </c:pt>
                <c:pt idx="18">
                  <c:v>5.5</c:v>
                </c:pt>
                <c:pt idx="19">
                  <c:v>6</c:v>
                </c:pt>
                <c:pt idx="20">
                  <c:v>6.5</c:v>
                </c:pt>
              </c:numCache>
            </c:numRef>
          </c:yVal>
        </c:ser>
        <c:ser>
          <c:idx val="1"/>
          <c:order val="1"/>
          <c:tx>
            <c:v>True Size</c:v>
          </c:tx>
          <c:spPr>
            <a:ln w="28575">
              <a:solidFill>
                <a:srgbClr val="FF0000"/>
              </a:solidFill>
            </a:ln>
          </c:spPr>
          <c:marker>
            <c:symbol val="none"/>
          </c:marker>
          <c:xVal>
            <c:numRef>
              <c:f>'Observer 1'!$J$34:$J$35</c:f>
              <c:numCache>
                <c:formatCode>General</c:formatCode>
                <c:ptCount val="2"/>
                <c:pt idx="0">
                  <c:v>0</c:v>
                </c:pt>
                <c:pt idx="1">
                  <c:v>8</c:v>
                </c:pt>
              </c:numCache>
            </c:numRef>
          </c:xVal>
          <c:yVal>
            <c:numRef>
              <c:f>'Observer 1'!$K$34:$K$35</c:f>
              <c:numCache>
                <c:formatCode>General</c:formatCode>
                <c:ptCount val="2"/>
                <c:pt idx="0">
                  <c:v>0</c:v>
                </c:pt>
                <c:pt idx="1">
                  <c:v>8</c:v>
                </c:pt>
              </c:numCache>
            </c:numRef>
          </c:yVal>
        </c:ser>
        <c:axId val="77464704"/>
        <c:axId val="77492224"/>
      </c:scatterChart>
      <c:valAx>
        <c:axId val="77464704"/>
        <c:scaling>
          <c:orientation val="minMax"/>
        </c:scaling>
        <c:axPos val="b"/>
        <c:majorGridlines/>
        <c:minorGridlines/>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True Size (mm)</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77492224"/>
        <c:crosses val="autoZero"/>
        <c:crossBetween val="midCat"/>
      </c:valAx>
      <c:valAx>
        <c:axId val="77492224"/>
        <c:scaling>
          <c:orientation val="minMax"/>
        </c:scaling>
        <c:axPos val="l"/>
        <c:majorGridlines>
          <c:spPr>
            <a:ln w="0">
              <a:solidFill>
                <a:sysClr val="windowText" lastClr="000000">
                  <a:tint val="75000"/>
                  <a:shade val="95000"/>
                  <a:satMod val="105000"/>
                </a:sysClr>
              </a:solidFill>
            </a:ln>
          </c:spPr>
        </c:majorGridlines>
        <c:minorGridlines/>
        <c:title>
          <c:tx>
            <c:rich>
              <a:bodyPr rot="-5400000" vert="horz"/>
              <a:lstStyle/>
              <a:p>
                <a:pPr>
                  <a:defRPr>
                    <a:latin typeface="Times New Roman" pitchFamily="18" charset="0"/>
                    <a:cs typeface="Times New Roman" pitchFamily="18" charset="0"/>
                  </a:defRPr>
                </a:pPr>
                <a:r>
                  <a:rPr lang="en-US">
                    <a:latin typeface="Times New Roman" pitchFamily="18" charset="0"/>
                    <a:cs typeface="Times New Roman" pitchFamily="18" charset="0"/>
                  </a:rPr>
                  <a:t>Operator 1 Estimated size (mm)</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77464704"/>
        <c:crosses val="autoZero"/>
        <c:crossBetween val="midCat"/>
      </c:valAx>
    </c:plotArea>
    <c:legend>
      <c:legendPos val="b"/>
      <c:txPr>
        <a:bodyPr/>
        <a:lstStyle/>
        <a:p>
          <a:pPr>
            <a:defRPr>
              <a:latin typeface="Times New Roman" pitchFamily="18" charset="0"/>
              <a:cs typeface="Times New Roman" pitchFamily="18" charset="0"/>
            </a:defRPr>
          </a:pPr>
          <a:endParaRPr lang="en-US"/>
        </a:p>
      </c:txPr>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Normal</a:t>
            </a:r>
          </a:p>
        </c:rich>
      </c:tx>
      <c:layout>
        <c:manualLayout>
          <c:xMode val="edge"/>
          <c:yMode val="edge"/>
          <c:x val="0.6666159047179816"/>
          <c:y val="4.9090895034819011E-2"/>
        </c:manualLayout>
      </c:layout>
      <c:overlay val="1"/>
    </c:title>
    <c:plotArea>
      <c:layout/>
      <c:scatterChart>
        <c:scatterStyle val="smoothMarker"/>
        <c:ser>
          <c:idx val="0"/>
          <c:order val="0"/>
          <c:tx>
            <c:v>Operator 1</c:v>
          </c:tx>
          <c:spPr>
            <a:ln w="22225"/>
          </c:spPr>
          <c:marker>
            <c:symbol val="none"/>
          </c:marker>
          <c:xVal>
            <c:numRef>
              <c:f>'Observer 1'!$F$4:$F$24</c:f>
              <c:numCache>
                <c:formatCode>General</c:formatCode>
                <c:ptCount val="21"/>
                <c:pt idx="0">
                  <c:v>-1</c:v>
                </c:pt>
                <c:pt idx="1">
                  <c:v>-0.9</c:v>
                </c:pt>
                <c:pt idx="2">
                  <c:v>-0.8</c:v>
                </c:pt>
                <c:pt idx="3">
                  <c:v>-0.70000000000000018</c:v>
                </c:pt>
                <c:pt idx="4">
                  <c:v>-0.6000000000000002</c:v>
                </c:pt>
                <c:pt idx="5">
                  <c:v>-0.50000000000000011</c:v>
                </c:pt>
                <c:pt idx="6">
                  <c:v>-0.40000000000000019</c:v>
                </c:pt>
                <c:pt idx="7">
                  <c:v>-0.30000000000000021</c:v>
                </c:pt>
                <c:pt idx="8">
                  <c:v>-0.20000000000000018</c:v>
                </c:pt>
                <c:pt idx="9">
                  <c:v>-0.10000000000000014</c:v>
                </c:pt>
                <c:pt idx="10">
                  <c:v>-1.3877787807814469E-16</c:v>
                </c:pt>
                <c:pt idx="11">
                  <c:v>9.9999999999999881E-2</c:v>
                </c:pt>
                <c:pt idx="12">
                  <c:v>0.19999999999999993</c:v>
                </c:pt>
                <c:pt idx="13">
                  <c:v>0.29999999999999993</c:v>
                </c:pt>
                <c:pt idx="14">
                  <c:v>0.4</c:v>
                </c:pt>
                <c:pt idx="15">
                  <c:v>0.5</c:v>
                </c:pt>
                <c:pt idx="16">
                  <c:v>0.59999999999999987</c:v>
                </c:pt>
                <c:pt idx="17">
                  <c:v>0.69999999999999984</c:v>
                </c:pt>
                <c:pt idx="18">
                  <c:v>0.79999999999999982</c:v>
                </c:pt>
                <c:pt idx="19">
                  <c:v>0.8999999999999998</c:v>
                </c:pt>
                <c:pt idx="20">
                  <c:v>0.99999999999999978</c:v>
                </c:pt>
              </c:numCache>
            </c:numRef>
          </c:xVal>
          <c:yVal>
            <c:numRef>
              <c:f>'Observer 1'!$G$4:$G$24</c:f>
              <c:numCache>
                <c:formatCode>General</c:formatCode>
                <c:ptCount val="21"/>
                <c:pt idx="0">
                  <c:v>0.14886333335200494</c:v>
                </c:pt>
                <c:pt idx="1">
                  <c:v>0.21959935706949266</c:v>
                </c:pt>
                <c:pt idx="2">
                  <c:v>0.30873111451549423</c:v>
                </c:pt>
                <c:pt idx="3">
                  <c:v>0.41365259087007761</c:v>
                </c:pt>
                <c:pt idx="4">
                  <c:v>0.52819843318097826</c:v>
                </c:pt>
                <c:pt idx="5">
                  <c:v>0.64278314475582787</c:v>
                </c:pt>
                <c:pt idx="6">
                  <c:v>0.74548320410510527</c:v>
                </c:pt>
                <c:pt idx="7">
                  <c:v>0.82398111462348267</c:v>
                </c:pt>
                <c:pt idx="8">
                  <c:v>0.86796590217742853</c:v>
                </c:pt>
                <c:pt idx="9">
                  <c:v>0.87135290307025659</c:v>
                </c:pt>
                <c:pt idx="10">
                  <c:v>0.83366489147776113</c:v>
                </c:pt>
                <c:pt idx="11">
                  <c:v>0.76014239289189522</c:v>
                </c:pt>
                <c:pt idx="12">
                  <c:v>0.66054803775309823</c:v>
                </c:pt>
                <c:pt idx="13">
                  <c:v>0.54704099267402073</c:v>
                </c:pt>
                <c:pt idx="14">
                  <c:v>0.43175894907931806</c:v>
                </c:pt>
                <c:pt idx="15">
                  <c:v>0.32476471358575137</c:v>
                </c:pt>
                <c:pt idx="16">
                  <c:v>0.23281037791939488</c:v>
                </c:pt>
                <c:pt idx="17">
                  <c:v>0.15905299349162988</c:v>
                </c:pt>
                <c:pt idx="18">
                  <c:v>0.10355888608058446</c:v>
                </c:pt>
                <c:pt idx="19">
                  <c:v>6.4259731281867474E-2</c:v>
                </c:pt>
                <c:pt idx="20">
                  <c:v>3.8001124799168132E-2</c:v>
                </c:pt>
              </c:numCache>
            </c:numRef>
          </c:yVal>
          <c:smooth val="1"/>
        </c:ser>
        <c:axId val="77517184"/>
        <c:axId val="78987648"/>
      </c:scatterChart>
      <c:valAx>
        <c:axId val="77517184"/>
        <c:scaling>
          <c:orientation val="minMax"/>
        </c:scaling>
        <c:axPos val="b"/>
        <c:minorGridlines/>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Range</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78987648"/>
        <c:crosses val="autoZero"/>
        <c:crossBetween val="midCat"/>
      </c:valAx>
      <c:valAx>
        <c:axId val="78987648"/>
        <c:scaling>
          <c:orientation val="minMax"/>
        </c:scaling>
        <c:axPos val="l"/>
        <c:majorGridlines/>
        <c:minorGridlines/>
        <c:numFmt formatCode="General" sourceLinked="1"/>
        <c:tickLblPos val="nextTo"/>
        <c:txPr>
          <a:bodyPr/>
          <a:lstStyle/>
          <a:p>
            <a:pPr>
              <a:defRPr>
                <a:latin typeface="Times New Roman" pitchFamily="18" charset="0"/>
                <a:cs typeface="Times New Roman" pitchFamily="18" charset="0"/>
              </a:defRPr>
            </a:pPr>
            <a:endParaRPr lang="en-US"/>
          </a:p>
        </c:txPr>
        <c:crossAx val="77517184"/>
        <c:crosses val="autoZero"/>
        <c:crossBetween val="midCat"/>
      </c:valAx>
    </c:plotArea>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Operator 2 </a:t>
            </a:r>
            <a:r>
              <a:rPr lang="en-US" sz="1800" b="1" i="0" u="none" strike="noStrike" baseline="0"/>
              <a:t>Sizing Accuracy</a:t>
            </a:r>
            <a:endParaRPr lang="en-US">
              <a:latin typeface="Times New Roman" pitchFamily="18" charset="0"/>
              <a:cs typeface="Times New Roman" pitchFamily="18" charset="0"/>
            </a:endParaRPr>
          </a:p>
        </c:rich>
      </c:tx>
    </c:title>
    <c:plotArea>
      <c:layout>
        <c:manualLayout>
          <c:layoutTarget val="inner"/>
          <c:xMode val="edge"/>
          <c:yMode val="edge"/>
          <c:x val="8.9288168875797741E-2"/>
          <c:y val="2.4297646165527757E-2"/>
          <c:w val="0.88420225822287679"/>
          <c:h val="0.73900023317131025"/>
        </c:manualLayout>
      </c:layout>
      <c:scatterChart>
        <c:scatterStyle val="lineMarker"/>
        <c:ser>
          <c:idx val="0"/>
          <c:order val="0"/>
          <c:tx>
            <c:v>Operator 2</c:v>
          </c:tx>
          <c:spPr>
            <a:ln w="28575">
              <a:noFill/>
            </a:ln>
          </c:spPr>
          <c:marker>
            <c:symbol val="circle"/>
            <c:size val="4"/>
          </c:marker>
          <c:trendline>
            <c:spPr>
              <a:ln>
                <a:prstDash val="sysDash"/>
              </a:ln>
            </c:spPr>
            <c:trendlineType val="linear"/>
            <c:dispRSqr val="1"/>
            <c:dispEq val="1"/>
            <c:trendlineLbl>
              <c:layout>
                <c:manualLayout>
                  <c:x val="-0.58328312053776588"/>
                  <c:y val="-2.3833455897739435E-2"/>
                </c:manualLayout>
              </c:layout>
              <c:numFmt formatCode="General" sourceLinked="0"/>
              <c:spPr>
                <a:solidFill>
                  <a:schemeClr val="bg1"/>
                </a:solidFill>
              </c:spPr>
              <c:txPr>
                <a:bodyPr/>
                <a:lstStyle/>
                <a:p>
                  <a:pPr>
                    <a:defRPr sz="1200">
                      <a:latin typeface="Times New Roman" pitchFamily="18" charset="0"/>
                      <a:cs typeface="Times New Roman" pitchFamily="18" charset="0"/>
                    </a:defRPr>
                  </a:pPr>
                  <a:endParaRPr lang="en-US"/>
                </a:p>
              </c:txPr>
            </c:trendlineLbl>
          </c:trendline>
          <c:xVal>
            <c:numRef>
              <c:f>'Observer 2'!$C$5:$C$25</c:f>
              <c:numCache>
                <c:formatCode>General</c:formatCode>
                <c:ptCount val="21"/>
                <c:pt idx="0">
                  <c:v>0.25</c:v>
                </c:pt>
                <c:pt idx="1">
                  <c:v>0.27</c:v>
                </c:pt>
                <c:pt idx="2">
                  <c:v>0.28000000000000008</c:v>
                </c:pt>
                <c:pt idx="3">
                  <c:v>0.4</c:v>
                </c:pt>
                <c:pt idx="4">
                  <c:v>0.4</c:v>
                </c:pt>
                <c:pt idx="5">
                  <c:v>0.5</c:v>
                </c:pt>
                <c:pt idx="6">
                  <c:v>0.52</c:v>
                </c:pt>
                <c:pt idx="7">
                  <c:v>0.55000000000000004</c:v>
                </c:pt>
                <c:pt idx="8">
                  <c:v>0.70000000000000018</c:v>
                </c:pt>
                <c:pt idx="9">
                  <c:v>0.98</c:v>
                </c:pt>
                <c:pt idx="10">
                  <c:v>1.1200000000000001</c:v>
                </c:pt>
                <c:pt idx="11">
                  <c:v>1.1499999999999995</c:v>
                </c:pt>
                <c:pt idx="12">
                  <c:v>1.1000000000000001</c:v>
                </c:pt>
                <c:pt idx="13">
                  <c:v>1.3</c:v>
                </c:pt>
                <c:pt idx="14">
                  <c:v>1.6</c:v>
                </c:pt>
                <c:pt idx="15">
                  <c:v>1.8</c:v>
                </c:pt>
                <c:pt idx="16">
                  <c:v>2.1</c:v>
                </c:pt>
                <c:pt idx="17">
                  <c:v>2.7</c:v>
                </c:pt>
                <c:pt idx="18">
                  <c:v>4.9000000000000004</c:v>
                </c:pt>
                <c:pt idx="19">
                  <c:v>6</c:v>
                </c:pt>
                <c:pt idx="20">
                  <c:v>7.5</c:v>
                </c:pt>
              </c:numCache>
            </c:numRef>
          </c:xVal>
          <c:yVal>
            <c:numRef>
              <c:f>'Observer 2'!$D$5:$D$25</c:f>
              <c:numCache>
                <c:formatCode>General</c:formatCode>
                <c:ptCount val="21"/>
                <c:pt idx="0">
                  <c:v>0.5</c:v>
                </c:pt>
                <c:pt idx="1">
                  <c:v>1.2</c:v>
                </c:pt>
                <c:pt idx="2">
                  <c:v>1</c:v>
                </c:pt>
                <c:pt idx="3">
                  <c:v>0.5</c:v>
                </c:pt>
                <c:pt idx="4">
                  <c:v>1.2</c:v>
                </c:pt>
                <c:pt idx="5">
                  <c:v>0.9</c:v>
                </c:pt>
                <c:pt idx="6">
                  <c:v>1.5</c:v>
                </c:pt>
                <c:pt idx="7">
                  <c:v>1.2</c:v>
                </c:pt>
                <c:pt idx="8">
                  <c:v>1.5</c:v>
                </c:pt>
                <c:pt idx="9">
                  <c:v>1</c:v>
                </c:pt>
                <c:pt idx="10">
                  <c:v>0.5</c:v>
                </c:pt>
                <c:pt idx="11">
                  <c:v>1.8</c:v>
                </c:pt>
                <c:pt idx="12">
                  <c:v>2</c:v>
                </c:pt>
                <c:pt idx="13">
                  <c:v>2.1</c:v>
                </c:pt>
                <c:pt idx="14">
                  <c:v>0.8</c:v>
                </c:pt>
                <c:pt idx="15">
                  <c:v>2</c:v>
                </c:pt>
                <c:pt idx="16">
                  <c:v>1.8</c:v>
                </c:pt>
                <c:pt idx="17">
                  <c:v>3</c:v>
                </c:pt>
                <c:pt idx="18">
                  <c:v>4.5</c:v>
                </c:pt>
                <c:pt idx="19">
                  <c:v>5.5</c:v>
                </c:pt>
                <c:pt idx="20">
                  <c:v>6</c:v>
                </c:pt>
              </c:numCache>
            </c:numRef>
          </c:yVal>
        </c:ser>
        <c:ser>
          <c:idx val="1"/>
          <c:order val="1"/>
          <c:tx>
            <c:v>True Size</c:v>
          </c:tx>
          <c:spPr>
            <a:ln w="19050">
              <a:solidFill>
                <a:srgbClr val="FF0000"/>
              </a:solidFill>
            </a:ln>
          </c:spPr>
          <c:marker>
            <c:symbol val="none"/>
          </c:marker>
          <c:xVal>
            <c:numRef>
              <c:f>'Observer 2'!$K$33:$K$34</c:f>
              <c:numCache>
                <c:formatCode>General</c:formatCode>
                <c:ptCount val="2"/>
                <c:pt idx="0">
                  <c:v>0</c:v>
                </c:pt>
                <c:pt idx="1">
                  <c:v>7</c:v>
                </c:pt>
              </c:numCache>
            </c:numRef>
          </c:xVal>
          <c:yVal>
            <c:numRef>
              <c:f>'Observer 2'!$L$33:$L$34</c:f>
              <c:numCache>
                <c:formatCode>General</c:formatCode>
                <c:ptCount val="2"/>
                <c:pt idx="0">
                  <c:v>0</c:v>
                </c:pt>
                <c:pt idx="1">
                  <c:v>7</c:v>
                </c:pt>
              </c:numCache>
            </c:numRef>
          </c:yVal>
        </c:ser>
        <c:axId val="81604608"/>
        <c:axId val="81635968"/>
      </c:scatterChart>
      <c:valAx>
        <c:axId val="81604608"/>
        <c:scaling>
          <c:orientation val="minMax"/>
        </c:scaling>
        <c:axPos val="b"/>
        <c:minorGridlines/>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True size (mm)</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81635968"/>
        <c:crosses val="autoZero"/>
        <c:crossBetween val="midCat"/>
      </c:valAx>
      <c:valAx>
        <c:axId val="81635968"/>
        <c:scaling>
          <c:orientation val="minMax"/>
        </c:scaling>
        <c:axPos val="l"/>
        <c:majorGridlines/>
        <c:minorGridlines/>
        <c:title>
          <c:tx>
            <c:rich>
              <a:bodyPr rot="-5400000" vert="horz"/>
              <a:lstStyle/>
              <a:p>
                <a:pPr>
                  <a:defRPr>
                    <a:latin typeface="Times New Roman" pitchFamily="18" charset="0"/>
                    <a:cs typeface="Times New Roman" pitchFamily="18" charset="0"/>
                  </a:defRPr>
                </a:pPr>
                <a:r>
                  <a:rPr lang="en-US">
                    <a:latin typeface="Times New Roman" pitchFamily="18" charset="0"/>
                    <a:cs typeface="Times New Roman" pitchFamily="18" charset="0"/>
                  </a:rPr>
                  <a:t>Estimate size of operator 2 (mm)</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81604608"/>
        <c:crosses val="autoZero"/>
        <c:crossBetween val="midCat"/>
      </c:valAx>
    </c:plotArea>
    <c:legend>
      <c:legendPos val="b"/>
      <c:txPr>
        <a:bodyPr/>
        <a:lstStyle/>
        <a:p>
          <a:pPr>
            <a:defRPr>
              <a:latin typeface="Times New Roman" pitchFamily="18" charset="0"/>
              <a:cs typeface="Times New Roman" pitchFamily="18" charset="0"/>
            </a:defRPr>
          </a:pPr>
          <a:endParaRPr lang="en-US"/>
        </a:p>
      </c:txPr>
    </c:legend>
    <c:plotVisOnly val="1"/>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US"/>
  <c:chart>
    <c:title>
      <c:layout>
        <c:manualLayout>
          <c:xMode val="edge"/>
          <c:yMode val="edge"/>
          <c:x val="0.64081222699148255"/>
          <c:y val="4.5766590389016162E-2"/>
        </c:manualLayout>
      </c:layout>
      <c:overlay val="1"/>
      <c:txPr>
        <a:bodyPr/>
        <a:lstStyle/>
        <a:p>
          <a:pPr>
            <a:defRPr>
              <a:latin typeface="Times New Roman" pitchFamily="18" charset="0"/>
              <a:cs typeface="Times New Roman" pitchFamily="18" charset="0"/>
            </a:defRPr>
          </a:pPr>
          <a:endParaRPr lang="en-US"/>
        </a:p>
      </c:txPr>
    </c:title>
    <c:plotArea>
      <c:layout/>
      <c:scatterChart>
        <c:scatterStyle val="smoothMarker"/>
        <c:ser>
          <c:idx val="0"/>
          <c:order val="0"/>
          <c:tx>
            <c:v>Normal</c:v>
          </c:tx>
          <c:marker>
            <c:symbol val="none"/>
          </c:marker>
          <c:xVal>
            <c:numRef>
              <c:f>'Observer 2'!$G$5:$G$30</c:f>
              <c:numCache>
                <c:formatCode>General</c:formatCode>
                <c:ptCount val="26"/>
                <c:pt idx="0">
                  <c:v>-1</c:v>
                </c:pt>
                <c:pt idx="1">
                  <c:v>-0.9</c:v>
                </c:pt>
                <c:pt idx="2">
                  <c:v>-0.8</c:v>
                </c:pt>
                <c:pt idx="3">
                  <c:v>-0.70000000000000029</c:v>
                </c:pt>
                <c:pt idx="4">
                  <c:v>-0.60000000000000031</c:v>
                </c:pt>
                <c:pt idx="5">
                  <c:v>-0.50000000000000011</c:v>
                </c:pt>
                <c:pt idx="6">
                  <c:v>-0.40000000000000024</c:v>
                </c:pt>
                <c:pt idx="7">
                  <c:v>-0.30000000000000027</c:v>
                </c:pt>
                <c:pt idx="8">
                  <c:v>-0.20000000000000021</c:v>
                </c:pt>
                <c:pt idx="9">
                  <c:v>-0.10000000000000014</c:v>
                </c:pt>
                <c:pt idx="10">
                  <c:v>-1.3877787807814481E-16</c:v>
                </c:pt>
                <c:pt idx="11">
                  <c:v>9.9999999999999922E-2</c:v>
                </c:pt>
                <c:pt idx="12">
                  <c:v>0.19999999999999996</c:v>
                </c:pt>
                <c:pt idx="13">
                  <c:v>0.30000000000000004</c:v>
                </c:pt>
                <c:pt idx="14">
                  <c:v>0.4</c:v>
                </c:pt>
                <c:pt idx="15">
                  <c:v>0.5</c:v>
                </c:pt>
                <c:pt idx="16">
                  <c:v>0.59999999999999987</c:v>
                </c:pt>
                <c:pt idx="17">
                  <c:v>0.69999999999999984</c:v>
                </c:pt>
                <c:pt idx="18">
                  <c:v>0.79999999999999982</c:v>
                </c:pt>
                <c:pt idx="19">
                  <c:v>0.8999999999999998</c:v>
                </c:pt>
                <c:pt idx="20">
                  <c:v>0.99999999999999978</c:v>
                </c:pt>
                <c:pt idx="21">
                  <c:v>1.0999999999999994</c:v>
                </c:pt>
                <c:pt idx="22">
                  <c:v>1.2</c:v>
                </c:pt>
                <c:pt idx="23">
                  <c:v>1.3</c:v>
                </c:pt>
                <c:pt idx="24">
                  <c:v>1.4</c:v>
                </c:pt>
                <c:pt idx="25">
                  <c:v>1.5000000000000002</c:v>
                </c:pt>
              </c:numCache>
            </c:numRef>
          </c:xVal>
          <c:yVal>
            <c:numRef>
              <c:f>'Observer 2'!$H$5:$H$30</c:f>
              <c:numCache>
                <c:formatCode>General</c:formatCode>
                <c:ptCount val="26"/>
                <c:pt idx="0">
                  <c:v>0.29740890016570126</c:v>
                </c:pt>
                <c:pt idx="1">
                  <c:v>0.34977936016674954</c:v>
                </c:pt>
                <c:pt idx="2">
                  <c:v>0.40247025564729244</c:v>
                </c:pt>
                <c:pt idx="3">
                  <c:v>0.45307781011099812</c:v>
                </c:pt>
                <c:pt idx="4">
                  <c:v>0.4990122286563301</c:v>
                </c:pt>
                <c:pt idx="5">
                  <c:v>0.53771106903514809</c:v>
                </c:pt>
                <c:pt idx="6">
                  <c:v>0.56687350304167661</c:v>
                </c:pt>
                <c:pt idx="7">
                  <c:v>0.58468604837010607</c:v>
                </c:pt>
                <c:pt idx="8">
                  <c:v>0.59000908213012315</c:v>
                </c:pt>
                <c:pt idx="9">
                  <c:v>0.58249748605828477</c:v>
                </c:pt>
                <c:pt idx="10">
                  <c:v>0.56263767067887327</c:v>
                </c:pt>
                <c:pt idx="11">
                  <c:v>0.53169545758843417</c:v>
                </c:pt>
                <c:pt idx="12">
                  <c:v>0.49158258184199505</c:v>
                </c:pt>
                <c:pt idx="13">
                  <c:v>0.44466138353623319</c:v>
                </c:pt>
                <c:pt idx="14">
                  <c:v>0.39351540300879501</c:v>
                </c:pt>
                <c:pt idx="15">
                  <c:v>0.34071672299528166</c:v>
                </c:pt>
                <c:pt idx="16">
                  <c:v>0.28861875997443404</c:v>
                </c:pt>
                <c:pt idx="17">
                  <c:v>0.2391966293060227</c:v>
                </c:pt>
                <c:pt idx="18">
                  <c:v>0.1939478398612649</c:v>
                </c:pt>
                <c:pt idx="19">
                  <c:v>0.15385592690032923</c:v>
                </c:pt>
                <c:pt idx="20">
                  <c:v>0.11941060743950246</c:v>
                </c:pt>
                <c:pt idx="21">
                  <c:v>9.0671536818068624E-2</c:v>
                </c:pt>
                <c:pt idx="22">
                  <c:v>6.7359435433579487E-2</c:v>
                </c:pt>
                <c:pt idx="23">
                  <c:v>4.8958183165775722E-2</c:v>
                </c:pt>
                <c:pt idx="24">
                  <c:v>3.4813808787228027E-2</c:v>
                </c:pt>
                <c:pt idx="25">
                  <c:v>2.4220169551222231E-2</c:v>
                </c:pt>
              </c:numCache>
            </c:numRef>
          </c:yVal>
          <c:smooth val="1"/>
        </c:ser>
        <c:axId val="83230080"/>
        <c:axId val="83369984"/>
      </c:scatterChart>
      <c:valAx>
        <c:axId val="83230080"/>
        <c:scaling>
          <c:orientation val="minMax"/>
        </c:scaling>
        <c:axPos val="b"/>
        <c:majorGridlines/>
        <c:minorGridlines/>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Range</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83369984"/>
        <c:crosses val="autoZero"/>
        <c:crossBetween val="midCat"/>
      </c:valAx>
      <c:valAx>
        <c:axId val="83369984"/>
        <c:scaling>
          <c:orientation val="minMax"/>
        </c:scaling>
        <c:axPos val="l"/>
        <c:majorGridlines/>
        <c:minorGridlines/>
        <c:numFmt formatCode="General" sourceLinked="1"/>
        <c:tickLblPos val="nextTo"/>
        <c:txPr>
          <a:bodyPr/>
          <a:lstStyle/>
          <a:p>
            <a:pPr>
              <a:defRPr>
                <a:latin typeface="Times New Roman" pitchFamily="18" charset="0"/>
                <a:cs typeface="Times New Roman" pitchFamily="18" charset="0"/>
              </a:defRPr>
            </a:pPr>
            <a:endParaRPr lang="en-US"/>
          </a:p>
        </c:txPr>
        <c:crossAx val="83230080"/>
        <c:crosses val="autoZero"/>
        <c:crossBetween val="midCat"/>
      </c:valAx>
      <c:spPr>
        <a:noFill/>
      </c:spPr>
    </c:plotArea>
    <c:plotVisOnly val="1"/>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Operator 3 </a:t>
            </a:r>
            <a:r>
              <a:rPr lang="en-US" sz="1800" b="1" i="0" u="none" strike="noStrike" baseline="0"/>
              <a:t>Sizing Accuracy</a:t>
            </a:r>
            <a:endParaRPr lang="en-US">
              <a:latin typeface="Times New Roman" pitchFamily="18" charset="0"/>
              <a:cs typeface="Times New Roman" pitchFamily="18" charset="0"/>
            </a:endParaRPr>
          </a:p>
        </c:rich>
      </c:tx>
      <c:overlay val="1"/>
    </c:title>
    <c:plotArea>
      <c:layout>
        <c:manualLayout>
          <c:layoutTarget val="inner"/>
          <c:xMode val="edge"/>
          <c:yMode val="edge"/>
          <c:x val="0.10493279667242646"/>
          <c:y val="1.8791438599043489E-2"/>
          <c:w val="0.86255024298046845"/>
          <c:h val="0.75689624559060464"/>
        </c:manualLayout>
      </c:layout>
      <c:scatterChart>
        <c:scatterStyle val="lineMarker"/>
        <c:ser>
          <c:idx val="0"/>
          <c:order val="0"/>
          <c:tx>
            <c:v>Observer 3 </c:v>
          </c:tx>
          <c:spPr>
            <a:ln>
              <a:noFill/>
            </a:ln>
          </c:spPr>
          <c:marker>
            <c:symbol val="circle"/>
            <c:size val="4"/>
          </c:marker>
          <c:trendline>
            <c:spPr>
              <a:ln w="15875">
                <a:prstDash val="sysDash"/>
              </a:ln>
            </c:spPr>
            <c:trendlineType val="linear"/>
            <c:dispRSqr val="1"/>
            <c:dispEq val="1"/>
            <c:trendlineLbl>
              <c:layout>
                <c:manualLayout>
                  <c:x val="-0.39671409205717467"/>
                  <c:y val="-7.3492995823559129E-2"/>
                </c:manualLayout>
              </c:layout>
              <c:numFmt formatCode="General" sourceLinked="0"/>
              <c:spPr>
                <a:solidFill>
                  <a:schemeClr val="bg1"/>
                </a:solidFill>
              </c:spPr>
              <c:txPr>
                <a:bodyPr/>
                <a:lstStyle/>
                <a:p>
                  <a:pPr>
                    <a:defRPr sz="1200">
                      <a:latin typeface="Times New Roman" pitchFamily="18" charset="0"/>
                      <a:cs typeface="Times New Roman" pitchFamily="18" charset="0"/>
                    </a:defRPr>
                  </a:pPr>
                  <a:endParaRPr lang="en-US"/>
                </a:p>
              </c:txPr>
            </c:trendlineLbl>
          </c:trendline>
          <c:xVal>
            <c:numRef>
              <c:f>'Observer 3'!$C$4:$C$24</c:f>
              <c:numCache>
                <c:formatCode>General</c:formatCode>
                <c:ptCount val="21"/>
                <c:pt idx="0">
                  <c:v>0.25</c:v>
                </c:pt>
                <c:pt idx="1">
                  <c:v>0.27</c:v>
                </c:pt>
                <c:pt idx="2">
                  <c:v>0.28000000000000008</c:v>
                </c:pt>
                <c:pt idx="3">
                  <c:v>0.4</c:v>
                </c:pt>
                <c:pt idx="4">
                  <c:v>0.4</c:v>
                </c:pt>
                <c:pt idx="5">
                  <c:v>0.5</c:v>
                </c:pt>
                <c:pt idx="6">
                  <c:v>0.52</c:v>
                </c:pt>
                <c:pt idx="7">
                  <c:v>0.55000000000000004</c:v>
                </c:pt>
                <c:pt idx="8">
                  <c:v>0.70000000000000018</c:v>
                </c:pt>
                <c:pt idx="9">
                  <c:v>0.98</c:v>
                </c:pt>
                <c:pt idx="10">
                  <c:v>1.1200000000000001</c:v>
                </c:pt>
                <c:pt idx="11">
                  <c:v>1.1499999999999995</c:v>
                </c:pt>
                <c:pt idx="12">
                  <c:v>1.1000000000000001</c:v>
                </c:pt>
                <c:pt idx="13">
                  <c:v>1.3</c:v>
                </c:pt>
                <c:pt idx="14">
                  <c:v>1.6</c:v>
                </c:pt>
                <c:pt idx="15">
                  <c:v>1.8</c:v>
                </c:pt>
                <c:pt idx="16">
                  <c:v>2.1</c:v>
                </c:pt>
                <c:pt idx="17">
                  <c:v>2.7</c:v>
                </c:pt>
                <c:pt idx="18">
                  <c:v>4.9000000000000004</c:v>
                </c:pt>
                <c:pt idx="19">
                  <c:v>6</c:v>
                </c:pt>
                <c:pt idx="20">
                  <c:v>7.5</c:v>
                </c:pt>
              </c:numCache>
            </c:numRef>
          </c:xVal>
          <c:yVal>
            <c:numRef>
              <c:f>'Observer 3'!$D$4:$D$24</c:f>
              <c:numCache>
                <c:formatCode>General</c:formatCode>
                <c:ptCount val="21"/>
                <c:pt idx="0">
                  <c:v>0</c:v>
                </c:pt>
                <c:pt idx="1">
                  <c:v>0.5</c:v>
                </c:pt>
                <c:pt idx="2">
                  <c:v>1.2</c:v>
                </c:pt>
                <c:pt idx="3">
                  <c:v>1</c:v>
                </c:pt>
                <c:pt idx="4">
                  <c:v>1</c:v>
                </c:pt>
                <c:pt idx="5">
                  <c:v>1</c:v>
                </c:pt>
                <c:pt idx="6">
                  <c:v>1.1000000000000001</c:v>
                </c:pt>
                <c:pt idx="7">
                  <c:v>0.8</c:v>
                </c:pt>
                <c:pt idx="8">
                  <c:v>0.9</c:v>
                </c:pt>
                <c:pt idx="9">
                  <c:v>0.8</c:v>
                </c:pt>
                <c:pt idx="10">
                  <c:v>1</c:v>
                </c:pt>
                <c:pt idx="11">
                  <c:v>1.3</c:v>
                </c:pt>
                <c:pt idx="12">
                  <c:v>1.4</c:v>
                </c:pt>
                <c:pt idx="13">
                  <c:v>0.9</c:v>
                </c:pt>
                <c:pt idx="14">
                  <c:v>0.9</c:v>
                </c:pt>
                <c:pt idx="15">
                  <c:v>1.4</c:v>
                </c:pt>
                <c:pt idx="16">
                  <c:v>2.2999999999999998</c:v>
                </c:pt>
                <c:pt idx="17">
                  <c:v>3.2</c:v>
                </c:pt>
                <c:pt idx="18">
                  <c:v>4.5</c:v>
                </c:pt>
                <c:pt idx="19">
                  <c:v>6.2</c:v>
                </c:pt>
                <c:pt idx="20">
                  <c:v>6.3</c:v>
                </c:pt>
              </c:numCache>
            </c:numRef>
          </c:yVal>
        </c:ser>
        <c:ser>
          <c:idx val="1"/>
          <c:order val="1"/>
          <c:tx>
            <c:v>True size</c:v>
          </c:tx>
          <c:spPr>
            <a:ln w="19050">
              <a:solidFill>
                <a:srgbClr val="FF0000"/>
              </a:solidFill>
            </a:ln>
          </c:spPr>
          <c:marker>
            <c:symbol val="none"/>
          </c:marker>
          <c:xVal>
            <c:numRef>
              <c:f>'Observer 3'!$K$32:$K$33</c:f>
              <c:numCache>
                <c:formatCode>General</c:formatCode>
                <c:ptCount val="2"/>
                <c:pt idx="0">
                  <c:v>0</c:v>
                </c:pt>
                <c:pt idx="1">
                  <c:v>8</c:v>
                </c:pt>
              </c:numCache>
            </c:numRef>
          </c:xVal>
          <c:yVal>
            <c:numRef>
              <c:f>'Observer 3'!$L$32:$L$33</c:f>
              <c:numCache>
                <c:formatCode>General</c:formatCode>
                <c:ptCount val="2"/>
                <c:pt idx="0">
                  <c:v>0</c:v>
                </c:pt>
                <c:pt idx="1">
                  <c:v>8</c:v>
                </c:pt>
              </c:numCache>
            </c:numRef>
          </c:yVal>
        </c:ser>
        <c:axId val="84569088"/>
        <c:axId val="84622336"/>
      </c:scatterChart>
      <c:valAx>
        <c:axId val="84569088"/>
        <c:scaling>
          <c:orientation val="minMax"/>
        </c:scaling>
        <c:axPos val="b"/>
        <c:majorGridlines/>
        <c:minorGridlines/>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True size (mm)</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84622336"/>
        <c:crosses val="autoZero"/>
        <c:crossBetween val="midCat"/>
      </c:valAx>
      <c:valAx>
        <c:axId val="84622336"/>
        <c:scaling>
          <c:orientation val="minMax"/>
        </c:scaling>
        <c:axPos val="l"/>
        <c:majorGridlines/>
        <c:minorGridlines/>
        <c:title>
          <c:tx>
            <c:rich>
              <a:bodyPr rot="-5400000" vert="horz"/>
              <a:lstStyle/>
              <a:p>
                <a:pPr>
                  <a:defRPr>
                    <a:latin typeface="Times New Roman" pitchFamily="18" charset="0"/>
                    <a:cs typeface="Times New Roman" pitchFamily="18" charset="0"/>
                  </a:defRPr>
                </a:pPr>
                <a:r>
                  <a:rPr lang="en-US">
                    <a:latin typeface="Times New Roman" pitchFamily="18" charset="0"/>
                    <a:cs typeface="Times New Roman" pitchFamily="18" charset="0"/>
                  </a:rPr>
                  <a:t>Estimated size of operator 3 (mm)</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84569088"/>
        <c:crosses val="autoZero"/>
        <c:crossBetween val="midCat"/>
      </c:valAx>
    </c:plotArea>
    <c:legend>
      <c:legendPos val="b"/>
      <c:layout>
        <c:manualLayout>
          <c:xMode val="edge"/>
          <c:yMode val="edge"/>
          <c:x val="0.2620960816166048"/>
          <c:y val="0.93324005410640665"/>
          <c:w val="0.53262988093197694"/>
          <c:h val="4.2120843977019387E-2"/>
        </c:manualLayout>
      </c:layout>
      <c:txPr>
        <a:bodyPr/>
        <a:lstStyle/>
        <a:p>
          <a:pPr>
            <a:defRPr>
              <a:latin typeface="Times New Roman" pitchFamily="18" charset="0"/>
              <a:cs typeface="Times New Roman" pitchFamily="18" charset="0"/>
            </a:defRPr>
          </a:pPr>
          <a:endParaRPr lang="en-US"/>
        </a:p>
      </c:txPr>
    </c:legend>
    <c:plotVisOnly val="1"/>
  </c:chart>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pPr>
            <a:r>
              <a:rPr lang="en-US">
                <a:latin typeface="Times New Roman" pitchFamily="18" charset="0"/>
                <a:cs typeface="Times New Roman" pitchFamily="18" charset="0"/>
              </a:rPr>
              <a:t>Normal</a:t>
            </a:r>
          </a:p>
        </c:rich>
      </c:tx>
      <c:layout>
        <c:manualLayout>
          <c:xMode val="edge"/>
          <c:yMode val="edge"/>
          <c:x val="0.6605265365168681"/>
          <c:y val="7.7866153827545928E-2"/>
        </c:manualLayout>
      </c:layout>
      <c:overlay val="1"/>
    </c:title>
    <c:plotArea>
      <c:layout>
        <c:manualLayout>
          <c:layoutTarget val="inner"/>
          <c:xMode val="edge"/>
          <c:yMode val="edge"/>
          <c:x val="4.7671958419919148E-2"/>
          <c:y val="3.470058178211595E-2"/>
          <c:w val="0.9134291786237676"/>
          <c:h val="0.78130303030303061"/>
        </c:manualLayout>
      </c:layout>
      <c:scatterChart>
        <c:scatterStyle val="smoothMarker"/>
        <c:ser>
          <c:idx val="0"/>
          <c:order val="0"/>
          <c:tx>
            <c:v>Normal</c:v>
          </c:tx>
          <c:spPr>
            <a:ln w="19050"/>
          </c:spPr>
          <c:marker>
            <c:symbol val="none"/>
          </c:marker>
          <c:xVal>
            <c:numRef>
              <c:f>'Observer 3'!$G$4:$G$27</c:f>
              <c:numCache>
                <c:formatCode>General</c:formatCode>
                <c:ptCount val="24"/>
                <c:pt idx="0">
                  <c:v>-1</c:v>
                </c:pt>
                <c:pt idx="1">
                  <c:v>-0.9</c:v>
                </c:pt>
                <c:pt idx="2">
                  <c:v>-0.8</c:v>
                </c:pt>
                <c:pt idx="3">
                  <c:v>-0.70000000000000029</c:v>
                </c:pt>
                <c:pt idx="4">
                  <c:v>-0.60000000000000031</c:v>
                </c:pt>
                <c:pt idx="5">
                  <c:v>-0.50000000000000011</c:v>
                </c:pt>
                <c:pt idx="6">
                  <c:v>-0.40000000000000024</c:v>
                </c:pt>
                <c:pt idx="7">
                  <c:v>-0.30000000000000027</c:v>
                </c:pt>
                <c:pt idx="8">
                  <c:v>-0.20000000000000021</c:v>
                </c:pt>
                <c:pt idx="9">
                  <c:v>-0.10000000000000014</c:v>
                </c:pt>
                <c:pt idx="10">
                  <c:v>-1.3877787807814481E-16</c:v>
                </c:pt>
                <c:pt idx="11">
                  <c:v>9.9999999999999922E-2</c:v>
                </c:pt>
                <c:pt idx="12">
                  <c:v>0.19999999999999996</c:v>
                </c:pt>
                <c:pt idx="13">
                  <c:v>0.30000000000000004</c:v>
                </c:pt>
                <c:pt idx="14">
                  <c:v>0.4</c:v>
                </c:pt>
                <c:pt idx="15">
                  <c:v>0.5</c:v>
                </c:pt>
                <c:pt idx="16">
                  <c:v>0.59999999999999987</c:v>
                </c:pt>
                <c:pt idx="17">
                  <c:v>0.69999999999999984</c:v>
                </c:pt>
                <c:pt idx="18">
                  <c:v>0.79999999999999982</c:v>
                </c:pt>
                <c:pt idx="19">
                  <c:v>0.8999999999999998</c:v>
                </c:pt>
                <c:pt idx="20">
                  <c:v>0.99999999999999978</c:v>
                </c:pt>
                <c:pt idx="21">
                  <c:v>1.0999999999999994</c:v>
                </c:pt>
                <c:pt idx="22">
                  <c:v>1.2</c:v>
                </c:pt>
                <c:pt idx="23">
                  <c:v>1.3</c:v>
                </c:pt>
              </c:numCache>
            </c:numRef>
          </c:xVal>
          <c:yVal>
            <c:numRef>
              <c:f>'Observer 3'!$H$4:$H$27</c:f>
              <c:numCache>
                <c:formatCode>General</c:formatCode>
                <c:ptCount val="24"/>
                <c:pt idx="0">
                  <c:v>0.14943852811073491</c:v>
                </c:pt>
                <c:pt idx="1">
                  <c:v>0.20987757228840326</c:v>
                </c:pt>
                <c:pt idx="2">
                  <c:v>0.28353544427077459</c:v>
                </c:pt>
                <c:pt idx="3">
                  <c:v>0.36845678349556987</c:v>
                </c:pt>
                <c:pt idx="4">
                  <c:v>0.4605784676111781</c:v>
                </c:pt>
                <c:pt idx="5">
                  <c:v>0.55380717610969743</c:v>
                </c:pt>
                <c:pt idx="6">
                  <c:v>0.64054759041179965</c:v>
                </c:pt>
                <c:pt idx="7">
                  <c:v>0.7126595333791762</c:v>
                </c:pt>
                <c:pt idx="8">
                  <c:v>0.76269459897229153</c:v>
                </c:pt>
                <c:pt idx="9">
                  <c:v>0.78515810322042012</c:v>
                </c:pt>
                <c:pt idx="10">
                  <c:v>0.77750186219156026</c:v>
                </c:pt>
                <c:pt idx="11">
                  <c:v>0.74059987263638449</c:v>
                </c:pt>
                <c:pt idx="12">
                  <c:v>0.6785841362753241</c:v>
                </c:pt>
                <c:pt idx="13">
                  <c:v>0.59808325965792031</c:v>
                </c:pt>
                <c:pt idx="14">
                  <c:v>0.50705779696511766</c:v>
                </c:pt>
                <c:pt idx="15">
                  <c:v>0.41351489547545089</c:v>
                </c:pt>
                <c:pt idx="16">
                  <c:v>0.32438646542137528</c:v>
                </c:pt>
                <c:pt idx="17">
                  <c:v>0.2447778790819562</c:v>
                </c:pt>
                <c:pt idx="18">
                  <c:v>0.1776722015581956</c:v>
                </c:pt>
                <c:pt idx="19">
                  <c:v>0.12405225824058171</c:v>
                </c:pt>
                <c:pt idx="20">
                  <c:v>8.3315871174587205E-2</c:v>
                </c:pt>
                <c:pt idx="21">
                  <c:v>5.382557519015508E-2</c:v>
                </c:pt>
                <c:pt idx="22">
                  <c:v>3.3449335427491587E-2</c:v>
                </c:pt>
                <c:pt idx="23">
                  <c:v>1.9995127703763164E-2</c:v>
                </c:pt>
              </c:numCache>
            </c:numRef>
          </c:yVal>
          <c:smooth val="1"/>
        </c:ser>
        <c:axId val="85349504"/>
        <c:axId val="85351808"/>
      </c:scatterChart>
      <c:valAx>
        <c:axId val="85349504"/>
        <c:scaling>
          <c:orientation val="minMax"/>
        </c:scaling>
        <c:axPos val="b"/>
        <c:majorGridlines>
          <c:spPr>
            <a:effectLst/>
          </c:spPr>
        </c:majorGridlines>
        <c:minorGridlines/>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Range</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85351808"/>
        <c:crosses val="autoZero"/>
        <c:crossBetween val="midCat"/>
      </c:valAx>
      <c:valAx>
        <c:axId val="85351808"/>
        <c:scaling>
          <c:orientation val="minMax"/>
        </c:scaling>
        <c:axPos val="l"/>
        <c:majorGridlines/>
        <c:minorGridlines/>
        <c:numFmt formatCode="General" sourceLinked="1"/>
        <c:tickLblPos val="nextTo"/>
        <c:spPr>
          <a:noFill/>
        </c:spPr>
        <c:txPr>
          <a:bodyPr/>
          <a:lstStyle/>
          <a:p>
            <a:pPr>
              <a:defRPr>
                <a:latin typeface="Times New Roman" pitchFamily="18" charset="0"/>
                <a:cs typeface="Times New Roman" pitchFamily="18" charset="0"/>
              </a:defRPr>
            </a:pPr>
            <a:endParaRPr lang="en-US"/>
          </a:p>
        </c:txPr>
        <c:crossAx val="85349504"/>
        <c:crosses val="autoZero"/>
        <c:crossBetween val="midCat"/>
      </c:valAx>
    </c:plotArea>
    <c:plotVisOnly val="1"/>
  </c:chart>
  <c:externalData r:id="rId1"/>
</c:chartSpace>
</file>

<file path=word/charts/chart7.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Operator 4 </a:t>
            </a:r>
            <a:r>
              <a:rPr lang="en-US" sz="1800" b="1" i="0" u="none" strike="noStrike" baseline="0"/>
              <a:t>Sizing Accuracy</a:t>
            </a:r>
            <a:endParaRPr lang="en-US">
              <a:latin typeface="Times New Roman" pitchFamily="18" charset="0"/>
              <a:cs typeface="Times New Roman" pitchFamily="18" charset="0"/>
            </a:endParaRPr>
          </a:p>
        </c:rich>
      </c:tx>
      <c:layout>
        <c:manualLayout>
          <c:xMode val="edge"/>
          <c:yMode val="edge"/>
          <c:x val="0.40997530864197534"/>
          <c:y val="3.9664378337147213E-2"/>
        </c:manualLayout>
      </c:layout>
      <c:overlay val="1"/>
    </c:title>
    <c:plotArea>
      <c:layout>
        <c:manualLayout>
          <c:layoutTarget val="inner"/>
          <c:xMode val="edge"/>
          <c:yMode val="edge"/>
          <c:x val="8.9817283950617249E-2"/>
          <c:y val="3.3562166285278409E-2"/>
          <c:w val="0.88351604938271378"/>
          <c:h val="0.73780572622930296"/>
        </c:manualLayout>
      </c:layout>
      <c:scatterChart>
        <c:scatterStyle val="lineMarker"/>
        <c:ser>
          <c:idx val="0"/>
          <c:order val="0"/>
          <c:tx>
            <c:v>Operator 4</c:v>
          </c:tx>
          <c:spPr>
            <a:ln>
              <a:noFill/>
            </a:ln>
          </c:spPr>
          <c:marker>
            <c:symbol val="circle"/>
            <c:size val="4"/>
          </c:marker>
          <c:trendline>
            <c:spPr>
              <a:ln w="15875">
                <a:prstDash val="sysDash"/>
              </a:ln>
            </c:spPr>
            <c:trendlineType val="linear"/>
            <c:dispRSqr val="1"/>
            <c:dispEq val="1"/>
            <c:trendlineLbl>
              <c:layout>
                <c:manualLayout>
                  <c:x val="-0.50318670166229085"/>
                  <c:y val="-4.6770572442746731E-2"/>
                </c:manualLayout>
              </c:layout>
              <c:numFmt formatCode="General" sourceLinked="0"/>
              <c:spPr>
                <a:solidFill>
                  <a:schemeClr val="bg1"/>
                </a:solidFill>
              </c:spPr>
              <c:txPr>
                <a:bodyPr/>
                <a:lstStyle/>
                <a:p>
                  <a:pPr>
                    <a:defRPr sz="1200">
                      <a:latin typeface="Times New Roman" pitchFamily="18" charset="0"/>
                      <a:cs typeface="Times New Roman" pitchFamily="18" charset="0"/>
                    </a:defRPr>
                  </a:pPr>
                  <a:endParaRPr lang="en-US"/>
                </a:p>
              </c:txPr>
            </c:trendlineLbl>
          </c:trendline>
          <c:xVal>
            <c:numRef>
              <c:f>'Observer 4'!$C$4:$C$24</c:f>
              <c:numCache>
                <c:formatCode>General</c:formatCode>
                <c:ptCount val="21"/>
                <c:pt idx="0">
                  <c:v>0.25</c:v>
                </c:pt>
                <c:pt idx="1">
                  <c:v>0.27</c:v>
                </c:pt>
                <c:pt idx="2">
                  <c:v>0.28000000000000008</c:v>
                </c:pt>
                <c:pt idx="3">
                  <c:v>0.4</c:v>
                </c:pt>
                <c:pt idx="4">
                  <c:v>0.4</c:v>
                </c:pt>
                <c:pt idx="5">
                  <c:v>0.5</c:v>
                </c:pt>
                <c:pt idx="6">
                  <c:v>0.52</c:v>
                </c:pt>
                <c:pt idx="7">
                  <c:v>0.55000000000000004</c:v>
                </c:pt>
                <c:pt idx="8">
                  <c:v>0.70000000000000007</c:v>
                </c:pt>
                <c:pt idx="9">
                  <c:v>0.98</c:v>
                </c:pt>
                <c:pt idx="10">
                  <c:v>1.1200000000000001</c:v>
                </c:pt>
                <c:pt idx="11">
                  <c:v>1.1499999999999997</c:v>
                </c:pt>
                <c:pt idx="12">
                  <c:v>1.1000000000000001</c:v>
                </c:pt>
                <c:pt idx="13">
                  <c:v>1.3</c:v>
                </c:pt>
                <c:pt idx="14">
                  <c:v>1.6</c:v>
                </c:pt>
                <c:pt idx="15">
                  <c:v>1.8</c:v>
                </c:pt>
                <c:pt idx="16">
                  <c:v>2.1</c:v>
                </c:pt>
                <c:pt idx="17">
                  <c:v>2.7</c:v>
                </c:pt>
                <c:pt idx="18">
                  <c:v>4.9000000000000004</c:v>
                </c:pt>
                <c:pt idx="19">
                  <c:v>6</c:v>
                </c:pt>
                <c:pt idx="20">
                  <c:v>7.5</c:v>
                </c:pt>
              </c:numCache>
            </c:numRef>
          </c:xVal>
          <c:yVal>
            <c:numRef>
              <c:f>'Observer 4'!$D$4:$D$24</c:f>
              <c:numCache>
                <c:formatCode>General</c:formatCode>
                <c:ptCount val="21"/>
                <c:pt idx="0">
                  <c:v>0.5</c:v>
                </c:pt>
                <c:pt idx="1">
                  <c:v>1</c:v>
                </c:pt>
                <c:pt idx="2">
                  <c:v>0.5</c:v>
                </c:pt>
                <c:pt idx="3">
                  <c:v>1</c:v>
                </c:pt>
                <c:pt idx="4">
                  <c:v>1.1000000000000001</c:v>
                </c:pt>
                <c:pt idx="5">
                  <c:v>0.8</c:v>
                </c:pt>
                <c:pt idx="6">
                  <c:v>1</c:v>
                </c:pt>
                <c:pt idx="7">
                  <c:v>1.2</c:v>
                </c:pt>
                <c:pt idx="8">
                  <c:v>1.2</c:v>
                </c:pt>
                <c:pt idx="9">
                  <c:v>1.6</c:v>
                </c:pt>
                <c:pt idx="10">
                  <c:v>1.8</c:v>
                </c:pt>
                <c:pt idx="11">
                  <c:v>1.5</c:v>
                </c:pt>
                <c:pt idx="12">
                  <c:v>1.5</c:v>
                </c:pt>
                <c:pt idx="13">
                  <c:v>2</c:v>
                </c:pt>
                <c:pt idx="14">
                  <c:v>1.5</c:v>
                </c:pt>
                <c:pt idx="15">
                  <c:v>3.2</c:v>
                </c:pt>
                <c:pt idx="16">
                  <c:v>3</c:v>
                </c:pt>
                <c:pt idx="17">
                  <c:v>3.5</c:v>
                </c:pt>
                <c:pt idx="18">
                  <c:v>4.4000000000000004</c:v>
                </c:pt>
                <c:pt idx="19">
                  <c:v>5.5</c:v>
                </c:pt>
                <c:pt idx="20">
                  <c:v>6.5</c:v>
                </c:pt>
              </c:numCache>
            </c:numRef>
          </c:yVal>
        </c:ser>
        <c:ser>
          <c:idx val="1"/>
          <c:order val="1"/>
          <c:tx>
            <c:v>True Size</c:v>
          </c:tx>
          <c:spPr>
            <a:ln w="19050">
              <a:solidFill>
                <a:srgbClr val="C00000"/>
              </a:solidFill>
            </a:ln>
          </c:spPr>
          <c:marker>
            <c:symbol val="none"/>
          </c:marker>
          <c:dPt>
            <c:idx val="1"/>
            <c:spPr>
              <a:ln w="19050">
                <a:solidFill>
                  <a:srgbClr val="FF0000"/>
                </a:solidFill>
              </a:ln>
            </c:spPr>
          </c:dPt>
          <c:xVal>
            <c:numRef>
              <c:f>'Observer 4'!$K$32:$K$33</c:f>
              <c:numCache>
                <c:formatCode>General</c:formatCode>
                <c:ptCount val="2"/>
                <c:pt idx="0">
                  <c:v>0</c:v>
                </c:pt>
                <c:pt idx="1">
                  <c:v>8</c:v>
                </c:pt>
              </c:numCache>
            </c:numRef>
          </c:xVal>
          <c:yVal>
            <c:numRef>
              <c:f>'Observer 4'!$L$32:$L$33</c:f>
              <c:numCache>
                <c:formatCode>General</c:formatCode>
                <c:ptCount val="2"/>
                <c:pt idx="0">
                  <c:v>0</c:v>
                </c:pt>
                <c:pt idx="1">
                  <c:v>8</c:v>
                </c:pt>
              </c:numCache>
            </c:numRef>
          </c:yVal>
        </c:ser>
        <c:axId val="86141952"/>
        <c:axId val="86144128"/>
      </c:scatterChart>
      <c:valAx>
        <c:axId val="86141952"/>
        <c:scaling>
          <c:orientation val="minMax"/>
        </c:scaling>
        <c:axPos val="b"/>
        <c:minorGridlines/>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True size (mm)</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86144128"/>
        <c:crosses val="autoZero"/>
        <c:crossBetween val="midCat"/>
      </c:valAx>
      <c:valAx>
        <c:axId val="86144128"/>
        <c:scaling>
          <c:orientation val="minMax"/>
        </c:scaling>
        <c:axPos val="l"/>
        <c:majorGridlines/>
        <c:minorGridlines/>
        <c:title>
          <c:tx>
            <c:rich>
              <a:bodyPr rot="-5400000" vert="horz"/>
              <a:lstStyle/>
              <a:p>
                <a:pPr>
                  <a:defRPr>
                    <a:latin typeface="Times New Roman" pitchFamily="18" charset="0"/>
                    <a:cs typeface="Times New Roman" pitchFamily="18" charset="0"/>
                  </a:defRPr>
                </a:pPr>
                <a:r>
                  <a:rPr lang="en-US">
                    <a:latin typeface="Times New Roman" pitchFamily="18" charset="0"/>
                    <a:cs typeface="Times New Roman" pitchFamily="18" charset="0"/>
                  </a:rPr>
                  <a:t>Estimated size of operator 4 (mm)</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86141952"/>
        <c:crosses val="autoZero"/>
        <c:crossBetween val="midCat"/>
      </c:valAx>
    </c:plotArea>
    <c:legend>
      <c:legendPos val="b"/>
      <c:txPr>
        <a:bodyPr/>
        <a:lstStyle/>
        <a:p>
          <a:pPr>
            <a:defRPr>
              <a:latin typeface="Times New Roman" pitchFamily="18" charset="0"/>
              <a:cs typeface="Times New Roman" pitchFamily="18" charset="0"/>
            </a:defRPr>
          </a:pPr>
          <a:endParaRPr lang="en-US"/>
        </a:p>
      </c:txPr>
    </c:legend>
    <c:plotVisOnly val="1"/>
  </c:chart>
  <c:externalData r:id="rId1"/>
</c:chartSpace>
</file>

<file path=word/charts/chart8.xml><?xml version="1.0" encoding="utf-8"?>
<c:chartSpace xmlns:c="http://schemas.openxmlformats.org/drawingml/2006/chart" xmlns:a="http://schemas.openxmlformats.org/drawingml/2006/main" xmlns:r="http://schemas.openxmlformats.org/officeDocument/2006/relationships">
  <c:date1904 val="1"/>
  <c:lang val="en-US"/>
  <c:chart>
    <c:title>
      <c:layout>
        <c:manualLayout>
          <c:xMode val="edge"/>
          <c:yMode val="edge"/>
          <c:x val="0.70232176166658489"/>
          <c:y val="8.8482053494764831E-2"/>
        </c:manualLayout>
      </c:layout>
      <c:txPr>
        <a:bodyPr/>
        <a:lstStyle/>
        <a:p>
          <a:pPr>
            <a:defRPr>
              <a:latin typeface="Times New Roman" pitchFamily="18" charset="0"/>
              <a:cs typeface="Times New Roman" pitchFamily="18" charset="0"/>
            </a:defRPr>
          </a:pPr>
          <a:endParaRPr lang="en-US"/>
        </a:p>
      </c:txPr>
    </c:title>
    <c:plotArea>
      <c:layout>
        <c:manualLayout>
          <c:layoutTarget val="inner"/>
          <c:xMode val="edge"/>
          <c:yMode val="edge"/>
          <c:x val="3.1792370293335981E-2"/>
          <c:y val="4.1800142513044022E-2"/>
          <c:w val="0.93204410769408663"/>
          <c:h val="0.79963391541375162"/>
        </c:manualLayout>
      </c:layout>
      <c:scatterChart>
        <c:scatterStyle val="smoothMarker"/>
        <c:ser>
          <c:idx val="0"/>
          <c:order val="0"/>
          <c:tx>
            <c:v>Normal</c:v>
          </c:tx>
          <c:spPr>
            <a:ln w="19050"/>
          </c:spPr>
          <c:marker>
            <c:symbol val="none"/>
          </c:marker>
          <c:xVal>
            <c:numRef>
              <c:f>'Observer 4'!$G$4:$G$29</c:f>
              <c:numCache>
                <c:formatCode>General</c:formatCode>
                <c:ptCount val="26"/>
                <c:pt idx="0">
                  <c:v>-1.4</c:v>
                </c:pt>
                <c:pt idx="1">
                  <c:v>-1.2999999999999996</c:v>
                </c:pt>
                <c:pt idx="2">
                  <c:v>-1.1999999999999995</c:v>
                </c:pt>
                <c:pt idx="3">
                  <c:v>-1.0999999999999994</c:v>
                </c:pt>
                <c:pt idx="4">
                  <c:v>-0.99999999999999967</c:v>
                </c:pt>
                <c:pt idx="5">
                  <c:v>-0.89999999999999969</c:v>
                </c:pt>
                <c:pt idx="6">
                  <c:v>-0.79999999999999971</c:v>
                </c:pt>
                <c:pt idx="7">
                  <c:v>-0.69999999999999973</c:v>
                </c:pt>
                <c:pt idx="8">
                  <c:v>-0.59999999999999976</c:v>
                </c:pt>
                <c:pt idx="9">
                  <c:v>-0.49999999999999989</c:v>
                </c:pt>
                <c:pt idx="10">
                  <c:v>-0.39999999999999991</c:v>
                </c:pt>
                <c:pt idx="11">
                  <c:v>-0.29999999999999988</c:v>
                </c:pt>
                <c:pt idx="12">
                  <c:v>-0.19999999999999987</c:v>
                </c:pt>
                <c:pt idx="13">
                  <c:v>-9.9999999999999853E-2</c:v>
                </c:pt>
                <c:pt idx="14">
                  <c:v>1.9428902930940254E-16</c:v>
                </c:pt>
                <c:pt idx="15">
                  <c:v>0.1000000000000002</c:v>
                </c:pt>
                <c:pt idx="16">
                  <c:v>0.20000000000000021</c:v>
                </c:pt>
                <c:pt idx="17">
                  <c:v>0.30000000000000027</c:v>
                </c:pt>
                <c:pt idx="18">
                  <c:v>0.4000000000000003</c:v>
                </c:pt>
                <c:pt idx="19">
                  <c:v>0.50000000000000022</c:v>
                </c:pt>
                <c:pt idx="20">
                  <c:v>0.60000000000000031</c:v>
                </c:pt>
                <c:pt idx="21">
                  <c:v>0.70000000000000029</c:v>
                </c:pt>
                <c:pt idx="22">
                  <c:v>0.80000000000000027</c:v>
                </c:pt>
                <c:pt idx="23">
                  <c:v>0.90000000000000013</c:v>
                </c:pt>
                <c:pt idx="24">
                  <c:v>1.0000000000000002</c:v>
                </c:pt>
                <c:pt idx="25">
                  <c:v>1.1000000000000003</c:v>
                </c:pt>
              </c:numCache>
            </c:numRef>
          </c:xVal>
          <c:yVal>
            <c:numRef>
              <c:f>'Observer 4'!$H$4:$H$29</c:f>
              <c:numCache>
                <c:formatCode>General</c:formatCode>
                <c:ptCount val="26"/>
                <c:pt idx="0">
                  <c:v>0.12849092399698603</c:v>
                </c:pt>
                <c:pt idx="1">
                  <c:v>0.17853874560683011</c:v>
                </c:pt>
                <c:pt idx="2">
                  <c:v>0.23972792769958215</c:v>
                </c:pt>
                <c:pt idx="3">
                  <c:v>0.31105050326780909</c:v>
                </c:pt>
                <c:pt idx="4">
                  <c:v>0.39000422388477995</c:v>
                </c:pt>
                <c:pt idx="5">
                  <c:v>0.47253484372655652</c:v>
                </c:pt>
                <c:pt idx="6">
                  <c:v>0.55325390818892617</c:v>
                </c:pt>
                <c:pt idx="7">
                  <c:v>0.62595234109802245</c:v>
                </c:pt>
                <c:pt idx="8">
                  <c:v>0.68435929580799226</c:v>
                </c:pt>
                <c:pt idx="9">
                  <c:v>0.72302480758409537</c:v>
                </c:pt>
                <c:pt idx="10">
                  <c:v>0.73815633527591473</c:v>
                </c:pt>
                <c:pt idx="11">
                  <c:v>0.72823178315904979</c:v>
                </c:pt>
                <c:pt idx="12">
                  <c:v>0.69425182906983862</c:v>
                </c:pt>
                <c:pt idx="13">
                  <c:v>0.63957364711551912</c:v>
                </c:pt>
                <c:pt idx="14">
                  <c:v>0.56936427567078751</c:v>
                </c:pt>
                <c:pt idx="15">
                  <c:v>0.48979685551621649</c:v>
                </c:pt>
                <c:pt idx="16">
                  <c:v>0.40716261616154792</c:v>
                </c:pt>
                <c:pt idx="17">
                  <c:v>0.32707392665396962</c:v>
                </c:pt>
                <c:pt idx="18">
                  <c:v>0.2538926208123008</c:v>
                </c:pt>
                <c:pt idx="19">
                  <c:v>0.19044972833940194</c:v>
                </c:pt>
                <c:pt idx="20">
                  <c:v>0.13805011142219498</c:v>
                </c:pt>
                <c:pt idx="21">
                  <c:v>9.6698400538229673E-2</c:v>
                </c:pt>
                <c:pt idx="22">
                  <c:v>6.5452757027463698E-2</c:v>
                </c:pt>
                <c:pt idx="23">
                  <c:v>4.2811724706872972E-2</c:v>
                </c:pt>
                <c:pt idx="24">
                  <c:v>2.7059740567612376E-2</c:v>
                </c:pt>
                <c:pt idx="25">
                  <c:v>1.6527632900477009E-2</c:v>
                </c:pt>
              </c:numCache>
            </c:numRef>
          </c:yVal>
          <c:smooth val="1"/>
        </c:ser>
        <c:axId val="86785024"/>
        <c:axId val="87187456"/>
      </c:scatterChart>
      <c:valAx>
        <c:axId val="86785024"/>
        <c:scaling>
          <c:orientation val="minMax"/>
        </c:scaling>
        <c:axPos val="b"/>
        <c:minorGridlines/>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Range</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87187456"/>
        <c:crosses val="autoZero"/>
        <c:crossBetween val="midCat"/>
      </c:valAx>
      <c:valAx>
        <c:axId val="87187456"/>
        <c:scaling>
          <c:orientation val="minMax"/>
        </c:scaling>
        <c:axPos val="l"/>
        <c:majorGridlines/>
        <c:minorGridlines/>
        <c:numFmt formatCode="General" sourceLinked="1"/>
        <c:tickLblPos val="nextTo"/>
        <c:txPr>
          <a:bodyPr/>
          <a:lstStyle/>
          <a:p>
            <a:pPr>
              <a:defRPr>
                <a:latin typeface="Times New Roman" pitchFamily="18" charset="0"/>
                <a:cs typeface="Times New Roman" pitchFamily="18" charset="0"/>
              </a:defRPr>
            </a:pPr>
            <a:endParaRPr lang="en-US"/>
          </a:p>
        </c:txPr>
        <c:crossAx val="86785024"/>
        <c:crosses val="autoZero"/>
        <c:crossBetween val="midCat"/>
      </c:valAx>
    </c:plotArea>
    <c:plotVisOnly val="1"/>
  </c:chart>
  <c:externalData r:id="rId1"/>
</c:chartSpace>
</file>

<file path=word/charts/chart9.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Operator 5 </a:t>
            </a:r>
            <a:r>
              <a:rPr lang="en-US" sz="1800" b="1" i="0" u="none" strike="noStrike" baseline="0"/>
              <a:t>Sizing Accuracy</a:t>
            </a:r>
            <a:endParaRPr lang="en-US">
              <a:latin typeface="Times New Roman" pitchFamily="18" charset="0"/>
              <a:cs typeface="Times New Roman" pitchFamily="18" charset="0"/>
            </a:endParaRPr>
          </a:p>
        </c:rich>
      </c:tx>
      <c:layout>
        <c:manualLayout>
          <c:xMode val="edge"/>
          <c:yMode val="edge"/>
          <c:x val="0.40957041870581884"/>
          <c:y val="4.2813455657492429E-2"/>
        </c:manualLayout>
      </c:layout>
      <c:overlay val="1"/>
    </c:title>
    <c:plotArea>
      <c:layout>
        <c:manualLayout>
          <c:layoutTarget val="inner"/>
          <c:xMode val="edge"/>
          <c:yMode val="edge"/>
          <c:x val="4.0980980980980984E-2"/>
          <c:y val="1.4631043256997458E-2"/>
          <c:w val="0.88194194194194186"/>
          <c:h val="0.78133798160726076"/>
        </c:manualLayout>
      </c:layout>
      <c:scatterChart>
        <c:scatterStyle val="lineMarker"/>
        <c:ser>
          <c:idx val="0"/>
          <c:order val="0"/>
          <c:tx>
            <c:v>Operator 5</c:v>
          </c:tx>
          <c:spPr>
            <a:ln>
              <a:noFill/>
            </a:ln>
          </c:spPr>
          <c:marker>
            <c:symbol val="circle"/>
            <c:size val="4"/>
          </c:marker>
          <c:trendline>
            <c:spPr>
              <a:ln w="15875">
                <a:prstDash val="sysDash"/>
              </a:ln>
            </c:spPr>
            <c:trendlineType val="linear"/>
            <c:dispRSqr val="1"/>
            <c:dispEq val="1"/>
            <c:trendlineLbl>
              <c:layout>
                <c:manualLayout>
                  <c:x val="-0.48076316724683482"/>
                  <c:y val="1.7893520190710142E-3"/>
                </c:manualLayout>
              </c:layout>
              <c:numFmt formatCode="General" sourceLinked="0"/>
              <c:spPr>
                <a:solidFill>
                  <a:schemeClr val="bg1"/>
                </a:solidFill>
              </c:spPr>
              <c:txPr>
                <a:bodyPr/>
                <a:lstStyle/>
                <a:p>
                  <a:pPr>
                    <a:defRPr sz="1200">
                      <a:latin typeface="Times New Roman" pitchFamily="18" charset="0"/>
                      <a:cs typeface="Times New Roman" pitchFamily="18" charset="0"/>
                    </a:defRPr>
                  </a:pPr>
                  <a:endParaRPr lang="en-US"/>
                </a:p>
              </c:txPr>
            </c:trendlineLbl>
          </c:trendline>
          <c:xVal>
            <c:numRef>
              <c:f>'Observer 5'!$C$4:$C$24</c:f>
              <c:numCache>
                <c:formatCode>General</c:formatCode>
                <c:ptCount val="21"/>
                <c:pt idx="0">
                  <c:v>0.25</c:v>
                </c:pt>
                <c:pt idx="1">
                  <c:v>0.27</c:v>
                </c:pt>
                <c:pt idx="2">
                  <c:v>0.28000000000000008</c:v>
                </c:pt>
                <c:pt idx="3">
                  <c:v>0.4</c:v>
                </c:pt>
                <c:pt idx="4">
                  <c:v>0.4</c:v>
                </c:pt>
                <c:pt idx="5">
                  <c:v>0.5</c:v>
                </c:pt>
                <c:pt idx="6">
                  <c:v>0.52</c:v>
                </c:pt>
                <c:pt idx="7">
                  <c:v>0.55000000000000004</c:v>
                </c:pt>
                <c:pt idx="8">
                  <c:v>0.70000000000000007</c:v>
                </c:pt>
                <c:pt idx="9">
                  <c:v>0.98</c:v>
                </c:pt>
                <c:pt idx="10">
                  <c:v>1.1200000000000001</c:v>
                </c:pt>
                <c:pt idx="11">
                  <c:v>1.1499999999999997</c:v>
                </c:pt>
                <c:pt idx="12">
                  <c:v>1.1000000000000001</c:v>
                </c:pt>
                <c:pt idx="13">
                  <c:v>1.3</c:v>
                </c:pt>
                <c:pt idx="14">
                  <c:v>1.6</c:v>
                </c:pt>
                <c:pt idx="15">
                  <c:v>1.8</c:v>
                </c:pt>
                <c:pt idx="16">
                  <c:v>2.1</c:v>
                </c:pt>
                <c:pt idx="17">
                  <c:v>2.7</c:v>
                </c:pt>
                <c:pt idx="18">
                  <c:v>4.9000000000000004</c:v>
                </c:pt>
                <c:pt idx="19">
                  <c:v>6</c:v>
                </c:pt>
                <c:pt idx="20">
                  <c:v>7.5</c:v>
                </c:pt>
              </c:numCache>
            </c:numRef>
          </c:xVal>
          <c:yVal>
            <c:numRef>
              <c:f>'Observer 5'!$D$4:$D$24</c:f>
              <c:numCache>
                <c:formatCode>General</c:formatCode>
                <c:ptCount val="21"/>
                <c:pt idx="0">
                  <c:v>0</c:v>
                </c:pt>
                <c:pt idx="1">
                  <c:v>0</c:v>
                </c:pt>
                <c:pt idx="2">
                  <c:v>0</c:v>
                </c:pt>
                <c:pt idx="3">
                  <c:v>1</c:v>
                </c:pt>
                <c:pt idx="4">
                  <c:v>1</c:v>
                </c:pt>
                <c:pt idx="5">
                  <c:v>1</c:v>
                </c:pt>
                <c:pt idx="6">
                  <c:v>1.5</c:v>
                </c:pt>
                <c:pt idx="7">
                  <c:v>0.9</c:v>
                </c:pt>
                <c:pt idx="8">
                  <c:v>1.6</c:v>
                </c:pt>
                <c:pt idx="9">
                  <c:v>2</c:v>
                </c:pt>
                <c:pt idx="10">
                  <c:v>1.8</c:v>
                </c:pt>
                <c:pt idx="11">
                  <c:v>1</c:v>
                </c:pt>
                <c:pt idx="12">
                  <c:v>1.6</c:v>
                </c:pt>
                <c:pt idx="13">
                  <c:v>2</c:v>
                </c:pt>
                <c:pt idx="14">
                  <c:v>2</c:v>
                </c:pt>
                <c:pt idx="15">
                  <c:v>2</c:v>
                </c:pt>
                <c:pt idx="16">
                  <c:v>2.5</c:v>
                </c:pt>
                <c:pt idx="17">
                  <c:v>2.5</c:v>
                </c:pt>
                <c:pt idx="18">
                  <c:v>4.5</c:v>
                </c:pt>
                <c:pt idx="19">
                  <c:v>6.5</c:v>
                </c:pt>
                <c:pt idx="20">
                  <c:v>7.2</c:v>
                </c:pt>
              </c:numCache>
            </c:numRef>
          </c:yVal>
        </c:ser>
        <c:ser>
          <c:idx val="1"/>
          <c:order val="1"/>
          <c:tx>
            <c:v>True size</c:v>
          </c:tx>
          <c:spPr>
            <a:ln w="19050">
              <a:solidFill>
                <a:srgbClr val="FF0000"/>
              </a:solidFill>
            </a:ln>
          </c:spPr>
          <c:marker>
            <c:symbol val="none"/>
          </c:marker>
          <c:xVal>
            <c:numRef>
              <c:f>'Observer 5'!$K$32:$K$33</c:f>
              <c:numCache>
                <c:formatCode>General</c:formatCode>
                <c:ptCount val="2"/>
                <c:pt idx="0">
                  <c:v>0</c:v>
                </c:pt>
                <c:pt idx="1">
                  <c:v>8</c:v>
                </c:pt>
              </c:numCache>
            </c:numRef>
          </c:xVal>
          <c:yVal>
            <c:numRef>
              <c:f>'Observer 5'!$L$32:$L$33</c:f>
              <c:numCache>
                <c:formatCode>General</c:formatCode>
                <c:ptCount val="2"/>
                <c:pt idx="0">
                  <c:v>0</c:v>
                </c:pt>
                <c:pt idx="1">
                  <c:v>8</c:v>
                </c:pt>
              </c:numCache>
            </c:numRef>
          </c:yVal>
        </c:ser>
        <c:axId val="87359488"/>
        <c:axId val="87362560"/>
      </c:scatterChart>
      <c:valAx>
        <c:axId val="87359488"/>
        <c:scaling>
          <c:orientation val="minMax"/>
        </c:scaling>
        <c:axPos val="b"/>
        <c:minorGridlines/>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True size (mm)</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87362560"/>
        <c:crosses val="autoZero"/>
        <c:crossBetween val="midCat"/>
      </c:valAx>
      <c:valAx>
        <c:axId val="87362560"/>
        <c:scaling>
          <c:orientation val="minMax"/>
        </c:scaling>
        <c:axPos val="l"/>
        <c:majorGridlines/>
        <c:minorGridlines/>
        <c:title>
          <c:tx>
            <c:rich>
              <a:bodyPr rot="-5400000" vert="horz"/>
              <a:lstStyle/>
              <a:p>
                <a:pPr>
                  <a:defRPr>
                    <a:latin typeface="Times New Roman" pitchFamily="18" charset="0"/>
                    <a:cs typeface="Times New Roman" pitchFamily="18" charset="0"/>
                  </a:defRPr>
                </a:pPr>
                <a:r>
                  <a:rPr lang="en-US">
                    <a:latin typeface="Times New Roman" pitchFamily="18" charset="0"/>
                    <a:cs typeface="Times New Roman" pitchFamily="18" charset="0"/>
                  </a:rPr>
                  <a:t>Estimated size of operator 5 (mm)</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87359488"/>
        <c:crosses val="autoZero"/>
        <c:crossBetween val="midCat"/>
      </c:valAx>
      <c:spPr>
        <a:noFill/>
        <a:ln w="25400">
          <a:noFill/>
        </a:ln>
      </c:spPr>
    </c:plotArea>
    <c:legend>
      <c:legendPos val="b"/>
      <c:txPr>
        <a:bodyPr/>
        <a:lstStyle/>
        <a:p>
          <a:pPr>
            <a:defRPr>
              <a:latin typeface="Times New Roman" pitchFamily="18" charset="0"/>
              <a:cs typeface="Times New Roman" pitchFamily="18" charset="0"/>
            </a:defRPr>
          </a:pPr>
          <a:endParaRPr lang="en-US"/>
        </a:p>
      </c:txPr>
    </c:legend>
    <c:plotVisOnly val="1"/>
  </c:chart>
  <c:externalData r:id="rId1"/>
</c:chartSpace>
</file>

<file path=word/charts/chart10.xml><?xml version="1.0" encoding="utf-8"?>
<c:chartSpace xmlns:c="http://schemas.openxmlformats.org/drawingml/2006/chart" xmlns:a="http://schemas.openxmlformats.org/drawingml/2006/main" xmlns:r="http://schemas.openxmlformats.org/officeDocument/2006/relationships">
  <c:date1904 val="1"/>
  <c:lang val="en-US"/>
  <c:chart>
    <c:title>
      <c:layout>
        <c:manualLayout>
          <c:xMode val="edge"/>
          <c:yMode val="edge"/>
          <c:x val="0.66248947655128165"/>
          <c:y val="7.9693486590038456E-2"/>
        </c:manualLayout>
      </c:layout>
      <c:txPr>
        <a:bodyPr/>
        <a:lstStyle/>
        <a:p>
          <a:pPr>
            <a:defRPr>
              <a:latin typeface="Times New Roman" pitchFamily="18" charset="0"/>
              <a:cs typeface="Times New Roman" pitchFamily="18" charset="0"/>
            </a:defRPr>
          </a:pPr>
          <a:endParaRPr lang="en-US"/>
        </a:p>
      </c:txPr>
    </c:title>
    <c:plotArea>
      <c:layout>
        <c:manualLayout>
          <c:layoutTarget val="inner"/>
          <c:xMode val="edge"/>
          <c:yMode val="edge"/>
          <c:x val="3.9654005513461807E-2"/>
          <c:y val="2.6666666666666675E-2"/>
          <c:w val="0.92418247247395968"/>
          <c:h val="0.83396168582375452"/>
        </c:manualLayout>
      </c:layout>
      <c:scatterChart>
        <c:scatterStyle val="smoothMarker"/>
        <c:ser>
          <c:idx val="0"/>
          <c:order val="0"/>
          <c:tx>
            <c:v>Normal</c:v>
          </c:tx>
          <c:spPr>
            <a:ln w="19050"/>
          </c:spPr>
          <c:marker>
            <c:symbol val="none"/>
          </c:marker>
          <c:xVal>
            <c:numRef>
              <c:f>'Observer 5'!$G$4:$G$28</c:f>
              <c:numCache>
                <c:formatCode>General</c:formatCode>
                <c:ptCount val="25"/>
                <c:pt idx="0">
                  <c:v>-1.1000000000000001</c:v>
                </c:pt>
                <c:pt idx="1">
                  <c:v>-1</c:v>
                </c:pt>
                <c:pt idx="2">
                  <c:v>-0.9</c:v>
                </c:pt>
                <c:pt idx="3">
                  <c:v>-0.8</c:v>
                </c:pt>
                <c:pt idx="4">
                  <c:v>-0.70000000000000018</c:v>
                </c:pt>
                <c:pt idx="5">
                  <c:v>-0.6000000000000002</c:v>
                </c:pt>
                <c:pt idx="6">
                  <c:v>-0.50000000000000011</c:v>
                </c:pt>
                <c:pt idx="7">
                  <c:v>-0.40000000000000019</c:v>
                </c:pt>
                <c:pt idx="8">
                  <c:v>-0.30000000000000021</c:v>
                </c:pt>
                <c:pt idx="9">
                  <c:v>-0.20000000000000018</c:v>
                </c:pt>
                <c:pt idx="10">
                  <c:v>-0.10000000000000014</c:v>
                </c:pt>
                <c:pt idx="11">
                  <c:v>-1.3877787807814469E-16</c:v>
                </c:pt>
                <c:pt idx="12">
                  <c:v>9.9999999999999881E-2</c:v>
                </c:pt>
                <c:pt idx="13">
                  <c:v>0.19999999999999993</c:v>
                </c:pt>
                <c:pt idx="14">
                  <c:v>0.29999999999999993</c:v>
                </c:pt>
                <c:pt idx="15">
                  <c:v>0.4</c:v>
                </c:pt>
                <c:pt idx="16">
                  <c:v>0.5</c:v>
                </c:pt>
                <c:pt idx="17">
                  <c:v>0.59999999999999987</c:v>
                </c:pt>
                <c:pt idx="18">
                  <c:v>0.69999999999999984</c:v>
                </c:pt>
                <c:pt idx="19">
                  <c:v>0.79999999999999982</c:v>
                </c:pt>
                <c:pt idx="20">
                  <c:v>0.8999999999999998</c:v>
                </c:pt>
                <c:pt idx="21">
                  <c:v>0.99999999999999978</c:v>
                </c:pt>
                <c:pt idx="22">
                  <c:v>1.0999999999999996</c:v>
                </c:pt>
                <c:pt idx="23">
                  <c:v>1.2</c:v>
                </c:pt>
                <c:pt idx="24">
                  <c:v>1.3</c:v>
                </c:pt>
              </c:numCache>
            </c:numRef>
          </c:xVal>
          <c:yVal>
            <c:numRef>
              <c:f>'Observer 5'!$H$4:$H$28</c:f>
              <c:numCache>
                <c:formatCode>General</c:formatCode>
                <c:ptCount val="25"/>
                <c:pt idx="0">
                  <c:v>0.19788873896355633</c:v>
                </c:pt>
                <c:pt idx="1">
                  <c:v>0.28068494550324685</c:v>
                </c:pt>
                <c:pt idx="2">
                  <c:v>0.37978992086607738</c:v>
                </c:pt>
                <c:pt idx="3">
                  <c:v>0.49022338675098909</c:v>
                </c:pt>
                <c:pt idx="4">
                  <c:v>0.60363010749127577</c:v>
                </c:pt>
                <c:pt idx="5">
                  <c:v>0.70904538767561209</c:v>
                </c:pt>
                <c:pt idx="6">
                  <c:v>0.7945174782820229</c:v>
                </c:pt>
                <c:pt idx="7">
                  <c:v>0.84929614111005236</c:v>
                </c:pt>
                <c:pt idx="8">
                  <c:v>0.86604632304634932</c:v>
                </c:pt>
                <c:pt idx="9">
                  <c:v>0.84246015486863512</c:v>
                </c:pt>
                <c:pt idx="10">
                  <c:v>0.78177880687206935</c:v>
                </c:pt>
                <c:pt idx="11">
                  <c:v>0.69206150450588244</c:v>
                </c:pt>
                <c:pt idx="12">
                  <c:v>0.58442901368330913</c:v>
                </c:pt>
                <c:pt idx="13">
                  <c:v>0.47080939408943057</c:v>
                </c:pt>
                <c:pt idx="14">
                  <c:v>0.36181348351800913</c:v>
                </c:pt>
                <c:pt idx="15">
                  <c:v>0.26524710417492325</c:v>
                </c:pt>
                <c:pt idx="16">
                  <c:v>0.18549953744604503</c:v>
                </c:pt>
                <c:pt idx="17">
                  <c:v>0.12375458179185114</c:v>
                </c:pt>
                <c:pt idx="18">
                  <c:v>7.8760056461255251E-2</c:v>
                </c:pt>
                <c:pt idx="19">
                  <c:v>4.7816416616976588E-2</c:v>
                </c:pt>
                <c:pt idx="20">
                  <c:v>2.7693274520287019E-2</c:v>
                </c:pt>
                <c:pt idx="21">
                  <c:v>1.5300226883442529E-2</c:v>
                </c:pt>
                <c:pt idx="22">
                  <c:v>8.0639477862080103E-3</c:v>
                </c:pt>
                <c:pt idx="23">
                  <c:v>4.0543741038294636E-3</c:v>
                </c:pt>
                <c:pt idx="24">
                  <c:v>1.9445817589006467E-3</c:v>
                </c:pt>
              </c:numCache>
            </c:numRef>
          </c:yVal>
          <c:smooth val="1"/>
        </c:ser>
        <c:axId val="140266880"/>
        <c:axId val="140282880"/>
      </c:scatterChart>
      <c:valAx>
        <c:axId val="140266880"/>
        <c:scaling>
          <c:orientation val="minMax"/>
        </c:scaling>
        <c:axPos val="b"/>
        <c:minorGridlines/>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Range</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140282880"/>
        <c:crosses val="autoZero"/>
        <c:crossBetween val="midCat"/>
      </c:valAx>
      <c:valAx>
        <c:axId val="140282880"/>
        <c:scaling>
          <c:orientation val="minMax"/>
        </c:scaling>
        <c:axPos val="l"/>
        <c:majorGridlines/>
        <c:minorGridlines/>
        <c:numFmt formatCode="General" sourceLinked="1"/>
        <c:tickLblPos val="nextTo"/>
        <c:txPr>
          <a:bodyPr/>
          <a:lstStyle/>
          <a:p>
            <a:pPr>
              <a:defRPr>
                <a:latin typeface="Times New Roman" pitchFamily="18" charset="0"/>
                <a:cs typeface="Times New Roman" pitchFamily="18" charset="0"/>
              </a:defRPr>
            </a:pPr>
            <a:endParaRPr lang="en-US"/>
          </a:p>
        </c:txPr>
        <c:crossAx val="140266880"/>
        <c:crosses val="autoZero"/>
        <c:crossBetween val="midCat"/>
      </c:valAx>
    </c:plotArea>
    <c:plotVisOnly val="1"/>
  </c:chart>
  <c:externalData r:id="rId1"/>
</c:chartSpace>
</file>

<file path=word/charts/chart11.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Operator 6 </a:t>
            </a:r>
            <a:r>
              <a:rPr lang="en-US" sz="1800" b="1" i="0" u="none" strike="noStrike" baseline="0"/>
              <a:t>Sizing Accuracy</a:t>
            </a:r>
            <a:endParaRPr lang="en-US">
              <a:latin typeface="Times New Roman" pitchFamily="18" charset="0"/>
              <a:cs typeface="Times New Roman" pitchFamily="18" charset="0"/>
            </a:endParaRPr>
          </a:p>
        </c:rich>
      </c:tx>
      <c:layout>
        <c:manualLayout>
          <c:xMode val="edge"/>
          <c:yMode val="edge"/>
          <c:x val="0.41501988149684943"/>
          <c:y val="4.2617960426179623E-2"/>
        </c:manualLayout>
      </c:layout>
      <c:overlay val="1"/>
    </c:title>
    <c:plotArea>
      <c:layout/>
      <c:scatterChart>
        <c:scatterStyle val="lineMarker"/>
        <c:ser>
          <c:idx val="0"/>
          <c:order val="0"/>
          <c:tx>
            <c:v>Operator 6</c:v>
          </c:tx>
          <c:spPr>
            <a:ln>
              <a:noFill/>
            </a:ln>
          </c:spPr>
          <c:marker>
            <c:symbol val="circle"/>
            <c:size val="4"/>
          </c:marker>
          <c:trendline>
            <c:spPr>
              <a:ln>
                <a:prstDash val="sysDash"/>
              </a:ln>
            </c:spPr>
            <c:trendlineType val="linear"/>
            <c:dispRSqr val="1"/>
            <c:dispEq val="1"/>
            <c:trendlineLbl>
              <c:layout>
                <c:manualLayout>
                  <c:x val="-0.47762145001335909"/>
                  <c:y val="8.2191780821917595E-2"/>
                </c:manualLayout>
              </c:layout>
              <c:numFmt formatCode="General" sourceLinked="0"/>
              <c:spPr>
                <a:solidFill>
                  <a:schemeClr val="bg1"/>
                </a:solidFill>
              </c:spPr>
              <c:txPr>
                <a:bodyPr/>
                <a:lstStyle/>
                <a:p>
                  <a:pPr>
                    <a:defRPr sz="1200">
                      <a:latin typeface="Times New Roman" pitchFamily="18" charset="0"/>
                      <a:cs typeface="Times New Roman" pitchFamily="18" charset="0"/>
                    </a:defRPr>
                  </a:pPr>
                  <a:endParaRPr lang="en-US"/>
                </a:p>
              </c:txPr>
            </c:trendlineLbl>
          </c:trendline>
          <c:xVal>
            <c:numRef>
              <c:f>'Observer 6'!$C$4:$C$24</c:f>
              <c:numCache>
                <c:formatCode>General</c:formatCode>
                <c:ptCount val="21"/>
                <c:pt idx="0">
                  <c:v>0.25</c:v>
                </c:pt>
                <c:pt idx="1">
                  <c:v>0.27</c:v>
                </c:pt>
                <c:pt idx="2">
                  <c:v>0.28000000000000008</c:v>
                </c:pt>
                <c:pt idx="3">
                  <c:v>0.4</c:v>
                </c:pt>
                <c:pt idx="4">
                  <c:v>0.4</c:v>
                </c:pt>
                <c:pt idx="5">
                  <c:v>0.5</c:v>
                </c:pt>
                <c:pt idx="6">
                  <c:v>0.52</c:v>
                </c:pt>
                <c:pt idx="7">
                  <c:v>0.55000000000000004</c:v>
                </c:pt>
                <c:pt idx="8">
                  <c:v>0.70000000000000007</c:v>
                </c:pt>
                <c:pt idx="9">
                  <c:v>0.98</c:v>
                </c:pt>
                <c:pt idx="10">
                  <c:v>1.1200000000000001</c:v>
                </c:pt>
                <c:pt idx="11">
                  <c:v>1.1499999999999997</c:v>
                </c:pt>
                <c:pt idx="12">
                  <c:v>1.1000000000000001</c:v>
                </c:pt>
                <c:pt idx="13">
                  <c:v>1.3</c:v>
                </c:pt>
                <c:pt idx="14">
                  <c:v>1.6</c:v>
                </c:pt>
                <c:pt idx="15">
                  <c:v>1.8</c:v>
                </c:pt>
                <c:pt idx="16">
                  <c:v>2.1</c:v>
                </c:pt>
                <c:pt idx="17">
                  <c:v>2.7</c:v>
                </c:pt>
                <c:pt idx="18">
                  <c:v>4.9000000000000004</c:v>
                </c:pt>
                <c:pt idx="19">
                  <c:v>6</c:v>
                </c:pt>
                <c:pt idx="20">
                  <c:v>7.5</c:v>
                </c:pt>
              </c:numCache>
            </c:numRef>
          </c:xVal>
          <c:yVal>
            <c:numRef>
              <c:f>'Observer 6'!$D$4:$D$24</c:f>
              <c:numCache>
                <c:formatCode>General</c:formatCode>
                <c:ptCount val="21"/>
                <c:pt idx="0">
                  <c:v>1</c:v>
                </c:pt>
                <c:pt idx="1">
                  <c:v>1</c:v>
                </c:pt>
                <c:pt idx="2">
                  <c:v>1</c:v>
                </c:pt>
                <c:pt idx="3">
                  <c:v>1.2</c:v>
                </c:pt>
                <c:pt idx="4">
                  <c:v>1.4</c:v>
                </c:pt>
                <c:pt idx="5">
                  <c:v>1.1000000000000001</c:v>
                </c:pt>
                <c:pt idx="6">
                  <c:v>0.9</c:v>
                </c:pt>
                <c:pt idx="7">
                  <c:v>0.5</c:v>
                </c:pt>
                <c:pt idx="8">
                  <c:v>2</c:v>
                </c:pt>
                <c:pt idx="9">
                  <c:v>1.9000000000000001</c:v>
                </c:pt>
                <c:pt idx="10">
                  <c:v>1</c:v>
                </c:pt>
                <c:pt idx="11">
                  <c:v>2.2000000000000002</c:v>
                </c:pt>
                <c:pt idx="12">
                  <c:v>2</c:v>
                </c:pt>
                <c:pt idx="13">
                  <c:v>2.2000000000000002</c:v>
                </c:pt>
                <c:pt idx="14">
                  <c:v>2</c:v>
                </c:pt>
                <c:pt idx="15">
                  <c:v>2.4</c:v>
                </c:pt>
                <c:pt idx="16">
                  <c:v>3.5</c:v>
                </c:pt>
                <c:pt idx="17">
                  <c:v>2.8</c:v>
                </c:pt>
                <c:pt idx="18">
                  <c:v>5.7</c:v>
                </c:pt>
                <c:pt idx="19">
                  <c:v>7</c:v>
                </c:pt>
                <c:pt idx="20">
                  <c:v>8</c:v>
                </c:pt>
              </c:numCache>
            </c:numRef>
          </c:yVal>
        </c:ser>
        <c:ser>
          <c:idx val="1"/>
          <c:order val="1"/>
          <c:tx>
            <c:v>True size</c:v>
          </c:tx>
          <c:spPr>
            <a:ln w="19050">
              <a:solidFill>
                <a:srgbClr val="FF0000"/>
              </a:solidFill>
            </a:ln>
          </c:spPr>
          <c:marker>
            <c:symbol val="none"/>
          </c:marker>
          <c:xVal>
            <c:numRef>
              <c:f>'Observer 6'!$K$32:$K$33</c:f>
              <c:numCache>
                <c:formatCode>General</c:formatCode>
                <c:ptCount val="2"/>
                <c:pt idx="0">
                  <c:v>0</c:v>
                </c:pt>
                <c:pt idx="1">
                  <c:v>8</c:v>
                </c:pt>
              </c:numCache>
            </c:numRef>
          </c:xVal>
          <c:yVal>
            <c:numRef>
              <c:f>'Observer 6'!$L$32:$L$33</c:f>
              <c:numCache>
                <c:formatCode>General</c:formatCode>
                <c:ptCount val="2"/>
                <c:pt idx="0">
                  <c:v>0</c:v>
                </c:pt>
                <c:pt idx="1">
                  <c:v>8</c:v>
                </c:pt>
              </c:numCache>
            </c:numRef>
          </c:yVal>
        </c:ser>
        <c:axId val="141131776"/>
        <c:axId val="141133696"/>
      </c:scatterChart>
      <c:valAx>
        <c:axId val="141131776"/>
        <c:scaling>
          <c:orientation val="minMax"/>
        </c:scaling>
        <c:axPos val="b"/>
        <c:majorGridlines/>
        <c:minorGridlines/>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True size (mm)</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141133696"/>
        <c:crosses val="autoZero"/>
        <c:crossBetween val="midCat"/>
      </c:valAx>
      <c:valAx>
        <c:axId val="141133696"/>
        <c:scaling>
          <c:orientation val="minMax"/>
        </c:scaling>
        <c:axPos val="l"/>
        <c:majorGridlines/>
        <c:minorGridlines/>
        <c:title>
          <c:tx>
            <c:rich>
              <a:bodyPr rot="-5400000" vert="horz"/>
              <a:lstStyle/>
              <a:p>
                <a:pPr>
                  <a:defRPr>
                    <a:latin typeface="Times New Roman" pitchFamily="18" charset="0"/>
                    <a:cs typeface="Times New Roman" pitchFamily="18" charset="0"/>
                  </a:defRPr>
                </a:pPr>
                <a:r>
                  <a:rPr lang="en-US">
                    <a:latin typeface="Times New Roman" pitchFamily="18" charset="0"/>
                    <a:cs typeface="Times New Roman" pitchFamily="18" charset="0"/>
                  </a:rPr>
                  <a:t>Estimated size by operator 6 (mm)</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141131776"/>
        <c:crosses val="autoZero"/>
        <c:crossBetween val="midCat"/>
      </c:valAx>
    </c:plotArea>
    <c:legend>
      <c:legendPos val="b"/>
      <c:txPr>
        <a:bodyPr/>
        <a:lstStyle/>
        <a:p>
          <a:pPr>
            <a:defRPr>
              <a:latin typeface="Times New Roman" pitchFamily="18" charset="0"/>
              <a:cs typeface="Times New Roman" pitchFamily="18" charset="0"/>
            </a:defRPr>
          </a:pPr>
          <a:endParaRPr lang="en-US"/>
        </a:p>
      </c:txPr>
    </c:legend>
    <c:plotVisOnly val="1"/>
  </c:chart>
  <c:externalData r:id="rId1"/>
</c:chartSpace>
</file>

<file path=word/charts/chart12.xml><?xml version="1.0" encoding="utf-8"?>
<c:chartSpace xmlns:c="http://schemas.openxmlformats.org/drawingml/2006/chart" xmlns:a="http://schemas.openxmlformats.org/drawingml/2006/main" xmlns:r="http://schemas.openxmlformats.org/officeDocument/2006/relationships">
  <c:date1904 val="1"/>
  <c:lang val="en-US"/>
  <c:chart>
    <c:title>
      <c:layout>
        <c:manualLayout>
          <c:xMode val="edge"/>
          <c:yMode val="edge"/>
          <c:x val="0.65506810830315665"/>
          <c:y val="6.9696969696969702E-2"/>
        </c:manualLayout>
      </c:layout>
      <c:txPr>
        <a:bodyPr/>
        <a:lstStyle/>
        <a:p>
          <a:pPr>
            <a:defRPr>
              <a:latin typeface="Times New Roman" pitchFamily="18" charset="0"/>
              <a:cs typeface="Times New Roman" pitchFamily="18" charset="0"/>
            </a:defRPr>
          </a:pPr>
          <a:endParaRPr lang="en-US"/>
        </a:p>
      </c:txPr>
    </c:title>
    <c:plotArea>
      <c:layout>
        <c:manualLayout>
          <c:layoutTarget val="inner"/>
          <c:xMode val="edge"/>
          <c:yMode val="edge"/>
          <c:x val="3.2874982280242812E-2"/>
          <c:y val="2.7197089000238588E-2"/>
          <c:w val="0.93758882431021817"/>
          <c:h val="0.81983058935814845"/>
        </c:manualLayout>
      </c:layout>
      <c:scatterChart>
        <c:scatterStyle val="smoothMarker"/>
        <c:ser>
          <c:idx val="0"/>
          <c:order val="0"/>
          <c:tx>
            <c:v>Normal</c:v>
          </c:tx>
          <c:spPr>
            <a:ln w="19050"/>
          </c:spPr>
          <c:marker>
            <c:symbol val="none"/>
          </c:marker>
          <c:xVal>
            <c:numRef>
              <c:f>'Observer 6'!$G$4:$G$33</c:f>
              <c:numCache>
                <c:formatCode>General</c:formatCode>
                <c:ptCount val="30"/>
                <c:pt idx="0">
                  <c:v>-1.5</c:v>
                </c:pt>
                <c:pt idx="1">
                  <c:v>-1.4</c:v>
                </c:pt>
                <c:pt idx="2">
                  <c:v>-1.2999999999999996</c:v>
                </c:pt>
                <c:pt idx="3">
                  <c:v>-1.1999999999999995</c:v>
                </c:pt>
                <c:pt idx="4">
                  <c:v>-1.0999999999999994</c:v>
                </c:pt>
                <c:pt idx="5">
                  <c:v>-0.99999999999999967</c:v>
                </c:pt>
                <c:pt idx="6">
                  <c:v>-0.89999999999999969</c:v>
                </c:pt>
                <c:pt idx="7">
                  <c:v>-0.79999999999999971</c:v>
                </c:pt>
                <c:pt idx="8">
                  <c:v>-0.69999999999999973</c:v>
                </c:pt>
                <c:pt idx="9">
                  <c:v>-0.59999999999999976</c:v>
                </c:pt>
                <c:pt idx="10">
                  <c:v>-0.49999999999999989</c:v>
                </c:pt>
                <c:pt idx="11">
                  <c:v>-0.39999999999999991</c:v>
                </c:pt>
                <c:pt idx="12">
                  <c:v>-0.29999999999999988</c:v>
                </c:pt>
                <c:pt idx="13">
                  <c:v>-0.19999999999999987</c:v>
                </c:pt>
                <c:pt idx="14">
                  <c:v>-9.9999999999999853E-2</c:v>
                </c:pt>
                <c:pt idx="15">
                  <c:v>1.9428902930940254E-16</c:v>
                </c:pt>
                <c:pt idx="16">
                  <c:v>0.1000000000000002</c:v>
                </c:pt>
                <c:pt idx="17">
                  <c:v>0.20000000000000021</c:v>
                </c:pt>
                <c:pt idx="18">
                  <c:v>0.30000000000000027</c:v>
                </c:pt>
                <c:pt idx="19">
                  <c:v>0.4000000000000003</c:v>
                </c:pt>
                <c:pt idx="20">
                  <c:v>0.50000000000000022</c:v>
                </c:pt>
                <c:pt idx="21">
                  <c:v>0.60000000000000031</c:v>
                </c:pt>
                <c:pt idx="22">
                  <c:v>0.70000000000000029</c:v>
                </c:pt>
                <c:pt idx="23">
                  <c:v>0.80000000000000027</c:v>
                </c:pt>
                <c:pt idx="24">
                  <c:v>0.90000000000000013</c:v>
                </c:pt>
                <c:pt idx="25">
                  <c:v>1.0000000000000002</c:v>
                </c:pt>
                <c:pt idx="26">
                  <c:v>1.1000000000000003</c:v>
                </c:pt>
                <c:pt idx="27">
                  <c:v>1.2000000000000004</c:v>
                </c:pt>
                <c:pt idx="28">
                  <c:v>1.3000000000000005</c:v>
                </c:pt>
                <c:pt idx="29">
                  <c:v>1.4000000000000006</c:v>
                </c:pt>
              </c:numCache>
            </c:numRef>
          </c:xVal>
          <c:yVal>
            <c:numRef>
              <c:f>'Observer 6'!$H$4:$H$33</c:f>
              <c:numCache>
                <c:formatCode>General</c:formatCode>
                <c:ptCount val="30"/>
                <c:pt idx="0">
                  <c:v>0.13128373108116931</c:v>
                </c:pt>
                <c:pt idx="1">
                  <c:v>0.21142205032074876</c:v>
                </c:pt>
                <c:pt idx="2">
                  <c:v>0.31954551512910356</c:v>
                </c:pt>
                <c:pt idx="3">
                  <c:v>0.45327132963180355</c:v>
                </c:pt>
                <c:pt idx="4">
                  <c:v>0.60342993409867418</c:v>
                </c:pt>
                <c:pt idx="5">
                  <c:v>0.75394302474371278</c:v>
                </c:pt>
                <c:pt idx="6">
                  <c:v>0.88408349335230052</c:v>
                </c:pt>
                <c:pt idx="7">
                  <c:v>0.9729513238869496</c:v>
                </c:pt>
                <c:pt idx="8">
                  <c:v>1.0049212311234652</c:v>
                </c:pt>
                <c:pt idx="9">
                  <c:v>0.97412795599305635</c:v>
                </c:pt>
                <c:pt idx="10">
                  <c:v>0.88622310712624175</c:v>
                </c:pt>
                <c:pt idx="11">
                  <c:v>0.7566816617275518</c:v>
                </c:pt>
                <c:pt idx="12">
                  <c:v>0.60635424915257041</c:v>
                </c:pt>
                <c:pt idx="13">
                  <c:v>0.4560187698881577</c:v>
                </c:pt>
                <c:pt idx="14">
                  <c:v>0.32187117777662844</c:v>
                </c:pt>
                <c:pt idx="15">
                  <c:v>0.21321832956423956</c:v>
                </c:pt>
                <c:pt idx="16">
                  <c:v>0.13255925695478615</c:v>
                </c:pt>
                <c:pt idx="17">
                  <c:v>7.7346143133627962E-2</c:v>
                </c:pt>
                <c:pt idx="18">
                  <c:v>4.2355551498361427E-2</c:v>
                </c:pt>
                <c:pt idx="19">
                  <c:v>2.1768329188762182E-2</c:v>
                </c:pt>
                <c:pt idx="20">
                  <c:v>1.049984598736602E-2</c:v>
                </c:pt>
                <c:pt idx="21">
                  <c:v>4.753175373157538E-3</c:v>
                </c:pt>
                <c:pt idx="22">
                  <c:v>2.0194254481499564E-3</c:v>
                </c:pt>
                <c:pt idx="23">
                  <c:v>8.0522062103588498E-4</c:v>
                </c:pt>
                <c:pt idx="24">
                  <c:v>3.0133184366327884E-4</c:v>
                </c:pt>
                <c:pt idx="25">
                  <c:v>1.0583230286108463E-4</c:v>
                </c:pt>
                <c:pt idx="26">
                  <c:v>3.4884663715195481E-5</c:v>
                </c:pt>
                <c:pt idx="27">
                  <c:v>1.0791800600192214E-5</c:v>
                </c:pt>
                <c:pt idx="28">
                  <c:v>3.1332594689160315E-6</c:v>
                </c:pt>
                <c:pt idx="29">
                  <c:v>8.5377195793041879E-7</c:v>
                </c:pt>
              </c:numCache>
            </c:numRef>
          </c:yVal>
          <c:smooth val="1"/>
        </c:ser>
        <c:axId val="141847936"/>
        <c:axId val="141917568"/>
      </c:scatterChart>
      <c:valAx>
        <c:axId val="141847936"/>
        <c:scaling>
          <c:orientation val="minMax"/>
        </c:scaling>
        <c:axPos val="b"/>
        <c:minorGridlines/>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Range</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141917568"/>
        <c:crosses val="autoZero"/>
        <c:crossBetween val="midCat"/>
      </c:valAx>
      <c:valAx>
        <c:axId val="141917568"/>
        <c:scaling>
          <c:orientation val="minMax"/>
        </c:scaling>
        <c:axPos val="l"/>
        <c:majorGridlines/>
        <c:minorGridlines/>
        <c:numFmt formatCode="General" sourceLinked="1"/>
        <c:tickLblPos val="nextTo"/>
        <c:txPr>
          <a:bodyPr/>
          <a:lstStyle/>
          <a:p>
            <a:pPr>
              <a:defRPr baseline="0">
                <a:latin typeface="Times New Roman" pitchFamily="18" charset="0"/>
              </a:defRPr>
            </a:pPr>
            <a:endParaRPr lang="en-US"/>
          </a:p>
        </c:txPr>
        <c:crossAx val="141847936"/>
        <c:crosses val="autoZero"/>
        <c:crossBetween val="midCat"/>
      </c:valAx>
    </c:plotArea>
    <c:plotVisOnly val="1"/>
  </c:chart>
  <c:externalData r:id="rId1"/>
</c:chartSpace>
</file>

<file path=word/charts/chart13.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Operator7 </a:t>
            </a:r>
            <a:r>
              <a:rPr lang="en-US" sz="1800" b="1" i="0" u="none" strike="noStrike" baseline="0"/>
              <a:t>Sizing Accuracy</a:t>
            </a:r>
            <a:endParaRPr lang="en-US">
              <a:latin typeface="Times New Roman" pitchFamily="18" charset="0"/>
              <a:cs typeface="Times New Roman" pitchFamily="18" charset="0"/>
            </a:endParaRPr>
          </a:p>
        </c:rich>
      </c:tx>
      <c:layout>
        <c:manualLayout>
          <c:xMode val="edge"/>
          <c:yMode val="edge"/>
          <c:x val="0.41535275973715013"/>
          <c:y val="3.6529680365296795E-2"/>
        </c:manualLayout>
      </c:layout>
      <c:overlay val="1"/>
    </c:title>
    <c:plotArea>
      <c:layout/>
      <c:scatterChart>
        <c:scatterStyle val="lineMarker"/>
        <c:ser>
          <c:idx val="0"/>
          <c:order val="0"/>
          <c:tx>
            <c:v>Size measured by Operator7</c:v>
          </c:tx>
          <c:spPr>
            <a:ln>
              <a:noFill/>
            </a:ln>
          </c:spPr>
          <c:marker>
            <c:symbol val="circle"/>
            <c:size val="4"/>
          </c:marker>
          <c:trendline>
            <c:spPr>
              <a:ln w="15875">
                <a:prstDash val="sysDash"/>
              </a:ln>
            </c:spPr>
            <c:trendlineType val="linear"/>
            <c:dispRSqr val="1"/>
            <c:dispEq val="1"/>
            <c:trendlineLbl>
              <c:layout>
                <c:manualLayout>
                  <c:x val="-0.52387209992911454"/>
                  <c:y val="-8.2915423243327457E-2"/>
                </c:manualLayout>
              </c:layout>
              <c:numFmt formatCode="General" sourceLinked="0"/>
              <c:spPr>
                <a:solidFill>
                  <a:schemeClr val="bg1"/>
                </a:solidFill>
              </c:spPr>
              <c:txPr>
                <a:bodyPr/>
                <a:lstStyle/>
                <a:p>
                  <a:pPr>
                    <a:defRPr sz="1200">
                      <a:latin typeface="Times New Roman" pitchFamily="18" charset="0"/>
                      <a:cs typeface="Times New Roman" pitchFamily="18" charset="0"/>
                    </a:defRPr>
                  </a:pPr>
                  <a:endParaRPr lang="en-US"/>
                </a:p>
              </c:txPr>
            </c:trendlineLbl>
          </c:trendline>
          <c:xVal>
            <c:numRef>
              <c:f>'Observer 7'!$C$4:$C$24</c:f>
              <c:numCache>
                <c:formatCode>General</c:formatCode>
                <c:ptCount val="21"/>
                <c:pt idx="0">
                  <c:v>0.25</c:v>
                </c:pt>
                <c:pt idx="1">
                  <c:v>0.27</c:v>
                </c:pt>
                <c:pt idx="2">
                  <c:v>0.28000000000000008</c:v>
                </c:pt>
                <c:pt idx="3">
                  <c:v>0.4</c:v>
                </c:pt>
                <c:pt idx="4">
                  <c:v>0.4</c:v>
                </c:pt>
                <c:pt idx="5">
                  <c:v>0.5</c:v>
                </c:pt>
                <c:pt idx="6">
                  <c:v>0.52</c:v>
                </c:pt>
                <c:pt idx="7">
                  <c:v>0.55000000000000004</c:v>
                </c:pt>
                <c:pt idx="8">
                  <c:v>0.70000000000000007</c:v>
                </c:pt>
                <c:pt idx="9">
                  <c:v>0.98</c:v>
                </c:pt>
                <c:pt idx="10">
                  <c:v>1.1200000000000001</c:v>
                </c:pt>
                <c:pt idx="11">
                  <c:v>1.1499999999999997</c:v>
                </c:pt>
                <c:pt idx="12">
                  <c:v>1.1000000000000001</c:v>
                </c:pt>
                <c:pt idx="13">
                  <c:v>1.3</c:v>
                </c:pt>
                <c:pt idx="14">
                  <c:v>1.6</c:v>
                </c:pt>
                <c:pt idx="15">
                  <c:v>1.8</c:v>
                </c:pt>
                <c:pt idx="16">
                  <c:v>2.1</c:v>
                </c:pt>
                <c:pt idx="17">
                  <c:v>2.7</c:v>
                </c:pt>
                <c:pt idx="18">
                  <c:v>4.9000000000000004</c:v>
                </c:pt>
                <c:pt idx="19">
                  <c:v>6</c:v>
                </c:pt>
                <c:pt idx="20">
                  <c:v>7.5</c:v>
                </c:pt>
              </c:numCache>
            </c:numRef>
          </c:xVal>
          <c:yVal>
            <c:numRef>
              <c:f>'Observer 7'!$D$4:$D$24</c:f>
              <c:numCache>
                <c:formatCode>General</c:formatCode>
                <c:ptCount val="21"/>
                <c:pt idx="0">
                  <c:v>0.5</c:v>
                </c:pt>
                <c:pt idx="1">
                  <c:v>0.5</c:v>
                </c:pt>
                <c:pt idx="2">
                  <c:v>0.5</c:v>
                </c:pt>
                <c:pt idx="3">
                  <c:v>0.60000000000000009</c:v>
                </c:pt>
                <c:pt idx="4">
                  <c:v>0.2</c:v>
                </c:pt>
                <c:pt idx="5">
                  <c:v>0</c:v>
                </c:pt>
                <c:pt idx="6">
                  <c:v>1</c:v>
                </c:pt>
                <c:pt idx="7">
                  <c:v>1.3</c:v>
                </c:pt>
                <c:pt idx="8">
                  <c:v>1.6</c:v>
                </c:pt>
                <c:pt idx="9">
                  <c:v>0.5</c:v>
                </c:pt>
                <c:pt idx="10">
                  <c:v>1.8</c:v>
                </c:pt>
                <c:pt idx="11">
                  <c:v>1.8</c:v>
                </c:pt>
                <c:pt idx="12">
                  <c:v>0.5</c:v>
                </c:pt>
                <c:pt idx="13">
                  <c:v>1.7</c:v>
                </c:pt>
                <c:pt idx="14">
                  <c:v>1.2</c:v>
                </c:pt>
                <c:pt idx="15">
                  <c:v>2.2000000000000002</c:v>
                </c:pt>
                <c:pt idx="16">
                  <c:v>2</c:v>
                </c:pt>
                <c:pt idx="17">
                  <c:v>2.5</c:v>
                </c:pt>
                <c:pt idx="18">
                  <c:v>4.2</c:v>
                </c:pt>
                <c:pt idx="19">
                  <c:v>5.3</c:v>
                </c:pt>
                <c:pt idx="20">
                  <c:v>6.5</c:v>
                </c:pt>
              </c:numCache>
            </c:numRef>
          </c:yVal>
        </c:ser>
        <c:ser>
          <c:idx val="1"/>
          <c:order val="1"/>
          <c:tx>
            <c:v>True size</c:v>
          </c:tx>
          <c:spPr>
            <a:ln w="19050">
              <a:solidFill>
                <a:srgbClr val="FF0000"/>
              </a:solidFill>
            </a:ln>
          </c:spPr>
          <c:marker>
            <c:symbol val="none"/>
          </c:marker>
          <c:xVal>
            <c:numRef>
              <c:f>'Observer 7'!$K$32:$K$33</c:f>
              <c:numCache>
                <c:formatCode>General</c:formatCode>
                <c:ptCount val="2"/>
                <c:pt idx="0">
                  <c:v>0</c:v>
                </c:pt>
                <c:pt idx="1">
                  <c:v>8</c:v>
                </c:pt>
              </c:numCache>
            </c:numRef>
          </c:xVal>
          <c:yVal>
            <c:numRef>
              <c:f>'Observer 7'!$L$32:$L$33</c:f>
              <c:numCache>
                <c:formatCode>General</c:formatCode>
                <c:ptCount val="2"/>
                <c:pt idx="0">
                  <c:v>0</c:v>
                </c:pt>
                <c:pt idx="1">
                  <c:v>8</c:v>
                </c:pt>
              </c:numCache>
            </c:numRef>
          </c:yVal>
        </c:ser>
        <c:axId val="147638144"/>
        <c:axId val="147747200"/>
      </c:scatterChart>
      <c:valAx>
        <c:axId val="147638144"/>
        <c:scaling>
          <c:orientation val="minMax"/>
        </c:scaling>
        <c:axPos val="b"/>
        <c:minorGridlines/>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True size (mm)</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147747200"/>
        <c:crosses val="autoZero"/>
        <c:crossBetween val="midCat"/>
      </c:valAx>
      <c:valAx>
        <c:axId val="147747200"/>
        <c:scaling>
          <c:orientation val="minMax"/>
        </c:scaling>
        <c:axPos val="l"/>
        <c:majorGridlines/>
        <c:minorGridlines/>
        <c:title>
          <c:tx>
            <c:rich>
              <a:bodyPr rot="-5400000" vert="horz"/>
              <a:lstStyle/>
              <a:p>
                <a:pPr>
                  <a:defRPr>
                    <a:latin typeface="Times New Roman" pitchFamily="18" charset="0"/>
                    <a:cs typeface="Times New Roman" pitchFamily="18" charset="0"/>
                  </a:defRPr>
                </a:pPr>
                <a:r>
                  <a:rPr lang="en-US">
                    <a:latin typeface="Times New Roman" pitchFamily="18" charset="0"/>
                    <a:cs typeface="Times New Roman" pitchFamily="18" charset="0"/>
                  </a:rPr>
                  <a:t>Estimated size by operator 7 (mm)</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147638144"/>
        <c:crosses val="autoZero"/>
        <c:crossBetween val="midCat"/>
      </c:valAx>
    </c:plotArea>
    <c:legend>
      <c:legendPos val="b"/>
      <c:txPr>
        <a:bodyPr/>
        <a:lstStyle/>
        <a:p>
          <a:pPr>
            <a:defRPr>
              <a:latin typeface="Times New Roman" pitchFamily="18" charset="0"/>
              <a:cs typeface="Times New Roman" pitchFamily="18" charset="0"/>
            </a:defRPr>
          </a:pPr>
          <a:endParaRPr lang="en-US"/>
        </a:p>
      </c:txPr>
    </c:legend>
    <c:plotVisOnly val="1"/>
  </c:chart>
  <c:externalData r:id="rId1"/>
</c:chartSpace>
</file>

<file path=word/charts/chart14.xml><?xml version="1.0" encoding="utf-8"?>
<c:chartSpace xmlns:c="http://schemas.openxmlformats.org/drawingml/2006/chart" xmlns:a="http://schemas.openxmlformats.org/drawingml/2006/main" xmlns:r="http://schemas.openxmlformats.org/officeDocument/2006/relationships">
  <c:date1904 val="1"/>
  <c:lang val="en-US"/>
  <c:chart>
    <c:title>
      <c:layout>
        <c:manualLayout>
          <c:xMode val="edge"/>
          <c:yMode val="edge"/>
          <c:x val="0.75548919022484862"/>
          <c:y val="6.0882800608828086E-2"/>
        </c:manualLayout>
      </c:layout>
      <c:txPr>
        <a:bodyPr/>
        <a:lstStyle/>
        <a:p>
          <a:pPr>
            <a:defRPr>
              <a:latin typeface="Times New Roman" pitchFamily="18" charset="0"/>
              <a:cs typeface="Times New Roman" pitchFamily="18" charset="0"/>
            </a:defRPr>
          </a:pPr>
          <a:endParaRPr lang="en-US"/>
        </a:p>
      </c:txPr>
    </c:title>
    <c:plotArea>
      <c:layout>
        <c:manualLayout>
          <c:layoutTarget val="inner"/>
          <c:xMode val="edge"/>
          <c:yMode val="edge"/>
          <c:x val="3.9481987828444622E-2"/>
          <c:y val="3.0677500928822297E-2"/>
          <c:w val="0.92424381018306889"/>
          <c:h val="0.87044619422572178"/>
        </c:manualLayout>
      </c:layout>
      <c:scatterChart>
        <c:scatterStyle val="smoothMarker"/>
        <c:ser>
          <c:idx val="0"/>
          <c:order val="0"/>
          <c:tx>
            <c:v>Normal</c:v>
          </c:tx>
          <c:spPr>
            <a:ln w="19050"/>
          </c:spPr>
          <c:marker>
            <c:symbol val="none"/>
          </c:marker>
          <c:xVal>
            <c:numRef>
              <c:f>'Observer 7'!$G$4:$G$28</c:f>
              <c:numCache>
                <c:formatCode>General</c:formatCode>
                <c:ptCount val="25"/>
                <c:pt idx="0">
                  <c:v>-1.2</c:v>
                </c:pt>
                <c:pt idx="1">
                  <c:v>-1.0999999999999996</c:v>
                </c:pt>
                <c:pt idx="2">
                  <c:v>-0.99999999999999989</c:v>
                </c:pt>
                <c:pt idx="3">
                  <c:v>-0.89999999999999991</c:v>
                </c:pt>
                <c:pt idx="4">
                  <c:v>-0.79999999999999993</c:v>
                </c:pt>
                <c:pt idx="5">
                  <c:v>-0.70000000000000007</c:v>
                </c:pt>
                <c:pt idx="6">
                  <c:v>-0.60000000000000009</c:v>
                </c:pt>
                <c:pt idx="7">
                  <c:v>-0.5</c:v>
                </c:pt>
                <c:pt idx="8">
                  <c:v>-0.4</c:v>
                </c:pt>
                <c:pt idx="9">
                  <c:v>-0.3000000000000001</c:v>
                </c:pt>
                <c:pt idx="10">
                  <c:v>-0.20000000000000004</c:v>
                </c:pt>
                <c:pt idx="11">
                  <c:v>-0.10000000000000003</c:v>
                </c:pt>
                <c:pt idx="12">
                  <c:v>0</c:v>
                </c:pt>
                <c:pt idx="13">
                  <c:v>0.1</c:v>
                </c:pt>
                <c:pt idx="14">
                  <c:v>0.2</c:v>
                </c:pt>
                <c:pt idx="15">
                  <c:v>0.3000000000000001</c:v>
                </c:pt>
                <c:pt idx="16">
                  <c:v>0.4</c:v>
                </c:pt>
                <c:pt idx="17">
                  <c:v>0.5</c:v>
                </c:pt>
                <c:pt idx="18">
                  <c:v>0.60000000000000009</c:v>
                </c:pt>
                <c:pt idx="19">
                  <c:v>0.70000000000000007</c:v>
                </c:pt>
                <c:pt idx="20">
                  <c:v>0.79999999999999993</c:v>
                </c:pt>
                <c:pt idx="21">
                  <c:v>0.89999999999999991</c:v>
                </c:pt>
                <c:pt idx="22">
                  <c:v>0.99999999999999989</c:v>
                </c:pt>
                <c:pt idx="23">
                  <c:v>1.0999999999999996</c:v>
                </c:pt>
                <c:pt idx="24">
                  <c:v>1.2</c:v>
                </c:pt>
              </c:numCache>
            </c:numRef>
          </c:xVal>
          <c:yVal>
            <c:numRef>
              <c:f>'Observer 7'!$H$4:$H$28</c:f>
              <c:numCache>
                <c:formatCode>General</c:formatCode>
                <c:ptCount val="25"/>
                <c:pt idx="0">
                  <c:v>7.1348816219719779E-2</c:v>
                </c:pt>
                <c:pt idx="1">
                  <c:v>0.10370920604880197</c:v>
                </c:pt>
                <c:pt idx="2">
                  <c:v>0.14586724163128037</c:v>
                </c:pt>
                <c:pt idx="3">
                  <c:v>0.19852177737549478</c:v>
                </c:pt>
                <c:pt idx="4">
                  <c:v>0.26143784950815063</c:v>
                </c:pt>
                <c:pt idx="5">
                  <c:v>0.33314913778370925</c:v>
                </c:pt>
                <c:pt idx="6">
                  <c:v>0.4107890401407196</c:v>
                </c:pt>
                <c:pt idx="7">
                  <c:v>0.49012733684114557</c:v>
                </c:pt>
                <c:pt idx="8">
                  <c:v>0.56585991134076752</c:v>
                </c:pt>
                <c:pt idx="9">
                  <c:v>0.63214812163130329</c:v>
                </c:pt>
                <c:pt idx="10">
                  <c:v>0.68334292107508599</c:v>
                </c:pt>
                <c:pt idx="11">
                  <c:v>0.71477354672183668</c:v>
                </c:pt>
                <c:pt idx="12">
                  <c:v>0.72344940859507556</c:v>
                </c:pt>
                <c:pt idx="13">
                  <c:v>0.70852925047284043</c:v>
                </c:pt>
                <c:pt idx="14">
                  <c:v>0.67145563924080554</c:v>
                </c:pt>
                <c:pt idx="15">
                  <c:v>0.61572500440345523</c:v>
                </c:pt>
                <c:pt idx="16">
                  <c:v>0.54634400103229286</c:v>
                </c:pt>
                <c:pt idx="17">
                  <c:v>0.4690892608187332</c:v>
                </c:pt>
                <c:pt idx="18">
                  <c:v>0.38972182311108211</c:v>
                </c:pt>
                <c:pt idx="19">
                  <c:v>0.31330251700733985</c:v>
                </c:pt>
                <c:pt idx="20">
                  <c:v>0.24371539622986577</c:v>
                </c:pt>
                <c:pt idx="21">
                  <c:v>0.18344757320075863</c:v>
                </c:pt>
                <c:pt idx="22">
                  <c:v>0.13361367198366317</c:v>
                </c:pt>
                <c:pt idx="23">
                  <c:v>9.4167220441922897E-2</c:v>
                </c:pt>
                <c:pt idx="24">
                  <c:v>6.4218258907889028E-2</c:v>
                </c:pt>
              </c:numCache>
            </c:numRef>
          </c:yVal>
          <c:smooth val="1"/>
        </c:ser>
        <c:axId val="183260288"/>
        <c:axId val="190742528"/>
      </c:scatterChart>
      <c:valAx>
        <c:axId val="183260288"/>
        <c:scaling>
          <c:orientation val="minMax"/>
        </c:scaling>
        <c:axPos val="b"/>
        <c:minorGridlines/>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Range</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190742528"/>
        <c:crosses val="autoZero"/>
        <c:crossBetween val="midCat"/>
      </c:valAx>
      <c:valAx>
        <c:axId val="190742528"/>
        <c:scaling>
          <c:orientation val="minMax"/>
        </c:scaling>
        <c:axPos val="l"/>
        <c:majorGridlines/>
        <c:minorGridlines/>
        <c:numFmt formatCode="General" sourceLinked="1"/>
        <c:tickLblPos val="nextTo"/>
        <c:txPr>
          <a:bodyPr/>
          <a:lstStyle/>
          <a:p>
            <a:pPr>
              <a:defRPr>
                <a:latin typeface="Times New Roman" pitchFamily="18" charset="0"/>
                <a:cs typeface="Times New Roman" pitchFamily="18" charset="0"/>
              </a:defRPr>
            </a:pPr>
            <a:endParaRPr lang="en-US"/>
          </a:p>
        </c:txPr>
        <c:crossAx val="183260288"/>
        <c:crosses val="autoZero"/>
        <c:crossBetween val="midCat"/>
      </c:valAx>
    </c:plotArea>
    <c:plotVisOnly val="1"/>
  </c:chart>
  <c:externalData r:id="rId1"/>
</c:chartSpace>
</file>

<file path=word/charts/chart15.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Operator 8 </a:t>
            </a:r>
            <a:r>
              <a:rPr lang="en-US" sz="1800" b="1" i="0" u="none" strike="noStrike" baseline="0"/>
              <a:t>Sizing Accuracy</a:t>
            </a:r>
            <a:endParaRPr lang="en-US">
              <a:latin typeface="Times New Roman" pitchFamily="18" charset="0"/>
              <a:cs typeface="Times New Roman" pitchFamily="18" charset="0"/>
            </a:endParaRPr>
          </a:p>
        </c:rich>
      </c:tx>
      <c:layout>
        <c:manualLayout>
          <c:xMode val="edge"/>
          <c:yMode val="edge"/>
          <c:x val="0.41462440906226994"/>
          <c:y val="3.0441400304414033E-2"/>
        </c:manualLayout>
      </c:layout>
      <c:overlay val="1"/>
    </c:title>
    <c:plotArea>
      <c:layout/>
      <c:scatterChart>
        <c:scatterStyle val="lineMarker"/>
        <c:ser>
          <c:idx val="0"/>
          <c:order val="0"/>
          <c:tx>
            <c:v>Estimated size by operator 8</c:v>
          </c:tx>
          <c:spPr>
            <a:ln>
              <a:noFill/>
            </a:ln>
          </c:spPr>
          <c:marker>
            <c:symbol val="circle"/>
            <c:size val="4"/>
          </c:marker>
          <c:trendline>
            <c:spPr>
              <a:ln w="15875">
                <a:prstDash val="sysDash"/>
              </a:ln>
            </c:spPr>
            <c:trendlineType val="linear"/>
            <c:dispRSqr val="1"/>
            <c:dispEq val="1"/>
            <c:trendlineLbl>
              <c:layout>
                <c:manualLayout>
                  <c:x val="-0.51917386615332872"/>
                  <c:y val="3.4209182756265104E-2"/>
                </c:manualLayout>
              </c:layout>
              <c:numFmt formatCode="General" sourceLinked="0"/>
              <c:spPr>
                <a:solidFill>
                  <a:schemeClr val="bg1"/>
                </a:solidFill>
              </c:spPr>
              <c:txPr>
                <a:bodyPr/>
                <a:lstStyle/>
                <a:p>
                  <a:pPr>
                    <a:defRPr sz="1200">
                      <a:latin typeface="Times New Roman" pitchFamily="18" charset="0"/>
                      <a:cs typeface="Times New Roman" pitchFamily="18" charset="0"/>
                    </a:defRPr>
                  </a:pPr>
                  <a:endParaRPr lang="en-US"/>
                </a:p>
              </c:txPr>
            </c:trendlineLbl>
          </c:trendline>
          <c:xVal>
            <c:numRef>
              <c:f>'Observer 8'!$C$4:$C$24</c:f>
              <c:numCache>
                <c:formatCode>General</c:formatCode>
                <c:ptCount val="21"/>
                <c:pt idx="0">
                  <c:v>0.25</c:v>
                </c:pt>
                <c:pt idx="1">
                  <c:v>0.27</c:v>
                </c:pt>
                <c:pt idx="2">
                  <c:v>0.28000000000000008</c:v>
                </c:pt>
                <c:pt idx="3">
                  <c:v>0.4</c:v>
                </c:pt>
                <c:pt idx="4">
                  <c:v>0.4</c:v>
                </c:pt>
                <c:pt idx="5">
                  <c:v>0.5</c:v>
                </c:pt>
                <c:pt idx="6">
                  <c:v>0.52</c:v>
                </c:pt>
                <c:pt idx="7">
                  <c:v>0.55000000000000004</c:v>
                </c:pt>
                <c:pt idx="8">
                  <c:v>0.70000000000000007</c:v>
                </c:pt>
                <c:pt idx="9">
                  <c:v>0.98</c:v>
                </c:pt>
                <c:pt idx="10">
                  <c:v>1.1200000000000001</c:v>
                </c:pt>
                <c:pt idx="11">
                  <c:v>1.1499999999999997</c:v>
                </c:pt>
                <c:pt idx="12">
                  <c:v>1.1000000000000001</c:v>
                </c:pt>
                <c:pt idx="13">
                  <c:v>1.3</c:v>
                </c:pt>
                <c:pt idx="14">
                  <c:v>1.6</c:v>
                </c:pt>
                <c:pt idx="15">
                  <c:v>1.8</c:v>
                </c:pt>
                <c:pt idx="16">
                  <c:v>2.1</c:v>
                </c:pt>
                <c:pt idx="17">
                  <c:v>2.7</c:v>
                </c:pt>
                <c:pt idx="18">
                  <c:v>4.9000000000000004</c:v>
                </c:pt>
                <c:pt idx="19">
                  <c:v>6</c:v>
                </c:pt>
                <c:pt idx="20">
                  <c:v>7.5</c:v>
                </c:pt>
              </c:numCache>
            </c:numRef>
          </c:xVal>
          <c:yVal>
            <c:numRef>
              <c:f>'Observer 8'!$D$4:$D$24</c:f>
              <c:numCache>
                <c:formatCode>General</c:formatCode>
                <c:ptCount val="21"/>
                <c:pt idx="0">
                  <c:v>1</c:v>
                </c:pt>
                <c:pt idx="1">
                  <c:v>1</c:v>
                </c:pt>
                <c:pt idx="2">
                  <c:v>1</c:v>
                </c:pt>
                <c:pt idx="3">
                  <c:v>1</c:v>
                </c:pt>
                <c:pt idx="4">
                  <c:v>1</c:v>
                </c:pt>
                <c:pt idx="5">
                  <c:v>1.2</c:v>
                </c:pt>
                <c:pt idx="6">
                  <c:v>1</c:v>
                </c:pt>
                <c:pt idx="7">
                  <c:v>1</c:v>
                </c:pt>
                <c:pt idx="8">
                  <c:v>1</c:v>
                </c:pt>
                <c:pt idx="9">
                  <c:v>1</c:v>
                </c:pt>
                <c:pt idx="10">
                  <c:v>1.5</c:v>
                </c:pt>
                <c:pt idx="11">
                  <c:v>1.5</c:v>
                </c:pt>
                <c:pt idx="12">
                  <c:v>2</c:v>
                </c:pt>
                <c:pt idx="13">
                  <c:v>1.5</c:v>
                </c:pt>
                <c:pt idx="14">
                  <c:v>2</c:v>
                </c:pt>
                <c:pt idx="15">
                  <c:v>2.5</c:v>
                </c:pt>
                <c:pt idx="16">
                  <c:v>2</c:v>
                </c:pt>
                <c:pt idx="17">
                  <c:v>3.5</c:v>
                </c:pt>
                <c:pt idx="18">
                  <c:v>5.5</c:v>
                </c:pt>
                <c:pt idx="19">
                  <c:v>6.5</c:v>
                </c:pt>
                <c:pt idx="20">
                  <c:v>8</c:v>
                </c:pt>
              </c:numCache>
            </c:numRef>
          </c:yVal>
        </c:ser>
        <c:ser>
          <c:idx val="1"/>
          <c:order val="1"/>
          <c:tx>
            <c:v>True size </c:v>
          </c:tx>
          <c:spPr>
            <a:ln>
              <a:solidFill>
                <a:srgbClr val="FF0000"/>
              </a:solidFill>
            </a:ln>
          </c:spPr>
          <c:marker>
            <c:symbol val="none"/>
          </c:marker>
          <c:dPt>
            <c:idx val="1"/>
            <c:spPr>
              <a:ln w="19050">
                <a:solidFill>
                  <a:srgbClr val="FF0000"/>
                </a:solidFill>
              </a:ln>
            </c:spPr>
          </c:dPt>
          <c:xVal>
            <c:numRef>
              <c:f>'Observer 8'!$K$32:$K$33</c:f>
              <c:numCache>
                <c:formatCode>General</c:formatCode>
                <c:ptCount val="2"/>
                <c:pt idx="0">
                  <c:v>0</c:v>
                </c:pt>
                <c:pt idx="1">
                  <c:v>8</c:v>
                </c:pt>
              </c:numCache>
            </c:numRef>
          </c:xVal>
          <c:yVal>
            <c:numRef>
              <c:f>'Observer 8'!$L$32:$L$33</c:f>
              <c:numCache>
                <c:formatCode>General</c:formatCode>
                <c:ptCount val="2"/>
                <c:pt idx="0">
                  <c:v>0</c:v>
                </c:pt>
                <c:pt idx="1">
                  <c:v>8</c:v>
                </c:pt>
              </c:numCache>
            </c:numRef>
          </c:yVal>
        </c:ser>
        <c:axId val="190876672"/>
        <c:axId val="183198848"/>
      </c:scatterChart>
      <c:valAx>
        <c:axId val="190876672"/>
        <c:scaling>
          <c:orientation val="minMax"/>
        </c:scaling>
        <c:axPos val="b"/>
        <c:minorGridlines/>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True size (mm)</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183198848"/>
        <c:crosses val="autoZero"/>
        <c:crossBetween val="midCat"/>
      </c:valAx>
      <c:valAx>
        <c:axId val="183198848"/>
        <c:scaling>
          <c:orientation val="minMax"/>
        </c:scaling>
        <c:axPos val="l"/>
        <c:majorGridlines/>
        <c:minorGridlines/>
        <c:title>
          <c:tx>
            <c:rich>
              <a:bodyPr rot="-5400000" vert="horz"/>
              <a:lstStyle/>
              <a:p>
                <a:pPr>
                  <a:defRPr>
                    <a:latin typeface="Times New Roman" pitchFamily="18" charset="0"/>
                    <a:cs typeface="Times New Roman" pitchFamily="18" charset="0"/>
                  </a:defRPr>
                </a:pPr>
                <a:r>
                  <a:rPr lang="en-US">
                    <a:latin typeface="Times New Roman" pitchFamily="18" charset="0"/>
                    <a:cs typeface="Times New Roman" pitchFamily="18" charset="0"/>
                  </a:rPr>
                  <a:t>Estimated size by operator 8 (mm)</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190876672"/>
        <c:crosses val="autoZero"/>
        <c:crossBetween val="midCat"/>
      </c:valAx>
    </c:plotArea>
    <c:legend>
      <c:legendPos val="b"/>
      <c:txPr>
        <a:bodyPr/>
        <a:lstStyle/>
        <a:p>
          <a:pPr>
            <a:defRPr>
              <a:latin typeface="Times New Roman" pitchFamily="18" charset="0"/>
              <a:cs typeface="Times New Roman" pitchFamily="18" charset="0"/>
            </a:defRPr>
          </a:pPr>
          <a:endParaRPr lang="en-US"/>
        </a:p>
      </c:txPr>
    </c:legend>
    <c:plotVisOnly val="1"/>
  </c:chart>
  <c:externalData r:id="rId1"/>
</c:chartSpace>
</file>

<file path=word/charts/chart16.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pPr>
            <a:r>
              <a:rPr lang="en-US">
                <a:latin typeface="Times New Roman" pitchFamily="18" charset="0"/>
                <a:cs typeface="Times New Roman" pitchFamily="18" charset="0"/>
              </a:rPr>
              <a:t>Normal</a:t>
            </a:r>
          </a:p>
        </c:rich>
      </c:tx>
      <c:layout>
        <c:manualLayout>
          <c:xMode val="edge"/>
          <c:yMode val="edge"/>
          <c:x val="0.68101626016260042"/>
          <c:y val="5.4794520547945424E-2"/>
        </c:manualLayout>
      </c:layout>
    </c:title>
    <c:plotArea>
      <c:layout>
        <c:manualLayout>
          <c:layoutTarget val="inner"/>
          <c:xMode val="edge"/>
          <c:yMode val="edge"/>
          <c:x val="3.8338454644388967E-2"/>
          <c:y val="3.3721640959263645E-2"/>
          <c:w val="0.92643796811983858"/>
          <c:h val="0.8674020541952806"/>
        </c:manualLayout>
      </c:layout>
      <c:scatterChart>
        <c:scatterStyle val="smoothMarker"/>
        <c:ser>
          <c:idx val="0"/>
          <c:order val="0"/>
          <c:tx>
            <c:v>Normal</c:v>
          </c:tx>
          <c:spPr>
            <a:ln w="19050"/>
          </c:spPr>
          <c:marker>
            <c:symbol val="none"/>
          </c:marker>
          <c:xVal>
            <c:numRef>
              <c:f>'Observer 8'!$G$4:$G$24</c:f>
              <c:numCache>
                <c:formatCode>General</c:formatCode>
                <c:ptCount val="21"/>
                <c:pt idx="0">
                  <c:v>-1</c:v>
                </c:pt>
                <c:pt idx="1">
                  <c:v>-0.9</c:v>
                </c:pt>
                <c:pt idx="2">
                  <c:v>-0.8</c:v>
                </c:pt>
                <c:pt idx="3">
                  <c:v>-0.70000000000000018</c:v>
                </c:pt>
                <c:pt idx="4">
                  <c:v>-0.6000000000000002</c:v>
                </c:pt>
                <c:pt idx="5">
                  <c:v>-0.50000000000000011</c:v>
                </c:pt>
                <c:pt idx="6">
                  <c:v>-0.40000000000000019</c:v>
                </c:pt>
                <c:pt idx="7">
                  <c:v>-0.30000000000000021</c:v>
                </c:pt>
                <c:pt idx="8">
                  <c:v>-0.20000000000000018</c:v>
                </c:pt>
                <c:pt idx="9">
                  <c:v>-0.10000000000000014</c:v>
                </c:pt>
                <c:pt idx="10">
                  <c:v>-1.3877787807814469E-16</c:v>
                </c:pt>
                <c:pt idx="11">
                  <c:v>9.9999999999999881E-2</c:v>
                </c:pt>
                <c:pt idx="12">
                  <c:v>0.19999999999999993</c:v>
                </c:pt>
                <c:pt idx="13">
                  <c:v>0.29999999999999993</c:v>
                </c:pt>
                <c:pt idx="14">
                  <c:v>0.4</c:v>
                </c:pt>
                <c:pt idx="15">
                  <c:v>0.5</c:v>
                </c:pt>
                <c:pt idx="16">
                  <c:v>0.59999999999999987</c:v>
                </c:pt>
                <c:pt idx="17">
                  <c:v>0.69999999999999984</c:v>
                </c:pt>
                <c:pt idx="18">
                  <c:v>0.79999999999999982</c:v>
                </c:pt>
                <c:pt idx="19">
                  <c:v>0.8999999999999998</c:v>
                </c:pt>
                <c:pt idx="20">
                  <c:v>0.99999999999999978</c:v>
                </c:pt>
              </c:numCache>
            </c:numRef>
          </c:xVal>
          <c:yVal>
            <c:numRef>
              <c:f>'Observer 8'!$H$4:$H$24</c:f>
              <c:numCache>
                <c:formatCode>General</c:formatCode>
                <c:ptCount val="21"/>
                <c:pt idx="0">
                  <c:v>0.23388213084569795</c:v>
                </c:pt>
                <c:pt idx="1">
                  <c:v>0.46619757579000765</c:v>
                </c:pt>
                <c:pt idx="2">
                  <c:v>0.79616453238838281</c:v>
                </c:pt>
                <c:pt idx="3">
                  <c:v>1.1649183579779856</c:v>
                </c:pt>
                <c:pt idx="4">
                  <c:v>1.4603198848587673</c:v>
                </c:pt>
                <c:pt idx="5">
                  <c:v>1.5684127184382828</c:v>
                </c:pt>
                <c:pt idx="6">
                  <c:v>1.4432200666485877</c:v>
                </c:pt>
                <c:pt idx="7">
                  <c:v>1.1377965403726409</c:v>
                </c:pt>
                <c:pt idx="8">
                  <c:v>0.76852235689600534</c:v>
                </c:pt>
                <c:pt idx="9">
                  <c:v>0.44474210769768868</c:v>
                </c:pt>
                <c:pt idx="10">
                  <c:v>0.22050571037330005</c:v>
                </c:pt>
                <c:pt idx="11">
                  <c:v>9.3668006725464256E-2</c:v>
                </c:pt>
                <c:pt idx="12">
                  <c:v>3.408965162490897E-2</c:v>
                </c:pt>
                <c:pt idx="13">
                  <c:v>1.0629521005207934E-2</c:v>
                </c:pt>
                <c:pt idx="14">
                  <c:v>2.8396490733491337E-3</c:v>
                </c:pt>
                <c:pt idx="15">
                  <c:v>6.4994334022808089E-4</c:v>
                </c:pt>
                <c:pt idx="16">
                  <c:v>1.2745185773458464E-4</c:v>
                </c:pt>
                <c:pt idx="17">
                  <c:v>2.1412959179176841E-5</c:v>
                </c:pt>
                <c:pt idx="18">
                  <c:v>3.0822442773194063E-6</c:v>
                </c:pt>
                <c:pt idx="19">
                  <c:v>3.8011697777921153E-7</c:v>
                </c:pt>
                <c:pt idx="20">
                  <c:v>4.0163109308467713E-8</c:v>
                </c:pt>
              </c:numCache>
            </c:numRef>
          </c:yVal>
          <c:smooth val="1"/>
        </c:ser>
        <c:axId val="183219712"/>
        <c:axId val="183221632"/>
      </c:scatterChart>
      <c:valAx>
        <c:axId val="183219712"/>
        <c:scaling>
          <c:orientation val="minMax"/>
        </c:scaling>
        <c:axPos val="b"/>
        <c:minorGridlines/>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Range</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183221632"/>
        <c:crosses val="autoZero"/>
        <c:crossBetween val="midCat"/>
      </c:valAx>
      <c:valAx>
        <c:axId val="183221632"/>
        <c:scaling>
          <c:orientation val="minMax"/>
        </c:scaling>
        <c:axPos val="l"/>
        <c:majorGridlines/>
        <c:minorGridlines/>
        <c:numFmt formatCode="General" sourceLinked="1"/>
        <c:tickLblPos val="nextTo"/>
        <c:txPr>
          <a:bodyPr/>
          <a:lstStyle/>
          <a:p>
            <a:pPr>
              <a:defRPr>
                <a:latin typeface="Times New Roman" pitchFamily="18" charset="0"/>
                <a:cs typeface="Times New Roman" pitchFamily="18" charset="0"/>
              </a:defRPr>
            </a:pPr>
            <a:endParaRPr lang="en-US"/>
          </a:p>
        </c:txPr>
        <c:crossAx val="183219712"/>
        <c:crosses val="autoZero"/>
        <c:crossBetween val="midCat"/>
      </c:valAx>
    </c:plotArea>
    <c:plotVisOnly val="1"/>
  </c:chart>
  <c:externalData r:id="rId1"/>
</c:chartSpace>
</file>

<file path=word/charts/chart17.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Operator 9 </a:t>
            </a:r>
            <a:r>
              <a:rPr lang="en-US" sz="1800" b="1" i="0" u="none" strike="noStrike" baseline="0"/>
              <a:t>Sizing Accuracy</a:t>
            </a:r>
            <a:endParaRPr lang="en-US">
              <a:latin typeface="Times New Roman" pitchFamily="18" charset="0"/>
              <a:cs typeface="Times New Roman" pitchFamily="18" charset="0"/>
            </a:endParaRPr>
          </a:p>
        </c:rich>
      </c:tx>
      <c:layout>
        <c:manualLayout>
          <c:xMode val="edge"/>
          <c:yMode val="edge"/>
          <c:x val="0.53157210754061146"/>
          <c:y val="5.78386605783867E-2"/>
        </c:manualLayout>
      </c:layout>
      <c:overlay val="1"/>
    </c:title>
    <c:plotArea>
      <c:layout/>
      <c:scatterChart>
        <c:scatterStyle val="lineMarker"/>
        <c:ser>
          <c:idx val="0"/>
          <c:order val="0"/>
          <c:tx>
            <c:v>Estimated size measured by operator 9</c:v>
          </c:tx>
          <c:spPr>
            <a:ln>
              <a:noFill/>
            </a:ln>
          </c:spPr>
          <c:marker>
            <c:symbol val="circle"/>
            <c:size val="4"/>
          </c:marker>
          <c:trendline>
            <c:spPr>
              <a:ln>
                <a:prstDash val="sysDash"/>
              </a:ln>
            </c:spPr>
            <c:trendlineType val="linear"/>
            <c:dispRSqr val="1"/>
            <c:dispEq val="1"/>
            <c:trendlineLbl>
              <c:layout>
                <c:manualLayout>
                  <c:x val="-0.52691778392565658"/>
                  <c:y val="5.1004925754143827E-3"/>
                </c:manualLayout>
              </c:layout>
              <c:numFmt formatCode="General" sourceLinked="0"/>
              <c:spPr>
                <a:solidFill>
                  <a:schemeClr val="bg1"/>
                </a:solidFill>
              </c:spPr>
              <c:txPr>
                <a:bodyPr/>
                <a:lstStyle/>
                <a:p>
                  <a:pPr>
                    <a:defRPr sz="1200">
                      <a:latin typeface="Times New Roman" pitchFamily="18" charset="0"/>
                      <a:cs typeface="Times New Roman" pitchFamily="18" charset="0"/>
                    </a:defRPr>
                  </a:pPr>
                  <a:endParaRPr lang="en-US"/>
                </a:p>
              </c:txPr>
            </c:trendlineLbl>
          </c:trendline>
          <c:xVal>
            <c:numRef>
              <c:f>'Observer 9'!$C$4:$C$24</c:f>
              <c:numCache>
                <c:formatCode>General</c:formatCode>
                <c:ptCount val="21"/>
                <c:pt idx="0">
                  <c:v>0.25</c:v>
                </c:pt>
                <c:pt idx="1">
                  <c:v>0.27</c:v>
                </c:pt>
                <c:pt idx="2">
                  <c:v>0.28000000000000008</c:v>
                </c:pt>
                <c:pt idx="3">
                  <c:v>0.4</c:v>
                </c:pt>
                <c:pt idx="4">
                  <c:v>0.4</c:v>
                </c:pt>
                <c:pt idx="5">
                  <c:v>0.5</c:v>
                </c:pt>
                <c:pt idx="6">
                  <c:v>0.52</c:v>
                </c:pt>
                <c:pt idx="7">
                  <c:v>0.55000000000000004</c:v>
                </c:pt>
                <c:pt idx="8">
                  <c:v>0.70000000000000007</c:v>
                </c:pt>
                <c:pt idx="9">
                  <c:v>0.98</c:v>
                </c:pt>
                <c:pt idx="10">
                  <c:v>1.1200000000000001</c:v>
                </c:pt>
                <c:pt idx="11">
                  <c:v>1.1499999999999997</c:v>
                </c:pt>
                <c:pt idx="12">
                  <c:v>1.1000000000000001</c:v>
                </c:pt>
                <c:pt idx="13">
                  <c:v>1.3</c:v>
                </c:pt>
                <c:pt idx="14">
                  <c:v>1.6</c:v>
                </c:pt>
                <c:pt idx="15">
                  <c:v>1.8</c:v>
                </c:pt>
                <c:pt idx="16">
                  <c:v>2.1</c:v>
                </c:pt>
                <c:pt idx="17">
                  <c:v>2.7</c:v>
                </c:pt>
                <c:pt idx="18">
                  <c:v>4.9000000000000004</c:v>
                </c:pt>
                <c:pt idx="19">
                  <c:v>6</c:v>
                </c:pt>
                <c:pt idx="20">
                  <c:v>7.5</c:v>
                </c:pt>
              </c:numCache>
            </c:numRef>
          </c:xVal>
          <c:yVal>
            <c:numRef>
              <c:f>'Observer 9'!$D$4:$D$24</c:f>
              <c:numCache>
                <c:formatCode>General</c:formatCode>
                <c:ptCount val="21"/>
                <c:pt idx="0">
                  <c:v>0.8</c:v>
                </c:pt>
                <c:pt idx="1">
                  <c:v>0.8</c:v>
                </c:pt>
                <c:pt idx="2">
                  <c:v>1.3</c:v>
                </c:pt>
                <c:pt idx="3">
                  <c:v>1.5</c:v>
                </c:pt>
                <c:pt idx="4">
                  <c:v>1.6</c:v>
                </c:pt>
                <c:pt idx="5">
                  <c:v>1</c:v>
                </c:pt>
                <c:pt idx="6">
                  <c:v>0.9</c:v>
                </c:pt>
                <c:pt idx="7">
                  <c:v>1.6</c:v>
                </c:pt>
                <c:pt idx="8">
                  <c:v>2.2000000000000002</c:v>
                </c:pt>
                <c:pt idx="9">
                  <c:v>1.8</c:v>
                </c:pt>
                <c:pt idx="10">
                  <c:v>2</c:v>
                </c:pt>
                <c:pt idx="11">
                  <c:v>2</c:v>
                </c:pt>
                <c:pt idx="12">
                  <c:v>2.2000000000000002</c:v>
                </c:pt>
                <c:pt idx="13">
                  <c:v>2</c:v>
                </c:pt>
                <c:pt idx="14">
                  <c:v>2</c:v>
                </c:pt>
                <c:pt idx="15">
                  <c:v>2.5</c:v>
                </c:pt>
                <c:pt idx="16">
                  <c:v>3.2</c:v>
                </c:pt>
                <c:pt idx="17">
                  <c:v>3.5</c:v>
                </c:pt>
                <c:pt idx="18">
                  <c:v>5.4</c:v>
                </c:pt>
                <c:pt idx="19">
                  <c:v>6.7</c:v>
                </c:pt>
                <c:pt idx="20">
                  <c:v>6.9</c:v>
                </c:pt>
              </c:numCache>
            </c:numRef>
          </c:yVal>
        </c:ser>
        <c:ser>
          <c:idx val="1"/>
          <c:order val="1"/>
          <c:tx>
            <c:v>True size</c:v>
          </c:tx>
          <c:spPr>
            <a:ln w="19050">
              <a:solidFill>
                <a:srgbClr val="FF0000"/>
              </a:solidFill>
            </a:ln>
          </c:spPr>
          <c:marker>
            <c:symbol val="none"/>
          </c:marker>
          <c:xVal>
            <c:numRef>
              <c:f>'Observer 9'!$L$32:$L$33</c:f>
              <c:numCache>
                <c:formatCode>General</c:formatCode>
                <c:ptCount val="2"/>
                <c:pt idx="0">
                  <c:v>0</c:v>
                </c:pt>
                <c:pt idx="1">
                  <c:v>8</c:v>
                </c:pt>
              </c:numCache>
            </c:numRef>
          </c:xVal>
          <c:yVal>
            <c:numRef>
              <c:f>'Observer 9'!$M$32:$M$33</c:f>
              <c:numCache>
                <c:formatCode>General</c:formatCode>
                <c:ptCount val="2"/>
                <c:pt idx="0">
                  <c:v>0</c:v>
                </c:pt>
                <c:pt idx="1">
                  <c:v>8</c:v>
                </c:pt>
              </c:numCache>
            </c:numRef>
          </c:yVal>
        </c:ser>
        <c:axId val="183251712"/>
        <c:axId val="183253632"/>
      </c:scatterChart>
      <c:valAx>
        <c:axId val="183251712"/>
        <c:scaling>
          <c:orientation val="minMax"/>
        </c:scaling>
        <c:axPos val="b"/>
        <c:minorGridlines/>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True size (mm)</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183253632"/>
        <c:crosses val="autoZero"/>
        <c:crossBetween val="midCat"/>
      </c:valAx>
      <c:valAx>
        <c:axId val="183253632"/>
        <c:scaling>
          <c:orientation val="minMax"/>
        </c:scaling>
        <c:axPos val="l"/>
        <c:majorGridlines/>
        <c:minorGridlines/>
        <c:title>
          <c:tx>
            <c:rich>
              <a:bodyPr rot="-5400000" vert="horz"/>
              <a:lstStyle/>
              <a:p>
                <a:pPr>
                  <a:defRPr>
                    <a:latin typeface="Times New Roman" pitchFamily="18" charset="0"/>
                    <a:cs typeface="Times New Roman" pitchFamily="18" charset="0"/>
                  </a:defRPr>
                </a:pPr>
                <a:r>
                  <a:rPr lang="en-US">
                    <a:latin typeface="Times New Roman" pitchFamily="18" charset="0"/>
                    <a:cs typeface="Times New Roman" pitchFamily="18" charset="0"/>
                  </a:rPr>
                  <a:t>Estimated size measured by operator 9 (mm)</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183251712"/>
        <c:crosses val="autoZero"/>
        <c:crossBetween val="midCat"/>
      </c:valAx>
    </c:plotArea>
    <c:legend>
      <c:legendPos val="b"/>
      <c:txPr>
        <a:bodyPr/>
        <a:lstStyle/>
        <a:p>
          <a:pPr>
            <a:defRPr>
              <a:latin typeface="Times New Roman" pitchFamily="18" charset="0"/>
              <a:cs typeface="Times New Roman" pitchFamily="18" charset="0"/>
            </a:defRPr>
          </a:pPr>
          <a:endParaRPr lang="en-US"/>
        </a:p>
      </c:txPr>
    </c:legend>
    <c:plotVisOnly val="1"/>
  </c:chart>
  <c:externalData r:id="rId1"/>
</c:chartSpace>
</file>

<file path=word/charts/chart18.xml><?xml version="1.0" encoding="utf-8"?>
<c:chartSpace xmlns:c="http://schemas.openxmlformats.org/drawingml/2006/chart" xmlns:a="http://schemas.openxmlformats.org/drawingml/2006/main" xmlns:r="http://schemas.openxmlformats.org/officeDocument/2006/relationships">
  <c:date1904 val="1"/>
  <c:lang val="en-US"/>
  <c:chart>
    <c:title>
      <c:layout>
        <c:manualLayout>
          <c:xMode val="edge"/>
          <c:yMode val="edge"/>
          <c:x val="0.58908152836035577"/>
          <c:y val="4.7241237702430043E-2"/>
        </c:manualLayout>
      </c:layout>
      <c:txPr>
        <a:bodyPr/>
        <a:lstStyle/>
        <a:p>
          <a:pPr>
            <a:defRPr>
              <a:latin typeface="Times New Roman" pitchFamily="18" charset="0"/>
              <a:cs typeface="Times New Roman" pitchFamily="18" charset="0"/>
            </a:defRPr>
          </a:pPr>
          <a:endParaRPr lang="en-US"/>
        </a:p>
      </c:txPr>
    </c:title>
    <c:plotArea>
      <c:layout>
        <c:manualLayout>
          <c:layoutTarget val="inner"/>
          <c:xMode val="edge"/>
          <c:yMode val="edge"/>
          <c:x val="4.1847112860892356E-2"/>
          <c:y val="2.8252405949256338E-2"/>
          <c:w val="0.91087170178494048"/>
          <c:h val="0.83074803149606413"/>
        </c:manualLayout>
      </c:layout>
      <c:scatterChart>
        <c:scatterStyle val="smoothMarker"/>
        <c:ser>
          <c:idx val="0"/>
          <c:order val="0"/>
          <c:tx>
            <c:v>Normal</c:v>
          </c:tx>
          <c:spPr>
            <a:ln w="19050"/>
          </c:spPr>
          <c:marker>
            <c:symbol val="none"/>
          </c:marker>
          <c:xVal>
            <c:numRef>
              <c:f>'Observer 9'!$G$4:$G$28</c:f>
              <c:numCache>
                <c:formatCode>General</c:formatCode>
                <c:ptCount val="25"/>
                <c:pt idx="0">
                  <c:v>-1.6</c:v>
                </c:pt>
                <c:pt idx="1">
                  <c:v>-1.5</c:v>
                </c:pt>
                <c:pt idx="2">
                  <c:v>-1.4</c:v>
                </c:pt>
                <c:pt idx="3">
                  <c:v>-1.2999999999999996</c:v>
                </c:pt>
                <c:pt idx="4">
                  <c:v>-1.1999999999999995</c:v>
                </c:pt>
                <c:pt idx="5">
                  <c:v>-1.0999999999999994</c:v>
                </c:pt>
                <c:pt idx="6">
                  <c:v>-0.99999999999999967</c:v>
                </c:pt>
                <c:pt idx="7">
                  <c:v>-0.89999999999999969</c:v>
                </c:pt>
                <c:pt idx="8">
                  <c:v>-0.79999999999999971</c:v>
                </c:pt>
                <c:pt idx="9">
                  <c:v>-0.69999999999999973</c:v>
                </c:pt>
                <c:pt idx="10">
                  <c:v>-0.59999999999999976</c:v>
                </c:pt>
                <c:pt idx="11">
                  <c:v>-0.49999999999999989</c:v>
                </c:pt>
                <c:pt idx="12">
                  <c:v>-0.39999999999999991</c:v>
                </c:pt>
                <c:pt idx="13">
                  <c:v>-0.29999999999999988</c:v>
                </c:pt>
                <c:pt idx="14">
                  <c:v>-0.19999999999999987</c:v>
                </c:pt>
                <c:pt idx="15">
                  <c:v>-9.9999999999999853E-2</c:v>
                </c:pt>
                <c:pt idx="16">
                  <c:v>1.9428902930940254E-16</c:v>
                </c:pt>
                <c:pt idx="17">
                  <c:v>0.1000000000000002</c:v>
                </c:pt>
                <c:pt idx="18">
                  <c:v>0.20000000000000021</c:v>
                </c:pt>
                <c:pt idx="19">
                  <c:v>0.30000000000000027</c:v>
                </c:pt>
                <c:pt idx="20">
                  <c:v>0.4000000000000003</c:v>
                </c:pt>
                <c:pt idx="21">
                  <c:v>0.50000000000000022</c:v>
                </c:pt>
                <c:pt idx="22">
                  <c:v>0.60000000000000031</c:v>
                </c:pt>
                <c:pt idx="23">
                  <c:v>0.70000000000000029</c:v>
                </c:pt>
                <c:pt idx="24">
                  <c:v>0.80000000000000027</c:v>
                </c:pt>
              </c:numCache>
            </c:numRef>
          </c:xVal>
          <c:yVal>
            <c:numRef>
              <c:f>'Observer 9'!$H$4:$H$28</c:f>
              <c:numCache>
                <c:formatCode>General</c:formatCode>
                <c:ptCount val="25"/>
                <c:pt idx="0">
                  <c:v>0.12894637137056825</c:v>
                </c:pt>
                <c:pt idx="1">
                  <c:v>0.20015323073937469</c:v>
                </c:pt>
                <c:pt idx="2">
                  <c:v>0.29403850037642171</c:v>
                </c:pt>
                <c:pt idx="3">
                  <c:v>0.40882167098333011</c:v>
                </c:pt>
                <c:pt idx="4">
                  <c:v>0.53796216677442288</c:v>
                </c:pt>
                <c:pt idx="5">
                  <c:v>0.66997357644351274</c:v>
                </c:pt>
                <c:pt idx="6">
                  <c:v>0.78968107542724619</c:v>
                </c:pt>
                <c:pt idx="7">
                  <c:v>0.88091478962892711</c:v>
                </c:pt>
                <c:pt idx="8">
                  <c:v>0.93004548279526866</c:v>
                </c:pt>
                <c:pt idx="9">
                  <c:v>0.92931423451726258</c:v>
                </c:pt>
                <c:pt idx="10">
                  <c:v>0.87883856510770553</c:v>
                </c:pt>
                <c:pt idx="11">
                  <c:v>0.78658151951215027</c:v>
                </c:pt>
                <c:pt idx="12">
                  <c:v>0.66629489547463461</c:v>
                </c:pt>
                <c:pt idx="13">
                  <c:v>0.53416736220861938</c:v>
                </c:pt>
                <c:pt idx="14">
                  <c:v>0.40529974183844258</c:v>
                </c:pt>
                <c:pt idx="15">
                  <c:v>0.29104719665836626</c:v>
                </c:pt>
                <c:pt idx="16">
                  <c:v>0.19780562127574389</c:v>
                </c:pt>
                <c:pt idx="17">
                  <c:v>0.12723364039281573</c:v>
                </c:pt>
                <c:pt idx="18">
                  <c:v>7.7455701690217968E-2</c:v>
                </c:pt>
                <c:pt idx="19">
                  <c:v>4.4626512362194865E-2</c:v>
                </c:pt>
                <c:pt idx="20">
                  <c:v>2.433439858255641E-2</c:v>
                </c:pt>
                <c:pt idx="21">
                  <c:v>1.25584604579413E-2</c:v>
                </c:pt>
                <c:pt idx="22">
                  <c:v>6.1339510092131445E-3</c:v>
                </c:pt>
                <c:pt idx="23">
                  <c:v>2.8355174144131588E-3</c:v>
                </c:pt>
                <c:pt idx="24">
                  <c:v>1.2405447924513559E-3</c:v>
                </c:pt>
              </c:numCache>
            </c:numRef>
          </c:yVal>
          <c:smooth val="1"/>
        </c:ser>
        <c:axId val="183281920"/>
        <c:axId val="183288192"/>
      </c:scatterChart>
      <c:valAx>
        <c:axId val="183281920"/>
        <c:scaling>
          <c:orientation val="minMax"/>
        </c:scaling>
        <c:axPos val="b"/>
        <c:minorGridlines/>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Range</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183288192"/>
        <c:crosses val="autoZero"/>
        <c:crossBetween val="midCat"/>
      </c:valAx>
      <c:valAx>
        <c:axId val="183288192"/>
        <c:scaling>
          <c:orientation val="minMax"/>
        </c:scaling>
        <c:axPos val="l"/>
        <c:majorGridlines/>
        <c:minorGridlines/>
        <c:numFmt formatCode="General" sourceLinked="1"/>
        <c:tickLblPos val="nextTo"/>
        <c:txPr>
          <a:bodyPr/>
          <a:lstStyle/>
          <a:p>
            <a:pPr>
              <a:defRPr>
                <a:latin typeface="Times New Roman" pitchFamily="18" charset="0"/>
                <a:cs typeface="Times New Roman" pitchFamily="18" charset="0"/>
              </a:defRPr>
            </a:pPr>
            <a:endParaRPr lang="en-US"/>
          </a:p>
        </c:txPr>
        <c:crossAx val="183281920"/>
        <c:crosses val="autoZero"/>
        <c:crossBetween val="midCat"/>
      </c:valAx>
    </c:plotArea>
    <c:plotVisOnly val="1"/>
  </c:chart>
  <c:externalData r:id="rId1"/>
</c:chartSpace>
</file>

<file path=word/charts/chart19.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Operator 10 </a:t>
            </a:r>
            <a:r>
              <a:rPr lang="en-US" sz="1800" b="1" i="0" u="none" strike="noStrike" baseline="0"/>
              <a:t>Sizing Accuracy</a:t>
            </a:r>
            <a:endParaRPr lang="en-US">
              <a:latin typeface="Times New Roman" pitchFamily="18" charset="0"/>
              <a:cs typeface="Times New Roman" pitchFamily="18" charset="0"/>
            </a:endParaRPr>
          </a:p>
        </c:rich>
      </c:tx>
      <c:layout>
        <c:manualLayout>
          <c:xMode val="edge"/>
          <c:yMode val="edge"/>
          <c:x val="0.40925652387986289"/>
          <c:y val="2.4737167594310494E-2"/>
        </c:manualLayout>
      </c:layout>
      <c:overlay val="1"/>
    </c:title>
    <c:plotArea>
      <c:layout/>
      <c:scatterChart>
        <c:scatterStyle val="lineMarker"/>
        <c:ser>
          <c:idx val="0"/>
          <c:order val="0"/>
          <c:tx>
            <c:v>Estimated size measured by operator10</c:v>
          </c:tx>
          <c:spPr>
            <a:ln>
              <a:noFill/>
            </a:ln>
          </c:spPr>
          <c:marker>
            <c:symbol val="circle"/>
            <c:size val="4"/>
          </c:marker>
          <c:trendline>
            <c:spPr>
              <a:ln w="15875">
                <a:prstDash val="sysDash"/>
              </a:ln>
            </c:spPr>
            <c:trendlineType val="linear"/>
            <c:dispRSqr val="1"/>
            <c:dispEq val="1"/>
            <c:trendlineLbl>
              <c:layout>
                <c:manualLayout>
                  <c:x val="-0.52021524635860694"/>
                  <c:y val="-9.7685516583154372E-3"/>
                </c:manualLayout>
              </c:layout>
              <c:numFmt formatCode="General" sourceLinked="0"/>
              <c:spPr>
                <a:solidFill>
                  <a:schemeClr val="bg1"/>
                </a:solidFill>
              </c:spPr>
              <c:txPr>
                <a:bodyPr/>
                <a:lstStyle/>
                <a:p>
                  <a:pPr>
                    <a:defRPr sz="1200">
                      <a:latin typeface="Times New Roman" pitchFamily="18" charset="0"/>
                      <a:cs typeface="Times New Roman" pitchFamily="18" charset="0"/>
                    </a:defRPr>
                  </a:pPr>
                  <a:endParaRPr lang="en-US"/>
                </a:p>
              </c:txPr>
            </c:trendlineLbl>
          </c:trendline>
          <c:xVal>
            <c:numRef>
              <c:f>'Observer 10'!$C$4:$C$24</c:f>
              <c:numCache>
                <c:formatCode>General</c:formatCode>
                <c:ptCount val="21"/>
                <c:pt idx="0">
                  <c:v>0.25</c:v>
                </c:pt>
                <c:pt idx="1">
                  <c:v>0.27</c:v>
                </c:pt>
                <c:pt idx="2">
                  <c:v>0.28000000000000008</c:v>
                </c:pt>
                <c:pt idx="3">
                  <c:v>0.4</c:v>
                </c:pt>
                <c:pt idx="4">
                  <c:v>0.4</c:v>
                </c:pt>
                <c:pt idx="5">
                  <c:v>0.5</c:v>
                </c:pt>
                <c:pt idx="6">
                  <c:v>0.52</c:v>
                </c:pt>
                <c:pt idx="7">
                  <c:v>0.55000000000000004</c:v>
                </c:pt>
                <c:pt idx="8">
                  <c:v>0.70000000000000007</c:v>
                </c:pt>
                <c:pt idx="9">
                  <c:v>0.98</c:v>
                </c:pt>
                <c:pt idx="10">
                  <c:v>1.1200000000000001</c:v>
                </c:pt>
                <c:pt idx="11">
                  <c:v>1.1499999999999997</c:v>
                </c:pt>
                <c:pt idx="12">
                  <c:v>1.1000000000000001</c:v>
                </c:pt>
                <c:pt idx="13">
                  <c:v>1.3</c:v>
                </c:pt>
                <c:pt idx="14">
                  <c:v>1.6</c:v>
                </c:pt>
                <c:pt idx="15">
                  <c:v>1.8</c:v>
                </c:pt>
                <c:pt idx="16">
                  <c:v>2.1</c:v>
                </c:pt>
                <c:pt idx="17">
                  <c:v>2.7</c:v>
                </c:pt>
                <c:pt idx="18">
                  <c:v>4.9000000000000004</c:v>
                </c:pt>
                <c:pt idx="19">
                  <c:v>6</c:v>
                </c:pt>
                <c:pt idx="20">
                  <c:v>7.5</c:v>
                </c:pt>
              </c:numCache>
            </c:numRef>
          </c:xVal>
          <c:yVal>
            <c:numRef>
              <c:f>'Observer 10'!$D$4:$D$24</c:f>
              <c:numCache>
                <c:formatCode>General</c:formatCode>
                <c:ptCount val="21"/>
                <c:pt idx="0">
                  <c:v>0.5</c:v>
                </c:pt>
                <c:pt idx="1">
                  <c:v>0.70000000000000007</c:v>
                </c:pt>
                <c:pt idx="2">
                  <c:v>0.8</c:v>
                </c:pt>
                <c:pt idx="3">
                  <c:v>0.9</c:v>
                </c:pt>
                <c:pt idx="4">
                  <c:v>1</c:v>
                </c:pt>
                <c:pt idx="5">
                  <c:v>0.8</c:v>
                </c:pt>
                <c:pt idx="6">
                  <c:v>1</c:v>
                </c:pt>
                <c:pt idx="7">
                  <c:v>1</c:v>
                </c:pt>
                <c:pt idx="8">
                  <c:v>1.4</c:v>
                </c:pt>
                <c:pt idx="9">
                  <c:v>1.3</c:v>
                </c:pt>
                <c:pt idx="10">
                  <c:v>1.4</c:v>
                </c:pt>
                <c:pt idx="11">
                  <c:v>1.6</c:v>
                </c:pt>
                <c:pt idx="12">
                  <c:v>1.6</c:v>
                </c:pt>
                <c:pt idx="13">
                  <c:v>1.7</c:v>
                </c:pt>
                <c:pt idx="14">
                  <c:v>1.6</c:v>
                </c:pt>
                <c:pt idx="15">
                  <c:v>2.1</c:v>
                </c:pt>
                <c:pt idx="16">
                  <c:v>2.5</c:v>
                </c:pt>
                <c:pt idx="17">
                  <c:v>3</c:v>
                </c:pt>
                <c:pt idx="18">
                  <c:v>4.9000000000000004</c:v>
                </c:pt>
                <c:pt idx="19">
                  <c:v>6.2</c:v>
                </c:pt>
                <c:pt idx="20">
                  <c:v>7</c:v>
                </c:pt>
              </c:numCache>
            </c:numRef>
          </c:yVal>
        </c:ser>
        <c:ser>
          <c:idx val="1"/>
          <c:order val="1"/>
          <c:tx>
            <c:v>True size </c:v>
          </c:tx>
          <c:spPr>
            <a:ln w="19050">
              <a:solidFill>
                <a:srgbClr val="FF0000"/>
              </a:solidFill>
            </a:ln>
          </c:spPr>
          <c:marker>
            <c:symbol val="none"/>
          </c:marker>
          <c:xVal>
            <c:numRef>
              <c:f>'Observer 10'!$K$32:$K$33</c:f>
              <c:numCache>
                <c:formatCode>General</c:formatCode>
                <c:ptCount val="2"/>
                <c:pt idx="0">
                  <c:v>0</c:v>
                </c:pt>
                <c:pt idx="1">
                  <c:v>8</c:v>
                </c:pt>
              </c:numCache>
            </c:numRef>
          </c:xVal>
          <c:yVal>
            <c:numRef>
              <c:f>'Observer 10'!$L$32:$L$33</c:f>
              <c:numCache>
                <c:formatCode>General</c:formatCode>
                <c:ptCount val="2"/>
                <c:pt idx="0">
                  <c:v>0</c:v>
                </c:pt>
                <c:pt idx="1">
                  <c:v>8</c:v>
                </c:pt>
              </c:numCache>
            </c:numRef>
          </c:yVal>
        </c:ser>
        <c:axId val="190691584"/>
        <c:axId val="190738816"/>
      </c:scatterChart>
      <c:valAx>
        <c:axId val="190691584"/>
        <c:scaling>
          <c:orientation val="minMax"/>
        </c:scaling>
        <c:axPos val="b"/>
        <c:minorGridlines/>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True size (mm)</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190738816"/>
        <c:crosses val="autoZero"/>
        <c:crossBetween val="midCat"/>
      </c:valAx>
      <c:valAx>
        <c:axId val="190738816"/>
        <c:scaling>
          <c:orientation val="minMax"/>
        </c:scaling>
        <c:axPos val="l"/>
        <c:majorGridlines/>
        <c:minorGridlines/>
        <c:title>
          <c:tx>
            <c:rich>
              <a:bodyPr rot="-5400000" vert="horz"/>
              <a:lstStyle/>
              <a:p>
                <a:pPr>
                  <a:defRPr>
                    <a:latin typeface="Times New Roman" pitchFamily="18" charset="0"/>
                    <a:cs typeface="Times New Roman" pitchFamily="18" charset="0"/>
                  </a:defRPr>
                </a:pPr>
                <a:r>
                  <a:rPr lang="en-US">
                    <a:latin typeface="Times New Roman" pitchFamily="18" charset="0"/>
                    <a:cs typeface="Times New Roman" pitchFamily="18" charset="0"/>
                  </a:rPr>
                  <a:t>Estimated size measured by operator10 (mm)</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190691584"/>
        <c:crosses val="autoZero"/>
        <c:crossBetween val="midCat"/>
      </c:valAx>
    </c:plotArea>
    <c:legend>
      <c:legendPos val="b"/>
      <c:txPr>
        <a:bodyPr/>
        <a:lstStyle/>
        <a:p>
          <a:pPr>
            <a:defRPr>
              <a:latin typeface="Times New Roman" pitchFamily="18" charset="0"/>
              <a:cs typeface="Times New Roman" pitchFamily="18" charset="0"/>
            </a:defRPr>
          </a:pPr>
          <a:endParaRPr lang="en-US"/>
        </a:p>
      </c:txPr>
    </c:legend>
    <c:plotVisOnly val="1"/>
  </c:chart>
  <c:externalData r:id="rId1"/>
</c:chartSpace>
</file>

<file path=word/charts/chart20.xml><?xml version="1.0" encoding="utf-8"?>
<c:chartSpace xmlns:c="http://schemas.openxmlformats.org/drawingml/2006/chart" xmlns:a="http://schemas.openxmlformats.org/drawingml/2006/main" xmlns:r="http://schemas.openxmlformats.org/officeDocument/2006/relationships">
  <c:date1904 val="1"/>
  <c:lang val="en-US"/>
  <c:chart>
    <c:title>
      <c:layout>
        <c:manualLayout>
          <c:xMode val="edge"/>
          <c:yMode val="edge"/>
          <c:x val="0.66237121295875689"/>
          <c:y val="4.4609665427509292E-2"/>
        </c:manualLayout>
      </c:layout>
      <c:txPr>
        <a:bodyPr/>
        <a:lstStyle/>
        <a:p>
          <a:pPr>
            <a:defRPr>
              <a:latin typeface="Times New Roman" pitchFamily="18" charset="0"/>
              <a:cs typeface="Times New Roman" pitchFamily="18" charset="0"/>
            </a:defRPr>
          </a:pPr>
          <a:endParaRPr lang="en-US"/>
        </a:p>
      </c:txPr>
    </c:title>
    <c:plotArea>
      <c:layout>
        <c:manualLayout>
          <c:layoutTarget val="inner"/>
          <c:xMode val="edge"/>
          <c:yMode val="edge"/>
          <c:x val="3.9235610369296722E-2"/>
          <c:y val="3.7366936939574005E-2"/>
          <c:w val="0.92471654771702527"/>
          <c:h val="0.83504727336592321"/>
        </c:manualLayout>
      </c:layout>
      <c:scatterChart>
        <c:scatterStyle val="smoothMarker"/>
        <c:ser>
          <c:idx val="0"/>
          <c:order val="0"/>
          <c:tx>
            <c:v>Normal</c:v>
          </c:tx>
          <c:spPr>
            <a:ln w="19050"/>
          </c:spPr>
          <c:marker>
            <c:symbol val="none"/>
          </c:marker>
          <c:xVal>
            <c:numRef>
              <c:f>'Observer 10'!$G$4:$G$24</c:f>
              <c:numCache>
                <c:formatCode>General</c:formatCode>
                <c:ptCount val="21"/>
                <c:pt idx="0">
                  <c:v>-1</c:v>
                </c:pt>
                <c:pt idx="1">
                  <c:v>-0.9</c:v>
                </c:pt>
                <c:pt idx="2">
                  <c:v>-0.8</c:v>
                </c:pt>
                <c:pt idx="3">
                  <c:v>-0.70000000000000018</c:v>
                </c:pt>
                <c:pt idx="4">
                  <c:v>-0.6000000000000002</c:v>
                </c:pt>
                <c:pt idx="5">
                  <c:v>-0.50000000000000011</c:v>
                </c:pt>
                <c:pt idx="6">
                  <c:v>-0.40000000000000019</c:v>
                </c:pt>
                <c:pt idx="7">
                  <c:v>-0.30000000000000021</c:v>
                </c:pt>
                <c:pt idx="8">
                  <c:v>-0.20000000000000018</c:v>
                </c:pt>
                <c:pt idx="9">
                  <c:v>-0.10000000000000014</c:v>
                </c:pt>
                <c:pt idx="10">
                  <c:v>-1.3877787807814469E-16</c:v>
                </c:pt>
                <c:pt idx="11">
                  <c:v>9.9999999999999881E-2</c:v>
                </c:pt>
                <c:pt idx="12">
                  <c:v>0.19999999999999993</c:v>
                </c:pt>
                <c:pt idx="13">
                  <c:v>0.29999999999999993</c:v>
                </c:pt>
                <c:pt idx="14">
                  <c:v>0.4</c:v>
                </c:pt>
                <c:pt idx="15">
                  <c:v>0.5</c:v>
                </c:pt>
                <c:pt idx="16">
                  <c:v>0.59999999999999987</c:v>
                </c:pt>
                <c:pt idx="17">
                  <c:v>0.69999999999999984</c:v>
                </c:pt>
                <c:pt idx="18">
                  <c:v>0.79999999999999982</c:v>
                </c:pt>
                <c:pt idx="19">
                  <c:v>0.8999999999999998</c:v>
                </c:pt>
                <c:pt idx="20">
                  <c:v>0.99999999999999978</c:v>
                </c:pt>
              </c:numCache>
            </c:numRef>
          </c:xVal>
          <c:yVal>
            <c:numRef>
              <c:f>'Observer 10'!$H$4:$H$24</c:f>
              <c:numCache>
                <c:formatCode>General</c:formatCode>
                <c:ptCount val="21"/>
                <c:pt idx="0">
                  <c:v>4.9427689923098907E-2</c:v>
                </c:pt>
                <c:pt idx="1">
                  <c:v>0.1278329758280155</c:v>
                </c:pt>
                <c:pt idx="2">
                  <c:v>0.28379845008534416</c:v>
                </c:pt>
                <c:pt idx="3">
                  <c:v>0.54084357454979515</c:v>
                </c:pt>
                <c:pt idx="4">
                  <c:v>0.88476485788513548</c:v>
                </c:pt>
                <c:pt idx="5">
                  <c:v>1.2424490529197554</c:v>
                </c:pt>
                <c:pt idx="6">
                  <c:v>1.4976966179870932</c:v>
                </c:pt>
                <c:pt idx="7">
                  <c:v>1.5497571320588233</c:v>
                </c:pt>
                <c:pt idx="8">
                  <c:v>1.3765689619175112</c:v>
                </c:pt>
                <c:pt idx="9">
                  <c:v>1.0496072875335412</c:v>
                </c:pt>
                <c:pt idx="10">
                  <c:v>0.68698971705372458</c:v>
                </c:pt>
                <c:pt idx="11">
                  <c:v>0.38598299399034097</c:v>
                </c:pt>
                <c:pt idx="12">
                  <c:v>0.18615754346983138</c:v>
                </c:pt>
                <c:pt idx="13">
                  <c:v>7.7070405336767997E-2</c:v>
                </c:pt>
                <c:pt idx="14">
                  <c:v>2.7389820218255836E-2</c:v>
                </c:pt>
                <c:pt idx="15">
                  <c:v>8.3557464872126286E-3</c:v>
                </c:pt>
                <c:pt idx="16">
                  <c:v>2.1881438192817601E-3</c:v>
                </c:pt>
                <c:pt idx="17">
                  <c:v>4.9188208630915591E-4</c:v>
                </c:pt>
                <c:pt idx="18">
                  <c:v>9.4916274660380035E-5</c:v>
                </c:pt>
                <c:pt idx="19">
                  <c:v>1.5722257221796166E-5</c:v>
                </c:pt>
                <c:pt idx="20">
                  <c:v>2.235546176436683E-6</c:v>
                </c:pt>
              </c:numCache>
            </c:numRef>
          </c:yVal>
          <c:smooth val="1"/>
        </c:ser>
        <c:axId val="190980864"/>
        <c:axId val="190982784"/>
      </c:scatterChart>
      <c:valAx>
        <c:axId val="190980864"/>
        <c:scaling>
          <c:orientation val="minMax"/>
        </c:scaling>
        <c:axPos val="b"/>
        <c:minorGridlines/>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Range</a:t>
                </a:r>
              </a:p>
            </c:rich>
          </c:tx>
        </c:title>
        <c:numFmt formatCode="General" sourceLinked="1"/>
        <c:tickLblPos val="nextTo"/>
        <c:txPr>
          <a:bodyPr/>
          <a:lstStyle/>
          <a:p>
            <a:pPr>
              <a:defRPr>
                <a:latin typeface="Times New Roman" pitchFamily="18" charset="0"/>
                <a:cs typeface="Times New Roman" pitchFamily="18" charset="0"/>
              </a:defRPr>
            </a:pPr>
            <a:endParaRPr lang="en-US"/>
          </a:p>
        </c:txPr>
        <c:crossAx val="190982784"/>
        <c:crosses val="autoZero"/>
        <c:crossBetween val="midCat"/>
      </c:valAx>
      <c:valAx>
        <c:axId val="190982784"/>
        <c:scaling>
          <c:orientation val="minMax"/>
        </c:scaling>
        <c:axPos val="l"/>
        <c:majorGridlines/>
        <c:minorGridlines/>
        <c:numFmt formatCode="General" sourceLinked="1"/>
        <c:tickLblPos val="nextTo"/>
        <c:txPr>
          <a:bodyPr/>
          <a:lstStyle/>
          <a:p>
            <a:pPr>
              <a:defRPr>
                <a:latin typeface="Times New Roman" pitchFamily="18" charset="0"/>
                <a:cs typeface="Times New Roman" pitchFamily="18" charset="0"/>
              </a:defRPr>
            </a:pPr>
            <a:endParaRPr lang="en-US"/>
          </a:p>
        </c:txPr>
        <c:crossAx val="190980864"/>
        <c:crosses val="autoZero"/>
        <c:crossBetween val="midCat"/>
      </c:valAx>
    </c:plotArea>
    <c:plotVisOnly val="1"/>
  </c:chart>
  <c:externalData r:id="rId1"/>
</c:chartSpace>
</file>

<file path=word/charts/chart21.xml><?xml version="1.0" encoding="utf-8"?>
<c:chartSpace xmlns:c="http://schemas.openxmlformats.org/drawingml/2006/chart" xmlns:a="http://schemas.openxmlformats.org/drawingml/2006/main" xmlns:r="http://schemas.openxmlformats.org/officeDocument/2006/relationships">
  <c:date1904 val="1"/>
  <c:lang val="en-US"/>
  <c:chart>
    <c:plotArea>
      <c:layout>
        <c:manualLayout>
          <c:layoutTarget val="inner"/>
          <c:xMode val="edge"/>
          <c:yMode val="edge"/>
          <c:x val="4.2399150743099787E-2"/>
          <c:y val="3.2723135041645805E-2"/>
          <c:w val="0.95676920724596182"/>
          <c:h val="0.89355889724310877"/>
        </c:manualLayout>
      </c:layout>
      <c:scatterChart>
        <c:scatterStyle val="lineMarker"/>
        <c:ser>
          <c:idx val="0"/>
          <c:order val="0"/>
          <c:tx>
            <c:v>True size</c:v>
          </c:tx>
          <c:spPr>
            <a:ln>
              <a:solidFill>
                <a:srgbClr val="FF0000"/>
              </a:solidFill>
            </a:ln>
          </c:spPr>
          <c:marker>
            <c:symbol val="none"/>
          </c:marker>
          <c:xVal>
            <c:numRef>
              <c:f>'Given Data'!$D$4:$D$24</c:f>
              <c:numCache>
                <c:formatCode>General</c:formatCode>
                <c:ptCount val="21"/>
                <c:pt idx="0">
                  <c:v>0.25</c:v>
                </c:pt>
                <c:pt idx="1">
                  <c:v>0.27</c:v>
                </c:pt>
                <c:pt idx="2">
                  <c:v>0.28000000000000008</c:v>
                </c:pt>
                <c:pt idx="3">
                  <c:v>0.4</c:v>
                </c:pt>
                <c:pt idx="4">
                  <c:v>0.4</c:v>
                </c:pt>
                <c:pt idx="5">
                  <c:v>0.5</c:v>
                </c:pt>
                <c:pt idx="6">
                  <c:v>0.52</c:v>
                </c:pt>
                <c:pt idx="7">
                  <c:v>0.55000000000000004</c:v>
                </c:pt>
                <c:pt idx="8">
                  <c:v>0.7000000000000004</c:v>
                </c:pt>
                <c:pt idx="9">
                  <c:v>0.98</c:v>
                </c:pt>
                <c:pt idx="10">
                  <c:v>1.1200000000000001</c:v>
                </c:pt>
                <c:pt idx="11">
                  <c:v>1.149999999999999</c:v>
                </c:pt>
                <c:pt idx="12">
                  <c:v>1.1000000000000001</c:v>
                </c:pt>
                <c:pt idx="13">
                  <c:v>1.3</c:v>
                </c:pt>
                <c:pt idx="14">
                  <c:v>1.6</c:v>
                </c:pt>
                <c:pt idx="15">
                  <c:v>1.8</c:v>
                </c:pt>
                <c:pt idx="16">
                  <c:v>2.1</c:v>
                </c:pt>
                <c:pt idx="17">
                  <c:v>2.7</c:v>
                </c:pt>
                <c:pt idx="18">
                  <c:v>4.9000000000000004</c:v>
                </c:pt>
                <c:pt idx="19">
                  <c:v>6</c:v>
                </c:pt>
                <c:pt idx="20">
                  <c:v>7.5</c:v>
                </c:pt>
              </c:numCache>
            </c:numRef>
          </c:xVal>
          <c:yVal>
            <c:numRef>
              <c:f>'Given Data'!$D$4:$D$24</c:f>
              <c:numCache>
                <c:formatCode>General</c:formatCode>
                <c:ptCount val="21"/>
                <c:pt idx="0">
                  <c:v>0.25</c:v>
                </c:pt>
                <c:pt idx="1">
                  <c:v>0.27</c:v>
                </c:pt>
                <c:pt idx="2">
                  <c:v>0.28000000000000008</c:v>
                </c:pt>
                <c:pt idx="3">
                  <c:v>0.4</c:v>
                </c:pt>
                <c:pt idx="4">
                  <c:v>0.4</c:v>
                </c:pt>
                <c:pt idx="5">
                  <c:v>0.5</c:v>
                </c:pt>
                <c:pt idx="6">
                  <c:v>0.52</c:v>
                </c:pt>
                <c:pt idx="7">
                  <c:v>0.55000000000000004</c:v>
                </c:pt>
                <c:pt idx="8">
                  <c:v>0.7000000000000004</c:v>
                </c:pt>
                <c:pt idx="9">
                  <c:v>0.98</c:v>
                </c:pt>
                <c:pt idx="10">
                  <c:v>1.1200000000000001</c:v>
                </c:pt>
                <c:pt idx="11">
                  <c:v>1.149999999999999</c:v>
                </c:pt>
                <c:pt idx="12">
                  <c:v>1.1000000000000001</c:v>
                </c:pt>
                <c:pt idx="13">
                  <c:v>1.3</c:v>
                </c:pt>
                <c:pt idx="14">
                  <c:v>1.6</c:v>
                </c:pt>
                <c:pt idx="15">
                  <c:v>1.8</c:v>
                </c:pt>
                <c:pt idx="16">
                  <c:v>2.1</c:v>
                </c:pt>
                <c:pt idx="17">
                  <c:v>2.7</c:v>
                </c:pt>
                <c:pt idx="18">
                  <c:v>4.9000000000000004</c:v>
                </c:pt>
                <c:pt idx="19">
                  <c:v>6</c:v>
                </c:pt>
                <c:pt idx="20">
                  <c:v>7.5</c:v>
                </c:pt>
              </c:numCache>
            </c:numRef>
          </c:yVal>
        </c:ser>
        <c:ser>
          <c:idx val="1"/>
          <c:order val="1"/>
          <c:tx>
            <c:v>Operator1</c:v>
          </c:tx>
          <c:spPr>
            <a:ln>
              <a:noFill/>
            </a:ln>
          </c:spPr>
          <c:marker>
            <c:symbol val="none"/>
          </c:marker>
          <c:trendline>
            <c:spPr>
              <a:ln>
                <a:solidFill>
                  <a:srgbClr val="C00000"/>
                </a:solidFill>
                <a:prstDash val="sysDash"/>
              </a:ln>
            </c:spPr>
            <c:trendlineType val="linear"/>
          </c:trendline>
          <c:xVal>
            <c:numRef>
              <c:f>'Given Data'!$D$4:$D$24</c:f>
              <c:numCache>
                <c:formatCode>General</c:formatCode>
                <c:ptCount val="21"/>
                <c:pt idx="0">
                  <c:v>0.25</c:v>
                </c:pt>
                <c:pt idx="1">
                  <c:v>0.27</c:v>
                </c:pt>
                <c:pt idx="2">
                  <c:v>0.28000000000000008</c:v>
                </c:pt>
                <c:pt idx="3">
                  <c:v>0.4</c:v>
                </c:pt>
                <c:pt idx="4">
                  <c:v>0.4</c:v>
                </c:pt>
                <c:pt idx="5">
                  <c:v>0.5</c:v>
                </c:pt>
                <c:pt idx="6">
                  <c:v>0.52</c:v>
                </c:pt>
                <c:pt idx="7">
                  <c:v>0.55000000000000004</c:v>
                </c:pt>
                <c:pt idx="8">
                  <c:v>0.7000000000000004</c:v>
                </c:pt>
                <c:pt idx="9">
                  <c:v>0.98</c:v>
                </c:pt>
                <c:pt idx="10">
                  <c:v>1.1200000000000001</c:v>
                </c:pt>
                <c:pt idx="11">
                  <c:v>1.149999999999999</c:v>
                </c:pt>
                <c:pt idx="12">
                  <c:v>1.1000000000000001</c:v>
                </c:pt>
                <c:pt idx="13">
                  <c:v>1.3</c:v>
                </c:pt>
                <c:pt idx="14">
                  <c:v>1.6</c:v>
                </c:pt>
                <c:pt idx="15">
                  <c:v>1.8</c:v>
                </c:pt>
                <c:pt idx="16">
                  <c:v>2.1</c:v>
                </c:pt>
                <c:pt idx="17">
                  <c:v>2.7</c:v>
                </c:pt>
                <c:pt idx="18">
                  <c:v>4.9000000000000004</c:v>
                </c:pt>
                <c:pt idx="19">
                  <c:v>6</c:v>
                </c:pt>
                <c:pt idx="20">
                  <c:v>7.5</c:v>
                </c:pt>
              </c:numCache>
            </c:numRef>
          </c:xVal>
          <c:yVal>
            <c:numRef>
              <c:f>'Given Data'!$E$4:$E$24</c:f>
              <c:numCache>
                <c:formatCode>General</c:formatCode>
                <c:ptCount val="21"/>
                <c:pt idx="0">
                  <c:v>0.30000000000000021</c:v>
                </c:pt>
                <c:pt idx="1">
                  <c:v>1.2</c:v>
                </c:pt>
                <c:pt idx="2">
                  <c:v>0.7000000000000004</c:v>
                </c:pt>
                <c:pt idx="3">
                  <c:v>0.8</c:v>
                </c:pt>
                <c:pt idx="4">
                  <c:v>0.9</c:v>
                </c:pt>
                <c:pt idx="5">
                  <c:v>0.5</c:v>
                </c:pt>
                <c:pt idx="6">
                  <c:v>0.7000000000000004</c:v>
                </c:pt>
                <c:pt idx="7">
                  <c:v>0.4</c:v>
                </c:pt>
                <c:pt idx="8">
                  <c:v>1</c:v>
                </c:pt>
                <c:pt idx="9">
                  <c:v>1.4</c:v>
                </c:pt>
                <c:pt idx="10">
                  <c:v>1.3</c:v>
                </c:pt>
                <c:pt idx="11">
                  <c:v>1.2</c:v>
                </c:pt>
                <c:pt idx="12">
                  <c:v>1.6</c:v>
                </c:pt>
                <c:pt idx="13">
                  <c:v>1.7</c:v>
                </c:pt>
                <c:pt idx="14">
                  <c:v>1.5</c:v>
                </c:pt>
                <c:pt idx="15">
                  <c:v>1.1000000000000001</c:v>
                </c:pt>
                <c:pt idx="16">
                  <c:v>2.6</c:v>
                </c:pt>
                <c:pt idx="17">
                  <c:v>2.2000000000000002</c:v>
                </c:pt>
                <c:pt idx="18">
                  <c:v>5.5</c:v>
                </c:pt>
                <c:pt idx="19">
                  <c:v>6</c:v>
                </c:pt>
                <c:pt idx="20">
                  <c:v>6.5</c:v>
                </c:pt>
              </c:numCache>
            </c:numRef>
          </c:yVal>
        </c:ser>
        <c:ser>
          <c:idx val="2"/>
          <c:order val="2"/>
          <c:tx>
            <c:v>Operator2</c:v>
          </c:tx>
          <c:spPr>
            <a:ln>
              <a:noFill/>
            </a:ln>
          </c:spPr>
          <c:marker>
            <c:symbol val="none"/>
          </c:marker>
          <c:trendline>
            <c:trendlineType val="linear"/>
          </c:trendline>
          <c:xVal>
            <c:numRef>
              <c:f>'Given Data'!$D$4:$D$24</c:f>
              <c:numCache>
                <c:formatCode>General</c:formatCode>
                <c:ptCount val="21"/>
                <c:pt idx="0">
                  <c:v>0.25</c:v>
                </c:pt>
                <c:pt idx="1">
                  <c:v>0.27</c:v>
                </c:pt>
                <c:pt idx="2">
                  <c:v>0.28000000000000008</c:v>
                </c:pt>
                <c:pt idx="3">
                  <c:v>0.4</c:v>
                </c:pt>
                <c:pt idx="4">
                  <c:v>0.4</c:v>
                </c:pt>
                <c:pt idx="5">
                  <c:v>0.5</c:v>
                </c:pt>
                <c:pt idx="6">
                  <c:v>0.52</c:v>
                </c:pt>
                <c:pt idx="7">
                  <c:v>0.55000000000000004</c:v>
                </c:pt>
                <c:pt idx="8">
                  <c:v>0.7000000000000004</c:v>
                </c:pt>
                <c:pt idx="9">
                  <c:v>0.98</c:v>
                </c:pt>
                <c:pt idx="10">
                  <c:v>1.1200000000000001</c:v>
                </c:pt>
                <c:pt idx="11">
                  <c:v>1.149999999999999</c:v>
                </c:pt>
                <c:pt idx="12">
                  <c:v>1.1000000000000001</c:v>
                </c:pt>
                <c:pt idx="13">
                  <c:v>1.3</c:v>
                </c:pt>
                <c:pt idx="14">
                  <c:v>1.6</c:v>
                </c:pt>
                <c:pt idx="15">
                  <c:v>1.8</c:v>
                </c:pt>
                <c:pt idx="16">
                  <c:v>2.1</c:v>
                </c:pt>
                <c:pt idx="17">
                  <c:v>2.7</c:v>
                </c:pt>
                <c:pt idx="18">
                  <c:v>4.9000000000000004</c:v>
                </c:pt>
                <c:pt idx="19">
                  <c:v>6</c:v>
                </c:pt>
                <c:pt idx="20">
                  <c:v>7.5</c:v>
                </c:pt>
              </c:numCache>
            </c:numRef>
          </c:xVal>
          <c:yVal>
            <c:numRef>
              <c:f>'Given Data'!$F$4:$F$24</c:f>
              <c:numCache>
                <c:formatCode>General</c:formatCode>
                <c:ptCount val="21"/>
                <c:pt idx="0">
                  <c:v>0.5</c:v>
                </c:pt>
                <c:pt idx="1">
                  <c:v>1.2</c:v>
                </c:pt>
                <c:pt idx="2">
                  <c:v>1</c:v>
                </c:pt>
                <c:pt idx="3">
                  <c:v>0.5</c:v>
                </c:pt>
                <c:pt idx="4">
                  <c:v>1.2</c:v>
                </c:pt>
                <c:pt idx="5">
                  <c:v>0.9</c:v>
                </c:pt>
                <c:pt idx="6">
                  <c:v>1.5</c:v>
                </c:pt>
                <c:pt idx="7">
                  <c:v>1.2</c:v>
                </c:pt>
                <c:pt idx="8">
                  <c:v>1.5</c:v>
                </c:pt>
                <c:pt idx="9">
                  <c:v>1</c:v>
                </c:pt>
                <c:pt idx="10">
                  <c:v>0.5</c:v>
                </c:pt>
                <c:pt idx="11">
                  <c:v>1.8</c:v>
                </c:pt>
                <c:pt idx="12">
                  <c:v>2</c:v>
                </c:pt>
                <c:pt idx="13">
                  <c:v>2.1</c:v>
                </c:pt>
                <c:pt idx="14">
                  <c:v>0.8</c:v>
                </c:pt>
                <c:pt idx="15">
                  <c:v>2</c:v>
                </c:pt>
                <c:pt idx="16">
                  <c:v>1.8</c:v>
                </c:pt>
                <c:pt idx="17">
                  <c:v>3</c:v>
                </c:pt>
                <c:pt idx="18">
                  <c:v>4.5</c:v>
                </c:pt>
                <c:pt idx="19">
                  <c:v>5.5</c:v>
                </c:pt>
                <c:pt idx="20">
                  <c:v>6</c:v>
                </c:pt>
              </c:numCache>
            </c:numRef>
          </c:yVal>
        </c:ser>
        <c:ser>
          <c:idx val="3"/>
          <c:order val="3"/>
          <c:tx>
            <c:v>Operator3</c:v>
          </c:tx>
          <c:spPr>
            <a:ln>
              <a:noFill/>
            </a:ln>
          </c:spPr>
          <c:marker>
            <c:symbol val="none"/>
          </c:marker>
          <c:trendline>
            <c:spPr>
              <a:ln>
                <a:solidFill>
                  <a:schemeClr val="bg2">
                    <a:lumMod val="90000"/>
                  </a:schemeClr>
                </a:solidFill>
              </a:ln>
            </c:spPr>
            <c:trendlineType val="linear"/>
          </c:trendline>
          <c:xVal>
            <c:numRef>
              <c:f>'Given Data'!$D$4:$D$24</c:f>
              <c:numCache>
                <c:formatCode>General</c:formatCode>
                <c:ptCount val="21"/>
                <c:pt idx="0">
                  <c:v>0.25</c:v>
                </c:pt>
                <c:pt idx="1">
                  <c:v>0.27</c:v>
                </c:pt>
                <c:pt idx="2">
                  <c:v>0.28000000000000008</c:v>
                </c:pt>
                <c:pt idx="3">
                  <c:v>0.4</c:v>
                </c:pt>
                <c:pt idx="4">
                  <c:v>0.4</c:v>
                </c:pt>
                <c:pt idx="5">
                  <c:v>0.5</c:v>
                </c:pt>
                <c:pt idx="6">
                  <c:v>0.52</c:v>
                </c:pt>
                <c:pt idx="7">
                  <c:v>0.55000000000000004</c:v>
                </c:pt>
                <c:pt idx="8">
                  <c:v>0.7000000000000004</c:v>
                </c:pt>
                <c:pt idx="9">
                  <c:v>0.98</c:v>
                </c:pt>
                <c:pt idx="10">
                  <c:v>1.1200000000000001</c:v>
                </c:pt>
                <c:pt idx="11">
                  <c:v>1.149999999999999</c:v>
                </c:pt>
                <c:pt idx="12">
                  <c:v>1.1000000000000001</c:v>
                </c:pt>
                <c:pt idx="13">
                  <c:v>1.3</c:v>
                </c:pt>
                <c:pt idx="14">
                  <c:v>1.6</c:v>
                </c:pt>
                <c:pt idx="15">
                  <c:v>1.8</c:v>
                </c:pt>
                <c:pt idx="16">
                  <c:v>2.1</c:v>
                </c:pt>
                <c:pt idx="17">
                  <c:v>2.7</c:v>
                </c:pt>
                <c:pt idx="18">
                  <c:v>4.9000000000000004</c:v>
                </c:pt>
                <c:pt idx="19">
                  <c:v>6</c:v>
                </c:pt>
                <c:pt idx="20">
                  <c:v>7.5</c:v>
                </c:pt>
              </c:numCache>
            </c:numRef>
          </c:xVal>
          <c:yVal>
            <c:numRef>
              <c:f>'Given Data'!$G$4:$G$24</c:f>
              <c:numCache>
                <c:formatCode>General</c:formatCode>
                <c:ptCount val="21"/>
                <c:pt idx="0">
                  <c:v>0</c:v>
                </c:pt>
                <c:pt idx="1">
                  <c:v>0.5</c:v>
                </c:pt>
                <c:pt idx="2">
                  <c:v>1.2</c:v>
                </c:pt>
                <c:pt idx="3">
                  <c:v>1</c:v>
                </c:pt>
                <c:pt idx="4">
                  <c:v>1</c:v>
                </c:pt>
                <c:pt idx="5">
                  <c:v>1</c:v>
                </c:pt>
                <c:pt idx="6">
                  <c:v>1.1000000000000001</c:v>
                </c:pt>
                <c:pt idx="7">
                  <c:v>0.8</c:v>
                </c:pt>
                <c:pt idx="8">
                  <c:v>0.9</c:v>
                </c:pt>
                <c:pt idx="9">
                  <c:v>0.8</c:v>
                </c:pt>
                <c:pt idx="10">
                  <c:v>1</c:v>
                </c:pt>
                <c:pt idx="11">
                  <c:v>1.3</c:v>
                </c:pt>
                <c:pt idx="12">
                  <c:v>1.4</c:v>
                </c:pt>
                <c:pt idx="13">
                  <c:v>0.9</c:v>
                </c:pt>
                <c:pt idx="14">
                  <c:v>0.9</c:v>
                </c:pt>
                <c:pt idx="15">
                  <c:v>1.4</c:v>
                </c:pt>
                <c:pt idx="16">
                  <c:v>2.2999999999999998</c:v>
                </c:pt>
                <c:pt idx="17">
                  <c:v>3.2</c:v>
                </c:pt>
                <c:pt idx="18">
                  <c:v>4.5</c:v>
                </c:pt>
                <c:pt idx="19">
                  <c:v>6.2</c:v>
                </c:pt>
                <c:pt idx="20">
                  <c:v>6.3</c:v>
                </c:pt>
              </c:numCache>
            </c:numRef>
          </c:yVal>
        </c:ser>
        <c:ser>
          <c:idx val="4"/>
          <c:order val="4"/>
          <c:tx>
            <c:v>Operator4</c:v>
          </c:tx>
          <c:spPr>
            <a:ln>
              <a:noFill/>
            </a:ln>
          </c:spPr>
          <c:marker>
            <c:symbol val="none"/>
          </c:marker>
          <c:trendline>
            <c:spPr>
              <a:ln>
                <a:solidFill>
                  <a:schemeClr val="tx2">
                    <a:lumMod val="40000"/>
                    <a:lumOff val="60000"/>
                  </a:schemeClr>
                </a:solidFill>
              </a:ln>
            </c:spPr>
            <c:trendlineType val="linear"/>
          </c:trendline>
          <c:xVal>
            <c:numRef>
              <c:f>'Given Data'!$D$4:$D$24</c:f>
              <c:numCache>
                <c:formatCode>General</c:formatCode>
                <c:ptCount val="21"/>
                <c:pt idx="0">
                  <c:v>0.25</c:v>
                </c:pt>
                <c:pt idx="1">
                  <c:v>0.27</c:v>
                </c:pt>
                <c:pt idx="2">
                  <c:v>0.28000000000000008</c:v>
                </c:pt>
                <c:pt idx="3">
                  <c:v>0.4</c:v>
                </c:pt>
                <c:pt idx="4">
                  <c:v>0.4</c:v>
                </c:pt>
                <c:pt idx="5">
                  <c:v>0.5</c:v>
                </c:pt>
                <c:pt idx="6">
                  <c:v>0.52</c:v>
                </c:pt>
                <c:pt idx="7">
                  <c:v>0.55000000000000004</c:v>
                </c:pt>
                <c:pt idx="8">
                  <c:v>0.7000000000000004</c:v>
                </c:pt>
                <c:pt idx="9">
                  <c:v>0.98</c:v>
                </c:pt>
                <c:pt idx="10">
                  <c:v>1.1200000000000001</c:v>
                </c:pt>
                <c:pt idx="11">
                  <c:v>1.149999999999999</c:v>
                </c:pt>
                <c:pt idx="12">
                  <c:v>1.1000000000000001</c:v>
                </c:pt>
                <c:pt idx="13">
                  <c:v>1.3</c:v>
                </c:pt>
                <c:pt idx="14">
                  <c:v>1.6</c:v>
                </c:pt>
                <c:pt idx="15">
                  <c:v>1.8</c:v>
                </c:pt>
                <c:pt idx="16">
                  <c:v>2.1</c:v>
                </c:pt>
                <c:pt idx="17">
                  <c:v>2.7</c:v>
                </c:pt>
                <c:pt idx="18">
                  <c:v>4.9000000000000004</c:v>
                </c:pt>
                <c:pt idx="19">
                  <c:v>6</c:v>
                </c:pt>
                <c:pt idx="20">
                  <c:v>7.5</c:v>
                </c:pt>
              </c:numCache>
            </c:numRef>
          </c:xVal>
          <c:yVal>
            <c:numRef>
              <c:f>'Given Data'!$H$4:$H$24</c:f>
              <c:numCache>
                <c:formatCode>General</c:formatCode>
                <c:ptCount val="21"/>
                <c:pt idx="0">
                  <c:v>0.5</c:v>
                </c:pt>
                <c:pt idx="1">
                  <c:v>1</c:v>
                </c:pt>
                <c:pt idx="2">
                  <c:v>0.5</c:v>
                </c:pt>
                <c:pt idx="3">
                  <c:v>1</c:v>
                </c:pt>
                <c:pt idx="4">
                  <c:v>1.1000000000000001</c:v>
                </c:pt>
                <c:pt idx="5">
                  <c:v>0.8</c:v>
                </c:pt>
                <c:pt idx="6">
                  <c:v>1</c:v>
                </c:pt>
                <c:pt idx="7">
                  <c:v>1.2</c:v>
                </c:pt>
                <c:pt idx="8">
                  <c:v>1.2</c:v>
                </c:pt>
                <c:pt idx="9">
                  <c:v>1.6</c:v>
                </c:pt>
                <c:pt idx="10">
                  <c:v>1.8</c:v>
                </c:pt>
                <c:pt idx="11">
                  <c:v>1.5</c:v>
                </c:pt>
                <c:pt idx="12">
                  <c:v>1.5</c:v>
                </c:pt>
                <c:pt idx="13">
                  <c:v>2</c:v>
                </c:pt>
                <c:pt idx="14">
                  <c:v>1.5</c:v>
                </c:pt>
                <c:pt idx="15">
                  <c:v>3.2</c:v>
                </c:pt>
                <c:pt idx="16">
                  <c:v>3</c:v>
                </c:pt>
                <c:pt idx="17">
                  <c:v>3.5</c:v>
                </c:pt>
                <c:pt idx="18">
                  <c:v>4.4000000000000004</c:v>
                </c:pt>
                <c:pt idx="19">
                  <c:v>5.5</c:v>
                </c:pt>
                <c:pt idx="20">
                  <c:v>6.5</c:v>
                </c:pt>
              </c:numCache>
            </c:numRef>
          </c:yVal>
        </c:ser>
        <c:ser>
          <c:idx val="5"/>
          <c:order val="5"/>
          <c:tx>
            <c:v>Operator5</c:v>
          </c:tx>
          <c:spPr>
            <a:ln>
              <a:noFill/>
            </a:ln>
          </c:spPr>
          <c:marker>
            <c:symbol val="none"/>
          </c:marker>
          <c:trendline>
            <c:spPr>
              <a:ln>
                <a:solidFill>
                  <a:schemeClr val="tx1">
                    <a:lumMod val="85000"/>
                    <a:lumOff val="15000"/>
                  </a:schemeClr>
                </a:solidFill>
                <a:prstDash val="sysDash"/>
              </a:ln>
            </c:spPr>
            <c:trendlineType val="linear"/>
          </c:trendline>
          <c:xVal>
            <c:numRef>
              <c:f>'Given Data'!$D$4:$D$24</c:f>
              <c:numCache>
                <c:formatCode>General</c:formatCode>
                <c:ptCount val="21"/>
                <c:pt idx="0">
                  <c:v>0.25</c:v>
                </c:pt>
                <c:pt idx="1">
                  <c:v>0.27</c:v>
                </c:pt>
                <c:pt idx="2">
                  <c:v>0.28000000000000008</c:v>
                </c:pt>
                <c:pt idx="3">
                  <c:v>0.4</c:v>
                </c:pt>
                <c:pt idx="4">
                  <c:v>0.4</c:v>
                </c:pt>
                <c:pt idx="5">
                  <c:v>0.5</c:v>
                </c:pt>
                <c:pt idx="6">
                  <c:v>0.52</c:v>
                </c:pt>
                <c:pt idx="7">
                  <c:v>0.55000000000000004</c:v>
                </c:pt>
                <c:pt idx="8">
                  <c:v>0.7000000000000004</c:v>
                </c:pt>
                <c:pt idx="9">
                  <c:v>0.98</c:v>
                </c:pt>
                <c:pt idx="10">
                  <c:v>1.1200000000000001</c:v>
                </c:pt>
                <c:pt idx="11">
                  <c:v>1.149999999999999</c:v>
                </c:pt>
                <c:pt idx="12">
                  <c:v>1.1000000000000001</c:v>
                </c:pt>
                <c:pt idx="13">
                  <c:v>1.3</c:v>
                </c:pt>
                <c:pt idx="14">
                  <c:v>1.6</c:v>
                </c:pt>
                <c:pt idx="15">
                  <c:v>1.8</c:v>
                </c:pt>
                <c:pt idx="16">
                  <c:v>2.1</c:v>
                </c:pt>
                <c:pt idx="17">
                  <c:v>2.7</c:v>
                </c:pt>
                <c:pt idx="18">
                  <c:v>4.9000000000000004</c:v>
                </c:pt>
                <c:pt idx="19">
                  <c:v>6</c:v>
                </c:pt>
                <c:pt idx="20">
                  <c:v>7.5</c:v>
                </c:pt>
              </c:numCache>
            </c:numRef>
          </c:xVal>
          <c:yVal>
            <c:numRef>
              <c:f>'Given Data'!$I$4:$I$24</c:f>
              <c:numCache>
                <c:formatCode>General</c:formatCode>
                <c:ptCount val="21"/>
                <c:pt idx="0">
                  <c:v>0</c:v>
                </c:pt>
                <c:pt idx="1">
                  <c:v>0</c:v>
                </c:pt>
                <c:pt idx="2">
                  <c:v>0</c:v>
                </c:pt>
                <c:pt idx="3">
                  <c:v>1</c:v>
                </c:pt>
                <c:pt idx="4">
                  <c:v>1</c:v>
                </c:pt>
                <c:pt idx="5">
                  <c:v>1</c:v>
                </c:pt>
                <c:pt idx="6">
                  <c:v>1.5</c:v>
                </c:pt>
                <c:pt idx="7">
                  <c:v>0.9</c:v>
                </c:pt>
                <c:pt idx="8">
                  <c:v>1.6</c:v>
                </c:pt>
                <c:pt idx="9">
                  <c:v>2</c:v>
                </c:pt>
                <c:pt idx="10">
                  <c:v>1.8</c:v>
                </c:pt>
                <c:pt idx="11">
                  <c:v>1</c:v>
                </c:pt>
                <c:pt idx="12">
                  <c:v>1.6</c:v>
                </c:pt>
                <c:pt idx="13">
                  <c:v>2</c:v>
                </c:pt>
                <c:pt idx="14">
                  <c:v>2</c:v>
                </c:pt>
                <c:pt idx="15">
                  <c:v>2</c:v>
                </c:pt>
                <c:pt idx="16">
                  <c:v>2.5</c:v>
                </c:pt>
                <c:pt idx="17">
                  <c:v>2.5</c:v>
                </c:pt>
                <c:pt idx="18">
                  <c:v>4.5</c:v>
                </c:pt>
                <c:pt idx="19">
                  <c:v>6.5</c:v>
                </c:pt>
                <c:pt idx="20">
                  <c:v>7.2</c:v>
                </c:pt>
              </c:numCache>
            </c:numRef>
          </c:yVal>
        </c:ser>
        <c:ser>
          <c:idx val="6"/>
          <c:order val="6"/>
          <c:tx>
            <c:v>Operator6</c:v>
          </c:tx>
          <c:spPr>
            <a:ln>
              <a:noFill/>
            </a:ln>
          </c:spPr>
          <c:marker>
            <c:symbol val="none"/>
          </c:marker>
          <c:trendline>
            <c:spPr>
              <a:ln>
                <a:solidFill>
                  <a:schemeClr val="accent6">
                    <a:lumMod val="60000"/>
                    <a:lumOff val="40000"/>
                  </a:schemeClr>
                </a:solidFill>
              </a:ln>
            </c:spPr>
            <c:trendlineType val="linear"/>
          </c:trendline>
          <c:xVal>
            <c:numRef>
              <c:f>'Given Data'!$D$4:$D$24</c:f>
              <c:numCache>
                <c:formatCode>General</c:formatCode>
                <c:ptCount val="21"/>
                <c:pt idx="0">
                  <c:v>0.25</c:v>
                </c:pt>
                <c:pt idx="1">
                  <c:v>0.27</c:v>
                </c:pt>
                <c:pt idx="2">
                  <c:v>0.28000000000000008</c:v>
                </c:pt>
                <c:pt idx="3">
                  <c:v>0.4</c:v>
                </c:pt>
                <c:pt idx="4">
                  <c:v>0.4</c:v>
                </c:pt>
                <c:pt idx="5">
                  <c:v>0.5</c:v>
                </c:pt>
                <c:pt idx="6">
                  <c:v>0.52</c:v>
                </c:pt>
                <c:pt idx="7">
                  <c:v>0.55000000000000004</c:v>
                </c:pt>
                <c:pt idx="8">
                  <c:v>0.7000000000000004</c:v>
                </c:pt>
                <c:pt idx="9">
                  <c:v>0.98</c:v>
                </c:pt>
                <c:pt idx="10">
                  <c:v>1.1200000000000001</c:v>
                </c:pt>
                <c:pt idx="11">
                  <c:v>1.149999999999999</c:v>
                </c:pt>
                <c:pt idx="12">
                  <c:v>1.1000000000000001</c:v>
                </c:pt>
                <c:pt idx="13">
                  <c:v>1.3</c:v>
                </c:pt>
                <c:pt idx="14">
                  <c:v>1.6</c:v>
                </c:pt>
                <c:pt idx="15">
                  <c:v>1.8</c:v>
                </c:pt>
                <c:pt idx="16">
                  <c:v>2.1</c:v>
                </c:pt>
                <c:pt idx="17">
                  <c:v>2.7</c:v>
                </c:pt>
                <c:pt idx="18">
                  <c:v>4.9000000000000004</c:v>
                </c:pt>
                <c:pt idx="19">
                  <c:v>6</c:v>
                </c:pt>
                <c:pt idx="20">
                  <c:v>7.5</c:v>
                </c:pt>
              </c:numCache>
            </c:numRef>
          </c:xVal>
          <c:yVal>
            <c:numRef>
              <c:f>'Given Data'!$J$4:$J$24</c:f>
              <c:numCache>
                <c:formatCode>General</c:formatCode>
                <c:ptCount val="21"/>
                <c:pt idx="0">
                  <c:v>1</c:v>
                </c:pt>
                <c:pt idx="1">
                  <c:v>1</c:v>
                </c:pt>
                <c:pt idx="2">
                  <c:v>1</c:v>
                </c:pt>
                <c:pt idx="3">
                  <c:v>1.2</c:v>
                </c:pt>
                <c:pt idx="4">
                  <c:v>1.4</c:v>
                </c:pt>
                <c:pt idx="5">
                  <c:v>1.1000000000000001</c:v>
                </c:pt>
                <c:pt idx="6">
                  <c:v>0.9</c:v>
                </c:pt>
                <c:pt idx="7">
                  <c:v>0.5</c:v>
                </c:pt>
                <c:pt idx="8">
                  <c:v>2</c:v>
                </c:pt>
                <c:pt idx="9">
                  <c:v>1.9000000000000001</c:v>
                </c:pt>
                <c:pt idx="10">
                  <c:v>1</c:v>
                </c:pt>
                <c:pt idx="11">
                  <c:v>2.2000000000000002</c:v>
                </c:pt>
                <c:pt idx="12">
                  <c:v>2</c:v>
                </c:pt>
                <c:pt idx="13">
                  <c:v>2.2000000000000002</c:v>
                </c:pt>
                <c:pt idx="14">
                  <c:v>2</c:v>
                </c:pt>
                <c:pt idx="15">
                  <c:v>2.4</c:v>
                </c:pt>
                <c:pt idx="16">
                  <c:v>3.5</c:v>
                </c:pt>
                <c:pt idx="17">
                  <c:v>2.8</c:v>
                </c:pt>
                <c:pt idx="18">
                  <c:v>5.7</c:v>
                </c:pt>
                <c:pt idx="19">
                  <c:v>7</c:v>
                </c:pt>
                <c:pt idx="20">
                  <c:v>8</c:v>
                </c:pt>
              </c:numCache>
            </c:numRef>
          </c:yVal>
        </c:ser>
        <c:ser>
          <c:idx val="7"/>
          <c:order val="7"/>
          <c:tx>
            <c:v>Operator7</c:v>
          </c:tx>
          <c:spPr>
            <a:ln>
              <a:noFill/>
            </a:ln>
          </c:spPr>
          <c:marker>
            <c:symbol val="none"/>
          </c:marker>
          <c:trendline>
            <c:spPr>
              <a:ln>
                <a:solidFill>
                  <a:schemeClr val="accent3">
                    <a:lumMod val="75000"/>
                  </a:schemeClr>
                </a:solidFill>
              </a:ln>
            </c:spPr>
            <c:trendlineType val="linear"/>
          </c:trendline>
          <c:xVal>
            <c:numRef>
              <c:f>'Given Data'!$D$4:$D$24</c:f>
              <c:numCache>
                <c:formatCode>General</c:formatCode>
                <c:ptCount val="21"/>
                <c:pt idx="0">
                  <c:v>0.25</c:v>
                </c:pt>
                <c:pt idx="1">
                  <c:v>0.27</c:v>
                </c:pt>
                <c:pt idx="2">
                  <c:v>0.28000000000000008</c:v>
                </c:pt>
                <c:pt idx="3">
                  <c:v>0.4</c:v>
                </c:pt>
                <c:pt idx="4">
                  <c:v>0.4</c:v>
                </c:pt>
                <c:pt idx="5">
                  <c:v>0.5</c:v>
                </c:pt>
                <c:pt idx="6">
                  <c:v>0.52</c:v>
                </c:pt>
                <c:pt idx="7">
                  <c:v>0.55000000000000004</c:v>
                </c:pt>
                <c:pt idx="8">
                  <c:v>0.7000000000000004</c:v>
                </c:pt>
                <c:pt idx="9">
                  <c:v>0.98</c:v>
                </c:pt>
                <c:pt idx="10">
                  <c:v>1.1200000000000001</c:v>
                </c:pt>
                <c:pt idx="11">
                  <c:v>1.149999999999999</c:v>
                </c:pt>
                <c:pt idx="12">
                  <c:v>1.1000000000000001</c:v>
                </c:pt>
                <c:pt idx="13">
                  <c:v>1.3</c:v>
                </c:pt>
                <c:pt idx="14">
                  <c:v>1.6</c:v>
                </c:pt>
                <c:pt idx="15">
                  <c:v>1.8</c:v>
                </c:pt>
                <c:pt idx="16">
                  <c:v>2.1</c:v>
                </c:pt>
                <c:pt idx="17">
                  <c:v>2.7</c:v>
                </c:pt>
                <c:pt idx="18">
                  <c:v>4.9000000000000004</c:v>
                </c:pt>
                <c:pt idx="19">
                  <c:v>6</c:v>
                </c:pt>
                <c:pt idx="20">
                  <c:v>7.5</c:v>
                </c:pt>
              </c:numCache>
            </c:numRef>
          </c:xVal>
          <c:yVal>
            <c:numRef>
              <c:f>'Given Data'!$K$4:$K$24</c:f>
              <c:numCache>
                <c:formatCode>General</c:formatCode>
                <c:ptCount val="21"/>
                <c:pt idx="0">
                  <c:v>0.5</c:v>
                </c:pt>
                <c:pt idx="1">
                  <c:v>0.5</c:v>
                </c:pt>
                <c:pt idx="2">
                  <c:v>0.5</c:v>
                </c:pt>
                <c:pt idx="3">
                  <c:v>0.60000000000000042</c:v>
                </c:pt>
                <c:pt idx="4">
                  <c:v>0.2</c:v>
                </c:pt>
                <c:pt idx="5">
                  <c:v>0</c:v>
                </c:pt>
                <c:pt idx="6">
                  <c:v>1</c:v>
                </c:pt>
                <c:pt idx="7">
                  <c:v>1.3</c:v>
                </c:pt>
                <c:pt idx="8">
                  <c:v>1.6</c:v>
                </c:pt>
                <c:pt idx="9">
                  <c:v>0.5</c:v>
                </c:pt>
                <c:pt idx="10">
                  <c:v>1.8</c:v>
                </c:pt>
                <c:pt idx="11">
                  <c:v>1.8</c:v>
                </c:pt>
                <c:pt idx="12">
                  <c:v>0.5</c:v>
                </c:pt>
                <c:pt idx="13">
                  <c:v>1.7</c:v>
                </c:pt>
                <c:pt idx="14">
                  <c:v>1.2</c:v>
                </c:pt>
                <c:pt idx="15">
                  <c:v>2.2000000000000002</c:v>
                </c:pt>
                <c:pt idx="16">
                  <c:v>2</c:v>
                </c:pt>
                <c:pt idx="17">
                  <c:v>2.5</c:v>
                </c:pt>
                <c:pt idx="18">
                  <c:v>4.2</c:v>
                </c:pt>
                <c:pt idx="19">
                  <c:v>5.3</c:v>
                </c:pt>
                <c:pt idx="20">
                  <c:v>6.5</c:v>
                </c:pt>
              </c:numCache>
            </c:numRef>
          </c:yVal>
        </c:ser>
        <c:ser>
          <c:idx val="8"/>
          <c:order val="8"/>
          <c:tx>
            <c:v>Operator8</c:v>
          </c:tx>
          <c:spPr>
            <a:ln>
              <a:noFill/>
            </a:ln>
          </c:spPr>
          <c:marker>
            <c:symbol val="none"/>
          </c:marker>
          <c:trendline>
            <c:spPr>
              <a:ln w="22225">
                <a:solidFill>
                  <a:schemeClr val="tx2">
                    <a:lumMod val="60000"/>
                    <a:lumOff val="40000"/>
                  </a:schemeClr>
                </a:solidFill>
                <a:prstDash val="sysDot"/>
              </a:ln>
            </c:spPr>
            <c:trendlineType val="linear"/>
          </c:trendline>
          <c:xVal>
            <c:numRef>
              <c:f>'Given Data'!$D$4:$D$24</c:f>
              <c:numCache>
                <c:formatCode>General</c:formatCode>
                <c:ptCount val="21"/>
                <c:pt idx="0">
                  <c:v>0.25</c:v>
                </c:pt>
                <c:pt idx="1">
                  <c:v>0.27</c:v>
                </c:pt>
                <c:pt idx="2">
                  <c:v>0.28000000000000008</c:v>
                </c:pt>
                <c:pt idx="3">
                  <c:v>0.4</c:v>
                </c:pt>
                <c:pt idx="4">
                  <c:v>0.4</c:v>
                </c:pt>
                <c:pt idx="5">
                  <c:v>0.5</c:v>
                </c:pt>
                <c:pt idx="6">
                  <c:v>0.52</c:v>
                </c:pt>
                <c:pt idx="7">
                  <c:v>0.55000000000000004</c:v>
                </c:pt>
                <c:pt idx="8">
                  <c:v>0.7000000000000004</c:v>
                </c:pt>
                <c:pt idx="9">
                  <c:v>0.98</c:v>
                </c:pt>
                <c:pt idx="10">
                  <c:v>1.1200000000000001</c:v>
                </c:pt>
                <c:pt idx="11">
                  <c:v>1.149999999999999</c:v>
                </c:pt>
                <c:pt idx="12">
                  <c:v>1.1000000000000001</c:v>
                </c:pt>
                <c:pt idx="13">
                  <c:v>1.3</c:v>
                </c:pt>
                <c:pt idx="14">
                  <c:v>1.6</c:v>
                </c:pt>
                <c:pt idx="15">
                  <c:v>1.8</c:v>
                </c:pt>
                <c:pt idx="16">
                  <c:v>2.1</c:v>
                </c:pt>
                <c:pt idx="17">
                  <c:v>2.7</c:v>
                </c:pt>
                <c:pt idx="18">
                  <c:v>4.9000000000000004</c:v>
                </c:pt>
                <c:pt idx="19">
                  <c:v>6</c:v>
                </c:pt>
                <c:pt idx="20">
                  <c:v>7.5</c:v>
                </c:pt>
              </c:numCache>
            </c:numRef>
          </c:xVal>
          <c:yVal>
            <c:numRef>
              <c:f>'Given Data'!$L$4:$L$24</c:f>
              <c:numCache>
                <c:formatCode>General</c:formatCode>
                <c:ptCount val="21"/>
                <c:pt idx="0">
                  <c:v>1</c:v>
                </c:pt>
                <c:pt idx="1">
                  <c:v>1</c:v>
                </c:pt>
                <c:pt idx="2">
                  <c:v>1</c:v>
                </c:pt>
                <c:pt idx="3">
                  <c:v>1</c:v>
                </c:pt>
                <c:pt idx="4">
                  <c:v>1</c:v>
                </c:pt>
                <c:pt idx="5">
                  <c:v>1.2</c:v>
                </c:pt>
                <c:pt idx="6">
                  <c:v>1</c:v>
                </c:pt>
                <c:pt idx="7">
                  <c:v>1</c:v>
                </c:pt>
                <c:pt idx="8">
                  <c:v>1</c:v>
                </c:pt>
                <c:pt idx="9">
                  <c:v>1</c:v>
                </c:pt>
                <c:pt idx="10">
                  <c:v>1.5</c:v>
                </c:pt>
                <c:pt idx="11">
                  <c:v>1.5</c:v>
                </c:pt>
                <c:pt idx="12">
                  <c:v>2</c:v>
                </c:pt>
                <c:pt idx="13">
                  <c:v>1.5</c:v>
                </c:pt>
                <c:pt idx="14">
                  <c:v>2</c:v>
                </c:pt>
                <c:pt idx="15">
                  <c:v>2.5</c:v>
                </c:pt>
                <c:pt idx="16">
                  <c:v>2</c:v>
                </c:pt>
                <c:pt idx="17">
                  <c:v>3.5</c:v>
                </c:pt>
                <c:pt idx="18">
                  <c:v>5.5</c:v>
                </c:pt>
                <c:pt idx="19">
                  <c:v>6.5</c:v>
                </c:pt>
                <c:pt idx="20">
                  <c:v>8</c:v>
                </c:pt>
              </c:numCache>
            </c:numRef>
          </c:yVal>
        </c:ser>
        <c:ser>
          <c:idx val="9"/>
          <c:order val="9"/>
          <c:tx>
            <c:v>Operator9</c:v>
          </c:tx>
          <c:spPr>
            <a:ln>
              <a:noFill/>
            </a:ln>
          </c:spPr>
          <c:marker>
            <c:symbol val="none"/>
          </c:marker>
          <c:trendline>
            <c:spPr>
              <a:ln w="22225">
                <a:solidFill>
                  <a:srgbClr val="FFFF00"/>
                </a:solidFill>
                <a:prstDash val="dashDot"/>
              </a:ln>
            </c:spPr>
            <c:trendlineType val="linear"/>
          </c:trendline>
          <c:xVal>
            <c:numRef>
              <c:f>'Given Data'!$D$4:$D$24</c:f>
              <c:numCache>
                <c:formatCode>General</c:formatCode>
                <c:ptCount val="21"/>
                <c:pt idx="0">
                  <c:v>0.25</c:v>
                </c:pt>
                <c:pt idx="1">
                  <c:v>0.27</c:v>
                </c:pt>
                <c:pt idx="2">
                  <c:v>0.28000000000000008</c:v>
                </c:pt>
                <c:pt idx="3">
                  <c:v>0.4</c:v>
                </c:pt>
                <c:pt idx="4">
                  <c:v>0.4</c:v>
                </c:pt>
                <c:pt idx="5">
                  <c:v>0.5</c:v>
                </c:pt>
                <c:pt idx="6">
                  <c:v>0.52</c:v>
                </c:pt>
                <c:pt idx="7">
                  <c:v>0.55000000000000004</c:v>
                </c:pt>
                <c:pt idx="8">
                  <c:v>0.7000000000000004</c:v>
                </c:pt>
                <c:pt idx="9">
                  <c:v>0.98</c:v>
                </c:pt>
                <c:pt idx="10">
                  <c:v>1.1200000000000001</c:v>
                </c:pt>
                <c:pt idx="11">
                  <c:v>1.149999999999999</c:v>
                </c:pt>
                <c:pt idx="12">
                  <c:v>1.1000000000000001</c:v>
                </c:pt>
                <c:pt idx="13">
                  <c:v>1.3</c:v>
                </c:pt>
                <c:pt idx="14">
                  <c:v>1.6</c:v>
                </c:pt>
                <c:pt idx="15">
                  <c:v>1.8</c:v>
                </c:pt>
                <c:pt idx="16">
                  <c:v>2.1</c:v>
                </c:pt>
                <c:pt idx="17">
                  <c:v>2.7</c:v>
                </c:pt>
                <c:pt idx="18">
                  <c:v>4.9000000000000004</c:v>
                </c:pt>
                <c:pt idx="19">
                  <c:v>6</c:v>
                </c:pt>
                <c:pt idx="20">
                  <c:v>7.5</c:v>
                </c:pt>
              </c:numCache>
            </c:numRef>
          </c:xVal>
          <c:yVal>
            <c:numRef>
              <c:f>'Given Data'!$M$4:$M$24</c:f>
              <c:numCache>
                <c:formatCode>General</c:formatCode>
                <c:ptCount val="21"/>
                <c:pt idx="0">
                  <c:v>0.8</c:v>
                </c:pt>
                <c:pt idx="1">
                  <c:v>0.8</c:v>
                </c:pt>
                <c:pt idx="2">
                  <c:v>1.3</c:v>
                </c:pt>
                <c:pt idx="3">
                  <c:v>1.5</c:v>
                </c:pt>
                <c:pt idx="4">
                  <c:v>1.6</c:v>
                </c:pt>
                <c:pt idx="5">
                  <c:v>1</c:v>
                </c:pt>
                <c:pt idx="6">
                  <c:v>0.9</c:v>
                </c:pt>
                <c:pt idx="7">
                  <c:v>1.6</c:v>
                </c:pt>
                <c:pt idx="8">
                  <c:v>2.2000000000000002</c:v>
                </c:pt>
                <c:pt idx="9">
                  <c:v>1.8</c:v>
                </c:pt>
                <c:pt idx="10">
                  <c:v>2</c:v>
                </c:pt>
                <c:pt idx="11">
                  <c:v>2</c:v>
                </c:pt>
                <c:pt idx="12">
                  <c:v>2.2000000000000002</c:v>
                </c:pt>
                <c:pt idx="13">
                  <c:v>2</c:v>
                </c:pt>
                <c:pt idx="14">
                  <c:v>2</c:v>
                </c:pt>
                <c:pt idx="15">
                  <c:v>2.5</c:v>
                </c:pt>
                <c:pt idx="16">
                  <c:v>3.2</c:v>
                </c:pt>
                <c:pt idx="17">
                  <c:v>3.5</c:v>
                </c:pt>
                <c:pt idx="18">
                  <c:v>5.4</c:v>
                </c:pt>
                <c:pt idx="19">
                  <c:v>6.7</c:v>
                </c:pt>
                <c:pt idx="20">
                  <c:v>6.9</c:v>
                </c:pt>
              </c:numCache>
            </c:numRef>
          </c:yVal>
        </c:ser>
        <c:ser>
          <c:idx val="10"/>
          <c:order val="10"/>
          <c:tx>
            <c:v>Operator10</c:v>
          </c:tx>
          <c:spPr>
            <a:ln>
              <a:noFill/>
            </a:ln>
          </c:spPr>
          <c:marker>
            <c:symbol val="none"/>
          </c:marker>
          <c:trendline>
            <c:spPr>
              <a:ln w="15875">
                <a:solidFill>
                  <a:schemeClr val="accent5">
                    <a:lumMod val="60000"/>
                    <a:lumOff val="40000"/>
                  </a:schemeClr>
                </a:solidFill>
                <a:prstDash val="lgDashDotDot"/>
              </a:ln>
            </c:spPr>
            <c:trendlineType val="linear"/>
          </c:trendline>
          <c:xVal>
            <c:numRef>
              <c:f>'Given Data'!$D$4:$D$24</c:f>
              <c:numCache>
                <c:formatCode>General</c:formatCode>
                <c:ptCount val="21"/>
                <c:pt idx="0">
                  <c:v>0.25</c:v>
                </c:pt>
                <c:pt idx="1">
                  <c:v>0.27</c:v>
                </c:pt>
                <c:pt idx="2">
                  <c:v>0.28000000000000008</c:v>
                </c:pt>
                <c:pt idx="3">
                  <c:v>0.4</c:v>
                </c:pt>
                <c:pt idx="4">
                  <c:v>0.4</c:v>
                </c:pt>
                <c:pt idx="5">
                  <c:v>0.5</c:v>
                </c:pt>
                <c:pt idx="6">
                  <c:v>0.52</c:v>
                </c:pt>
                <c:pt idx="7">
                  <c:v>0.55000000000000004</c:v>
                </c:pt>
                <c:pt idx="8">
                  <c:v>0.7000000000000004</c:v>
                </c:pt>
                <c:pt idx="9">
                  <c:v>0.98</c:v>
                </c:pt>
                <c:pt idx="10">
                  <c:v>1.1200000000000001</c:v>
                </c:pt>
                <c:pt idx="11">
                  <c:v>1.149999999999999</c:v>
                </c:pt>
                <c:pt idx="12">
                  <c:v>1.1000000000000001</c:v>
                </c:pt>
                <c:pt idx="13">
                  <c:v>1.3</c:v>
                </c:pt>
                <c:pt idx="14">
                  <c:v>1.6</c:v>
                </c:pt>
                <c:pt idx="15">
                  <c:v>1.8</c:v>
                </c:pt>
                <c:pt idx="16">
                  <c:v>2.1</c:v>
                </c:pt>
                <c:pt idx="17">
                  <c:v>2.7</c:v>
                </c:pt>
                <c:pt idx="18">
                  <c:v>4.9000000000000004</c:v>
                </c:pt>
                <c:pt idx="19">
                  <c:v>6</c:v>
                </c:pt>
                <c:pt idx="20">
                  <c:v>7.5</c:v>
                </c:pt>
              </c:numCache>
            </c:numRef>
          </c:xVal>
          <c:yVal>
            <c:numRef>
              <c:f>'Given Data'!$N$4:$N$24</c:f>
              <c:numCache>
                <c:formatCode>General</c:formatCode>
                <c:ptCount val="21"/>
                <c:pt idx="0">
                  <c:v>0.5</c:v>
                </c:pt>
                <c:pt idx="1">
                  <c:v>0.7000000000000004</c:v>
                </c:pt>
                <c:pt idx="2">
                  <c:v>0.8</c:v>
                </c:pt>
                <c:pt idx="3">
                  <c:v>0.9</c:v>
                </c:pt>
                <c:pt idx="4">
                  <c:v>1</c:v>
                </c:pt>
                <c:pt idx="5">
                  <c:v>0.8</c:v>
                </c:pt>
                <c:pt idx="6">
                  <c:v>1</c:v>
                </c:pt>
                <c:pt idx="7">
                  <c:v>1</c:v>
                </c:pt>
                <c:pt idx="8">
                  <c:v>1.4</c:v>
                </c:pt>
                <c:pt idx="9">
                  <c:v>1.3</c:v>
                </c:pt>
                <c:pt idx="10">
                  <c:v>1.4</c:v>
                </c:pt>
                <c:pt idx="11">
                  <c:v>1.6</c:v>
                </c:pt>
                <c:pt idx="12">
                  <c:v>1.6</c:v>
                </c:pt>
                <c:pt idx="13">
                  <c:v>1.7</c:v>
                </c:pt>
                <c:pt idx="14">
                  <c:v>1.6</c:v>
                </c:pt>
                <c:pt idx="15">
                  <c:v>2.1</c:v>
                </c:pt>
                <c:pt idx="16">
                  <c:v>2.5</c:v>
                </c:pt>
                <c:pt idx="17">
                  <c:v>3</c:v>
                </c:pt>
                <c:pt idx="18">
                  <c:v>4.9000000000000004</c:v>
                </c:pt>
                <c:pt idx="19">
                  <c:v>6.2</c:v>
                </c:pt>
                <c:pt idx="20">
                  <c:v>7</c:v>
                </c:pt>
              </c:numCache>
            </c:numRef>
          </c:yVal>
        </c:ser>
        <c:axId val="195520768"/>
        <c:axId val="205717504"/>
      </c:scatterChart>
      <c:valAx>
        <c:axId val="195520768"/>
        <c:scaling>
          <c:orientation val="minMax"/>
        </c:scaling>
        <c:axPos val="b"/>
        <c:numFmt formatCode="General" sourceLinked="1"/>
        <c:tickLblPos val="nextTo"/>
        <c:txPr>
          <a:bodyPr/>
          <a:lstStyle/>
          <a:p>
            <a:pPr>
              <a:defRPr>
                <a:latin typeface="Times New Roman" pitchFamily="18" charset="0"/>
                <a:cs typeface="Times New Roman" pitchFamily="18" charset="0"/>
              </a:defRPr>
            </a:pPr>
            <a:endParaRPr lang="en-US"/>
          </a:p>
        </c:txPr>
        <c:crossAx val="205717504"/>
        <c:crosses val="autoZero"/>
        <c:crossBetween val="midCat"/>
      </c:valAx>
      <c:valAx>
        <c:axId val="205717504"/>
        <c:scaling>
          <c:orientation val="minMax"/>
        </c:scaling>
        <c:axPos val="l"/>
        <c:majorGridlines/>
        <c:numFmt formatCode="General" sourceLinked="1"/>
        <c:tickLblPos val="nextTo"/>
        <c:txPr>
          <a:bodyPr/>
          <a:lstStyle/>
          <a:p>
            <a:pPr>
              <a:defRPr>
                <a:latin typeface="Times New Roman" pitchFamily="18" charset="0"/>
                <a:cs typeface="Times New Roman" pitchFamily="18" charset="0"/>
              </a:defRPr>
            </a:pPr>
            <a:endParaRPr lang="en-US"/>
          </a:p>
        </c:txPr>
        <c:crossAx val="195520768"/>
        <c:crosses val="autoZero"/>
        <c:crossBetween val="midCat"/>
      </c:valAx>
      <c:spPr>
        <a:solidFill>
          <a:schemeClr val="bg1">
            <a:lumMod val="75000"/>
          </a:schemeClr>
        </a:solidFill>
        <a:ln w="25400">
          <a:noFill/>
        </a:ln>
      </c:spPr>
    </c:plotArea>
    <c:legend>
      <c:legendPos val="r"/>
      <c:legendEntry>
        <c:idx val="-1"/>
        <c:delete val="1"/>
      </c:legendEntry>
      <c:legendEntry>
        <c:idx val="1"/>
        <c:delete val="1"/>
      </c:legendEntry>
      <c:legendEntry>
        <c:idx val="2"/>
        <c:delete val="1"/>
      </c:legendEntry>
      <c:legendEntry>
        <c:idx val="3"/>
        <c:delete val="1"/>
      </c:legendEntry>
      <c:legendEntry>
        <c:idx val="4"/>
        <c:delete val="1"/>
      </c:legendEntry>
      <c:legendEntry>
        <c:idx val="5"/>
        <c:delete val="1"/>
      </c:legendEntry>
      <c:legendEntry>
        <c:idx val="6"/>
        <c:delete val="1"/>
      </c:legendEntry>
      <c:legendEntry>
        <c:idx val="7"/>
        <c:delete val="1"/>
      </c:legendEntry>
      <c:legendEntry>
        <c:idx val="8"/>
        <c:delete val="1"/>
      </c:legendEntry>
      <c:legendEntry>
        <c:idx val="9"/>
        <c:delete val="1"/>
      </c:legendEntry>
      <c:legendEntry>
        <c:idx val="10"/>
        <c:delete val="1"/>
      </c:legendEntry>
      <c:layout>
        <c:manualLayout>
          <c:xMode val="edge"/>
          <c:yMode val="edge"/>
          <c:x val="0.71602670138673608"/>
          <c:y val="0.45288403910141162"/>
          <c:w val="0.28111120755574842"/>
          <c:h val="0.42092256184512378"/>
        </c:manualLayout>
      </c:layout>
      <c:overlay val="1"/>
      <c:spPr>
        <a:solidFill>
          <a:schemeClr val="bg1"/>
        </a:solidFill>
      </c:spPr>
      <c:txPr>
        <a:bodyPr/>
        <a:lstStyle/>
        <a:p>
          <a:pPr>
            <a:defRPr sz="800">
              <a:latin typeface="Times New Roman" pitchFamily="18" charset="0"/>
              <a:cs typeface="Times New Roman" pitchFamily="18" charset="0"/>
            </a:defRPr>
          </a:pPr>
          <a:endParaRPr lang="en-US"/>
        </a:p>
      </c:txPr>
    </c:legend>
    <c:plotVisOnly val="1"/>
  </c:chart>
  <c:externalData r:id="rId1"/>
</c:chartSpace>
</file>

<file path=word/charts/chart22.xml><?xml version="1.0" encoding="utf-8"?>
<c:chartSpace xmlns:c="http://schemas.openxmlformats.org/drawingml/2006/chart" xmlns:a="http://schemas.openxmlformats.org/drawingml/2006/main" xmlns:r="http://schemas.openxmlformats.org/officeDocument/2006/relationships">
  <c:date1904 val="1"/>
  <c:lang val="en-US"/>
  <c:chart>
    <c:plotArea>
      <c:layout/>
      <c:scatterChart>
        <c:scatterStyle val="smoothMarker"/>
        <c:ser>
          <c:idx val="0"/>
          <c:order val="0"/>
          <c:tx>
            <c:v>Normal op1</c:v>
          </c:tx>
          <c:marker>
            <c:symbol val="none"/>
          </c:marker>
          <c:xVal>
            <c:numRef>
              <c:f>'Observer 1'!$F$4:$F$24</c:f>
              <c:numCache>
                <c:formatCode>General</c:formatCode>
                <c:ptCount val="21"/>
                <c:pt idx="0">
                  <c:v>-1</c:v>
                </c:pt>
                <c:pt idx="1">
                  <c:v>-0.9</c:v>
                </c:pt>
                <c:pt idx="2">
                  <c:v>-0.8</c:v>
                </c:pt>
                <c:pt idx="3">
                  <c:v>-0.70000000000000029</c:v>
                </c:pt>
                <c:pt idx="4">
                  <c:v>-0.60000000000000031</c:v>
                </c:pt>
                <c:pt idx="5">
                  <c:v>-0.50000000000000011</c:v>
                </c:pt>
                <c:pt idx="6">
                  <c:v>-0.40000000000000024</c:v>
                </c:pt>
                <c:pt idx="7">
                  <c:v>-0.30000000000000027</c:v>
                </c:pt>
                <c:pt idx="8">
                  <c:v>-0.20000000000000021</c:v>
                </c:pt>
                <c:pt idx="9">
                  <c:v>-0.10000000000000014</c:v>
                </c:pt>
                <c:pt idx="10">
                  <c:v>-1.3877787807814481E-16</c:v>
                </c:pt>
                <c:pt idx="11">
                  <c:v>9.9999999999999922E-2</c:v>
                </c:pt>
                <c:pt idx="12">
                  <c:v>0.19999999999999996</c:v>
                </c:pt>
                <c:pt idx="13">
                  <c:v>0.30000000000000004</c:v>
                </c:pt>
                <c:pt idx="14">
                  <c:v>0.4</c:v>
                </c:pt>
                <c:pt idx="15">
                  <c:v>0.5</c:v>
                </c:pt>
                <c:pt idx="16">
                  <c:v>0.59999999999999987</c:v>
                </c:pt>
                <c:pt idx="17">
                  <c:v>0.69999999999999984</c:v>
                </c:pt>
                <c:pt idx="18">
                  <c:v>0.79999999999999982</c:v>
                </c:pt>
                <c:pt idx="19">
                  <c:v>0.8999999999999998</c:v>
                </c:pt>
                <c:pt idx="20">
                  <c:v>0.99999999999999978</c:v>
                </c:pt>
              </c:numCache>
            </c:numRef>
          </c:xVal>
          <c:yVal>
            <c:numRef>
              <c:f>'Observer 1'!$G$4:$G$24</c:f>
              <c:numCache>
                <c:formatCode>General</c:formatCode>
                <c:ptCount val="21"/>
                <c:pt idx="0">
                  <c:v>0.14886333335200497</c:v>
                </c:pt>
                <c:pt idx="1">
                  <c:v>0.21959935706949274</c:v>
                </c:pt>
                <c:pt idx="2">
                  <c:v>0.30873111451549423</c:v>
                </c:pt>
                <c:pt idx="3">
                  <c:v>0.41365259087007766</c:v>
                </c:pt>
                <c:pt idx="4">
                  <c:v>0.52819843318097848</c:v>
                </c:pt>
                <c:pt idx="5">
                  <c:v>0.64278314475582787</c:v>
                </c:pt>
                <c:pt idx="6">
                  <c:v>0.74548320410510538</c:v>
                </c:pt>
                <c:pt idx="7">
                  <c:v>0.82398111462348289</c:v>
                </c:pt>
                <c:pt idx="8">
                  <c:v>0.86796590217742864</c:v>
                </c:pt>
                <c:pt idx="9">
                  <c:v>0.87135290307025659</c:v>
                </c:pt>
                <c:pt idx="10">
                  <c:v>0.83366489147776113</c:v>
                </c:pt>
                <c:pt idx="11">
                  <c:v>0.76014239289189534</c:v>
                </c:pt>
                <c:pt idx="12">
                  <c:v>0.66054803775309845</c:v>
                </c:pt>
                <c:pt idx="13">
                  <c:v>0.54704099267402084</c:v>
                </c:pt>
                <c:pt idx="14">
                  <c:v>0.43175894907931811</c:v>
                </c:pt>
                <c:pt idx="15">
                  <c:v>0.32476471358575143</c:v>
                </c:pt>
                <c:pt idx="16">
                  <c:v>0.23281037791939491</c:v>
                </c:pt>
                <c:pt idx="17">
                  <c:v>0.15905299349162993</c:v>
                </c:pt>
                <c:pt idx="18">
                  <c:v>0.10355888608058446</c:v>
                </c:pt>
                <c:pt idx="19">
                  <c:v>6.4259731281867474E-2</c:v>
                </c:pt>
                <c:pt idx="20">
                  <c:v>3.8001124799168132E-2</c:v>
                </c:pt>
              </c:numCache>
            </c:numRef>
          </c:yVal>
          <c:smooth val="1"/>
        </c:ser>
        <c:ser>
          <c:idx val="1"/>
          <c:order val="1"/>
          <c:tx>
            <c:v>Normal op2</c:v>
          </c:tx>
          <c:marker>
            <c:symbol val="none"/>
          </c:marker>
          <c:xVal>
            <c:numRef>
              <c:f>'Observer 2'!$G$5:$G$30</c:f>
              <c:numCache>
                <c:formatCode>General</c:formatCode>
                <c:ptCount val="26"/>
                <c:pt idx="0">
                  <c:v>-1</c:v>
                </c:pt>
                <c:pt idx="1">
                  <c:v>-0.9</c:v>
                </c:pt>
                <c:pt idx="2">
                  <c:v>-0.8</c:v>
                </c:pt>
                <c:pt idx="3">
                  <c:v>-0.70000000000000029</c:v>
                </c:pt>
                <c:pt idx="4">
                  <c:v>-0.60000000000000031</c:v>
                </c:pt>
                <c:pt idx="5">
                  <c:v>-0.50000000000000011</c:v>
                </c:pt>
                <c:pt idx="6">
                  <c:v>-0.40000000000000024</c:v>
                </c:pt>
                <c:pt idx="7">
                  <c:v>-0.30000000000000027</c:v>
                </c:pt>
                <c:pt idx="8">
                  <c:v>-0.20000000000000021</c:v>
                </c:pt>
                <c:pt idx="9">
                  <c:v>-0.10000000000000014</c:v>
                </c:pt>
                <c:pt idx="10">
                  <c:v>-1.3877787807814481E-16</c:v>
                </c:pt>
                <c:pt idx="11">
                  <c:v>9.9999999999999922E-2</c:v>
                </c:pt>
                <c:pt idx="12">
                  <c:v>0.19999999999999996</c:v>
                </c:pt>
                <c:pt idx="13">
                  <c:v>0.30000000000000004</c:v>
                </c:pt>
                <c:pt idx="14">
                  <c:v>0.4</c:v>
                </c:pt>
                <c:pt idx="15">
                  <c:v>0.5</c:v>
                </c:pt>
                <c:pt idx="16">
                  <c:v>0.59999999999999987</c:v>
                </c:pt>
                <c:pt idx="17">
                  <c:v>0.69999999999999984</c:v>
                </c:pt>
                <c:pt idx="18">
                  <c:v>0.79999999999999982</c:v>
                </c:pt>
                <c:pt idx="19">
                  <c:v>0.8999999999999998</c:v>
                </c:pt>
                <c:pt idx="20">
                  <c:v>0.99999999999999978</c:v>
                </c:pt>
                <c:pt idx="21">
                  <c:v>1.0999999999999994</c:v>
                </c:pt>
                <c:pt idx="22">
                  <c:v>1.2</c:v>
                </c:pt>
                <c:pt idx="23">
                  <c:v>1.3</c:v>
                </c:pt>
                <c:pt idx="24">
                  <c:v>1.4</c:v>
                </c:pt>
                <c:pt idx="25">
                  <c:v>1.5000000000000002</c:v>
                </c:pt>
              </c:numCache>
            </c:numRef>
          </c:xVal>
          <c:yVal>
            <c:numRef>
              <c:f>'Observer 2'!$H$5:$H$30</c:f>
              <c:numCache>
                <c:formatCode>General</c:formatCode>
                <c:ptCount val="26"/>
                <c:pt idx="0">
                  <c:v>0.29740890016570126</c:v>
                </c:pt>
                <c:pt idx="1">
                  <c:v>0.34977936016674954</c:v>
                </c:pt>
                <c:pt idx="2">
                  <c:v>0.40247025564729244</c:v>
                </c:pt>
                <c:pt idx="3">
                  <c:v>0.45307781011099812</c:v>
                </c:pt>
                <c:pt idx="4">
                  <c:v>0.4990122286563301</c:v>
                </c:pt>
                <c:pt idx="5">
                  <c:v>0.53771106903514809</c:v>
                </c:pt>
                <c:pt idx="6">
                  <c:v>0.56687350304167661</c:v>
                </c:pt>
                <c:pt idx="7">
                  <c:v>0.58468604837010607</c:v>
                </c:pt>
                <c:pt idx="8">
                  <c:v>0.59000908213012315</c:v>
                </c:pt>
                <c:pt idx="9">
                  <c:v>0.58249748605828477</c:v>
                </c:pt>
                <c:pt idx="10">
                  <c:v>0.56263767067887327</c:v>
                </c:pt>
                <c:pt idx="11">
                  <c:v>0.53169545758843417</c:v>
                </c:pt>
                <c:pt idx="12">
                  <c:v>0.49158258184199505</c:v>
                </c:pt>
                <c:pt idx="13">
                  <c:v>0.44466138353623319</c:v>
                </c:pt>
                <c:pt idx="14">
                  <c:v>0.39351540300879501</c:v>
                </c:pt>
                <c:pt idx="15">
                  <c:v>0.34071672299528166</c:v>
                </c:pt>
                <c:pt idx="16">
                  <c:v>0.28861875997443404</c:v>
                </c:pt>
                <c:pt idx="17">
                  <c:v>0.2391966293060227</c:v>
                </c:pt>
                <c:pt idx="18">
                  <c:v>0.1939478398612649</c:v>
                </c:pt>
                <c:pt idx="19">
                  <c:v>0.15385592690032923</c:v>
                </c:pt>
                <c:pt idx="20">
                  <c:v>0.11941060743950246</c:v>
                </c:pt>
                <c:pt idx="21">
                  <c:v>9.0671536818068624E-2</c:v>
                </c:pt>
                <c:pt idx="22">
                  <c:v>6.7359435433579487E-2</c:v>
                </c:pt>
                <c:pt idx="23">
                  <c:v>4.8958183165775722E-2</c:v>
                </c:pt>
                <c:pt idx="24">
                  <c:v>3.4813808787228027E-2</c:v>
                </c:pt>
                <c:pt idx="25">
                  <c:v>2.4220169551222231E-2</c:v>
                </c:pt>
              </c:numCache>
            </c:numRef>
          </c:yVal>
          <c:smooth val="1"/>
        </c:ser>
        <c:ser>
          <c:idx val="2"/>
          <c:order val="2"/>
          <c:tx>
            <c:v>Normal op3</c:v>
          </c:tx>
          <c:marker>
            <c:symbol val="none"/>
          </c:marker>
          <c:xVal>
            <c:numRef>
              <c:f>'Observer 3'!$G$4:$G$27</c:f>
              <c:numCache>
                <c:formatCode>General</c:formatCode>
                <c:ptCount val="24"/>
                <c:pt idx="0">
                  <c:v>-1</c:v>
                </c:pt>
                <c:pt idx="1">
                  <c:v>-0.9</c:v>
                </c:pt>
                <c:pt idx="2">
                  <c:v>-0.8</c:v>
                </c:pt>
                <c:pt idx="3">
                  <c:v>-0.70000000000000029</c:v>
                </c:pt>
                <c:pt idx="4">
                  <c:v>-0.60000000000000031</c:v>
                </c:pt>
                <c:pt idx="5">
                  <c:v>-0.50000000000000011</c:v>
                </c:pt>
                <c:pt idx="6">
                  <c:v>-0.40000000000000024</c:v>
                </c:pt>
                <c:pt idx="7">
                  <c:v>-0.30000000000000027</c:v>
                </c:pt>
                <c:pt idx="8">
                  <c:v>-0.20000000000000021</c:v>
                </c:pt>
                <c:pt idx="9">
                  <c:v>-0.10000000000000014</c:v>
                </c:pt>
                <c:pt idx="10">
                  <c:v>-1.3877787807814481E-16</c:v>
                </c:pt>
                <c:pt idx="11">
                  <c:v>9.9999999999999922E-2</c:v>
                </c:pt>
                <c:pt idx="12">
                  <c:v>0.19999999999999996</c:v>
                </c:pt>
                <c:pt idx="13">
                  <c:v>0.30000000000000004</c:v>
                </c:pt>
                <c:pt idx="14">
                  <c:v>0.4</c:v>
                </c:pt>
                <c:pt idx="15">
                  <c:v>0.5</c:v>
                </c:pt>
                <c:pt idx="16">
                  <c:v>0.59999999999999987</c:v>
                </c:pt>
                <c:pt idx="17">
                  <c:v>0.69999999999999984</c:v>
                </c:pt>
                <c:pt idx="18">
                  <c:v>0.79999999999999982</c:v>
                </c:pt>
                <c:pt idx="19">
                  <c:v>0.8999999999999998</c:v>
                </c:pt>
                <c:pt idx="20">
                  <c:v>0.99999999999999978</c:v>
                </c:pt>
                <c:pt idx="21">
                  <c:v>1.0999999999999994</c:v>
                </c:pt>
                <c:pt idx="22">
                  <c:v>1.2</c:v>
                </c:pt>
                <c:pt idx="23">
                  <c:v>1.3</c:v>
                </c:pt>
              </c:numCache>
            </c:numRef>
          </c:xVal>
          <c:yVal>
            <c:numRef>
              <c:f>'Observer 3'!$H$4:$H$27</c:f>
              <c:numCache>
                <c:formatCode>General</c:formatCode>
                <c:ptCount val="24"/>
                <c:pt idx="0">
                  <c:v>0.14943852811073491</c:v>
                </c:pt>
                <c:pt idx="1">
                  <c:v>0.20987757228840326</c:v>
                </c:pt>
                <c:pt idx="2">
                  <c:v>0.28353544427077459</c:v>
                </c:pt>
                <c:pt idx="3">
                  <c:v>0.36845678349556987</c:v>
                </c:pt>
                <c:pt idx="4">
                  <c:v>0.4605784676111781</c:v>
                </c:pt>
                <c:pt idx="5">
                  <c:v>0.55380717610969743</c:v>
                </c:pt>
                <c:pt idx="6">
                  <c:v>0.64054759041179965</c:v>
                </c:pt>
                <c:pt idx="7">
                  <c:v>0.7126595333791762</c:v>
                </c:pt>
                <c:pt idx="8">
                  <c:v>0.76269459897229153</c:v>
                </c:pt>
                <c:pt idx="9">
                  <c:v>0.78515810322042012</c:v>
                </c:pt>
                <c:pt idx="10">
                  <c:v>0.77750186219156026</c:v>
                </c:pt>
                <c:pt idx="11">
                  <c:v>0.74059987263638449</c:v>
                </c:pt>
                <c:pt idx="12">
                  <c:v>0.6785841362753241</c:v>
                </c:pt>
                <c:pt idx="13">
                  <c:v>0.59808325965792031</c:v>
                </c:pt>
                <c:pt idx="14">
                  <c:v>0.50705779696511766</c:v>
                </c:pt>
                <c:pt idx="15">
                  <c:v>0.41351489547545089</c:v>
                </c:pt>
                <c:pt idx="16">
                  <c:v>0.32438646542137528</c:v>
                </c:pt>
                <c:pt idx="17">
                  <c:v>0.2447778790819562</c:v>
                </c:pt>
                <c:pt idx="18">
                  <c:v>0.1776722015581956</c:v>
                </c:pt>
                <c:pt idx="19">
                  <c:v>0.12405225824058171</c:v>
                </c:pt>
                <c:pt idx="20">
                  <c:v>8.3315871174587205E-2</c:v>
                </c:pt>
                <c:pt idx="21">
                  <c:v>5.382557519015508E-2</c:v>
                </c:pt>
                <c:pt idx="22">
                  <c:v>3.3449335427491587E-2</c:v>
                </c:pt>
                <c:pt idx="23">
                  <c:v>1.9995127703763164E-2</c:v>
                </c:pt>
              </c:numCache>
            </c:numRef>
          </c:yVal>
          <c:smooth val="1"/>
        </c:ser>
        <c:ser>
          <c:idx val="3"/>
          <c:order val="3"/>
          <c:tx>
            <c:v>Normal op4</c:v>
          </c:tx>
          <c:marker>
            <c:symbol val="none"/>
          </c:marker>
          <c:xVal>
            <c:numRef>
              <c:f>'Observer 4'!$G$4:$G$29</c:f>
              <c:numCache>
                <c:formatCode>General</c:formatCode>
                <c:ptCount val="26"/>
                <c:pt idx="0">
                  <c:v>-1.4</c:v>
                </c:pt>
                <c:pt idx="1">
                  <c:v>-1.2999999999999994</c:v>
                </c:pt>
                <c:pt idx="2">
                  <c:v>-1.1999999999999993</c:v>
                </c:pt>
                <c:pt idx="3">
                  <c:v>-1.0999999999999992</c:v>
                </c:pt>
                <c:pt idx="4">
                  <c:v>-0.99999999999999967</c:v>
                </c:pt>
                <c:pt idx="5">
                  <c:v>-0.89999999999999969</c:v>
                </c:pt>
                <c:pt idx="6">
                  <c:v>-0.79999999999999971</c:v>
                </c:pt>
                <c:pt idx="7">
                  <c:v>-0.69999999999999973</c:v>
                </c:pt>
                <c:pt idx="8">
                  <c:v>-0.59999999999999976</c:v>
                </c:pt>
                <c:pt idx="9">
                  <c:v>-0.5</c:v>
                </c:pt>
                <c:pt idx="10">
                  <c:v>-0.4</c:v>
                </c:pt>
                <c:pt idx="11">
                  <c:v>-0.29999999999999993</c:v>
                </c:pt>
                <c:pt idx="12">
                  <c:v>-0.19999999999999993</c:v>
                </c:pt>
                <c:pt idx="13">
                  <c:v>-9.9999999999999881E-2</c:v>
                </c:pt>
                <c:pt idx="14">
                  <c:v>1.9428902930940269E-16</c:v>
                </c:pt>
                <c:pt idx="15">
                  <c:v>0.1000000000000002</c:v>
                </c:pt>
                <c:pt idx="16">
                  <c:v>0.20000000000000021</c:v>
                </c:pt>
                <c:pt idx="17">
                  <c:v>0.30000000000000032</c:v>
                </c:pt>
                <c:pt idx="18">
                  <c:v>0.4000000000000003</c:v>
                </c:pt>
                <c:pt idx="19">
                  <c:v>0.50000000000000022</c:v>
                </c:pt>
                <c:pt idx="20">
                  <c:v>0.60000000000000042</c:v>
                </c:pt>
                <c:pt idx="21">
                  <c:v>0.7000000000000004</c:v>
                </c:pt>
                <c:pt idx="22">
                  <c:v>0.80000000000000038</c:v>
                </c:pt>
                <c:pt idx="23">
                  <c:v>0.90000000000000013</c:v>
                </c:pt>
                <c:pt idx="24">
                  <c:v>1.0000000000000002</c:v>
                </c:pt>
                <c:pt idx="25">
                  <c:v>1.1000000000000003</c:v>
                </c:pt>
              </c:numCache>
            </c:numRef>
          </c:xVal>
          <c:yVal>
            <c:numRef>
              <c:f>'Observer 4'!$H$4:$H$29</c:f>
              <c:numCache>
                <c:formatCode>General</c:formatCode>
                <c:ptCount val="26"/>
                <c:pt idx="0">
                  <c:v>0.12849092399698603</c:v>
                </c:pt>
                <c:pt idx="1">
                  <c:v>0.17853874560683014</c:v>
                </c:pt>
                <c:pt idx="2">
                  <c:v>0.23972792769958215</c:v>
                </c:pt>
                <c:pt idx="3">
                  <c:v>0.31105050326780925</c:v>
                </c:pt>
                <c:pt idx="4">
                  <c:v>0.39000422388478007</c:v>
                </c:pt>
                <c:pt idx="5">
                  <c:v>0.47253484372655652</c:v>
                </c:pt>
                <c:pt idx="6">
                  <c:v>0.55325390818892617</c:v>
                </c:pt>
                <c:pt idx="7">
                  <c:v>0.62595234109802245</c:v>
                </c:pt>
                <c:pt idx="8">
                  <c:v>0.68435929580799226</c:v>
                </c:pt>
                <c:pt idx="9">
                  <c:v>0.72302480758409571</c:v>
                </c:pt>
                <c:pt idx="10">
                  <c:v>0.73815633527591462</c:v>
                </c:pt>
                <c:pt idx="11">
                  <c:v>0.72823178315904979</c:v>
                </c:pt>
                <c:pt idx="12">
                  <c:v>0.69425182906983862</c:v>
                </c:pt>
                <c:pt idx="13">
                  <c:v>0.63957364711551923</c:v>
                </c:pt>
                <c:pt idx="14">
                  <c:v>0.56936427567078762</c:v>
                </c:pt>
                <c:pt idx="15">
                  <c:v>0.48979685551621649</c:v>
                </c:pt>
                <c:pt idx="16">
                  <c:v>0.40716261616154792</c:v>
                </c:pt>
                <c:pt idx="17">
                  <c:v>0.32707392665396967</c:v>
                </c:pt>
                <c:pt idx="18">
                  <c:v>0.2538926208123008</c:v>
                </c:pt>
                <c:pt idx="19">
                  <c:v>0.19044972833940194</c:v>
                </c:pt>
                <c:pt idx="20">
                  <c:v>0.138050111422195</c:v>
                </c:pt>
                <c:pt idx="21">
                  <c:v>9.6698400538229715E-2</c:v>
                </c:pt>
                <c:pt idx="22">
                  <c:v>6.5452757027463712E-2</c:v>
                </c:pt>
                <c:pt idx="23">
                  <c:v>4.2811724706872972E-2</c:v>
                </c:pt>
                <c:pt idx="24">
                  <c:v>2.7059740567612386E-2</c:v>
                </c:pt>
                <c:pt idx="25">
                  <c:v>1.6527632900477009E-2</c:v>
                </c:pt>
              </c:numCache>
            </c:numRef>
          </c:yVal>
          <c:smooth val="1"/>
        </c:ser>
        <c:ser>
          <c:idx val="4"/>
          <c:order val="4"/>
          <c:tx>
            <c:v>Normal op5</c:v>
          </c:tx>
          <c:marker>
            <c:symbol val="none"/>
          </c:marker>
          <c:xVal>
            <c:numRef>
              <c:f>'Observer 5'!$G$4:$G$28</c:f>
              <c:numCache>
                <c:formatCode>General</c:formatCode>
                <c:ptCount val="25"/>
                <c:pt idx="0">
                  <c:v>-1.1000000000000001</c:v>
                </c:pt>
                <c:pt idx="1">
                  <c:v>-1</c:v>
                </c:pt>
                <c:pt idx="2">
                  <c:v>-0.9</c:v>
                </c:pt>
                <c:pt idx="3">
                  <c:v>-0.8</c:v>
                </c:pt>
                <c:pt idx="4">
                  <c:v>-0.70000000000000029</c:v>
                </c:pt>
                <c:pt idx="5">
                  <c:v>-0.60000000000000031</c:v>
                </c:pt>
                <c:pt idx="6">
                  <c:v>-0.50000000000000011</c:v>
                </c:pt>
                <c:pt idx="7">
                  <c:v>-0.40000000000000024</c:v>
                </c:pt>
                <c:pt idx="8">
                  <c:v>-0.30000000000000027</c:v>
                </c:pt>
                <c:pt idx="9">
                  <c:v>-0.20000000000000021</c:v>
                </c:pt>
                <c:pt idx="10">
                  <c:v>-0.10000000000000014</c:v>
                </c:pt>
                <c:pt idx="11">
                  <c:v>-1.3877787807814481E-16</c:v>
                </c:pt>
                <c:pt idx="12">
                  <c:v>9.9999999999999922E-2</c:v>
                </c:pt>
                <c:pt idx="13">
                  <c:v>0.19999999999999996</c:v>
                </c:pt>
                <c:pt idx="14">
                  <c:v>0.30000000000000004</c:v>
                </c:pt>
                <c:pt idx="15">
                  <c:v>0.4</c:v>
                </c:pt>
                <c:pt idx="16">
                  <c:v>0.5</c:v>
                </c:pt>
                <c:pt idx="17">
                  <c:v>0.59999999999999987</c:v>
                </c:pt>
                <c:pt idx="18">
                  <c:v>0.69999999999999984</c:v>
                </c:pt>
                <c:pt idx="19">
                  <c:v>0.79999999999999982</c:v>
                </c:pt>
                <c:pt idx="20">
                  <c:v>0.8999999999999998</c:v>
                </c:pt>
                <c:pt idx="21">
                  <c:v>0.99999999999999978</c:v>
                </c:pt>
                <c:pt idx="22">
                  <c:v>1.0999999999999994</c:v>
                </c:pt>
                <c:pt idx="23">
                  <c:v>1.2</c:v>
                </c:pt>
                <c:pt idx="24">
                  <c:v>1.3</c:v>
                </c:pt>
              </c:numCache>
            </c:numRef>
          </c:xVal>
          <c:yVal>
            <c:numRef>
              <c:f>'Observer 5'!$H$4:$H$28</c:f>
              <c:numCache>
                <c:formatCode>General</c:formatCode>
                <c:ptCount val="25"/>
                <c:pt idx="0">
                  <c:v>0.1978887389635563</c:v>
                </c:pt>
                <c:pt idx="1">
                  <c:v>0.28068494550324691</c:v>
                </c:pt>
                <c:pt idx="2">
                  <c:v>0.37978992086607738</c:v>
                </c:pt>
                <c:pt idx="3">
                  <c:v>0.49022338675098914</c:v>
                </c:pt>
                <c:pt idx="4">
                  <c:v>0.60363010749127588</c:v>
                </c:pt>
                <c:pt idx="5">
                  <c:v>0.7090453876756122</c:v>
                </c:pt>
                <c:pt idx="6">
                  <c:v>0.79451747828202279</c:v>
                </c:pt>
                <c:pt idx="7">
                  <c:v>0.84929614111005236</c:v>
                </c:pt>
                <c:pt idx="8">
                  <c:v>0.86604632304634932</c:v>
                </c:pt>
                <c:pt idx="9">
                  <c:v>0.84246015486863501</c:v>
                </c:pt>
                <c:pt idx="10">
                  <c:v>0.78177880687206935</c:v>
                </c:pt>
                <c:pt idx="11">
                  <c:v>0.69206150450588255</c:v>
                </c:pt>
                <c:pt idx="12">
                  <c:v>0.58442901368330924</c:v>
                </c:pt>
                <c:pt idx="13">
                  <c:v>0.47080939408943062</c:v>
                </c:pt>
                <c:pt idx="14">
                  <c:v>0.36181348351800924</c:v>
                </c:pt>
                <c:pt idx="15">
                  <c:v>0.26524710417492325</c:v>
                </c:pt>
                <c:pt idx="16">
                  <c:v>0.18549953744604508</c:v>
                </c:pt>
                <c:pt idx="17">
                  <c:v>0.12375458179185116</c:v>
                </c:pt>
                <c:pt idx="18">
                  <c:v>7.8760056461255251E-2</c:v>
                </c:pt>
                <c:pt idx="19">
                  <c:v>4.7816416616976602E-2</c:v>
                </c:pt>
                <c:pt idx="20">
                  <c:v>2.7693274520287026E-2</c:v>
                </c:pt>
                <c:pt idx="21">
                  <c:v>1.5300226883442529E-2</c:v>
                </c:pt>
                <c:pt idx="22">
                  <c:v>8.063947786208012E-3</c:v>
                </c:pt>
                <c:pt idx="23">
                  <c:v>4.0543741038294645E-3</c:v>
                </c:pt>
                <c:pt idx="24">
                  <c:v>1.9445817589006469E-3</c:v>
                </c:pt>
              </c:numCache>
            </c:numRef>
          </c:yVal>
          <c:smooth val="1"/>
        </c:ser>
        <c:ser>
          <c:idx val="5"/>
          <c:order val="5"/>
          <c:tx>
            <c:v>Normal op6</c:v>
          </c:tx>
          <c:marker>
            <c:symbol val="none"/>
          </c:marker>
          <c:xVal>
            <c:numRef>
              <c:f>'Observer 6'!$G$4:$G$33</c:f>
              <c:numCache>
                <c:formatCode>General</c:formatCode>
                <c:ptCount val="30"/>
                <c:pt idx="0">
                  <c:v>-1.5</c:v>
                </c:pt>
                <c:pt idx="1">
                  <c:v>-1.4</c:v>
                </c:pt>
                <c:pt idx="2">
                  <c:v>-1.2999999999999994</c:v>
                </c:pt>
                <c:pt idx="3">
                  <c:v>-1.1999999999999993</c:v>
                </c:pt>
                <c:pt idx="4">
                  <c:v>-1.0999999999999992</c:v>
                </c:pt>
                <c:pt idx="5">
                  <c:v>-0.99999999999999967</c:v>
                </c:pt>
                <c:pt idx="6">
                  <c:v>-0.89999999999999969</c:v>
                </c:pt>
                <c:pt idx="7">
                  <c:v>-0.79999999999999971</c:v>
                </c:pt>
                <c:pt idx="8">
                  <c:v>-0.69999999999999973</c:v>
                </c:pt>
                <c:pt idx="9">
                  <c:v>-0.59999999999999976</c:v>
                </c:pt>
                <c:pt idx="10">
                  <c:v>-0.5</c:v>
                </c:pt>
                <c:pt idx="11">
                  <c:v>-0.4</c:v>
                </c:pt>
                <c:pt idx="12">
                  <c:v>-0.29999999999999993</c:v>
                </c:pt>
                <c:pt idx="13">
                  <c:v>-0.19999999999999993</c:v>
                </c:pt>
                <c:pt idx="14">
                  <c:v>-9.9999999999999881E-2</c:v>
                </c:pt>
                <c:pt idx="15">
                  <c:v>1.9428902930940269E-16</c:v>
                </c:pt>
                <c:pt idx="16">
                  <c:v>0.1000000000000002</c:v>
                </c:pt>
                <c:pt idx="17">
                  <c:v>0.20000000000000021</c:v>
                </c:pt>
                <c:pt idx="18">
                  <c:v>0.30000000000000032</c:v>
                </c:pt>
                <c:pt idx="19">
                  <c:v>0.4000000000000003</c:v>
                </c:pt>
                <c:pt idx="20">
                  <c:v>0.50000000000000022</c:v>
                </c:pt>
                <c:pt idx="21">
                  <c:v>0.60000000000000042</c:v>
                </c:pt>
                <c:pt idx="22">
                  <c:v>0.7000000000000004</c:v>
                </c:pt>
                <c:pt idx="23">
                  <c:v>0.80000000000000038</c:v>
                </c:pt>
                <c:pt idx="24">
                  <c:v>0.90000000000000013</c:v>
                </c:pt>
                <c:pt idx="25">
                  <c:v>1.0000000000000002</c:v>
                </c:pt>
                <c:pt idx="26">
                  <c:v>1.1000000000000003</c:v>
                </c:pt>
                <c:pt idx="27">
                  <c:v>1.2000000000000004</c:v>
                </c:pt>
                <c:pt idx="28">
                  <c:v>1.3000000000000005</c:v>
                </c:pt>
                <c:pt idx="29">
                  <c:v>1.4000000000000006</c:v>
                </c:pt>
              </c:numCache>
            </c:numRef>
          </c:xVal>
          <c:yVal>
            <c:numRef>
              <c:f>'Observer 6'!$H$4:$H$33</c:f>
              <c:numCache>
                <c:formatCode>General</c:formatCode>
                <c:ptCount val="30"/>
                <c:pt idx="0">
                  <c:v>0.13128373108116934</c:v>
                </c:pt>
                <c:pt idx="1">
                  <c:v>0.21142205032074876</c:v>
                </c:pt>
                <c:pt idx="2">
                  <c:v>0.31954551512910362</c:v>
                </c:pt>
                <c:pt idx="3">
                  <c:v>0.45327132963180355</c:v>
                </c:pt>
                <c:pt idx="4">
                  <c:v>0.6034299340986744</c:v>
                </c:pt>
                <c:pt idx="5">
                  <c:v>0.75394302474371289</c:v>
                </c:pt>
                <c:pt idx="6">
                  <c:v>0.88408349335230052</c:v>
                </c:pt>
                <c:pt idx="7">
                  <c:v>0.97295132388694949</c:v>
                </c:pt>
                <c:pt idx="8">
                  <c:v>1.004921231123465</c:v>
                </c:pt>
                <c:pt idx="9">
                  <c:v>0.97412795599305635</c:v>
                </c:pt>
                <c:pt idx="10">
                  <c:v>0.88622310712624153</c:v>
                </c:pt>
                <c:pt idx="11">
                  <c:v>0.7566816617275518</c:v>
                </c:pt>
                <c:pt idx="12">
                  <c:v>0.60635424915257052</c:v>
                </c:pt>
                <c:pt idx="13">
                  <c:v>0.45601876988815782</c:v>
                </c:pt>
                <c:pt idx="14">
                  <c:v>0.32187117777662855</c:v>
                </c:pt>
                <c:pt idx="15">
                  <c:v>0.21321832956423961</c:v>
                </c:pt>
                <c:pt idx="16">
                  <c:v>0.13255925695478615</c:v>
                </c:pt>
                <c:pt idx="17">
                  <c:v>7.7346143133627962E-2</c:v>
                </c:pt>
                <c:pt idx="18">
                  <c:v>4.2355551498361427E-2</c:v>
                </c:pt>
                <c:pt idx="19">
                  <c:v>2.1768329188762182E-2</c:v>
                </c:pt>
                <c:pt idx="20">
                  <c:v>1.049984598736602E-2</c:v>
                </c:pt>
                <c:pt idx="21">
                  <c:v>4.753175373157538E-3</c:v>
                </c:pt>
                <c:pt idx="22">
                  <c:v>2.0194254481499569E-3</c:v>
                </c:pt>
                <c:pt idx="23">
                  <c:v>8.0522062103588542E-4</c:v>
                </c:pt>
                <c:pt idx="24">
                  <c:v>3.0133184366327889E-4</c:v>
                </c:pt>
                <c:pt idx="25">
                  <c:v>1.0583230286108465E-4</c:v>
                </c:pt>
                <c:pt idx="26">
                  <c:v>3.4884663715195488E-5</c:v>
                </c:pt>
                <c:pt idx="27">
                  <c:v>1.0791800600192219E-5</c:v>
                </c:pt>
                <c:pt idx="28">
                  <c:v>3.1332594689160327E-6</c:v>
                </c:pt>
                <c:pt idx="29">
                  <c:v>8.5377195793041932E-7</c:v>
                </c:pt>
              </c:numCache>
            </c:numRef>
          </c:yVal>
          <c:smooth val="1"/>
        </c:ser>
        <c:ser>
          <c:idx val="6"/>
          <c:order val="6"/>
          <c:tx>
            <c:v>Normal op7</c:v>
          </c:tx>
          <c:marker>
            <c:symbol val="none"/>
          </c:marker>
          <c:xVal>
            <c:numRef>
              <c:f>'Observer 7'!$G$4:$G$28</c:f>
              <c:numCache>
                <c:formatCode>General</c:formatCode>
                <c:ptCount val="25"/>
                <c:pt idx="0">
                  <c:v>-1.2</c:v>
                </c:pt>
                <c:pt idx="1">
                  <c:v>-1.0999999999999994</c:v>
                </c:pt>
                <c:pt idx="2">
                  <c:v>-0.99999999999999989</c:v>
                </c:pt>
                <c:pt idx="3">
                  <c:v>-0.89999999999999991</c:v>
                </c:pt>
                <c:pt idx="4">
                  <c:v>-0.79999999999999993</c:v>
                </c:pt>
                <c:pt idx="5">
                  <c:v>-0.70000000000000018</c:v>
                </c:pt>
                <c:pt idx="6">
                  <c:v>-0.6000000000000002</c:v>
                </c:pt>
                <c:pt idx="7">
                  <c:v>-0.5</c:v>
                </c:pt>
                <c:pt idx="8">
                  <c:v>-0.4</c:v>
                </c:pt>
                <c:pt idx="9">
                  <c:v>-0.30000000000000016</c:v>
                </c:pt>
                <c:pt idx="10">
                  <c:v>-0.20000000000000004</c:v>
                </c:pt>
                <c:pt idx="11">
                  <c:v>-0.10000000000000003</c:v>
                </c:pt>
                <c:pt idx="12">
                  <c:v>0</c:v>
                </c:pt>
                <c:pt idx="13">
                  <c:v>0.1</c:v>
                </c:pt>
                <c:pt idx="14">
                  <c:v>0.2</c:v>
                </c:pt>
                <c:pt idx="15">
                  <c:v>0.30000000000000016</c:v>
                </c:pt>
                <c:pt idx="16">
                  <c:v>0.4</c:v>
                </c:pt>
                <c:pt idx="17">
                  <c:v>0.5</c:v>
                </c:pt>
                <c:pt idx="18">
                  <c:v>0.6000000000000002</c:v>
                </c:pt>
                <c:pt idx="19">
                  <c:v>0.70000000000000018</c:v>
                </c:pt>
                <c:pt idx="20">
                  <c:v>0.79999999999999993</c:v>
                </c:pt>
                <c:pt idx="21">
                  <c:v>0.89999999999999991</c:v>
                </c:pt>
                <c:pt idx="22">
                  <c:v>0.99999999999999989</c:v>
                </c:pt>
                <c:pt idx="23">
                  <c:v>1.0999999999999994</c:v>
                </c:pt>
                <c:pt idx="24">
                  <c:v>1.2</c:v>
                </c:pt>
              </c:numCache>
            </c:numRef>
          </c:xVal>
          <c:yVal>
            <c:numRef>
              <c:f>'Observer 7'!$H$4:$H$28</c:f>
              <c:numCache>
                <c:formatCode>General</c:formatCode>
                <c:ptCount val="25"/>
                <c:pt idx="0">
                  <c:v>7.1348816219719779E-2</c:v>
                </c:pt>
                <c:pt idx="1">
                  <c:v>0.10370920604880199</c:v>
                </c:pt>
                <c:pt idx="2">
                  <c:v>0.14586724163128043</c:v>
                </c:pt>
                <c:pt idx="3">
                  <c:v>0.19852177737549478</c:v>
                </c:pt>
                <c:pt idx="4">
                  <c:v>0.26143784950815063</c:v>
                </c:pt>
                <c:pt idx="5">
                  <c:v>0.3331491377837093</c:v>
                </c:pt>
                <c:pt idx="6">
                  <c:v>0.4107890401407196</c:v>
                </c:pt>
                <c:pt idx="7">
                  <c:v>0.49012733684114557</c:v>
                </c:pt>
                <c:pt idx="8">
                  <c:v>0.56585991134076763</c:v>
                </c:pt>
                <c:pt idx="9">
                  <c:v>0.63214812163130341</c:v>
                </c:pt>
                <c:pt idx="10">
                  <c:v>0.68334292107508599</c:v>
                </c:pt>
                <c:pt idx="11">
                  <c:v>0.71477354672183668</c:v>
                </c:pt>
                <c:pt idx="12">
                  <c:v>0.72344940859507589</c:v>
                </c:pt>
                <c:pt idx="13">
                  <c:v>0.70852925047284054</c:v>
                </c:pt>
                <c:pt idx="14">
                  <c:v>0.67145563924080576</c:v>
                </c:pt>
                <c:pt idx="15">
                  <c:v>0.61572500440345546</c:v>
                </c:pt>
                <c:pt idx="16">
                  <c:v>0.54634400103229286</c:v>
                </c:pt>
                <c:pt idx="17">
                  <c:v>0.46908926081873326</c:v>
                </c:pt>
                <c:pt idx="18">
                  <c:v>0.38972182311108217</c:v>
                </c:pt>
                <c:pt idx="19">
                  <c:v>0.31330251700733991</c:v>
                </c:pt>
                <c:pt idx="20">
                  <c:v>0.24371539622986582</c:v>
                </c:pt>
                <c:pt idx="21">
                  <c:v>0.18344757320075863</c:v>
                </c:pt>
                <c:pt idx="22">
                  <c:v>0.13361367198366317</c:v>
                </c:pt>
                <c:pt idx="23">
                  <c:v>9.4167220441922897E-2</c:v>
                </c:pt>
                <c:pt idx="24">
                  <c:v>6.4218258907889028E-2</c:v>
                </c:pt>
              </c:numCache>
            </c:numRef>
          </c:yVal>
          <c:smooth val="1"/>
        </c:ser>
        <c:ser>
          <c:idx val="7"/>
          <c:order val="7"/>
          <c:tx>
            <c:v>Normal op8</c:v>
          </c:tx>
          <c:marker>
            <c:symbol val="none"/>
          </c:marker>
          <c:xVal>
            <c:numRef>
              <c:f>'Observer 8'!$G$4:$G$24</c:f>
              <c:numCache>
                <c:formatCode>General</c:formatCode>
                <c:ptCount val="21"/>
                <c:pt idx="0">
                  <c:v>-1</c:v>
                </c:pt>
                <c:pt idx="1">
                  <c:v>-0.9</c:v>
                </c:pt>
                <c:pt idx="2">
                  <c:v>-0.8</c:v>
                </c:pt>
                <c:pt idx="3">
                  <c:v>-0.70000000000000029</c:v>
                </c:pt>
                <c:pt idx="4">
                  <c:v>-0.60000000000000031</c:v>
                </c:pt>
                <c:pt idx="5">
                  <c:v>-0.50000000000000011</c:v>
                </c:pt>
                <c:pt idx="6">
                  <c:v>-0.40000000000000024</c:v>
                </c:pt>
                <c:pt idx="7">
                  <c:v>-0.30000000000000027</c:v>
                </c:pt>
                <c:pt idx="8">
                  <c:v>-0.20000000000000021</c:v>
                </c:pt>
                <c:pt idx="9">
                  <c:v>-0.10000000000000014</c:v>
                </c:pt>
                <c:pt idx="10">
                  <c:v>-1.3877787807814481E-16</c:v>
                </c:pt>
                <c:pt idx="11">
                  <c:v>9.9999999999999922E-2</c:v>
                </c:pt>
                <c:pt idx="12">
                  <c:v>0.19999999999999996</c:v>
                </c:pt>
                <c:pt idx="13">
                  <c:v>0.30000000000000004</c:v>
                </c:pt>
                <c:pt idx="14">
                  <c:v>0.4</c:v>
                </c:pt>
                <c:pt idx="15">
                  <c:v>0.5</c:v>
                </c:pt>
                <c:pt idx="16">
                  <c:v>0.59999999999999987</c:v>
                </c:pt>
                <c:pt idx="17">
                  <c:v>0.69999999999999984</c:v>
                </c:pt>
                <c:pt idx="18">
                  <c:v>0.79999999999999982</c:v>
                </c:pt>
                <c:pt idx="19">
                  <c:v>0.8999999999999998</c:v>
                </c:pt>
                <c:pt idx="20">
                  <c:v>0.99999999999999978</c:v>
                </c:pt>
              </c:numCache>
            </c:numRef>
          </c:xVal>
          <c:yVal>
            <c:numRef>
              <c:f>'Observer 8'!$H$4:$H$24</c:f>
              <c:numCache>
                <c:formatCode>General</c:formatCode>
                <c:ptCount val="21"/>
                <c:pt idx="0">
                  <c:v>0.23388213084569798</c:v>
                </c:pt>
                <c:pt idx="1">
                  <c:v>0.4661975757900077</c:v>
                </c:pt>
                <c:pt idx="2">
                  <c:v>0.79616453238838292</c:v>
                </c:pt>
                <c:pt idx="3">
                  <c:v>1.1649183579779856</c:v>
                </c:pt>
                <c:pt idx="4">
                  <c:v>1.4603198848587675</c:v>
                </c:pt>
                <c:pt idx="5">
                  <c:v>1.568412718438283</c:v>
                </c:pt>
                <c:pt idx="6">
                  <c:v>1.4432200666485877</c:v>
                </c:pt>
                <c:pt idx="7">
                  <c:v>1.1377965403726407</c:v>
                </c:pt>
                <c:pt idx="8">
                  <c:v>0.76852235689600534</c:v>
                </c:pt>
                <c:pt idx="9">
                  <c:v>0.44474210769768868</c:v>
                </c:pt>
                <c:pt idx="10">
                  <c:v>0.22050571037330005</c:v>
                </c:pt>
                <c:pt idx="11">
                  <c:v>9.3668006725464284E-2</c:v>
                </c:pt>
                <c:pt idx="12">
                  <c:v>3.408965162490897E-2</c:v>
                </c:pt>
                <c:pt idx="13">
                  <c:v>1.0629521005207939E-2</c:v>
                </c:pt>
                <c:pt idx="14">
                  <c:v>2.8396490733491337E-3</c:v>
                </c:pt>
                <c:pt idx="15">
                  <c:v>6.4994334022808122E-4</c:v>
                </c:pt>
                <c:pt idx="16">
                  <c:v>1.2745185773458469E-4</c:v>
                </c:pt>
                <c:pt idx="17">
                  <c:v>2.1412959179176848E-5</c:v>
                </c:pt>
                <c:pt idx="18">
                  <c:v>3.082244277319408E-6</c:v>
                </c:pt>
                <c:pt idx="19">
                  <c:v>3.8011697777921174E-7</c:v>
                </c:pt>
                <c:pt idx="20">
                  <c:v>4.0163109308467719E-8</c:v>
                </c:pt>
              </c:numCache>
            </c:numRef>
          </c:yVal>
          <c:smooth val="1"/>
        </c:ser>
        <c:ser>
          <c:idx val="8"/>
          <c:order val="8"/>
          <c:tx>
            <c:v>Normal op9</c:v>
          </c:tx>
          <c:marker>
            <c:symbol val="none"/>
          </c:marker>
          <c:xVal>
            <c:numRef>
              <c:f>'Observer 9'!$G$4:$G$28</c:f>
              <c:numCache>
                <c:formatCode>General</c:formatCode>
                <c:ptCount val="25"/>
                <c:pt idx="0">
                  <c:v>-1.6</c:v>
                </c:pt>
                <c:pt idx="1">
                  <c:v>-1.5</c:v>
                </c:pt>
                <c:pt idx="2">
                  <c:v>-1.4</c:v>
                </c:pt>
                <c:pt idx="3">
                  <c:v>-1.2999999999999994</c:v>
                </c:pt>
                <c:pt idx="4">
                  <c:v>-1.1999999999999993</c:v>
                </c:pt>
                <c:pt idx="5">
                  <c:v>-1.0999999999999992</c:v>
                </c:pt>
                <c:pt idx="6">
                  <c:v>-0.99999999999999967</c:v>
                </c:pt>
                <c:pt idx="7">
                  <c:v>-0.89999999999999969</c:v>
                </c:pt>
                <c:pt idx="8">
                  <c:v>-0.79999999999999971</c:v>
                </c:pt>
                <c:pt idx="9">
                  <c:v>-0.69999999999999973</c:v>
                </c:pt>
                <c:pt idx="10">
                  <c:v>-0.59999999999999976</c:v>
                </c:pt>
                <c:pt idx="11">
                  <c:v>-0.5</c:v>
                </c:pt>
                <c:pt idx="12">
                  <c:v>-0.4</c:v>
                </c:pt>
                <c:pt idx="13">
                  <c:v>-0.29999999999999993</c:v>
                </c:pt>
                <c:pt idx="14">
                  <c:v>-0.19999999999999993</c:v>
                </c:pt>
                <c:pt idx="15">
                  <c:v>-9.9999999999999881E-2</c:v>
                </c:pt>
                <c:pt idx="16">
                  <c:v>1.9428902930940269E-16</c:v>
                </c:pt>
                <c:pt idx="17">
                  <c:v>0.1000000000000002</c:v>
                </c:pt>
                <c:pt idx="18">
                  <c:v>0.20000000000000021</c:v>
                </c:pt>
                <c:pt idx="19">
                  <c:v>0.30000000000000032</c:v>
                </c:pt>
                <c:pt idx="20">
                  <c:v>0.4000000000000003</c:v>
                </c:pt>
                <c:pt idx="21">
                  <c:v>0.50000000000000022</c:v>
                </c:pt>
                <c:pt idx="22">
                  <c:v>0.60000000000000042</c:v>
                </c:pt>
                <c:pt idx="23">
                  <c:v>0.7000000000000004</c:v>
                </c:pt>
                <c:pt idx="24">
                  <c:v>0.80000000000000038</c:v>
                </c:pt>
              </c:numCache>
            </c:numRef>
          </c:xVal>
          <c:yVal>
            <c:numRef>
              <c:f>'Observer 9'!$H$4:$H$28</c:f>
              <c:numCache>
                <c:formatCode>General</c:formatCode>
                <c:ptCount val="25"/>
                <c:pt idx="0">
                  <c:v>0.12894637137056827</c:v>
                </c:pt>
                <c:pt idx="1">
                  <c:v>0.20015323073937472</c:v>
                </c:pt>
                <c:pt idx="2">
                  <c:v>0.29403850037642176</c:v>
                </c:pt>
                <c:pt idx="3">
                  <c:v>0.40882167098333017</c:v>
                </c:pt>
                <c:pt idx="4">
                  <c:v>0.53796216677442277</c:v>
                </c:pt>
                <c:pt idx="5">
                  <c:v>0.66997357644351296</c:v>
                </c:pt>
                <c:pt idx="6">
                  <c:v>0.78968107542724619</c:v>
                </c:pt>
                <c:pt idx="7">
                  <c:v>0.880914789628927</c:v>
                </c:pt>
                <c:pt idx="8">
                  <c:v>0.93004548279526866</c:v>
                </c:pt>
                <c:pt idx="9">
                  <c:v>0.92931423451726258</c:v>
                </c:pt>
                <c:pt idx="10">
                  <c:v>0.87883856510770553</c:v>
                </c:pt>
                <c:pt idx="11">
                  <c:v>0.78658151951215027</c:v>
                </c:pt>
                <c:pt idx="12">
                  <c:v>0.66629489547463472</c:v>
                </c:pt>
                <c:pt idx="13">
                  <c:v>0.53416736220861938</c:v>
                </c:pt>
                <c:pt idx="14">
                  <c:v>0.40529974183844258</c:v>
                </c:pt>
                <c:pt idx="15">
                  <c:v>0.29104719665836626</c:v>
                </c:pt>
                <c:pt idx="16">
                  <c:v>0.19780562127574386</c:v>
                </c:pt>
                <c:pt idx="17">
                  <c:v>0.12723364039281573</c:v>
                </c:pt>
                <c:pt idx="18">
                  <c:v>7.7455701690217968E-2</c:v>
                </c:pt>
                <c:pt idx="19">
                  <c:v>4.4626512362194865E-2</c:v>
                </c:pt>
                <c:pt idx="20">
                  <c:v>2.4334398582556413E-2</c:v>
                </c:pt>
                <c:pt idx="21">
                  <c:v>1.2558460457941298E-2</c:v>
                </c:pt>
                <c:pt idx="22">
                  <c:v>6.1339510092131462E-3</c:v>
                </c:pt>
                <c:pt idx="23">
                  <c:v>2.8355174144131588E-3</c:v>
                </c:pt>
                <c:pt idx="24">
                  <c:v>1.2405447924513559E-3</c:v>
                </c:pt>
              </c:numCache>
            </c:numRef>
          </c:yVal>
          <c:smooth val="1"/>
        </c:ser>
        <c:ser>
          <c:idx val="9"/>
          <c:order val="9"/>
          <c:tx>
            <c:v>Normal op10</c:v>
          </c:tx>
          <c:marker>
            <c:symbol val="none"/>
          </c:marker>
          <c:xVal>
            <c:numRef>
              <c:f>'Observer 10'!$G$4:$G$24</c:f>
              <c:numCache>
                <c:formatCode>General</c:formatCode>
                <c:ptCount val="21"/>
                <c:pt idx="0">
                  <c:v>-1</c:v>
                </c:pt>
                <c:pt idx="1">
                  <c:v>-0.9</c:v>
                </c:pt>
                <c:pt idx="2">
                  <c:v>-0.8</c:v>
                </c:pt>
                <c:pt idx="3">
                  <c:v>-0.70000000000000029</c:v>
                </c:pt>
                <c:pt idx="4">
                  <c:v>-0.60000000000000031</c:v>
                </c:pt>
                <c:pt idx="5">
                  <c:v>-0.50000000000000011</c:v>
                </c:pt>
                <c:pt idx="6">
                  <c:v>-0.40000000000000024</c:v>
                </c:pt>
                <c:pt idx="7">
                  <c:v>-0.30000000000000027</c:v>
                </c:pt>
                <c:pt idx="8">
                  <c:v>-0.20000000000000021</c:v>
                </c:pt>
                <c:pt idx="9">
                  <c:v>-0.10000000000000014</c:v>
                </c:pt>
                <c:pt idx="10">
                  <c:v>-1.3877787807814481E-16</c:v>
                </c:pt>
                <c:pt idx="11">
                  <c:v>9.9999999999999922E-2</c:v>
                </c:pt>
                <c:pt idx="12">
                  <c:v>0.19999999999999996</c:v>
                </c:pt>
                <c:pt idx="13">
                  <c:v>0.30000000000000004</c:v>
                </c:pt>
                <c:pt idx="14">
                  <c:v>0.4</c:v>
                </c:pt>
                <c:pt idx="15">
                  <c:v>0.5</c:v>
                </c:pt>
                <c:pt idx="16">
                  <c:v>0.59999999999999987</c:v>
                </c:pt>
                <c:pt idx="17">
                  <c:v>0.69999999999999984</c:v>
                </c:pt>
                <c:pt idx="18">
                  <c:v>0.79999999999999982</c:v>
                </c:pt>
                <c:pt idx="19">
                  <c:v>0.8999999999999998</c:v>
                </c:pt>
                <c:pt idx="20">
                  <c:v>0.99999999999999978</c:v>
                </c:pt>
              </c:numCache>
            </c:numRef>
          </c:xVal>
          <c:yVal>
            <c:numRef>
              <c:f>'Observer 10'!$H$4:$H$24</c:f>
              <c:numCache>
                <c:formatCode>General</c:formatCode>
                <c:ptCount val="21"/>
                <c:pt idx="0">
                  <c:v>4.9427689923098928E-2</c:v>
                </c:pt>
                <c:pt idx="1">
                  <c:v>0.12783297582801548</c:v>
                </c:pt>
                <c:pt idx="2">
                  <c:v>0.28379845008534416</c:v>
                </c:pt>
                <c:pt idx="3">
                  <c:v>0.54084357454979526</c:v>
                </c:pt>
                <c:pt idx="4">
                  <c:v>0.88476485788513559</c:v>
                </c:pt>
                <c:pt idx="5">
                  <c:v>1.2424490529197554</c:v>
                </c:pt>
                <c:pt idx="6">
                  <c:v>1.4976966179870927</c:v>
                </c:pt>
                <c:pt idx="7">
                  <c:v>1.5497571320588235</c:v>
                </c:pt>
                <c:pt idx="8">
                  <c:v>1.3765689619175117</c:v>
                </c:pt>
                <c:pt idx="9">
                  <c:v>1.0496072875335412</c:v>
                </c:pt>
                <c:pt idx="10">
                  <c:v>0.6869897170537248</c:v>
                </c:pt>
                <c:pt idx="11">
                  <c:v>0.38598299399034114</c:v>
                </c:pt>
                <c:pt idx="12">
                  <c:v>0.1861575434698314</c:v>
                </c:pt>
                <c:pt idx="13">
                  <c:v>7.7070405336767997E-2</c:v>
                </c:pt>
                <c:pt idx="14">
                  <c:v>2.7389820218255839E-2</c:v>
                </c:pt>
                <c:pt idx="15">
                  <c:v>8.3557464872126321E-3</c:v>
                </c:pt>
                <c:pt idx="16">
                  <c:v>2.1881438192817601E-3</c:v>
                </c:pt>
                <c:pt idx="17">
                  <c:v>4.9188208630915591E-4</c:v>
                </c:pt>
                <c:pt idx="18">
                  <c:v>9.4916274660380049E-5</c:v>
                </c:pt>
                <c:pt idx="19">
                  <c:v>1.5722257221796169E-5</c:v>
                </c:pt>
                <c:pt idx="20">
                  <c:v>2.2355461764366834E-6</c:v>
                </c:pt>
              </c:numCache>
            </c:numRef>
          </c:yVal>
          <c:smooth val="1"/>
        </c:ser>
        <c:axId val="205530240"/>
        <c:axId val="205531776"/>
      </c:scatterChart>
      <c:valAx>
        <c:axId val="205530240"/>
        <c:scaling>
          <c:orientation val="minMax"/>
        </c:scaling>
        <c:axPos val="b"/>
        <c:numFmt formatCode="General" sourceLinked="1"/>
        <c:tickLblPos val="nextTo"/>
        <c:txPr>
          <a:bodyPr/>
          <a:lstStyle/>
          <a:p>
            <a:pPr>
              <a:defRPr>
                <a:latin typeface="Times New Roman" pitchFamily="18" charset="0"/>
                <a:cs typeface="Times New Roman" pitchFamily="18" charset="0"/>
              </a:defRPr>
            </a:pPr>
            <a:endParaRPr lang="en-US"/>
          </a:p>
        </c:txPr>
        <c:crossAx val="205531776"/>
        <c:crosses val="autoZero"/>
        <c:crossBetween val="midCat"/>
      </c:valAx>
      <c:valAx>
        <c:axId val="205531776"/>
        <c:scaling>
          <c:orientation val="minMax"/>
        </c:scaling>
        <c:axPos val="l"/>
        <c:majorGridlines/>
        <c:numFmt formatCode="General" sourceLinked="1"/>
        <c:tickLblPos val="nextTo"/>
        <c:txPr>
          <a:bodyPr/>
          <a:lstStyle/>
          <a:p>
            <a:pPr>
              <a:defRPr>
                <a:latin typeface="Times New Roman" pitchFamily="18" charset="0"/>
                <a:cs typeface="Times New Roman" pitchFamily="18" charset="0"/>
              </a:defRPr>
            </a:pPr>
            <a:endParaRPr lang="en-US"/>
          </a:p>
        </c:txPr>
        <c:crossAx val="205530240"/>
        <c:crosses val="autoZero"/>
        <c:crossBetween val="midCat"/>
      </c:valAx>
      <c:spPr>
        <a:solidFill>
          <a:schemeClr val="bg1"/>
        </a:solidFill>
      </c:spPr>
    </c:plotArea>
    <c:legend>
      <c:legendPos val="r"/>
      <c:layout>
        <c:manualLayout>
          <c:xMode val="edge"/>
          <c:yMode val="edge"/>
          <c:x val="0.64531869159919386"/>
          <c:y val="4.8002582564879909E-2"/>
          <c:w val="0.34397918082021939"/>
          <c:h val="0.64003649276460761"/>
        </c:manualLayout>
      </c:layout>
      <c:overlay val="1"/>
      <c:txPr>
        <a:bodyPr/>
        <a:lstStyle/>
        <a:p>
          <a:pPr>
            <a:defRPr>
              <a:latin typeface="Times New Roman" pitchFamily="18" charset="0"/>
              <a:cs typeface="Times New Roman" pitchFamily="18" charset="0"/>
            </a:defRPr>
          </a:pPr>
          <a:endParaRPr lang="en-US"/>
        </a:p>
      </c:txPr>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Custom 3">
      <a:majorFont>
        <a:latin typeface="Bookman Old Style"/>
        <a:ea typeface=""/>
        <a:cs typeface=""/>
      </a:majorFont>
      <a:minorFont>
        <a:latin typeface="Times New Roman"/>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867C14-91D5-4ACB-B5E0-5BC68908D0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3870</TotalTime>
  <Pages>25</Pages>
  <Words>4148</Words>
  <Characters>23649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Linux</dc:creator>
  <cp:keywords/>
  <dc:description/>
  <cp:lastModifiedBy>Linux</cp:lastModifiedBy>
  <cp:revision>6</cp:revision>
  <dcterms:created xsi:type="dcterms:W3CDTF">2022-01-11T00:25:00Z</dcterms:created>
  <dcterms:modified xsi:type="dcterms:W3CDTF">2022-01-13T18:47:00Z</dcterms:modified>
</cp:coreProperties>
</file>