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9645A" w14:textId="0D638B15" w:rsidR="002B00F6" w:rsidRPr="00BD5973" w:rsidRDefault="002B00F6" w:rsidP="00AF3E87">
      <w:pPr>
        <w:jc w:val="center"/>
        <w:rPr>
          <w:rFonts w:eastAsia="Calibri" w:cs="Calibri"/>
          <w:b/>
          <w:bCs/>
          <w:color w:val="002060"/>
          <w:szCs w:val="32"/>
        </w:rPr>
      </w:pPr>
      <w:r w:rsidRPr="00BD5973">
        <w:rPr>
          <w:rFonts w:eastAsia="MS Mincho" w:cs="Times New Roman"/>
          <w:b/>
          <w:bCs/>
          <w:color w:val="002060"/>
          <w:sz w:val="40"/>
          <w:szCs w:val="40"/>
        </w:rPr>
        <w:t>Module Title</w:t>
      </w:r>
      <w:r w:rsidR="003C1FD0" w:rsidRPr="00BD5973">
        <w:rPr>
          <w:rFonts w:eastAsia="MS Mincho" w:cs="Times New Roman"/>
          <w:b/>
          <w:bCs/>
          <w:color w:val="002060"/>
          <w:sz w:val="40"/>
          <w:szCs w:val="40"/>
        </w:rPr>
        <w:t xml:space="preserve"> –</w:t>
      </w:r>
      <w:r w:rsidR="002A4CFC">
        <w:rPr>
          <w:rFonts w:eastAsia="MS Mincho" w:cs="Times New Roman"/>
          <w:b/>
          <w:bCs/>
          <w:color w:val="002060"/>
          <w:sz w:val="40"/>
          <w:szCs w:val="40"/>
        </w:rPr>
        <w:t xml:space="preserve"> International Business Communications</w:t>
      </w:r>
    </w:p>
    <w:p w14:paraId="738BB58C" w14:textId="3784F662" w:rsidR="002B00F6" w:rsidRPr="00BD5973" w:rsidRDefault="002B00F6" w:rsidP="00AF3E87">
      <w:pPr>
        <w:jc w:val="center"/>
        <w:rPr>
          <w:sz w:val="40"/>
          <w:szCs w:val="32"/>
        </w:rPr>
      </w:pPr>
      <w:r w:rsidRPr="00BD5973">
        <w:rPr>
          <w:sz w:val="40"/>
          <w:szCs w:val="32"/>
        </w:rPr>
        <w:t>Student Name –</w:t>
      </w:r>
      <w:r w:rsidR="00E23AF9">
        <w:rPr>
          <w:sz w:val="40"/>
          <w:szCs w:val="32"/>
        </w:rPr>
        <w:t xml:space="preserve"> Narcis-Nicu Gavril</w:t>
      </w:r>
    </w:p>
    <w:p w14:paraId="51C0A86E" w14:textId="77D4B209" w:rsidR="002B00F6" w:rsidRPr="00BD5973" w:rsidRDefault="002B00F6" w:rsidP="00AF3E87">
      <w:pPr>
        <w:jc w:val="center"/>
        <w:rPr>
          <w:sz w:val="40"/>
          <w:szCs w:val="32"/>
        </w:rPr>
      </w:pPr>
      <w:r w:rsidRPr="00BD5973">
        <w:rPr>
          <w:sz w:val="40"/>
          <w:szCs w:val="32"/>
        </w:rPr>
        <w:t xml:space="preserve">Student ID </w:t>
      </w:r>
      <w:r w:rsidR="00AF3E87" w:rsidRPr="00BD5973">
        <w:rPr>
          <w:sz w:val="40"/>
          <w:szCs w:val="32"/>
        </w:rPr>
        <w:t>–</w:t>
      </w:r>
      <w:r w:rsidR="00E23AF9">
        <w:rPr>
          <w:sz w:val="40"/>
          <w:szCs w:val="32"/>
        </w:rPr>
        <w:t xml:space="preserve"> </w:t>
      </w:r>
      <w:r w:rsidR="00AF3E87" w:rsidRPr="00BD5973">
        <w:rPr>
          <w:sz w:val="40"/>
          <w:szCs w:val="32"/>
        </w:rPr>
        <w:t xml:space="preserve"> </w:t>
      </w:r>
      <w:r w:rsidR="00E23AF9">
        <w:rPr>
          <w:sz w:val="40"/>
          <w:szCs w:val="32"/>
        </w:rPr>
        <w:t>2022007</w:t>
      </w:r>
    </w:p>
    <w:p w14:paraId="2033266F" w14:textId="77777777" w:rsidR="0028793E" w:rsidRDefault="0028793E" w:rsidP="00F04964"/>
    <w:p w14:paraId="56F2AE46" w14:textId="2C3C8579" w:rsidR="00E93AFD" w:rsidRDefault="00E93AFD" w:rsidP="00F04964"/>
    <w:p w14:paraId="28D94C0C" w14:textId="33474113" w:rsidR="00584DE1" w:rsidRDefault="00584DE1" w:rsidP="00F04964"/>
    <w:p w14:paraId="4F985223" w14:textId="2193F98F" w:rsidR="00584DE1" w:rsidRDefault="00584DE1" w:rsidP="00F04964"/>
    <w:p w14:paraId="44D9AB8E" w14:textId="6D9740CC" w:rsidR="00584DE1" w:rsidRDefault="00584DE1" w:rsidP="00F04964"/>
    <w:p w14:paraId="5E9DC69F" w14:textId="65D9ACFB" w:rsidR="00584DE1" w:rsidRDefault="00584DE1" w:rsidP="00F04964"/>
    <w:p w14:paraId="6ACE169C" w14:textId="7F46616B" w:rsidR="00584DE1" w:rsidRDefault="00584DE1" w:rsidP="00F04964"/>
    <w:p w14:paraId="4A1444B9" w14:textId="069D5AFB" w:rsidR="00584DE1" w:rsidRDefault="00584DE1" w:rsidP="00F04964"/>
    <w:p w14:paraId="5DB806A1" w14:textId="77E33836" w:rsidR="00584DE1" w:rsidRDefault="00584DE1" w:rsidP="00F04964"/>
    <w:p w14:paraId="62F054C5" w14:textId="38F0EBCC" w:rsidR="00584DE1" w:rsidRDefault="00584DE1" w:rsidP="00F04964"/>
    <w:p w14:paraId="0D92CFF9" w14:textId="54413549" w:rsidR="00584DE1" w:rsidRDefault="00584DE1" w:rsidP="00F04964"/>
    <w:p w14:paraId="64A60357" w14:textId="4FDB07EE" w:rsidR="00584DE1" w:rsidRDefault="00584DE1" w:rsidP="00F04964"/>
    <w:p w14:paraId="20CC21CF" w14:textId="5239CEB3" w:rsidR="00584DE1" w:rsidRDefault="00584DE1" w:rsidP="00F04964"/>
    <w:p w14:paraId="0EBB9454" w14:textId="4AEB72EE" w:rsidR="00584DE1" w:rsidRDefault="00584DE1" w:rsidP="00F04964"/>
    <w:p w14:paraId="45A4E78E" w14:textId="62541D48" w:rsidR="004A7C76" w:rsidRDefault="004A7C76" w:rsidP="00F04964"/>
    <w:p w14:paraId="4FF4462C" w14:textId="77777777" w:rsidR="004A7C76" w:rsidRDefault="004A7C76" w:rsidP="00F04964"/>
    <w:p w14:paraId="2E6493B4" w14:textId="3AD52069" w:rsidR="001F2073" w:rsidRDefault="001F2073" w:rsidP="00F04964"/>
    <w:p w14:paraId="525998AB" w14:textId="002A039D" w:rsidR="00EB4B3F" w:rsidRDefault="001F2073" w:rsidP="00720CE6">
      <w:pPr>
        <w:jc w:val="center"/>
        <w:rPr>
          <w:b/>
          <w:bCs/>
          <w:color w:val="222A35" w:themeColor="text2" w:themeShade="80"/>
          <w:sz w:val="32"/>
          <w:szCs w:val="28"/>
        </w:rPr>
      </w:pPr>
      <w:r>
        <w:br w:type="page"/>
      </w:r>
      <w:r w:rsidRPr="001F2073">
        <w:rPr>
          <w:b/>
          <w:bCs/>
          <w:color w:val="222A35" w:themeColor="text2" w:themeShade="80"/>
          <w:sz w:val="32"/>
          <w:szCs w:val="28"/>
        </w:rPr>
        <w:lastRenderedPageBreak/>
        <w:t xml:space="preserve">Table </w:t>
      </w:r>
      <w:r w:rsidR="00EB4B3F" w:rsidRPr="001F2073">
        <w:rPr>
          <w:b/>
          <w:bCs/>
          <w:color w:val="222A35" w:themeColor="text2" w:themeShade="80"/>
          <w:sz w:val="32"/>
          <w:szCs w:val="28"/>
        </w:rPr>
        <w:t xml:space="preserve">of </w:t>
      </w:r>
      <w:r w:rsidR="00EB4B3F">
        <w:rPr>
          <w:b/>
          <w:bCs/>
          <w:color w:val="222A35" w:themeColor="text2" w:themeShade="80"/>
          <w:sz w:val="32"/>
          <w:szCs w:val="28"/>
        </w:rPr>
        <w:t>Contents</w:t>
      </w:r>
    </w:p>
    <w:sdt>
      <w:sdtPr>
        <w:rPr>
          <w:rFonts w:ascii="Times New Roman" w:eastAsiaTheme="minorHAnsi" w:hAnsi="Times New Roman" w:cstheme="minorBidi"/>
          <w:color w:val="auto"/>
          <w:sz w:val="24"/>
          <w:szCs w:val="22"/>
        </w:rPr>
        <w:id w:val="-1509670645"/>
        <w:docPartObj>
          <w:docPartGallery w:val="Table of Contents"/>
          <w:docPartUnique/>
        </w:docPartObj>
      </w:sdtPr>
      <w:sdtEndPr>
        <w:rPr>
          <w:b/>
          <w:bCs/>
          <w:noProof/>
        </w:rPr>
      </w:sdtEndPr>
      <w:sdtContent>
        <w:p w14:paraId="3BE32D85" w14:textId="49F92CDA" w:rsidR="000A493C" w:rsidRDefault="000A493C">
          <w:pPr>
            <w:pStyle w:val="TOCHeading"/>
          </w:pPr>
        </w:p>
        <w:p w14:paraId="36F63AC1" w14:textId="1699668A" w:rsidR="00471A46" w:rsidRDefault="000A493C">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0064763" w:history="1">
            <w:r w:rsidR="00471A46" w:rsidRPr="002453FC">
              <w:rPr>
                <w:rStyle w:val="Hyperlink"/>
                <w:noProof/>
              </w:rPr>
              <w:t>Introduction</w:t>
            </w:r>
            <w:r w:rsidR="00471A46">
              <w:rPr>
                <w:noProof/>
                <w:webHidden/>
              </w:rPr>
              <w:tab/>
            </w:r>
            <w:r w:rsidR="00471A46">
              <w:rPr>
                <w:noProof/>
                <w:webHidden/>
              </w:rPr>
              <w:fldChar w:fldCharType="begin"/>
            </w:r>
            <w:r w:rsidR="00471A46">
              <w:rPr>
                <w:noProof/>
                <w:webHidden/>
              </w:rPr>
              <w:instrText xml:space="preserve"> PAGEREF _Toc130064763 \h </w:instrText>
            </w:r>
            <w:r w:rsidR="00471A46">
              <w:rPr>
                <w:noProof/>
                <w:webHidden/>
              </w:rPr>
            </w:r>
            <w:r w:rsidR="00471A46">
              <w:rPr>
                <w:noProof/>
                <w:webHidden/>
              </w:rPr>
              <w:fldChar w:fldCharType="separate"/>
            </w:r>
            <w:r w:rsidR="00471A46">
              <w:rPr>
                <w:noProof/>
                <w:webHidden/>
              </w:rPr>
              <w:t>1</w:t>
            </w:r>
            <w:r w:rsidR="00471A46">
              <w:rPr>
                <w:noProof/>
                <w:webHidden/>
              </w:rPr>
              <w:fldChar w:fldCharType="end"/>
            </w:r>
          </w:hyperlink>
        </w:p>
        <w:p w14:paraId="1F38BC15" w14:textId="4ABC5CA5" w:rsidR="00471A46" w:rsidRDefault="00000000">
          <w:pPr>
            <w:pStyle w:val="TOC1"/>
            <w:tabs>
              <w:tab w:val="right" w:leader="dot" w:pos="9350"/>
            </w:tabs>
            <w:rPr>
              <w:rFonts w:asciiTheme="minorHAnsi" w:eastAsiaTheme="minorEastAsia" w:hAnsiTheme="minorHAnsi"/>
              <w:noProof/>
              <w:sz w:val="22"/>
            </w:rPr>
          </w:pPr>
          <w:hyperlink w:anchor="_Toc130064764" w:history="1">
            <w:r w:rsidR="00471A46" w:rsidRPr="002453FC">
              <w:rPr>
                <w:rStyle w:val="Hyperlink"/>
                <w:noProof/>
              </w:rPr>
              <w:t>Organisational Overview</w:t>
            </w:r>
            <w:r w:rsidR="00471A46">
              <w:rPr>
                <w:noProof/>
                <w:webHidden/>
              </w:rPr>
              <w:tab/>
            </w:r>
            <w:r w:rsidR="00471A46">
              <w:rPr>
                <w:noProof/>
                <w:webHidden/>
              </w:rPr>
              <w:fldChar w:fldCharType="begin"/>
            </w:r>
            <w:r w:rsidR="00471A46">
              <w:rPr>
                <w:noProof/>
                <w:webHidden/>
              </w:rPr>
              <w:instrText xml:space="preserve"> PAGEREF _Toc130064764 \h </w:instrText>
            </w:r>
            <w:r w:rsidR="00471A46">
              <w:rPr>
                <w:noProof/>
                <w:webHidden/>
              </w:rPr>
            </w:r>
            <w:r w:rsidR="00471A46">
              <w:rPr>
                <w:noProof/>
                <w:webHidden/>
              </w:rPr>
              <w:fldChar w:fldCharType="separate"/>
            </w:r>
            <w:r w:rsidR="00471A46">
              <w:rPr>
                <w:noProof/>
                <w:webHidden/>
              </w:rPr>
              <w:t>2</w:t>
            </w:r>
            <w:r w:rsidR="00471A46">
              <w:rPr>
                <w:noProof/>
                <w:webHidden/>
              </w:rPr>
              <w:fldChar w:fldCharType="end"/>
            </w:r>
          </w:hyperlink>
        </w:p>
        <w:p w14:paraId="5E942D6C" w14:textId="198B2F46" w:rsidR="00471A46" w:rsidRDefault="00000000">
          <w:pPr>
            <w:pStyle w:val="TOC1"/>
            <w:tabs>
              <w:tab w:val="right" w:leader="dot" w:pos="9350"/>
            </w:tabs>
            <w:rPr>
              <w:rFonts w:asciiTheme="minorHAnsi" w:eastAsiaTheme="minorEastAsia" w:hAnsiTheme="minorHAnsi"/>
              <w:noProof/>
              <w:sz w:val="22"/>
            </w:rPr>
          </w:pPr>
          <w:hyperlink w:anchor="_Toc130064765" w:history="1">
            <w:r w:rsidR="00471A46" w:rsidRPr="002453FC">
              <w:rPr>
                <w:rStyle w:val="Hyperlink"/>
                <w:noProof/>
              </w:rPr>
              <w:t>The implication of international and intercultural communication theories in the UK.</w:t>
            </w:r>
            <w:r w:rsidR="00471A46">
              <w:rPr>
                <w:noProof/>
                <w:webHidden/>
              </w:rPr>
              <w:tab/>
            </w:r>
            <w:r w:rsidR="00471A46">
              <w:rPr>
                <w:noProof/>
                <w:webHidden/>
              </w:rPr>
              <w:fldChar w:fldCharType="begin"/>
            </w:r>
            <w:r w:rsidR="00471A46">
              <w:rPr>
                <w:noProof/>
                <w:webHidden/>
              </w:rPr>
              <w:instrText xml:space="preserve"> PAGEREF _Toc130064765 \h </w:instrText>
            </w:r>
            <w:r w:rsidR="00471A46">
              <w:rPr>
                <w:noProof/>
                <w:webHidden/>
              </w:rPr>
            </w:r>
            <w:r w:rsidR="00471A46">
              <w:rPr>
                <w:noProof/>
                <w:webHidden/>
              </w:rPr>
              <w:fldChar w:fldCharType="separate"/>
            </w:r>
            <w:r w:rsidR="00471A46">
              <w:rPr>
                <w:noProof/>
                <w:webHidden/>
              </w:rPr>
              <w:t>3</w:t>
            </w:r>
            <w:r w:rsidR="00471A46">
              <w:rPr>
                <w:noProof/>
                <w:webHidden/>
              </w:rPr>
              <w:fldChar w:fldCharType="end"/>
            </w:r>
          </w:hyperlink>
        </w:p>
        <w:p w14:paraId="759F601F" w14:textId="65E100C8" w:rsidR="00471A46" w:rsidRDefault="00000000">
          <w:pPr>
            <w:pStyle w:val="TOC1"/>
            <w:tabs>
              <w:tab w:val="right" w:leader="dot" w:pos="9350"/>
            </w:tabs>
            <w:rPr>
              <w:rFonts w:asciiTheme="minorHAnsi" w:eastAsiaTheme="minorEastAsia" w:hAnsiTheme="minorHAnsi"/>
              <w:noProof/>
              <w:sz w:val="22"/>
            </w:rPr>
          </w:pPr>
          <w:hyperlink w:anchor="_Toc130064766" w:history="1">
            <w:r w:rsidR="00471A46" w:rsidRPr="002453FC">
              <w:rPr>
                <w:rStyle w:val="Hyperlink"/>
                <w:noProof/>
              </w:rPr>
              <w:t>Crucial judgment of cultural sensitivity while conducting business in the UK.</w:t>
            </w:r>
            <w:r w:rsidR="00471A46">
              <w:rPr>
                <w:noProof/>
                <w:webHidden/>
              </w:rPr>
              <w:tab/>
            </w:r>
            <w:r w:rsidR="00471A46">
              <w:rPr>
                <w:noProof/>
                <w:webHidden/>
              </w:rPr>
              <w:fldChar w:fldCharType="begin"/>
            </w:r>
            <w:r w:rsidR="00471A46">
              <w:rPr>
                <w:noProof/>
                <w:webHidden/>
              </w:rPr>
              <w:instrText xml:space="preserve"> PAGEREF _Toc130064766 \h </w:instrText>
            </w:r>
            <w:r w:rsidR="00471A46">
              <w:rPr>
                <w:noProof/>
                <w:webHidden/>
              </w:rPr>
            </w:r>
            <w:r w:rsidR="00471A46">
              <w:rPr>
                <w:noProof/>
                <w:webHidden/>
              </w:rPr>
              <w:fldChar w:fldCharType="separate"/>
            </w:r>
            <w:r w:rsidR="00471A46">
              <w:rPr>
                <w:noProof/>
                <w:webHidden/>
              </w:rPr>
              <w:t>5</w:t>
            </w:r>
            <w:r w:rsidR="00471A46">
              <w:rPr>
                <w:noProof/>
                <w:webHidden/>
              </w:rPr>
              <w:fldChar w:fldCharType="end"/>
            </w:r>
          </w:hyperlink>
        </w:p>
        <w:p w14:paraId="7E3787EF" w14:textId="3262BE4C" w:rsidR="00471A46" w:rsidRDefault="00000000">
          <w:pPr>
            <w:pStyle w:val="TOC1"/>
            <w:tabs>
              <w:tab w:val="right" w:leader="dot" w:pos="9350"/>
            </w:tabs>
            <w:rPr>
              <w:rFonts w:asciiTheme="minorHAnsi" w:eastAsiaTheme="minorEastAsia" w:hAnsiTheme="minorHAnsi"/>
              <w:noProof/>
              <w:sz w:val="22"/>
            </w:rPr>
          </w:pPr>
          <w:hyperlink w:anchor="_Toc130064767" w:history="1">
            <w:r w:rsidR="00471A46" w:rsidRPr="002453FC">
              <w:rPr>
                <w:rStyle w:val="Hyperlink"/>
                <w:noProof/>
              </w:rPr>
              <w:t>Highlight and assess different communication barriers encountered by a diverse workforce in the UK.</w:t>
            </w:r>
            <w:r w:rsidR="00471A46">
              <w:rPr>
                <w:noProof/>
                <w:webHidden/>
              </w:rPr>
              <w:tab/>
            </w:r>
            <w:r w:rsidR="00471A46">
              <w:rPr>
                <w:noProof/>
                <w:webHidden/>
              </w:rPr>
              <w:fldChar w:fldCharType="begin"/>
            </w:r>
            <w:r w:rsidR="00471A46">
              <w:rPr>
                <w:noProof/>
                <w:webHidden/>
              </w:rPr>
              <w:instrText xml:space="preserve"> PAGEREF _Toc130064767 \h </w:instrText>
            </w:r>
            <w:r w:rsidR="00471A46">
              <w:rPr>
                <w:noProof/>
                <w:webHidden/>
              </w:rPr>
            </w:r>
            <w:r w:rsidR="00471A46">
              <w:rPr>
                <w:noProof/>
                <w:webHidden/>
              </w:rPr>
              <w:fldChar w:fldCharType="separate"/>
            </w:r>
            <w:r w:rsidR="00471A46">
              <w:rPr>
                <w:noProof/>
                <w:webHidden/>
              </w:rPr>
              <w:t>7</w:t>
            </w:r>
            <w:r w:rsidR="00471A46">
              <w:rPr>
                <w:noProof/>
                <w:webHidden/>
              </w:rPr>
              <w:fldChar w:fldCharType="end"/>
            </w:r>
          </w:hyperlink>
        </w:p>
        <w:p w14:paraId="3366D3A3" w14:textId="71622368" w:rsidR="00471A46" w:rsidRDefault="00000000">
          <w:pPr>
            <w:pStyle w:val="TOC1"/>
            <w:tabs>
              <w:tab w:val="right" w:leader="dot" w:pos="9350"/>
            </w:tabs>
            <w:rPr>
              <w:rFonts w:asciiTheme="minorHAnsi" w:eastAsiaTheme="minorEastAsia" w:hAnsiTheme="minorHAnsi"/>
              <w:noProof/>
              <w:sz w:val="22"/>
            </w:rPr>
          </w:pPr>
          <w:hyperlink w:anchor="_Toc130064768" w:history="1">
            <w:r w:rsidR="00471A46" w:rsidRPr="002453FC">
              <w:rPr>
                <w:rStyle w:val="Hyperlink"/>
                <w:noProof/>
              </w:rPr>
              <w:t>Communication strategies and pertinent recommendations to the organisation.</w:t>
            </w:r>
            <w:r w:rsidR="00471A46">
              <w:rPr>
                <w:noProof/>
                <w:webHidden/>
              </w:rPr>
              <w:tab/>
            </w:r>
            <w:r w:rsidR="00471A46">
              <w:rPr>
                <w:noProof/>
                <w:webHidden/>
              </w:rPr>
              <w:fldChar w:fldCharType="begin"/>
            </w:r>
            <w:r w:rsidR="00471A46">
              <w:rPr>
                <w:noProof/>
                <w:webHidden/>
              </w:rPr>
              <w:instrText xml:space="preserve"> PAGEREF _Toc130064768 \h </w:instrText>
            </w:r>
            <w:r w:rsidR="00471A46">
              <w:rPr>
                <w:noProof/>
                <w:webHidden/>
              </w:rPr>
            </w:r>
            <w:r w:rsidR="00471A46">
              <w:rPr>
                <w:noProof/>
                <w:webHidden/>
              </w:rPr>
              <w:fldChar w:fldCharType="separate"/>
            </w:r>
            <w:r w:rsidR="00471A46">
              <w:rPr>
                <w:noProof/>
                <w:webHidden/>
              </w:rPr>
              <w:t>9</w:t>
            </w:r>
            <w:r w:rsidR="00471A46">
              <w:rPr>
                <w:noProof/>
                <w:webHidden/>
              </w:rPr>
              <w:fldChar w:fldCharType="end"/>
            </w:r>
          </w:hyperlink>
        </w:p>
        <w:p w14:paraId="0AD1D8C7" w14:textId="333D20ED" w:rsidR="00471A46" w:rsidRDefault="00000000">
          <w:pPr>
            <w:pStyle w:val="TOC1"/>
            <w:tabs>
              <w:tab w:val="right" w:leader="dot" w:pos="9350"/>
            </w:tabs>
            <w:rPr>
              <w:rFonts w:asciiTheme="minorHAnsi" w:eastAsiaTheme="minorEastAsia" w:hAnsiTheme="minorHAnsi"/>
              <w:noProof/>
              <w:sz w:val="22"/>
            </w:rPr>
          </w:pPr>
          <w:hyperlink w:anchor="_Toc130064769" w:history="1">
            <w:r w:rsidR="00471A46" w:rsidRPr="002453FC">
              <w:rPr>
                <w:rStyle w:val="Hyperlink"/>
                <w:noProof/>
              </w:rPr>
              <w:t>Conclusion</w:t>
            </w:r>
            <w:r w:rsidR="00471A46">
              <w:rPr>
                <w:noProof/>
                <w:webHidden/>
              </w:rPr>
              <w:tab/>
            </w:r>
            <w:r w:rsidR="00471A46">
              <w:rPr>
                <w:noProof/>
                <w:webHidden/>
              </w:rPr>
              <w:fldChar w:fldCharType="begin"/>
            </w:r>
            <w:r w:rsidR="00471A46">
              <w:rPr>
                <w:noProof/>
                <w:webHidden/>
              </w:rPr>
              <w:instrText xml:space="preserve"> PAGEREF _Toc130064769 \h </w:instrText>
            </w:r>
            <w:r w:rsidR="00471A46">
              <w:rPr>
                <w:noProof/>
                <w:webHidden/>
              </w:rPr>
            </w:r>
            <w:r w:rsidR="00471A46">
              <w:rPr>
                <w:noProof/>
                <w:webHidden/>
              </w:rPr>
              <w:fldChar w:fldCharType="separate"/>
            </w:r>
            <w:r w:rsidR="00471A46">
              <w:rPr>
                <w:noProof/>
                <w:webHidden/>
              </w:rPr>
              <w:t>12</w:t>
            </w:r>
            <w:r w:rsidR="00471A46">
              <w:rPr>
                <w:noProof/>
                <w:webHidden/>
              </w:rPr>
              <w:fldChar w:fldCharType="end"/>
            </w:r>
          </w:hyperlink>
        </w:p>
        <w:p w14:paraId="2F76057D" w14:textId="440CC845" w:rsidR="00471A46" w:rsidRDefault="00000000">
          <w:pPr>
            <w:pStyle w:val="TOC1"/>
            <w:tabs>
              <w:tab w:val="right" w:leader="dot" w:pos="9350"/>
            </w:tabs>
            <w:rPr>
              <w:rFonts w:asciiTheme="minorHAnsi" w:eastAsiaTheme="minorEastAsia" w:hAnsiTheme="minorHAnsi"/>
              <w:noProof/>
              <w:sz w:val="22"/>
            </w:rPr>
          </w:pPr>
          <w:hyperlink w:anchor="_Toc130064770" w:history="1">
            <w:r w:rsidR="00471A46" w:rsidRPr="002453FC">
              <w:rPr>
                <w:rStyle w:val="Hyperlink"/>
                <w:noProof/>
              </w:rPr>
              <w:t>References</w:t>
            </w:r>
            <w:r w:rsidR="00471A46">
              <w:rPr>
                <w:noProof/>
                <w:webHidden/>
              </w:rPr>
              <w:tab/>
            </w:r>
            <w:r w:rsidR="00471A46">
              <w:rPr>
                <w:noProof/>
                <w:webHidden/>
              </w:rPr>
              <w:fldChar w:fldCharType="begin"/>
            </w:r>
            <w:r w:rsidR="00471A46">
              <w:rPr>
                <w:noProof/>
                <w:webHidden/>
              </w:rPr>
              <w:instrText xml:space="preserve"> PAGEREF _Toc130064770 \h </w:instrText>
            </w:r>
            <w:r w:rsidR="00471A46">
              <w:rPr>
                <w:noProof/>
                <w:webHidden/>
              </w:rPr>
            </w:r>
            <w:r w:rsidR="00471A46">
              <w:rPr>
                <w:noProof/>
                <w:webHidden/>
              </w:rPr>
              <w:fldChar w:fldCharType="separate"/>
            </w:r>
            <w:r w:rsidR="00471A46">
              <w:rPr>
                <w:noProof/>
                <w:webHidden/>
              </w:rPr>
              <w:t>13</w:t>
            </w:r>
            <w:r w:rsidR="00471A46">
              <w:rPr>
                <w:noProof/>
                <w:webHidden/>
              </w:rPr>
              <w:fldChar w:fldCharType="end"/>
            </w:r>
          </w:hyperlink>
        </w:p>
        <w:p w14:paraId="15560955" w14:textId="5DBD52EB" w:rsidR="000A493C" w:rsidRDefault="000A493C">
          <w:r>
            <w:rPr>
              <w:b/>
              <w:bCs/>
              <w:noProof/>
            </w:rPr>
            <w:fldChar w:fldCharType="end"/>
          </w:r>
        </w:p>
      </w:sdtContent>
    </w:sdt>
    <w:p w14:paraId="65CB83DA" w14:textId="77777777" w:rsidR="00EB4B3F" w:rsidRDefault="00EB4B3F" w:rsidP="00EB4B3F"/>
    <w:p w14:paraId="2B037B53" w14:textId="77777777" w:rsidR="00EB4B3F" w:rsidRDefault="00EB4B3F" w:rsidP="00EB4B3F">
      <w:pPr>
        <w:rPr>
          <w:b/>
          <w:bCs/>
          <w:color w:val="222A35" w:themeColor="text2" w:themeShade="80"/>
          <w:sz w:val="32"/>
          <w:szCs w:val="28"/>
        </w:rPr>
      </w:pPr>
    </w:p>
    <w:p w14:paraId="71F83F81" w14:textId="637915F1" w:rsidR="00D247DA" w:rsidRDefault="00D247DA" w:rsidP="00EB4B3F">
      <w:pPr>
        <w:rPr>
          <w:sz w:val="32"/>
          <w:szCs w:val="28"/>
        </w:rPr>
      </w:pPr>
    </w:p>
    <w:p w14:paraId="374BA068" w14:textId="77777777" w:rsidR="00D247DA" w:rsidRDefault="00D247DA">
      <w:pPr>
        <w:spacing w:line="259" w:lineRule="auto"/>
        <w:jc w:val="left"/>
        <w:rPr>
          <w:sz w:val="32"/>
          <w:szCs w:val="28"/>
        </w:rPr>
      </w:pPr>
      <w:r>
        <w:rPr>
          <w:sz w:val="32"/>
          <w:szCs w:val="28"/>
        </w:rPr>
        <w:br w:type="page"/>
      </w:r>
    </w:p>
    <w:p w14:paraId="2BB54086" w14:textId="435ADC6E" w:rsidR="00D247DA" w:rsidRPr="00D247DA" w:rsidRDefault="004117D5" w:rsidP="004117D5">
      <w:pPr>
        <w:jc w:val="center"/>
        <w:rPr>
          <w:b/>
          <w:bCs/>
          <w:color w:val="222A35" w:themeColor="text2" w:themeShade="80"/>
          <w:sz w:val="32"/>
          <w:szCs w:val="28"/>
        </w:rPr>
      </w:pPr>
      <w:r>
        <w:rPr>
          <w:b/>
          <w:bCs/>
          <w:color w:val="222A35" w:themeColor="text2" w:themeShade="80"/>
          <w:sz w:val="32"/>
          <w:szCs w:val="28"/>
        </w:rPr>
        <w:lastRenderedPageBreak/>
        <w:t xml:space="preserve">List of </w:t>
      </w:r>
      <w:r w:rsidR="00D247DA" w:rsidRPr="00D247DA">
        <w:rPr>
          <w:b/>
          <w:bCs/>
          <w:color w:val="222A35" w:themeColor="text2" w:themeShade="80"/>
          <w:sz w:val="32"/>
          <w:szCs w:val="28"/>
        </w:rPr>
        <w:t>Figures</w:t>
      </w:r>
    </w:p>
    <w:p w14:paraId="27775640" w14:textId="2AFC6BD0" w:rsidR="00471A46" w:rsidRDefault="00471A46">
      <w:pPr>
        <w:pStyle w:val="TableofFigures"/>
        <w:tabs>
          <w:tab w:val="right" w:leader="dot" w:pos="9350"/>
        </w:tabs>
        <w:rPr>
          <w:noProof/>
        </w:rPr>
      </w:pPr>
      <w:r>
        <w:rPr>
          <w:sz w:val="32"/>
          <w:szCs w:val="28"/>
        </w:rPr>
        <w:fldChar w:fldCharType="begin"/>
      </w:r>
      <w:r>
        <w:rPr>
          <w:sz w:val="32"/>
          <w:szCs w:val="28"/>
        </w:rPr>
        <w:instrText xml:space="preserve"> TOC \h \z \c "Figure" </w:instrText>
      </w:r>
      <w:r>
        <w:rPr>
          <w:sz w:val="32"/>
          <w:szCs w:val="28"/>
        </w:rPr>
        <w:fldChar w:fldCharType="separate"/>
      </w:r>
      <w:hyperlink w:anchor="_Toc130064775" w:history="1">
        <w:r w:rsidRPr="00086F15">
          <w:rPr>
            <w:rStyle w:val="Hyperlink"/>
            <w:noProof/>
          </w:rPr>
          <w:t>Figure 1: Hofstede's six dimensions of cultural diversity</w:t>
        </w:r>
        <w:r>
          <w:rPr>
            <w:noProof/>
            <w:webHidden/>
          </w:rPr>
          <w:tab/>
        </w:r>
        <w:r>
          <w:rPr>
            <w:noProof/>
            <w:webHidden/>
          </w:rPr>
          <w:fldChar w:fldCharType="begin"/>
        </w:r>
        <w:r>
          <w:rPr>
            <w:noProof/>
            <w:webHidden/>
          </w:rPr>
          <w:instrText xml:space="preserve"> PAGEREF _Toc130064775 \h </w:instrText>
        </w:r>
        <w:r>
          <w:rPr>
            <w:noProof/>
            <w:webHidden/>
          </w:rPr>
        </w:r>
        <w:r>
          <w:rPr>
            <w:noProof/>
            <w:webHidden/>
          </w:rPr>
          <w:fldChar w:fldCharType="separate"/>
        </w:r>
        <w:r>
          <w:rPr>
            <w:noProof/>
            <w:webHidden/>
          </w:rPr>
          <w:t>3</w:t>
        </w:r>
        <w:r>
          <w:rPr>
            <w:noProof/>
            <w:webHidden/>
          </w:rPr>
          <w:fldChar w:fldCharType="end"/>
        </w:r>
      </w:hyperlink>
    </w:p>
    <w:p w14:paraId="4CF77092" w14:textId="2834A2BB" w:rsidR="00D247DA" w:rsidRDefault="00471A46">
      <w:pPr>
        <w:spacing w:line="259" w:lineRule="auto"/>
        <w:jc w:val="left"/>
        <w:rPr>
          <w:sz w:val="32"/>
          <w:szCs w:val="28"/>
        </w:rPr>
      </w:pPr>
      <w:r>
        <w:rPr>
          <w:sz w:val="32"/>
          <w:szCs w:val="28"/>
        </w:rPr>
        <w:fldChar w:fldCharType="end"/>
      </w:r>
      <w:r w:rsidR="00D247DA">
        <w:rPr>
          <w:sz w:val="32"/>
          <w:szCs w:val="28"/>
        </w:rPr>
        <w:br w:type="page"/>
      </w:r>
    </w:p>
    <w:p w14:paraId="2506DB40" w14:textId="77777777" w:rsidR="00EB4B3F" w:rsidRPr="00EB4B3F" w:rsidRDefault="00EB4B3F" w:rsidP="00EB4B3F">
      <w:pPr>
        <w:rPr>
          <w:sz w:val="32"/>
          <w:szCs w:val="28"/>
        </w:rPr>
        <w:sectPr w:rsidR="00EB4B3F" w:rsidRPr="00EB4B3F" w:rsidSect="00EB4B3F">
          <w:footerReference w:type="default" r:id="rId7"/>
          <w:pgSz w:w="12240" w:h="15840"/>
          <w:pgMar w:top="1440" w:right="1440" w:bottom="1440" w:left="1440" w:header="720" w:footer="720" w:gutter="0"/>
          <w:pgNumType w:fmt="lowerRoman" w:start="1"/>
          <w:cols w:space="720"/>
          <w:titlePg/>
          <w:docGrid w:linePitch="360"/>
        </w:sectPr>
      </w:pPr>
    </w:p>
    <w:p w14:paraId="3733EB98" w14:textId="7663D915" w:rsidR="001F2073" w:rsidRDefault="00990CFC" w:rsidP="001F2073">
      <w:pPr>
        <w:pStyle w:val="Heading1"/>
      </w:pPr>
      <w:bookmarkStart w:id="0" w:name="_Toc130064763"/>
      <w:r>
        <w:lastRenderedPageBreak/>
        <w:t>Introductio</w:t>
      </w:r>
      <w:r w:rsidR="009A038F">
        <w:t>n</w:t>
      </w:r>
      <w:bookmarkEnd w:id="0"/>
      <w:r w:rsidR="00485192">
        <w:t xml:space="preserve"> </w:t>
      </w:r>
    </w:p>
    <w:p w14:paraId="56D8E5F6" w14:textId="77777777" w:rsidR="002D564F" w:rsidRDefault="002D564F" w:rsidP="002D564F">
      <w:r>
        <w:t>The term "business communication" is used to describe the process of sharing information among various parties inside an organisation and outside. Managers and workers may work together more efficiently towards organisational goals if they can exchange information more effectively. The goal is a reduction in errors and an enhancement of operational procedures.</w:t>
      </w:r>
    </w:p>
    <w:p w14:paraId="7B5516FD" w14:textId="06229BE1" w:rsidR="00487B12" w:rsidRDefault="002D564F" w:rsidP="002D564F">
      <w:r>
        <w:t xml:space="preserve">British business communication has been the base of the report. British business communication typically features indirect over direct speech, notoriously non-confrontational in business, </w:t>
      </w:r>
      <w:r w:rsidR="00A97A30">
        <w:t xml:space="preserve">and </w:t>
      </w:r>
      <w:r>
        <w:t>fear of insulting the opposing side because they connect directness with open conflict. In social circumstances, this might make the British se</w:t>
      </w:r>
      <w:r w:rsidRPr="003D520D">
        <w:t>em evasive when they are just trying to be diplomatic about delivering bad news</w:t>
      </w:r>
      <w:r w:rsidR="00471A46">
        <w:t xml:space="preserve"> (Lo et al., 2017)</w:t>
      </w:r>
      <w:r w:rsidRPr="003D520D">
        <w:t>. Along with being polite, the British have a penchant for couching unfav</w:t>
      </w:r>
      <w:r w:rsidR="00757891" w:rsidRPr="003D520D">
        <w:t>their</w:t>
      </w:r>
      <w:r w:rsidRPr="003D520D">
        <w:t>able information in more flattering terms. The use of hum</w:t>
      </w:r>
      <w:r w:rsidR="003D520D" w:rsidRPr="003D520D">
        <w:t>or</w:t>
      </w:r>
      <w:r w:rsidRPr="003D520D">
        <w:t xml:space="preserve"> in the workplace is almost universal. </w:t>
      </w:r>
      <w:r w:rsidR="003D520D">
        <w:t>Humor</w:t>
      </w:r>
      <w:r w:rsidRPr="003D520D">
        <w:t xml:space="preserve"> is used as a means of relieving tension and creating an atmosphere that's cool, collected, and devoid of emotion. Humor</w:t>
      </w:r>
      <w:r>
        <w:t xml:space="preserve"> is an important and effective means of expression that may be used at any level and in any circumstance. In the United Kingdom, people value modesty above boasting. Those who flaunt their identities and successes are almost certain to be mocked and rejected.</w:t>
      </w:r>
    </w:p>
    <w:p w14:paraId="7DDDC14D" w14:textId="7BFD90B6" w:rsidR="00E370CC" w:rsidRDefault="00BD1028" w:rsidP="00487B12">
      <w:r>
        <w:t xml:space="preserve">The report, therefore, aims to resonate British </w:t>
      </w:r>
      <w:r w:rsidR="00557C67">
        <w:t>b</w:t>
      </w:r>
      <w:r>
        <w:t xml:space="preserve">usiness communication with </w:t>
      </w:r>
      <w:r w:rsidR="00557C67">
        <w:t xml:space="preserve">pertinent theories applicable within the context </w:t>
      </w:r>
      <w:r w:rsidR="003D520D">
        <w:t>of</w:t>
      </w:r>
      <w:r w:rsidR="00557C67">
        <w:t xml:space="preserve"> the UK, critical assessment of cultural sensitivity while operating business in the UK, communication barriers often faced at the workplace and communication strategies for facilitating a positive environment</w:t>
      </w:r>
      <w:r w:rsidR="000F1055">
        <w:t xml:space="preserve"> for everyone to succeed. </w:t>
      </w:r>
    </w:p>
    <w:p w14:paraId="206F628B" w14:textId="6C24342D" w:rsidR="00E370CC" w:rsidRDefault="00E370CC" w:rsidP="00487B12"/>
    <w:p w14:paraId="43F29FB4" w14:textId="4DE591E2" w:rsidR="00E370CC" w:rsidRDefault="00E370CC" w:rsidP="00487B12"/>
    <w:p w14:paraId="7B1A6E9A" w14:textId="4012128A" w:rsidR="00E370CC" w:rsidRDefault="00E370CC" w:rsidP="00487B12"/>
    <w:p w14:paraId="105E1712" w14:textId="04A7C657" w:rsidR="00E370CC" w:rsidRDefault="00E370CC" w:rsidP="00487B12"/>
    <w:p w14:paraId="33709EF2" w14:textId="028E6B41" w:rsidR="00E370CC" w:rsidRDefault="00E370CC" w:rsidP="00487B12"/>
    <w:p w14:paraId="2CB55F14" w14:textId="450D3A2A" w:rsidR="00E370CC" w:rsidRDefault="00E370CC" w:rsidP="00487B12"/>
    <w:p w14:paraId="277D3B12" w14:textId="0A4FE4E7" w:rsidR="00E370CC" w:rsidRDefault="00E370CC" w:rsidP="00487B12"/>
    <w:p w14:paraId="4907236D" w14:textId="07417CF8" w:rsidR="00E370CC" w:rsidRDefault="002142B7" w:rsidP="00E370CC">
      <w:pPr>
        <w:pStyle w:val="Heading1"/>
      </w:pPr>
      <w:bookmarkStart w:id="1" w:name="_Toc130064764"/>
      <w:r>
        <w:lastRenderedPageBreak/>
        <w:t>Organisational Overview</w:t>
      </w:r>
      <w:bookmarkEnd w:id="1"/>
      <w:r w:rsidR="00485192">
        <w:t xml:space="preserve"> </w:t>
      </w:r>
    </w:p>
    <w:p w14:paraId="60DD40B1" w14:textId="39B475F5" w:rsidR="007A3244" w:rsidRDefault="007A3244" w:rsidP="001E748F">
      <w:r w:rsidRPr="007A3244">
        <w:t>GSK Plc is a biopharmaceutical, biotechnology, and healthcare services conglomerate. Its specialised divisions include pharmaceutical drugs, Vaccines</w:t>
      </w:r>
      <w:r w:rsidR="003D520D">
        <w:t>,</w:t>
      </w:r>
      <w:r>
        <w:t xml:space="preserve"> and </w:t>
      </w:r>
      <w:r w:rsidRPr="007A3244">
        <w:t>Consumer Healthcar</w:t>
      </w:r>
      <w:r>
        <w:t xml:space="preserve">e. </w:t>
      </w:r>
      <w:r w:rsidRPr="007A3244">
        <w:t>The Pharmaceuticals division's primary research and development goals are drugs for lung and infectious diseases, cancer, and immune system disorders. The Vaccines department creates vaccines for children and adults to protect them against illnesses such as hepatitis A and B, diphtheria and tetanus, measles and rubella, polio, typhoid, influenza, and bacterial meningitis</w:t>
      </w:r>
      <w:r w:rsidR="00471A46">
        <w:t xml:space="preserve"> (GSK.com, 2023)</w:t>
      </w:r>
      <w:r w:rsidRPr="007A3244">
        <w:t xml:space="preserve">. Consumer Healthcare is a company that creates and sells products for the skin care, hair care, dental care, respiratory care, digestive care, and nutrition sectors. The </w:t>
      </w:r>
      <w:r>
        <w:t xml:space="preserve">corporate </w:t>
      </w:r>
      <w:r w:rsidR="003D520D">
        <w:t>executive</w:t>
      </w:r>
      <w:r>
        <w:t xml:space="preserve"> team (CET) </w:t>
      </w:r>
      <w:r w:rsidRPr="007A3244">
        <w:t>component focuses on business management. The company was established in 1715 and is headquartered in Middlesex, England.</w:t>
      </w:r>
    </w:p>
    <w:p w14:paraId="345E59E5" w14:textId="22AB6788" w:rsidR="007A3244" w:rsidRDefault="007A3244" w:rsidP="007A3244"/>
    <w:p w14:paraId="24AF8EDF" w14:textId="7E08B8E8" w:rsidR="007A3244" w:rsidRDefault="007A3244" w:rsidP="007A3244"/>
    <w:p w14:paraId="2FAA8974" w14:textId="3C67F3A5" w:rsidR="007A3244" w:rsidRDefault="007A3244" w:rsidP="007A3244"/>
    <w:p w14:paraId="7AFAC5DF" w14:textId="0186006A" w:rsidR="007A3244" w:rsidRDefault="007A3244" w:rsidP="007A3244"/>
    <w:p w14:paraId="0CCA947D" w14:textId="52AF38CE" w:rsidR="007A3244" w:rsidRDefault="007A3244" w:rsidP="007A3244"/>
    <w:p w14:paraId="2723216C" w14:textId="09C601A8" w:rsidR="007A3244" w:rsidRDefault="007A3244" w:rsidP="007A3244"/>
    <w:p w14:paraId="0C3A4035" w14:textId="31BDF13E" w:rsidR="007A3244" w:rsidRDefault="007A3244" w:rsidP="007A3244"/>
    <w:p w14:paraId="5EDCB602" w14:textId="543F4670" w:rsidR="007A3244" w:rsidRDefault="007A3244" w:rsidP="007A3244"/>
    <w:p w14:paraId="1A7E1D1E" w14:textId="732FC6FC" w:rsidR="007A3244" w:rsidRDefault="007A3244" w:rsidP="007A3244"/>
    <w:p w14:paraId="0AF1AF81" w14:textId="74E6A860" w:rsidR="007A3244" w:rsidRDefault="007A3244" w:rsidP="007A3244"/>
    <w:p w14:paraId="4FD653C6" w14:textId="6C58B828" w:rsidR="007A3244" w:rsidRDefault="007A3244" w:rsidP="007A3244"/>
    <w:p w14:paraId="229DBF95" w14:textId="18CB8415" w:rsidR="007A3244" w:rsidRDefault="007A3244" w:rsidP="007A3244"/>
    <w:p w14:paraId="5296E202" w14:textId="01695267" w:rsidR="007A3244" w:rsidRDefault="007A3244" w:rsidP="007A3244"/>
    <w:p w14:paraId="2C226228" w14:textId="77777777" w:rsidR="007A3244" w:rsidRPr="007A3244" w:rsidRDefault="007A3244" w:rsidP="007A3244"/>
    <w:p w14:paraId="65E95652" w14:textId="7440BEFA" w:rsidR="00E370CC" w:rsidRDefault="003D520D" w:rsidP="00E370CC">
      <w:pPr>
        <w:pStyle w:val="Heading1"/>
      </w:pPr>
      <w:bookmarkStart w:id="2" w:name="_Toc130064765"/>
      <w:r>
        <w:lastRenderedPageBreak/>
        <w:t>The implication</w:t>
      </w:r>
      <w:r w:rsidR="002142B7">
        <w:t xml:space="preserve"> of international and intercultural communication theories in </w:t>
      </w:r>
      <w:r>
        <w:t xml:space="preserve">the </w:t>
      </w:r>
      <w:r w:rsidR="002142B7">
        <w:t>UK.</w:t>
      </w:r>
      <w:bookmarkEnd w:id="2"/>
      <w:r w:rsidR="00485192">
        <w:t xml:space="preserve"> </w:t>
      </w:r>
    </w:p>
    <w:p w14:paraId="3C7FC2E2" w14:textId="60D20534" w:rsidR="00B67A36" w:rsidRDefault="00B67A36" w:rsidP="00B67A36">
      <w:r>
        <w:t xml:space="preserve">Intercultural communication is predicated on Geert Hofstede's theory of cultural dimensions. It examines </w:t>
      </w:r>
      <w:r w:rsidR="003D520D">
        <w:t>how</w:t>
      </w:r>
      <w:r>
        <w:t xml:space="preserve"> the values and beliefs of a society's members are shaped by its culture using a paradigm </w:t>
      </w:r>
      <w:r w:rsidR="003D520D">
        <w:t>borrowed</w:t>
      </w:r>
      <w:r>
        <w:t xml:space="preserve"> from </w:t>
      </w:r>
      <w:r w:rsidR="003D520D">
        <w:t xml:space="preserve">the </w:t>
      </w:r>
      <w:r>
        <w:t>component analysis</w:t>
      </w:r>
      <w:r w:rsidR="00471A46">
        <w:t xml:space="preserve"> (Jadil et al., 2022)</w:t>
      </w:r>
      <w:r>
        <w:t>.</w:t>
      </w:r>
      <w:r w:rsidR="00043DE5">
        <w:t xml:space="preserve"> </w:t>
      </w:r>
      <w:r>
        <w:t xml:space="preserve">With his research, Geert Hofstede identified six cultural measuring models that are applicable across countries. The cultural aspect suggests an inclination towards one of the aforementioned characteristics that set countries apart from one another rather than individuals; Individualism vs. collectivism, uncertainty aversion vs. certainty seeking, </w:t>
      </w:r>
      <w:r w:rsidR="003D520D">
        <w:t>other</w:t>
      </w:r>
      <w:r>
        <w:t xml:space="preserve"> distance (the degree of social hierarchy), and masculinity vs. femininity</w:t>
      </w:r>
      <w:r w:rsidR="00043DE5">
        <w:t>, long-term orientation vs short term orientation, indulgence vs restraint.</w:t>
      </w:r>
    </w:p>
    <w:p w14:paraId="143D49D9" w14:textId="19BB55C0" w:rsidR="0078377E" w:rsidRDefault="0078377E" w:rsidP="0078377E">
      <w:pPr>
        <w:jc w:val="center"/>
      </w:pPr>
      <w:r>
        <w:rPr>
          <w:noProof/>
        </w:rPr>
        <w:drawing>
          <wp:inline distT="0" distB="0" distL="0" distR="0" wp14:anchorId="7A72BAA1" wp14:editId="3A6168AD">
            <wp:extent cx="3451923" cy="18986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62688" cy="1904571"/>
                    </a:xfrm>
                    <a:prstGeom prst="rect">
                      <a:avLst/>
                    </a:prstGeom>
                    <a:noFill/>
                  </pic:spPr>
                </pic:pic>
              </a:graphicData>
            </a:graphic>
          </wp:inline>
        </w:drawing>
      </w:r>
    </w:p>
    <w:p w14:paraId="42D55E6C" w14:textId="0EBD2B0C" w:rsidR="00F526E3" w:rsidRDefault="00F526E3" w:rsidP="00F57989">
      <w:pPr>
        <w:jc w:val="center"/>
      </w:pPr>
      <w:bookmarkStart w:id="3" w:name="_Toc130064775"/>
      <w:r>
        <w:t xml:space="preserve">Figure </w:t>
      </w:r>
      <w:fldSimple w:instr=" SEQ Figure \* ARABIC ">
        <w:r>
          <w:rPr>
            <w:noProof/>
          </w:rPr>
          <w:t>1</w:t>
        </w:r>
      </w:fldSimple>
      <w:r>
        <w:t>: Hofstede's six dimensions of cultur</w:t>
      </w:r>
      <w:r w:rsidR="00F57989">
        <w:t>al diversity</w:t>
      </w:r>
      <w:bookmarkEnd w:id="3"/>
    </w:p>
    <w:p w14:paraId="1F2B07E1" w14:textId="080E252D" w:rsidR="00F526E3" w:rsidRPr="00F526E3" w:rsidRDefault="00F526E3" w:rsidP="00F57989">
      <w:pPr>
        <w:jc w:val="center"/>
      </w:pPr>
      <w:r>
        <w:t>Source:</w:t>
      </w:r>
      <w:r w:rsidR="00471A46">
        <w:t xml:space="preserve"> (Swoboda &amp; Batton, 2019)</w:t>
      </w:r>
    </w:p>
    <w:p w14:paraId="098B8521" w14:textId="3FEB3E57" w:rsidR="00791D14" w:rsidRDefault="00791D14" w:rsidP="00791D14">
      <w:r w:rsidRPr="00791D14">
        <w:rPr>
          <w:b/>
          <w:bCs/>
          <w:i/>
          <w:iCs/>
        </w:rPr>
        <w:t>Po</w:t>
      </w:r>
      <w:r w:rsidR="001E748F">
        <w:rPr>
          <w:b/>
          <w:bCs/>
          <w:i/>
          <w:iCs/>
        </w:rPr>
        <w:t>wer</w:t>
      </w:r>
      <w:r w:rsidRPr="00791D14">
        <w:rPr>
          <w:b/>
          <w:bCs/>
          <w:i/>
          <w:iCs/>
        </w:rPr>
        <w:t xml:space="preserve"> distance index (PDI):</w:t>
      </w:r>
      <w:r>
        <w:t xml:space="preserve"> The degree to which less </w:t>
      </w:r>
      <w:r w:rsidR="003D520D">
        <w:t>powerful</w:t>
      </w:r>
      <w:r>
        <w:t xml:space="preserve"> members of organisations and institutions (such as the family) tolerate and anticipate unequal </w:t>
      </w:r>
      <w:r w:rsidR="003D520D">
        <w:t>other</w:t>
      </w:r>
      <w:r>
        <w:t xml:space="preserve"> distribution is how the </w:t>
      </w:r>
      <w:r w:rsidR="001E748F">
        <w:t xml:space="preserve">power </w:t>
      </w:r>
      <w:r>
        <w:t>distance index (PDI) is defined.</w:t>
      </w:r>
    </w:p>
    <w:p w14:paraId="6E2459D3" w14:textId="1F85ACFA" w:rsidR="00791D14" w:rsidRDefault="00791D14" w:rsidP="00791D14">
      <w:r w:rsidRPr="00791D14">
        <w:rPr>
          <w:b/>
          <w:bCs/>
          <w:i/>
          <w:iCs/>
        </w:rPr>
        <w:t>Individualism vs. collectivism (IDV):</w:t>
      </w:r>
      <w:r>
        <w:t xml:space="preserve"> IDV stands for individualism vs. collectivism and examines how people in a society are integrated into organisations.</w:t>
      </w:r>
    </w:p>
    <w:p w14:paraId="0396E938" w14:textId="7570C50D" w:rsidR="00791D14" w:rsidRDefault="00791D14" w:rsidP="00791D14">
      <w:r w:rsidRPr="00791D14">
        <w:rPr>
          <w:b/>
          <w:bCs/>
          <w:i/>
          <w:iCs/>
        </w:rPr>
        <w:t>Uncertainty avoidance (UAI):</w:t>
      </w:r>
      <w:r>
        <w:t xml:space="preserve"> According to the uncertainty avoidance index, which measures a society's tolerance for ambiguity, individuals either </w:t>
      </w:r>
      <w:r w:rsidR="003D520D">
        <w:t>they come</w:t>
      </w:r>
      <w:r>
        <w:t xml:space="preserve"> or shun unexpected, uncharted, or unusual occurrences.</w:t>
      </w:r>
    </w:p>
    <w:p w14:paraId="25BBD639" w14:textId="4DF66088" w:rsidR="00791D14" w:rsidRDefault="00791D14" w:rsidP="00791D14">
      <w:r w:rsidRPr="00791D14">
        <w:rPr>
          <w:b/>
          <w:bCs/>
          <w:i/>
          <w:iCs/>
        </w:rPr>
        <w:lastRenderedPageBreak/>
        <w:t>Masculinity vs. femininity (MAS):</w:t>
      </w:r>
      <w:r>
        <w:t xml:space="preserve"> The definition of masculinity according to this component is a societal preference for accomplishment, heroism, assertiveness, and financial incentives for success. A desire for collaboration, humility, sympathy for the vulnerable, and general quality of life is represented by its polar opposite.</w:t>
      </w:r>
    </w:p>
    <w:p w14:paraId="42F24568" w14:textId="795015CF" w:rsidR="00791D14" w:rsidRDefault="00791D14" w:rsidP="00791D14">
      <w:r w:rsidRPr="00791D14">
        <w:rPr>
          <w:b/>
          <w:bCs/>
          <w:i/>
          <w:iCs/>
        </w:rPr>
        <w:t>Long-term orientation vs. short-term orientation (LTO):</w:t>
      </w:r>
      <w:r w:rsidRPr="00791D14">
        <w:t xml:space="preserve"> </w:t>
      </w:r>
      <w:r>
        <w:t xml:space="preserve">This dimension creates a connection </w:t>
      </w:r>
      <w:r w:rsidR="003D520D">
        <w:t>between</w:t>
      </w:r>
      <w:r>
        <w:t xml:space="preserve"> past, present, and future activities or difficulties, as opposed to short-term orientation (LTO). A poor nation with a short-term outlook has little to no economic progress, whereas those with a long-term outlook prosper.</w:t>
      </w:r>
    </w:p>
    <w:p w14:paraId="1F31EC86" w14:textId="40395892" w:rsidR="007A3244" w:rsidRDefault="00791D14" w:rsidP="00791D14">
      <w:r w:rsidRPr="00791D14">
        <w:rPr>
          <w:b/>
          <w:bCs/>
          <w:i/>
          <w:iCs/>
        </w:rPr>
        <w:t xml:space="preserve">Indulgence vs. restraint </w:t>
      </w:r>
      <w:r w:rsidR="00CC1151" w:rsidRPr="00791D14">
        <w:rPr>
          <w:b/>
          <w:bCs/>
          <w:i/>
          <w:iCs/>
        </w:rPr>
        <w:t>(IND</w:t>
      </w:r>
      <w:r w:rsidRPr="00791D14">
        <w:rPr>
          <w:b/>
          <w:bCs/>
          <w:i/>
          <w:iCs/>
        </w:rPr>
        <w:t>):</w:t>
      </w:r>
      <w:r w:rsidRPr="00791D14">
        <w:t xml:space="preserve"> </w:t>
      </w:r>
      <w:r>
        <w:t xml:space="preserve">The indulgence vs. restraint (IND) dimension measures the extent to which societal norms permit individuals to satisfy their basic human needs. According to the definition of indulgence, it is a civilization that permits the almost endless gratification of fundamental and normal human wants </w:t>
      </w:r>
      <w:r w:rsidR="003D520D">
        <w:t>to be connected</w:t>
      </w:r>
      <w:r>
        <w:t xml:space="preserve"> to living life and enjoying pleasure</w:t>
      </w:r>
      <w:r w:rsidR="00471A46">
        <w:t xml:space="preserve"> (Ahlf et al., 2019).</w:t>
      </w:r>
      <w:r>
        <w:t xml:space="preserve"> A society that controls and regulates the </w:t>
      </w:r>
      <w:r w:rsidR="003D520D">
        <w:t>fulfillment</w:t>
      </w:r>
      <w:r>
        <w:t xml:space="preserve"> of wishes by strict social restrictions is the definition of its polar opposite.</w:t>
      </w:r>
    </w:p>
    <w:p w14:paraId="42E2CFA4" w14:textId="12449CE6" w:rsidR="007A3244" w:rsidRDefault="007A3244" w:rsidP="007A3244"/>
    <w:p w14:paraId="6D43E09E" w14:textId="600D0F06" w:rsidR="007A3244" w:rsidRDefault="007A3244" w:rsidP="007A3244"/>
    <w:p w14:paraId="70063C4F" w14:textId="3A448874" w:rsidR="007A3244" w:rsidRDefault="007A3244" w:rsidP="007A3244"/>
    <w:p w14:paraId="72339764" w14:textId="4043BB95" w:rsidR="007A3244" w:rsidRDefault="007A3244" w:rsidP="007A3244"/>
    <w:p w14:paraId="01801E78" w14:textId="2B1DA52E" w:rsidR="007A3244" w:rsidRDefault="007A3244" w:rsidP="007A3244"/>
    <w:p w14:paraId="2B56A969" w14:textId="36ADDC00" w:rsidR="007A3244" w:rsidRDefault="007A3244" w:rsidP="007A3244"/>
    <w:p w14:paraId="46DDCCB2" w14:textId="46029EFB" w:rsidR="007A3244" w:rsidRDefault="007A3244" w:rsidP="007A3244"/>
    <w:p w14:paraId="6D99E69C" w14:textId="4430F04C" w:rsidR="007A3244" w:rsidRDefault="007A3244" w:rsidP="007A3244"/>
    <w:p w14:paraId="247F76BE" w14:textId="48FB166A" w:rsidR="007A3244" w:rsidRDefault="007A3244" w:rsidP="007A3244"/>
    <w:p w14:paraId="6397AD9B" w14:textId="4CEC0FFD" w:rsidR="007A3244" w:rsidRDefault="007A3244" w:rsidP="007A3244"/>
    <w:p w14:paraId="172E4058" w14:textId="646724DE" w:rsidR="007A3244" w:rsidRDefault="007A3244" w:rsidP="007A3244"/>
    <w:p w14:paraId="5E4FD19F" w14:textId="77777777" w:rsidR="007A3244" w:rsidRPr="007A3244" w:rsidRDefault="007A3244" w:rsidP="00E52A6F">
      <w:pPr>
        <w:pStyle w:val="Header"/>
        <w:tabs>
          <w:tab w:val="clear" w:pos="4680"/>
          <w:tab w:val="clear" w:pos="9360"/>
        </w:tabs>
        <w:spacing w:after="160" w:line="360" w:lineRule="auto"/>
      </w:pPr>
    </w:p>
    <w:p w14:paraId="36102A23" w14:textId="56612115" w:rsidR="002142B7" w:rsidRDefault="002142B7" w:rsidP="002142B7">
      <w:pPr>
        <w:pStyle w:val="Heading1"/>
      </w:pPr>
      <w:bookmarkStart w:id="4" w:name="_Toc130064766"/>
      <w:r>
        <w:lastRenderedPageBreak/>
        <w:t xml:space="preserve">Crucial </w:t>
      </w:r>
      <w:r w:rsidR="003D520D">
        <w:t>judgment</w:t>
      </w:r>
      <w:r>
        <w:t xml:space="preserve"> of cultural sensitivity while conducting business in the UK.</w:t>
      </w:r>
      <w:bookmarkEnd w:id="4"/>
      <w:r w:rsidR="00485192">
        <w:t xml:space="preserve"> </w:t>
      </w:r>
    </w:p>
    <w:p w14:paraId="5236CD75" w14:textId="54D461FB" w:rsidR="007A3244" w:rsidRDefault="00E52A6F" w:rsidP="007A3244">
      <w:r w:rsidRPr="00E52A6F">
        <w:t xml:space="preserve">In this day and age of globalisation, workplace diversity challenges transcend issues of </w:t>
      </w:r>
      <w:r w:rsidR="008D4D16">
        <w:t xml:space="preserve">culture, </w:t>
      </w:r>
      <w:r w:rsidRPr="00E52A6F">
        <w:t xml:space="preserve">ethnicity, and gender. It has expanded to include individuals of many religious and political views, </w:t>
      </w:r>
      <w:r w:rsidR="003D520D">
        <w:t xml:space="preserve">and </w:t>
      </w:r>
      <w:r w:rsidRPr="00E52A6F">
        <w:t>persons of various ethnic origins, sexual orientations, socioeconomic levels, ages, and abilities. Companies are recognising the benefits of providing a friendly atmosphere for employees with diverse ideas and experiences.</w:t>
      </w:r>
      <w:r w:rsidR="008D4D16">
        <w:t xml:space="preserve"> GSK believes that the success and fulfillment of all workers </w:t>
      </w:r>
      <w:r w:rsidR="00EE09B7">
        <w:t>are</w:t>
      </w:r>
      <w:r w:rsidR="008D4D16">
        <w:t xml:space="preserve"> critical to the company's success. The fact that the organisation is diverse at every level contributes to </w:t>
      </w:r>
      <w:r w:rsidR="00EE09B7">
        <w:t xml:space="preserve">the </w:t>
      </w:r>
      <w:r w:rsidR="008D4D16">
        <w:t>capacity to better serve its patients. Equal employment opportunity is a core tenet of the company, and it is working to be more proactive across the board to ensure that GSK's workforce and leadership are representatives of the communities.</w:t>
      </w:r>
    </w:p>
    <w:p w14:paraId="6EE895B0" w14:textId="47CCE441" w:rsidR="00CD762B" w:rsidRPr="00CD762B" w:rsidRDefault="00CD762B" w:rsidP="00CD762B">
      <w:pPr>
        <w:rPr>
          <w:b/>
          <w:bCs/>
          <w:i/>
          <w:iCs/>
        </w:rPr>
      </w:pPr>
      <w:r w:rsidRPr="00CD762B">
        <w:rPr>
          <w:b/>
          <w:bCs/>
          <w:i/>
          <w:iCs/>
        </w:rPr>
        <w:t>The importance of diversity to corporate success</w:t>
      </w:r>
    </w:p>
    <w:p w14:paraId="170C12D8" w14:textId="494E62A9" w:rsidR="003B14ED" w:rsidRDefault="00CD762B" w:rsidP="003B14ED">
      <w:r>
        <w:t>Employees from a wide range of backgrounds and experiences strengthen and expand businesses, allowing them to surpass competitors that don't prioritise diversity.</w:t>
      </w:r>
      <w:r w:rsidR="00114E45">
        <w:t xml:space="preserve"> </w:t>
      </w:r>
      <w:r>
        <w:t>UK Companies with more diverse management teams see a 19% increase in revenue as a result of increased innovation such as Reckitt Benckiser</w:t>
      </w:r>
      <w:r w:rsidR="00471A46">
        <w:t xml:space="preserve"> (Agbontaen, 2019)</w:t>
      </w:r>
      <w:r>
        <w:t>. This finding has broad implications for businesses in the information technology sector, new ventures, and other fields where innovation is crucial to success. Diversity isn't just a number to hit; it's also essential to running a profitable business.</w:t>
      </w:r>
    </w:p>
    <w:p w14:paraId="1D493BE7" w14:textId="7EC99953" w:rsidR="00757891" w:rsidRPr="003B14ED" w:rsidRDefault="00757891" w:rsidP="003B14ED">
      <w:r w:rsidRPr="00757891">
        <w:rPr>
          <w:b/>
          <w:bCs/>
          <w:i/>
          <w:iCs/>
        </w:rPr>
        <w:t>Gender Equity</w:t>
      </w:r>
    </w:p>
    <w:p w14:paraId="536E93E2" w14:textId="55EF1FF9" w:rsidR="00757891" w:rsidRDefault="00757891" w:rsidP="00CD762B">
      <w:r>
        <w:t xml:space="preserve">GSK is </w:t>
      </w:r>
      <w:r w:rsidRPr="00757891">
        <w:t xml:space="preserve">striving for gender equality in all leadership roles. To reach </w:t>
      </w:r>
      <w:r>
        <w:t>their</w:t>
      </w:r>
      <w:r w:rsidRPr="00757891">
        <w:t xml:space="preserve"> target of having at least 45 percent women in senior roles by 2025, </w:t>
      </w:r>
      <w:r>
        <w:t>they</w:t>
      </w:r>
      <w:r w:rsidRPr="00757891">
        <w:t xml:space="preserve"> are now working with </w:t>
      </w:r>
      <w:r>
        <w:t>their</w:t>
      </w:r>
      <w:r w:rsidRPr="00757891">
        <w:t xml:space="preserve"> Global Gender Council and Women's Leadership Initiative (WLI) employee </w:t>
      </w:r>
      <w:r w:rsidR="00EE09B7" w:rsidRPr="00757891">
        <w:t>res</w:t>
      </w:r>
      <w:r w:rsidR="00EE09B7">
        <w:t>earch</w:t>
      </w:r>
      <w:r w:rsidRPr="00757891">
        <w:t xml:space="preserve"> group. With more individuals from diverse origins in positions of</w:t>
      </w:r>
      <w:r w:rsidR="00EE09B7">
        <w:t xml:space="preserve"> leadership </w:t>
      </w:r>
      <w:r w:rsidRPr="00757891">
        <w:t xml:space="preserve">by the end of 2022, </w:t>
      </w:r>
      <w:r>
        <w:t xml:space="preserve">it </w:t>
      </w:r>
      <w:r w:rsidRPr="00757891">
        <w:t xml:space="preserve">will have accomplished </w:t>
      </w:r>
      <w:r w:rsidR="00EE09B7">
        <w:t>its</w:t>
      </w:r>
      <w:r w:rsidRPr="00757891">
        <w:t xml:space="preserve"> aims. There are now 42% </w:t>
      </w:r>
      <w:r w:rsidR="00EE09B7">
        <w:t xml:space="preserve">of </w:t>
      </w:r>
      <w:r w:rsidRPr="00757891">
        <w:t>women in leadership roles, up from 40% in 2021</w:t>
      </w:r>
      <w:r w:rsidR="00471A46" w:rsidRPr="00471A46">
        <w:t xml:space="preserve"> </w:t>
      </w:r>
      <w:r w:rsidR="00471A46">
        <w:t>(Ng et al., 2022)</w:t>
      </w:r>
      <w:r w:rsidRPr="00757891">
        <w:t xml:space="preserve">. The fact that women now comprise half of all managers is something </w:t>
      </w:r>
      <w:r>
        <w:t>they</w:t>
      </w:r>
      <w:r w:rsidRPr="00757891">
        <w:t xml:space="preserve"> find enc</w:t>
      </w:r>
      <w:r w:rsidR="00EE09B7">
        <w:t xml:space="preserve">ouraging. </w:t>
      </w:r>
    </w:p>
    <w:p w14:paraId="3C2FC831" w14:textId="77777777" w:rsidR="00EB78FC" w:rsidRPr="00EB78FC" w:rsidRDefault="00EB78FC" w:rsidP="00E333A9">
      <w:pPr>
        <w:pStyle w:val="Heading4"/>
      </w:pPr>
      <w:r w:rsidRPr="00EB78FC">
        <w:t>Inclusion of people with disabilities in the workforce</w:t>
      </w:r>
    </w:p>
    <w:p w14:paraId="44C90D6A" w14:textId="79883179" w:rsidR="008D4D16" w:rsidRDefault="00EB78FC" w:rsidP="008D4D16">
      <w:r>
        <w:t xml:space="preserve">With the aid of the World Disability Council and the Disability Confidence Network, </w:t>
      </w:r>
      <w:r w:rsidR="001B1D86">
        <w:t xml:space="preserve">GSK is </w:t>
      </w:r>
      <w:r>
        <w:t>making significant strides in creating an accessible workplace.</w:t>
      </w:r>
      <w:r w:rsidR="00E333A9">
        <w:t xml:space="preserve"> </w:t>
      </w:r>
      <w:r w:rsidR="00EE09B7">
        <w:t>The</w:t>
      </w:r>
      <w:r>
        <w:t xml:space="preserve"> year 2020, GSK has been one </w:t>
      </w:r>
      <w:r>
        <w:lastRenderedPageBreak/>
        <w:t>of 500 global firms taking part in the Valuable 500 commitment, which aims to increase disability inclusion on the agendas of top executives</w:t>
      </w:r>
      <w:r w:rsidR="00471A46">
        <w:t xml:space="preserve"> (Koo et al., 2022). </w:t>
      </w:r>
      <w:r>
        <w:t xml:space="preserve">The goals of </w:t>
      </w:r>
      <w:r w:rsidR="003B14ED">
        <w:t xml:space="preserve">the </w:t>
      </w:r>
      <w:r>
        <w:t>disability-confident strategy are being met.</w:t>
      </w:r>
      <w:r w:rsidR="00E333A9">
        <w:t xml:space="preserve"> </w:t>
      </w:r>
      <w:r w:rsidR="00EF38A5">
        <w:t xml:space="preserve">Its </w:t>
      </w:r>
      <w:r>
        <w:t>highly regarded Workplace Adjustment Service is just one example of how</w:t>
      </w:r>
      <w:r w:rsidR="003B14ED">
        <w:t xml:space="preserve"> </w:t>
      </w:r>
      <w:r w:rsidR="001B1D86">
        <w:t xml:space="preserve">it is </w:t>
      </w:r>
      <w:r>
        <w:t>committed to creating an inclusive workplace.</w:t>
      </w:r>
      <w:r w:rsidR="00E333A9">
        <w:t xml:space="preserve">  </w:t>
      </w:r>
    </w:p>
    <w:p w14:paraId="5A263D2D" w14:textId="56F9594B" w:rsidR="008D4D16" w:rsidRPr="004F42F0" w:rsidRDefault="00EE09B7" w:rsidP="004F42F0">
      <w:pPr>
        <w:pStyle w:val="Heading4"/>
      </w:pPr>
      <w:r w:rsidRPr="004F42F0">
        <w:t>Ethnicity aspirations</w:t>
      </w:r>
    </w:p>
    <w:p w14:paraId="2D046495" w14:textId="1B757BE7" w:rsidR="008D4D16" w:rsidRDefault="004F42F0" w:rsidP="008D4D16">
      <w:r>
        <w:t xml:space="preserve">GSK </w:t>
      </w:r>
      <w:r w:rsidR="008D4D16">
        <w:t>intend</w:t>
      </w:r>
      <w:r>
        <w:t>s</w:t>
      </w:r>
      <w:r w:rsidR="008D4D16">
        <w:t xml:space="preserve"> to have at least 18% ethnically diverse leaders in VP and above roles in the United Kingdom by 2025, with the proportion of Black VP and above leaders increasing year after year</w:t>
      </w:r>
      <w:r>
        <w:t xml:space="preserve">. </w:t>
      </w:r>
      <w:r w:rsidR="008D4D16">
        <w:t xml:space="preserve">By the end of 2022, leadership diversity had greatly expanded, and </w:t>
      </w:r>
      <w:r>
        <w:t xml:space="preserve">it was </w:t>
      </w:r>
      <w:r w:rsidR="008D4D16">
        <w:t xml:space="preserve">on course to </w:t>
      </w:r>
      <w:r w:rsidR="00CE4157">
        <w:t>fulfill</w:t>
      </w:r>
      <w:r w:rsidR="008D4D16">
        <w:t xml:space="preserve"> </w:t>
      </w:r>
      <w:r>
        <w:t>the</w:t>
      </w:r>
      <w:r w:rsidR="008D4D16">
        <w:t xml:space="preserve"> goals</w:t>
      </w:r>
      <w:r w:rsidR="00471A46">
        <w:t xml:space="preserve"> (Jadil et al., 2022)</w:t>
      </w:r>
      <w:r w:rsidR="008D4D16">
        <w:t>. The percentage of ethnically diverse senior leaders in the UK climbed to 14.3 percent in 2022, up from 12.9 percent in 2021</w:t>
      </w:r>
      <w:r>
        <w:t xml:space="preserve">. </w:t>
      </w:r>
    </w:p>
    <w:p w14:paraId="1C936A85" w14:textId="77777777" w:rsidR="008D4D16" w:rsidRDefault="008D4D16" w:rsidP="008D4D16"/>
    <w:p w14:paraId="59C54FA8" w14:textId="018DB30E" w:rsidR="007A3244" w:rsidRDefault="007A3244" w:rsidP="007A3244"/>
    <w:p w14:paraId="341ADD74" w14:textId="05AE7BEB" w:rsidR="007A3244" w:rsidRDefault="007A3244" w:rsidP="007A3244"/>
    <w:p w14:paraId="11D49E02" w14:textId="24BE7454" w:rsidR="007A3244" w:rsidRDefault="007A3244" w:rsidP="007A3244"/>
    <w:p w14:paraId="3981822F" w14:textId="386C2818" w:rsidR="007A3244" w:rsidRDefault="007A3244" w:rsidP="007A3244"/>
    <w:p w14:paraId="284AE8CD" w14:textId="5CD1D045" w:rsidR="007A3244" w:rsidRDefault="007A3244" w:rsidP="007A3244"/>
    <w:p w14:paraId="782FD210" w14:textId="5D9A9856" w:rsidR="007A3244" w:rsidRDefault="007A3244" w:rsidP="007A3244"/>
    <w:p w14:paraId="0ED30412" w14:textId="504FDE6F" w:rsidR="007A3244" w:rsidRDefault="007A3244" w:rsidP="007A3244"/>
    <w:p w14:paraId="2315357F" w14:textId="7FB2158F" w:rsidR="007A3244" w:rsidRDefault="007A3244" w:rsidP="007A3244"/>
    <w:p w14:paraId="6DF219A4" w14:textId="7BCE8ACE" w:rsidR="007A3244" w:rsidRDefault="007A3244" w:rsidP="007A3244"/>
    <w:p w14:paraId="3DB00622" w14:textId="24E82596" w:rsidR="007A3244" w:rsidRDefault="007A3244" w:rsidP="007A3244"/>
    <w:p w14:paraId="78F6C028" w14:textId="2D36C87A" w:rsidR="007A3244" w:rsidRDefault="007A3244" w:rsidP="007A3244"/>
    <w:p w14:paraId="29B5B33C" w14:textId="3AA9C024" w:rsidR="007A3244" w:rsidRDefault="007A3244" w:rsidP="007A3244"/>
    <w:p w14:paraId="1D3CF986" w14:textId="473D585B" w:rsidR="007A3244" w:rsidRDefault="007A3244" w:rsidP="007A3244"/>
    <w:p w14:paraId="12B7E1C9" w14:textId="77777777" w:rsidR="007A3244" w:rsidRPr="007A3244" w:rsidRDefault="007A3244" w:rsidP="007A3244"/>
    <w:p w14:paraId="3A4E7BC2" w14:textId="2A9203E6" w:rsidR="002142B7" w:rsidRDefault="002142B7" w:rsidP="002142B7">
      <w:pPr>
        <w:pStyle w:val="Heading1"/>
      </w:pPr>
      <w:bookmarkStart w:id="5" w:name="_Toc130064767"/>
      <w:r>
        <w:lastRenderedPageBreak/>
        <w:t>Highlight and assess different communication barriers</w:t>
      </w:r>
      <w:r w:rsidR="00EC33DA">
        <w:t xml:space="preserve"> encountered by a diverse workforce in the UK</w:t>
      </w:r>
      <w:r>
        <w:t>.</w:t>
      </w:r>
      <w:bookmarkEnd w:id="5"/>
      <w:r w:rsidR="00485192">
        <w:t xml:space="preserve"> </w:t>
      </w:r>
    </w:p>
    <w:p w14:paraId="392E1A71" w14:textId="76330807" w:rsidR="00EC33DA" w:rsidRPr="00EC33DA" w:rsidRDefault="00EC33DA" w:rsidP="00EC33DA">
      <w:pPr>
        <w:rPr>
          <w:b/>
          <w:bCs/>
          <w:i/>
          <w:iCs/>
        </w:rPr>
      </w:pPr>
      <w:r w:rsidRPr="00EC33DA">
        <w:rPr>
          <w:b/>
          <w:bCs/>
          <w:i/>
          <w:iCs/>
        </w:rPr>
        <w:t>How prejudice and false assumptions about other cultures affect the growth of global teams.</w:t>
      </w:r>
    </w:p>
    <w:p w14:paraId="0FA0CD99" w14:textId="00A3C867" w:rsidR="00EC33DA" w:rsidRDefault="00EC33DA" w:rsidP="00EC33DA">
      <w:r>
        <w:t xml:space="preserve">Local expertise is crucial, but so is team cohesiveness, if </w:t>
      </w:r>
      <w:r w:rsidR="00571718">
        <w:t xml:space="preserve">GSK </w:t>
      </w:r>
      <w:r>
        <w:t>wants to keep international workers from working in silos and restricting the flow of information. This might be difficult if ingrained cultural prejudices prevent people from working together</w:t>
      </w:r>
      <w:r w:rsidR="00471A46">
        <w:t xml:space="preserve"> (Dahanayake et al., 2018)</w:t>
      </w:r>
      <w:r>
        <w:t xml:space="preserve">. It is impossible to overstate the harm that cultural stereotypes </w:t>
      </w:r>
      <w:r w:rsidR="00623874">
        <w:t>due</w:t>
      </w:r>
      <w:r>
        <w:t xml:space="preserve"> to morale and productivity in the workplace. The centuries-old animosity between, say, the British and the French, or the Poles and the Germans, may sometimes infect the workplace.</w:t>
      </w:r>
    </w:p>
    <w:p w14:paraId="16EACBC2" w14:textId="66F5F5AF" w:rsidR="00EC33DA" w:rsidRPr="00EC33DA" w:rsidRDefault="00EC33DA" w:rsidP="00EC33DA">
      <w:pPr>
        <w:rPr>
          <w:b/>
          <w:bCs/>
          <w:i/>
          <w:iCs/>
        </w:rPr>
      </w:pPr>
      <w:r w:rsidRPr="00EC33DA">
        <w:rPr>
          <w:b/>
          <w:bCs/>
          <w:i/>
          <w:iCs/>
        </w:rPr>
        <w:t>Workplace miscommunication is inevitable.</w:t>
      </w:r>
    </w:p>
    <w:p w14:paraId="46A8CDD6" w14:textId="68AA591C" w:rsidR="00EC33DA" w:rsidRDefault="00EC33DA" w:rsidP="00EC33DA">
      <w:r>
        <w:t>Effective advertising relies on correct translations, yet there is still a chance of misunderstanding among bilingual staff members. The inability to communicate effectively due to linguistic barriers. Even if everyone in the company is fluent in English, it might be challenging to understand the wide variety of accents and idioms in use.</w:t>
      </w:r>
      <w:r w:rsidR="00571718">
        <w:t xml:space="preserve"> </w:t>
      </w:r>
      <w:r>
        <w:t xml:space="preserve">So, communication between cultures can't only rely on language. Team members from different cultural backgrounds </w:t>
      </w:r>
      <w:r w:rsidR="00571718">
        <w:t xml:space="preserve">in the GSK </w:t>
      </w:r>
      <w:r w:rsidR="00172AE7">
        <w:t>have</w:t>
      </w:r>
      <w:r w:rsidR="00571718">
        <w:t xml:space="preserve"> faced difficulties in misinterpreting </w:t>
      </w:r>
      <w:r>
        <w:t>one another due to the intricacy and nuance of nonverbal communication</w:t>
      </w:r>
      <w:r w:rsidR="00471A46">
        <w:t xml:space="preserve"> (Kapoor &amp; Solomon, 2011)</w:t>
      </w:r>
      <w:r>
        <w:t>. Different cultures may have different norms on how far off one must stand from another person, how long one must keep eye contact with them, and how one must point.</w:t>
      </w:r>
      <w:r w:rsidR="003A541D">
        <w:t xml:space="preserve"> </w:t>
      </w:r>
      <w:r>
        <w:t xml:space="preserve">There may be significant cultural implications in the workplace </w:t>
      </w:r>
      <w:r w:rsidR="00172AE7">
        <w:t xml:space="preserve">at GSK </w:t>
      </w:r>
      <w:r>
        <w:t xml:space="preserve">that need to be addressed, even in something as seemingly innocuous as a handshake or welcome. </w:t>
      </w:r>
    </w:p>
    <w:p w14:paraId="541BD9BC" w14:textId="0D32BD33" w:rsidR="00EC33DA" w:rsidRPr="00EC33DA" w:rsidRDefault="00EC33DA" w:rsidP="00EC33DA">
      <w:pPr>
        <w:rPr>
          <w:b/>
          <w:bCs/>
          <w:i/>
          <w:iCs/>
        </w:rPr>
      </w:pPr>
      <w:r w:rsidRPr="00EC33DA">
        <w:rPr>
          <w:b/>
          <w:bCs/>
          <w:i/>
          <w:iCs/>
        </w:rPr>
        <w:t>Opinions vary on what is and is not acceptable behaviour in the workplace:</w:t>
      </w:r>
    </w:p>
    <w:p w14:paraId="5980DC59" w14:textId="10EE9CC1" w:rsidR="00172AE7" w:rsidRDefault="00EC33DA" w:rsidP="00EC33DA">
      <w:r>
        <w:t>Foreign workers may provide new perspectives, norms, and methods to their workplace. They may be stimulating and even productive in a diverse workplace, but they also carry the risk of fostering miscommunication and strife among team members.</w:t>
      </w:r>
      <w:r w:rsidR="00172AE7">
        <w:t xml:space="preserve"> </w:t>
      </w:r>
      <w:r>
        <w:t>Cultural differences may be seen in aspects like as the prevalence of formality (or lack thereof), organisational structure, and workweek length</w:t>
      </w:r>
      <w:r w:rsidR="00471A46">
        <w:t xml:space="preserve"> (Forster, 2019)</w:t>
      </w:r>
      <w:r>
        <w:t>. Although a Swedish expert could be accustomed to working just five or six hours each day, a Japanese teammate would find that kind of schedule deviation to be immoral (or anyone else).</w:t>
      </w:r>
    </w:p>
    <w:p w14:paraId="58CD1E15" w14:textId="1F7CDBB7" w:rsidR="00EC33DA" w:rsidRPr="003A541D" w:rsidRDefault="00EC33DA" w:rsidP="00EC33DA">
      <w:pPr>
        <w:rPr>
          <w:b/>
          <w:bCs/>
          <w:i/>
          <w:iCs/>
        </w:rPr>
      </w:pPr>
      <w:r w:rsidRPr="003A541D">
        <w:rPr>
          <w:b/>
          <w:bCs/>
          <w:i/>
          <w:iCs/>
        </w:rPr>
        <w:lastRenderedPageBreak/>
        <w:t>Challenges brought on by</w:t>
      </w:r>
      <w:r w:rsidR="002E5A8E">
        <w:rPr>
          <w:b/>
          <w:bCs/>
          <w:i/>
          <w:iCs/>
        </w:rPr>
        <w:t xml:space="preserve"> conflicting working styles</w:t>
      </w:r>
      <w:r w:rsidRPr="003A541D">
        <w:rPr>
          <w:b/>
          <w:bCs/>
          <w:i/>
          <w:iCs/>
        </w:rPr>
        <w:t>:</w:t>
      </w:r>
    </w:p>
    <w:p w14:paraId="2A7BA899" w14:textId="020BD5B5" w:rsidR="007A3244" w:rsidRDefault="00EC33DA" w:rsidP="00EC33DA">
      <w:r>
        <w:t>Yet, cultural norms may be reflected in the wide variations in how individuals see work and the labour market, adding to the problem of inequality. The company's output might drop if ineffective procedures are not identified and fixed.</w:t>
      </w:r>
      <w:r w:rsidR="00172AE7">
        <w:t xml:space="preserve"> </w:t>
      </w:r>
      <w:r>
        <w:t xml:space="preserve">Many </w:t>
      </w:r>
      <w:r w:rsidR="00AE7B2C">
        <w:t>employees have had</w:t>
      </w:r>
      <w:r>
        <w:t xml:space="preserve"> quite different ideas of what it means to work together as a team</w:t>
      </w:r>
      <w:r w:rsidR="00AE7B2C">
        <w:t xml:space="preserve"> in GSK</w:t>
      </w:r>
      <w:r>
        <w:t>. Several societies, especially those in Asia and Central America, put a high value on consensus among members of a community</w:t>
      </w:r>
      <w:r w:rsidR="00471A46">
        <w:t xml:space="preserve"> (Borner &amp; Zerfass, 2018)</w:t>
      </w:r>
      <w:r>
        <w:t xml:space="preserve">. But, nations like the United States and Germany place </w:t>
      </w:r>
      <w:r w:rsidR="00677BB7">
        <w:t xml:space="preserve">a </w:t>
      </w:r>
      <w:r>
        <w:t>higher value on personal freedom. A desire for order and regularity above innovation and flexibility may be indicative of the prevailing cultural norms of an organisation.</w:t>
      </w:r>
    </w:p>
    <w:p w14:paraId="4440F9DB" w14:textId="0BBE1DB4" w:rsidR="007A3244" w:rsidRDefault="007A3244" w:rsidP="007A3244"/>
    <w:p w14:paraId="17863F63" w14:textId="143A66E6" w:rsidR="007A3244" w:rsidRDefault="007A3244" w:rsidP="007A3244"/>
    <w:p w14:paraId="1F8A464C" w14:textId="16B782B1" w:rsidR="007A3244" w:rsidRDefault="007A3244" w:rsidP="007A3244"/>
    <w:p w14:paraId="191D72CE" w14:textId="19CA0CA6" w:rsidR="007A3244" w:rsidRDefault="007A3244" w:rsidP="007A3244"/>
    <w:p w14:paraId="7753FE8A" w14:textId="6C58E3D9" w:rsidR="007A3244" w:rsidRDefault="007A3244" w:rsidP="007A3244"/>
    <w:p w14:paraId="2929F571" w14:textId="49B9C266" w:rsidR="007A3244" w:rsidRDefault="007A3244" w:rsidP="007A3244"/>
    <w:p w14:paraId="76638E6E" w14:textId="645C07D2" w:rsidR="007A3244" w:rsidRDefault="007A3244" w:rsidP="007A3244"/>
    <w:p w14:paraId="39A4F8DA" w14:textId="08EB9CD0" w:rsidR="007A3244" w:rsidRDefault="007A3244" w:rsidP="007A3244"/>
    <w:p w14:paraId="51EB9454" w14:textId="55A64044" w:rsidR="007A3244" w:rsidRDefault="007A3244" w:rsidP="007A3244"/>
    <w:p w14:paraId="65FC642A" w14:textId="1E9B9BF1" w:rsidR="007A3244" w:rsidRDefault="007A3244" w:rsidP="007A3244"/>
    <w:p w14:paraId="52BA299E" w14:textId="4ADB6DA9" w:rsidR="007A3244" w:rsidRDefault="007A3244" w:rsidP="007A3244"/>
    <w:p w14:paraId="5F0ACF60" w14:textId="3CC26DB1" w:rsidR="007A3244" w:rsidRDefault="007A3244" w:rsidP="007A3244"/>
    <w:p w14:paraId="09F6F4A6" w14:textId="62143382" w:rsidR="007A3244" w:rsidRDefault="007A3244" w:rsidP="007A3244"/>
    <w:p w14:paraId="3C08ECB3" w14:textId="3D6D6D23" w:rsidR="007A3244" w:rsidRDefault="007A3244" w:rsidP="007A3244"/>
    <w:p w14:paraId="2A00B6F3" w14:textId="78775CF1" w:rsidR="007A3244" w:rsidRDefault="007A3244" w:rsidP="007A3244"/>
    <w:p w14:paraId="7F469D84" w14:textId="77777777" w:rsidR="007A3244" w:rsidRPr="007A3244" w:rsidRDefault="007A3244" w:rsidP="007A3244"/>
    <w:p w14:paraId="4D1FC735" w14:textId="145F8037" w:rsidR="002142B7" w:rsidRDefault="002142B7" w:rsidP="00485192">
      <w:pPr>
        <w:pStyle w:val="Heading1"/>
      </w:pPr>
      <w:bookmarkStart w:id="6" w:name="_Toc130064768"/>
      <w:r>
        <w:lastRenderedPageBreak/>
        <w:t>Communication strategies and pertinent recommendations to the organisation.</w:t>
      </w:r>
      <w:bookmarkEnd w:id="6"/>
      <w:r>
        <w:t xml:space="preserve"> </w:t>
      </w:r>
    </w:p>
    <w:p w14:paraId="5B53FDFF" w14:textId="2CD4CC8E" w:rsidR="00023442" w:rsidRPr="00995F24" w:rsidRDefault="00023442" w:rsidP="00023442">
      <w:pPr>
        <w:rPr>
          <w:b/>
          <w:bCs/>
          <w:i/>
          <w:iCs/>
        </w:rPr>
      </w:pPr>
      <w:r w:rsidRPr="00023442">
        <w:rPr>
          <w:b/>
          <w:bCs/>
          <w:i/>
          <w:iCs/>
        </w:rPr>
        <w:t>Organizing the company's strategy for communication:</w:t>
      </w:r>
    </w:p>
    <w:p w14:paraId="7FFE927F" w14:textId="2EF3CF55" w:rsidR="00995F24" w:rsidRDefault="00023442" w:rsidP="00023442">
      <w:r>
        <w:t xml:space="preserve">Questionings like "how to make </w:t>
      </w:r>
      <w:r w:rsidR="00995F24">
        <w:t xml:space="preserve">the corporate </w:t>
      </w:r>
      <w:r>
        <w:t>message more engaging and relevant" may find answers in a well-thought-out plan of communication.</w:t>
      </w:r>
      <w:r w:rsidR="00995F24">
        <w:t xml:space="preserve"> Hence, i</w:t>
      </w:r>
      <w:r>
        <w:t xml:space="preserve">dentifying </w:t>
      </w:r>
      <w:r w:rsidR="00995F24">
        <w:t xml:space="preserve">the </w:t>
      </w:r>
      <w:r>
        <w:t xml:space="preserve">intended recipients and the purpose of </w:t>
      </w:r>
      <w:r w:rsidR="00995F24">
        <w:t>the</w:t>
      </w:r>
      <w:r>
        <w:t xml:space="preserve"> message is the first step in the planning process</w:t>
      </w:r>
      <w:r w:rsidR="00471A46">
        <w:t xml:space="preserve"> (Andersson, 2016)</w:t>
      </w:r>
      <w:r>
        <w:t xml:space="preserve">. After that, </w:t>
      </w:r>
      <w:r w:rsidR="00995F24">
        <w:t xml:space="preserve">companies </w:t>
      </w:r>
      <w:r>
        <w:t xml:space="preserve">take stock of how </w:t>
      </w:r>
      <w:r w:rsidR="00995F24">
        <w:t>they</w:t>
      </w:r>
      <w:r>
        <w:t>'re currently spreading information.</w:t>
      </w:r>
      <w:r w:rsidR="00995F24">
        <w:t xml:space="preserve"> </w:t>
      </w:r>
      <w:r>
        <w:t xml:space="preserve">Next, </w:t>
      </w:r>
      <w:r w:rsidR="00995F24">
        <w:t xml:space="preserve">it has to </w:t>
      </w:r>
      <w:r>
        <w:t>decide on a strategy and channels of communication to implement over the following six to twelve months.</w:t>
      </w:r>
    </w:p>
    <w:p w14:paraId="5DC7AD2F" w14:textId="46313A85" w:rsidR="00995F24" w:rsidRPr="00995F24" w:rsidRDefault="00421983" w:rsidP="00023442">
      <w:pPr>
        <w:rPr>
          <w:b/>
          <w:bCs/>
          <w:i/>
          <w:iCs/>
        </w:rPr>
      </w:pPr>
      <w:r>
        <w:rPr>
          <w:b/>
          <w:bCs/>
          <w:i/>
          <w:iCs/>
        </w:rPr>
        <w:t>One-on-one</w:t>
      </w:r>
      <w:r w:rsidR="00995F24" w:rsidRPr="00995F24">
        <w:rPr>
          <w:b/>
          <w:bCs/>
          <w:i/>
          <w:iCs/>
        </w:rPr>
        <w:t xml:space="preserve"> communication:</w:t>
      </w:r>
    </w:p>
    <w:p w14:paraId="748799EC" w14:textId="79C922B2" w:rsidR="00023442" w:rsidRDefault="00023442" w:rsidP="00023442">
      <w:r>
        <w:t xml:space="preserve">It's important to have people talk </w:t>
      </w:r>
      <w:r w:rsidR="00421983">
        <w:t>on</w:t>
      </w:r>
      <w:r>
        <w:t xml:space="preserve"> </w:t>
      </w:r>
      <w:r w:rsidR="00995F24">
        <w:t>a one-on-one basis</w:t>
      </w:r>
      <w:r>
        <w:t xml:space="preserve"> since not everything can be discussed in a group setting. </w:t>
      </w:r>
      <w:r w:rsidR="00995F24">
        <w:t xml:space="preserve">GSK </w:t>
      </w:r>
      <w:r>
        <w:t>for instance want</w:t>
      </w:r>
      <w:r w:rsidR="00995F24">
        <w:t>s</w:t>
      </w:r>
      <w:r>
        <w:t xml:space="preserve"> to deal with a problem on a more personal or professional level, such as </w:t>
      </w:r>
      <w:r w:rsidR="00995F24">
        <w:t>employee</w:t>
      </w:r>
      <w:r>
        <w:t xml:space="preserve"> performance</w:t>
      </w:r>
      <w:r w:rsidR="00471A46">
        <w:t xml:space="preserve"> (Agbontaen, 2019)</w:t>
      </w:r>
      <w:r>
        <w:t>. In such a situation, it is best to initiate a one-on-one conversation.</w:t>
      </w:r>
      <w:r w:rsidR="00995F24">
        <w:t xml:space="preserve"> </w:t>
      </w:r>
      <w:r>
        <w:t>When</w:t>
      </w:r>
      <w:r w:rsidR="00995F24">
        <w:t xml:space="preserve"> the HR associates</w:t>
      </w:r>
      <w:r>
        <w:t xml:space="preserve"> </w:t>
      </w:r>
      <w:r w:rsidR="00995F24">
        <w:t>have</w:t>
      </w:r>
      <w:r>
        <w:t xml:space="preserve"> a one-on-one meeting with an employee, </w:t>
      </w:r>
      <w:r w:rsidR="00995F24">
        <w:t>they</w:t>
      </w:r>
      <w:r>
        <w:t xml:space="preserve"> may observe </w:t>
      </w:r>
      <w:r w:rsidR="00995F24">
        <w:t xml:space="preserve">the employee’s </w:t>
      </w:r>
      <w:r>
        <w:t>nonverbal clues to better understand their communication style and guide the conversation.</w:t>
      </w:r>
    </w:p>
    <w:p w14:paraId="227462C0" w14:textId="2A48163D" w:rsidR="00023442" w:rsidRPr="0021359B" w:rsidRDefault="00023442" w:rsidP="00023442">
      <w:pPr>
        <w:rPr>
          <w:b/>
          <w:bCs/>
          <w:i/>
          <w:iCs/>
        </w:rPr>
      </w:pPr>
      <w:r w:rsidRPr="00995F24">
        <w:rPr>
          <w:b/>
          <w:bCs/>
          <w:i/>
          <w:iCs/>
        </w:rPr>
        <w:t xml:space="preserve">Sprinkling in some </w:t>
      </w:r>
      <w:r w:rsidR="00421983">
        <w:rPr>
          <w:b/>
          <w:bCs/>
          <w:i/>
          <w:iCs/>
        </w:rPr>
        <w:t>humor</w:t>
      </w:r>
      <w:r w:rsidRPr="00995F24">
        <w:rPr>
          <w:b/>
          <w:bCs/>
          <w:i/>
          <w:iCs/>
        </w:rPr>
        <w:t>:</w:t>
      </w:r>
    </w:p>
    <w:p w14:paraId="65FD27C1" w14:textId="50350D3E" w:rsidR="00023442" w:rsidRDefault="00023442" w:rsidP="00023442">
      <w:r>
        <w:t xml:space="preserve">Maintaining effective lines of communication at work is often a major obligation. If </w:t>
      </w:r>
      <w:r w:rsidR="00AF1CC7">
        <w:t>GSK is</w:t>
      </w:r>
      <w:r>
        <w:t xml:space="preserve"> trying to solve an issue or establish some kind of objective, jokes and other lighthearted banter may appear out of place.</w:t>
      </w:r>
    </w:p>
    <w:p w14:paraId="3BEB064F" w14:textId="77777777" w:rsidR="00023442" w:rsidRDefault="00023442" w:rsidP="00023442">
      <w:r>
        <w:t>But, a string of dropped calls might put the team in a bad attitude. It also modifies how people understand and extrapolate from general information. As tensions rise in a meeting, participants often feel the need to leave immediately, which may impede productivity.</w:t>
      </w:r>
    </w:p>
    <w:p w14:paraId="425DCD74" w14:textId="078D46EC" w:rsidR="00023442" w:rsidRDefault="00023442" w:rsidP="00023442">
      <w:r>
        <w:t xml:space="preserve">Even while it's important to try to avoid arguments at work, humour may help </w:t>
      </w:r>
      <w:r w:rsidR="00AF1CC7">
        <w:t xml:space="preserve">companies </w:t>
      </w:r>
      <w:r>
        <w:t>get through tough situations</w:t>
      </w:r>
      <w:r w:rsidR="00471A46" w:rsidRPr="00471A46">
        <w:t xml:space="preserve"> </w:t>
      </w:r>
      <w:r w:rsidR="00471A46">
        <w:t>(Ahlf et al., 2019)</w:t>
      </w:r>
      <w:r>
        <w:t>. Knowing how to put a grin on someone else's face is a valuable talent that may help defuse conflict and restore harmony in any conversation.</w:t>
      </w:r>
    </w:p>
    <w:p w14:paraId="239FC34B" w14:textId="77777777" w:rsidR="00023442" w:rsidRDefault="00023442" w:rsidP="00023442"/>
    <w:p w14:paraId="4313DA28" w14:textId="77777777" w:rsidR="00023442" w:rsidRDefault="00023442" w:rsidP="00023442"/>
    <w:p w14:paraId="3280B33B" w14:textId="011CC743" w:rsidR="00023442" w:rsidRDefault="00023442" w:rsidP="00073382">
      <w:pPr>
        <w:pStyle w:val="Heading4"/>
      </w:pPr>
      <w:r w:rsidRPr="00AF1CC7">
        <w:t>Encourag</w:t>
      </w:r>
      <w:r w:rsidR="00AF1CC7">
        <w:t>ing</w:t>
      </w:r>
      <w:r w:rsidRPr="00AF1CC7">
        <w:t xml:space="preserve"> interactive </w:t>
      </w:r>
      <w:r w:rsidR="00073382">
        <w:t>conversation</w:t>
      </w:r>
    </w:p>
    <w:p w14:paraId="36A06C26" w14:textId="5EAD6CC4" w:rsidR="00023442" w:rsidRDefault="00023442" w:rsidP="00023442">
      <w:r>
        <w:t xml:space="preserve">Two-way conversation is essential for resolving issues and reaching </w:t>
      </w:r>
      <w:r w:rsidR="00421983">
        <w:t xml:space="preserve">a </w:t>
      </w:r>
      <w:r>
        <w:t xml:space="preserve">consensus. The collaborative potential of a company will remain unrealized if </w:t>
      </w:r>
      <w:r w:rsidR="00421983">
        <w:t xml:space="preserve">the </w:t>
      </w:r>
      <w:r>
        <w:t>information is exclusively sent downwards from upper management.</w:t>
      </w:r>
    </w:p>
    <w:p w14:paraId="1A62A909" w14:textId="241B14EA" w:rsidR="00023442" w:rsidRDefault="00023442" w:rsidP="00023442">
      <w:r>
        <w:t xml:space="preserve">In addition to boosting morale, providing constructive criticism may help teams learn and grow. Also, it clarifies what </w:t>
      </w:r>
      <w:r w:rsidR="00073382">
        <w:t>the company is</w:t>
      </w:r>
      <w:r>
        <w:t xml:space="preserve"> trying to say. However certain </w:t>
      </w:r>
      <w:r w:rsidR="00073382">
        <w:t>the company</w:t>
      </w:r>
      <w:r>
        <w:t xml:space="preserve"> </w:t>
      </w:r>
      <w:r w:rsidR="00073382">
        <w:t>is</w:t>
      </w:r>
      <w:r>
        <w:t xml:space="preserve"> that </w:t>
      </w:r>
      <w:r w:rsidR="00073382">
        <w:t xml:space="preserve">its </w:t>
      </w:r>
      <w:r>
        <w:t xml:space="preserve">message is crystal clear, there is always the possibility that </w:t>
      </w:r>
      <w:r w:rsidR="00073382">
        <w:t>it has</w:t>
      </w:r>
      <w:r>
        <w:t xml:space="preserve"> omitted key details that will help people better grasp what </w:t>
      </w:r>
      <w:r w:rsidR="00073382">
        <w:t xml:space="preserve">it is </w:t>
      </w:r>
      <w:r>
        <w:t>trying to convey</w:t>
      </w:r>
      <w:r w:rsidR="00471A46">
        <w:t xml:space="preserve"> (Swoboda &amp; Batton, 2019)</w:t>
      </w:r>
      <w:r>
        <w:t>. A two-way conversation might help bridge these chasms.</w:t>
      </w:r>
    </w:p>
    <w:p w14:paraId="06CEAFCF" w14:textId="77777777" w:rsidR="00073382" w:rsidRDefault="00023442" w:rsidP="00023442">
      <w:r w:rsidRPr="00073382">
        <w:rPr>
          <w:b/>
          <w:bCs/>
          <w:i/>
          <w:iCs/>
        </w:rPr>
        <w:t>Foster</w:t>
      </w:r>
      <w:r w:rsidR="00073382">
        <w:rPr>
          <w:b/>
          <w:bCs/>
          <w:i/>
          <w:iCs/>
        </w:rPr>
        <w:t>ing</w:t>
      </w:r>
      <w:r w:rsidRPr="00073382">
        <w:rPr>
          <w:b/>
          <w:bCs/>
          <w:i/>
          <w:iCs/>
        </w:rPr>
        <w:t xml:space="preserve"> the skill of attentive listening.</w:t>
      </w:r>
      <w:r>
        <w:t xml:space="preserve"> </w:t>
      </w:r>
    </w:p>
    <w:p w14:paraId="71940526" w14:textId="37ED7717" w:rsidR="00023442" w:rsidRDefault="00023442" w:rsidP="00023442">
      <w:r>
        <w:t>Not only do managers and employees need to be good listeners, but they also need to be able to express themselves well in writing and while speaking.</w:t>
      </w:r>
      <w:r w:rsidR="00073382">
        <w:t xml:space="preserve"> </w:t>
      </w:r>
      <w:r>
        <w:t>Poor listening skills impede communication and undermine the purpose of teamwork. Misunderstandings are more likely to occur when one party lacks effective listening skills</w:t>
      </w:r>
      <w:r w:rsidR="00471A46">
        <w:t xml:space="preserve"> (Forster, 2019)</w:t>
      </w:r>
      <w:r>
        <w:t>.</w:t>
      </w:r>
    </w:p>
    <w:p w14:paraId="1EBA35DC" w14:textId="6A2A44FA" w:rsidR="00023442" w:rsidRPr="00073382" w:rsidRDefault="00023442" w:rsidP="00023442">
      <w:pPr>
        <w:rPr>
          <w:b/>
          <w:bCs/>
          <w:i/>
          <w:iCs/>
        </w:rPr>
      </w:pPr>
      <w:r w:rsidRPr="00073382">
        <w:rPr>
          <w:b/>
          <w:bCs/>
          <w:i/>
          <w:iCs/>
        </w:rPr>
        <w:t>Mak</w:t>
      </w:r>
      <w:r w:rsidR="00073382">
        <w:rPr>
          <w:b/>
          <w:bCs/>
          <w:i/>
          <w:iCs/>
        </w:rPr>
        <w:t>ing</w:t>
      </w:r>
      <w:r w:rsidRPr="00073382">
        <w:rPr>
          <w:b/>
          <w:bCs/>
          <w:i/>
          <w:iCs/>
        </w:rPr>
        <w:t xml:space="preserve"> use of appropriate hardware and software:</w:t>
      </w:r>
    </w:p>
    <w:p w14:paraId="7109348F" w14:textId="01B9E51E" w:rsidR="00023442" w:rsidRDefault="00023442" w:rsidP="00023442">
      <w:r>
        <w:t>The advent of new technologies such as mobile phones, distributed teams, and working from home have altered traditional office settings. But, many companies still haven't updated their communication processes to reflect this shift.</w:t>
      </w:r>
      <w:r w:rsidR="00073382">
        <w:t xml:space="preserve"> </w:t>
      </w:r>
      <w:r>
        <w:t>With advancements in technology, it is simpler than ever to facilitate effective internal communication and include all employees in the process</w:t>
      </w:r>
      <w:r w:rsidR="00471A46">
        <w:t xml:space="preserve"> (Lo et al., 2017)</w:t>
      </w:r>
      <w:r>
        <w:t>.</w:t>
      </w:r>
    </w:p>
    <w:p w14:paraId="673679FD" w14:textId="4E57C508" w:rsidR="00023442" w:rsidRDefault="00023442" w:rsidP="00826F11">
      <w:r>
        <w:t>Until recently, frontline employees were not allowed the same privileges as office workers, such as using email and instant chat. Yet, thanks to the proliferation of smartphones and mobile applications,</w:t>
      </w:r>
      <w:r w:rsidR="00013458">
        <w:t xml:space="preserve"> </w:t>
      </w:r>
      <w:r w:rsidR="00826F11">
        <w:t>companies</w:t>
      </w:r>
      <w:r>
        <w:t xml:space="preserve"> may now include them </w:t>
      </w:r>
      <w:r w:rsidR="00013458">
        <w:t>in</w:t>
      </w:r>
      <w:r>
        <w:t xml:space="preserve"> </w:t>
      </w:r>
      <w:r w:rsidR="00013458">
        <w:t xml:space="preserve">their </w:t>
      </w:r>
      <w:r>
        <w:t>continuous conversation.</w:t>
      </w:r>
    </w:p>
    <w:p w14:paraId="2FF2D2C0" w14:textId="18FE209F" w:rsidR="00023442" w:rsidRPr="00013458" w:rsidRDefault="00023442" w:rsidP="00023442">
      <w:pPr>
        <w:rPr>
          <w:b/>
          <w:bCs/>
          <w:i/>
          <w:iCs/>
        </w:rPr>
      </w:pPr>
      <w:r w:rsidRPr="00013458">
        <w:rPr>
          <w:b/>
          <w:bCs/>
          <w:i/>
          <w:iCs/>
        </w:rPr>
        <w:t>Hold</w:t>
      </w:r>
      <w:r w:rsidR="00013458">
        <w:rPr>
          <w:b/>
          <w:bCs/>
          <w:i/>
          <w:iCs/>
        </w:rPr>
        <w:t>ing</w:t>
      </w:r>
      <w:r w:rsidRPr="00013458">
        <w:rPr>
          <w:b/>
          <w:bCs/>
          <w:i/>
          <w:iCs/>
        </w:rPr>
        <w:t xml:space="preserve"> more open forums</w:t>
      </w:r>
    </w:p>
    <w:p w14:paraId="73FDDA92" w14:textId="2C721B51" w:rsidR="00826F11" w:rsidRDefault="00023442" w:rsidP="00023442">
      <w:r>
        <w:t xml:space="preserve">People generally despise meetings, and they loathe them much more when just one or two individuals take the floor. </w:t>
      </w:r>
      <w:r w:rsidR="00421983">
        <w:t xml:space="preserve">The </w:t>
      </w:r>
      <w:r w:rsidR="00826F11">
        <w:t xml:space="preserve">HR department of GSK might </w:t>
      </w:r>
      <w:r>
        <w:t xml:space="preserve">have undoubtedly sat through many </w:t>
      </w:r>
      <w:r>
        <w:lastRenderedPageBreak/>
        <w:t xml:space="preserve">meetings when all </w:t>
      </w:r>
      <w:r w:rsidR="00826F11">
        <w:t xml:space="preserve">it </w:t>
      </w:r>
      <w:r>
        <w:t>had to do was show up and listen</w:t>
      </w:r>
      <w:r w:rsidR="00471A46">
        <w:t xml:space="preserve"> (Dahanayake et al., 2018)</w:t>
      </w:r>
      <w:r>
        <w:t>.</w:t>
      </w:r>
      <w:r w:rsidR="00826F11">
        <w:t xml:space="preserve"> </w:t>
      </w:r>
      <w:r>
        <w:t>But, not all interactions are negative. The meeting is only a tool. It's a tool, and it may be used successfully or inefficiently.</w:t>
      </w:r>
    </w:p>
    <w:p w14:paraId="75DAAF49" w14:textId="69755BE1" w:rsidR="00023442" w:rsidRDefault="00023442" w:rsidP="00023442">
      <w:r>
        <w:t xml:space="preserve">So, it's necessary to occasionally convene an all-staff or department-wide meeting. At this meeting, all employees will be </w:t>
      </w:r>
      <w:r w:rsidR="00421983">
        <w:t>allowed</w:t>
      </w:r>
      <w:r>
        <w:t xml:space="preserve"> to share their thoughts and feelings regarding their work.</w:t>
      </w:r>
    </w:p>
    <w:p w14:paraId="1082B365" w14:textId="3B56B828" w:rsidR="00023442" w:rsidRPr="003B1630" w:rsidRDefault="00023442" w:rsidP="00023442">
      <w:pPr>
        <w:rPr>
          <w:b/>
          <w:bCs/>
          <w:i/>
          <w:iCs/>
        </w:rPr>
      </w:pPr>
      <w:r w:rsidRPr="003B1630">
        <w:rPr>
          <w:b/>
          <w:bCs/>
          <w:i/>
          <w:iCs/>
        </w:rPr>
        <w:t>Maintain</w:t>
      </w:r>
      <w:r w:rsidR="003B1630">
        <w:rPr>
          <w:b/>
          <w:bCs/>
          <w:i/>
          <w:iCs/>
        </w:rPr>
        <w:t>ing</w:t>
      </w:r>
      <w:r w:rsidRPr="003B1630">
        <w:rPr>
          <w:b/>
          <w:bCs/>
          <w:i/>
          <w:iCs/>
        </w:rPr>
        <w:t xml:space="preserve"> consistency in </w:t>
      </w:r>
      <w:r w:rsidR="003B1630">
        <w:rPr>
          <w:b/>
          <w:bCs/>
          <w:i/>
          <w:iCs/>
        </w:rPr>
        <w:t>the</w:t>
      </w:r>
      <w:r w:rsidRPr="003B1630">
        <w:rPr>
          <w:b/>
          <w:bCs/>
          <w:i/>
          <w:iCs/>
        </w:rPr>
        <w:t xml:space="preserve"> messages:</w:t>
      </w:r>
    </w:p>
    <w:p w14:paraId="2EC679C6" w14:textId="5FF61676" w:rsidR="00023442" w:rsidRPr="00023442" w:rsidRDefault="00023442" w:rsidP="00023442">
      <w:r>
        <w:t xml:space="preserve">All internal and external communications should accurately portray </w:t>
      </w:r>
      <w:r w:rsidR="00421983">
        <w:t>a</w:t>
      </w:r>
      <w:r w:rsidR="003B1630">
        <w:t xml:space="preserve"> </w:t>
      </w:r>
      <w:r w:rsidR="00421983">
        <w:t>company’s</w:t>
      </w:r>
      <w:r>
        <w:t xml:space="preserve"> brand and culture.</w:t>
      </w:r>
      <w:r w:rsidR="003B1630">
        <w:t xml:space="preserve"> </w:t>
      </w:r>
      <w:r>
        <w:t>Likewise, the tone should be clear and consistent throughout, eliminating any room for confusion and uniting the staff</w:t>
      </w:r>
      <w:r w:rsidR="00471A46">
        <w:t xml:space="preserve"> (Kapoor &amp; Solomon, 2011)</w:t>
      </w:r>
      <w:r>
        <w:t xml:space="preserve">. By speaking with such an authoritative tone, </w:t>
      </w:r>
      <w:r w:rsidR="000D39CB">
        <w:t xml:space="preserve">one </w:t>
      </w:r>
      <w:r w:rsidR="00421983">
        <w:t>has</w:t>
      </w:r>
      <w:r>
        <w:t xml:space="preserve"> a better chance of avoiding arguments and miscommunication.</w:t>
      </w:r>
    </w:p>
    <w:p w14:paraId="5F134D37" w14:textId="77777777" w:rsidR="002142B7" w:rsidRPr="002142B7" w:rsidRDefault="002142B7" w:rsidP="002142B7"/>
    <w:p w14:paraId="216B32E1" w14:textId="77777777" w:rsidR="002142B7" w:rsidRPr="002142B7" w:rsidRDefault="002142B7" w:rsidP="002142B7"/>
    <w:p w14:paraId="4C4B73DF" w14:textId="584338E7" w:rsidR="00E370CC" w:rsidRPr="00E370CC" w:rsidRDefault="00E370CC" w:rsidP="008323D2"/>
    <w:p w14:paraId="00881ADB" w14:textId="007B0473" w:rsidR="00E370CC" w:rsidRDefault="00E370CC" w:rsidP="008323D2"/>
    <w:p w14:paraId="0A666ECC" w14:textId="16B53DDF" w:rsidR="00E370CC" w:rsidRDefault="00E370CC" w:rsidP="008323D2"/>
    <w:p w14:paraId="4213503A" w14:textId="79F994FD" w:rsidR="00E370CC" w:rsidRDefault="00E370CC" w:rsidP="008323D2"/>
    <w:p w14:paraId="76D59888" w14:textId="77777777" w:rsidR="00E370CC" w:rsidRDefault="00E370CC" w:rsidP="008323D2"/>
    <w:p w14:paraId="1A7E27B3" w14:textId="74C5B46C" w:rsidR="00487B12" w:rsidRDefault="00487B12" w:rsidP="008323D2"/>
    <w:p w14:paraId="5FA78E7D" w14:textId="3A1249F8" w:rsidR="00487B12" w:rsidRDefault="00487B12" w:rsidP="008323D2"/>
    <w:p w14:paraId="6AAC92E5" w14:textId="798C594B" w:rsidR="00487B12" w:rsidRDefault="00487B12" w:rsidP="008323D2"/>
    <w:p w14:paraId="184A86FD" w14:textId="7E294B62" w:rsidR="00487B12" w:rsidRDefault="00487B12" w:rsidP="008323D2"/>
    <w:p w14:paraId="113DE6A4" w14:textId="0EC5D4C2" w:rsidR="00487B12" w:rsidRDefault="00487B12" w:rsidP="008323D2"/>
    <w:p w14:paraId="567FCC46" w14:textId="7FCC834D" w:rsidR="00487B12" w:rsidRDefault="00487B12" w:rsidP="008323D2"/>
    <w:p w14:paraId="63D61410" w14:textId="26CC83A7" w:rsidR="00487B12" w:rsidRDefault="00487B12" w:rsidP="008323D2"/>
    <w:p w14:paraId="18322E60" w14:textId="77777777" w:rsidR="00487B12" w:rsidRPr="00487B12" w:rsidRDefault="00487B12" w:rsidP="008323D2"/>
    <w:p w14:paraId="61B013E9" w14:textId="6F8BF429" w:rsidR="00584DE1" w:rsidRDefault="001F2073" w:rsidP="001F2073">
      <w:pPr>
        <w:pStyle w:val="Heading1"/>
      </w:pPr>
      <w:bookmarkStart w:id="7" w:name="_Toc130064769"/>
      <w:r>
        <w:t>Conclusion</w:t>
      </w:r>
      <w:bookmarkEnd w:id="7"/>
      <w:r w:rsidR="00485192">
        <w:t xml:space="preserve"> </w:t>
      </w:r>
    </w:p>
    <w:p w14:paraId="549D319C" w14:textId="5761F0F8" w:rsidR="00487B12" w:rsidRDefault="00FF50FE" w:rsidP="00487B12">
      <w:r w:rsidRPr="00FF50FE">
        <w:t xml:space="preserve">British business communication is the term used in the UK to describe business communication. This covers the words used, </w:t>
      </w:r>
      <w:r w:rsidR="003D520D">
        <w:t>how</w:t>
      </w:r>
      <w:r w:rsidRPr="00FF50FE">
        <w:t xml:space="preserve"> messages are delivered, and the overall social and cultural norms that affect business communication. Business communication in the UK is often formal with a focus on deference and consideration for others. It also commonly incorporates indirect communication, in which messages are communicated </w:t>
      </w:r>
      <w:r w:rsidR="003D520D">
        <w:t>indirectly and subtly</w:t>
      </w:r>
      <w:r w:rsidRPr="00FF50FE">
        <w:t xml:space="preserve"> rather than publicly. </w:t>
      </w:r>
      <w:r w:rsidR="003D520D">
        <w:t>However</w:t>
      </w:r>
      <w:r w:rsidRPr="00FF50FE">
        <w:t>, British business communication is significantly influenced by cultural factors including class, education, and social status, which may alter how people interact with one another.</w:t>
      </w:r>
    </w:p>
    <w:p w14:paraId="561E6F8A" w14:textId="68A9E5E9" w:rsidR="00487B12" w:rsidRDefault="00487B12" w:rsidP="00487B12"/>
    <w:p w14:paraId="58E6013F" w14:textId="0ACAB36B" w:rsidR="00487B12" w:rsidRDefault="00487B12" w:rsidP="00487B12"/>
    <w:p w14:paraId="1D51C812" w14:textId="657516DB" w:rsidR="00487B12" w:rsidRDefault="00487B12" w:rsidP="00487B12"/>
    <w:p w14:paraId="57FAB1DD" w14:textId="4786511D" w:rsidR="00487B12" w:rsidRDefault="00487B12" w:rsidP="00487B12"/>
    <w:p w14:paraId="06E2999C" w14:textId="3E2BA181" w:rsidR="00487B12" w:rsidRDefault="00487B12" w:rsidP="00487B12"/>
    <w:p w14:paraId="2ADFB5AB" w14:textId="634938DC" w:rsidR="00487B12" w:rsidRDefault="00487B12" w:rsidP="00487B12"/>
    <w:p w14:paraId="0B1744AA" w14:textId="16B1E116" w:rsidR="00487B12" w:rsidRDefault="00487B12" w:rsidP="00487B12"/>
    <w:p w14:paraId="4114CCBA" w14:textId="55FEDD33" w:rsidR="00487B12" w:rsidRDefault="00487B12" w:rsidP="00487B12"/>
    <w:p w14:paraId="2D78E15E" w14:textId="116AA5F3" w:rsidR="00487B12" w:rsidRDefault="00487B12" w:rsidP="00487B12"/>
    <w:p w14:paraId="436D03BD" w14:textId="483546CC" w:rsidR="00487B12" w:rsidRDefault="00487B12" w:rsidP="00487B12"/>
    <w:p w14:paraId="3EE9D17B" w14:textId="2B163F91" w:rsidR="00487B12" w:rsidRDefault="00487B12" w:rsidP="00487B12"/>
    <w:p w14:paraId="0F915606" w14:textId="559DEE6F" w:rsidR="00487B12" w:rsidRDefault="00487B12" w:rsidP="00487B12"/>
    <w:p w14:paraId="26D0F264" w14:textId="38EFA68B" w:rsidR="00487B12" w:rsidRDefault="00487B12" w:rsidP="00487B12"/>
    <w:p w14:paraId="5CD4EF85" w14:textId="6FF5B707" w:rsidR="00487B12" w:rsidRDefault="00487B12" w:rsidP="00487B12"/>
    <w:p w14:paraId="43C0F524" w14:textId="77777777" w:rsidR="00487B12" w:rsidRPr="00487B12" w:rsidRDefault="00487B12" w:rsidP="00487B12"/>
    <w:p w14:paraId="507AF435" w14:textId="725C096D" w:rsidR="001F2073" w:rsidRDefault="001F2073" w:rsidP="001F2073">
      <w:pPr>
        <w:pStyle w:val="Heading1"/>
      </w:pPr>
      <w:bookmarkStart w:id="8" w:name="_Toc130064770"/>
      <w:r>
        <w:lastRenderedPageBreak/>
        <w:t>References</w:t>
      </w:r>
      <w:bookmarkEnd w:id="8"/>
    </w:p>
    <w:p w14:paraId="7571E49F" w14:textId="77777777" w:rsidR="00471A46" w:rsidRPr="00471A46" w:rsidRDefault="00471A46" w:rsidP="00471A46">
      <w:r w:rsidRPr="00471A46">
        <w:t xml:space="preserve">Agbontaen, O.O. (2019) “Workplace Diversity and Inclusion Policies: Insights from a foreign firm in the Nigeria Banking Sector,” </w:t>
      </w:r>
      <w:r w:rsidRPr="00471A46">
        <w:rPr>
          <w:i/>
          <w:iCs/>
        </w:rPr>
        <w:t>Advanced Series in Management</w:t>
      </w:r>
      <w:r w:rsidRPr="00471A46">
        <w:t xml:space="preserve">, pp. 239–280. Available at: https://doi.org/10.1108/s1877-636120190000021013. </w:t>
      </w:r>
    </w:p>
    <w:p w14:paraId="2D5C8B58" w14:textId="77777777" w:rsidR="00471A46" w:rsidRPr="00471A46" w:rsidRDefault="00471A46" w:rsidP="00471A46">
      <w:r w:rsidRPr="00471A46">
        <w:t xml:space="preserve">Ahlf, H. </w:t>
      </w:r>
      <w:r w:rsidRPr="00471A46">
        <w:rPr>
          <w:i/>
          <w:iCs/>
        </w:rPr>
        <w:t>et al.</w:t>
      </w:r>
      <w:r w:rsidRPr="00471A46">
        <w:t xml:space="preserve"> (2019) “Demographic homophily, Communication and trust in intra-organizational business relationships,” </w:t>
      </w:r>
      <w:r w:rsidRPr="00471A46">
        <w:rPr>
          <w:i/>
          <w:iCs/>
        </w:rPr>
        <w:t>Journal of Business &amp; Industrial Marketing</w:t>
      </w:r>
      <w:r w:rsidRPr="00471A46">
        <w:t xml:space="preserve">, 34(2), pp. 474–487. Available at: https://doi.org/10.1108/jbim-03-2018-0093. </w:t>
      </w:r>
    </w:p>
    <w:p w14:paraId="525A71E1" w14:textId="77777777" w:rsidR="00471A46" w:rsidRPr="00471A46" w:rsidRDefault="00471A46" w:rsidP="00471A46">
      <w:r w:rsidRPr="00471A46">
        <w:t xml:space="preserve">Andersson, A. (2016) “Communication barriers in an interorganizational ERP-project,” </w:t>
      </w:r>
      <w:r w:rsidRPr="00471A46">
        <w:rPr>
          <w:i/>
          <w:iCs/>
        </w:rPr>
        <w:t>International Journal of Managing Projects in Business</w:t>
      </w:r>
      <w:r w:rsidRPr="00471A46">
        <w:t xml:space="preserve">, 9(1), pp. 214–233. Available at: https://doi.org/10.1108/ijmpb-06-2015-0047. </w:t>
      </w:r>
    </w:p>
    <w:p w14:paraId="72CFA671" w14:textId="77777777" w:rsidR="00471A46" w:rsidRPr="00471A46" w:rsidRDefault="00471A46" w:rsidP="00471A46">
      <w:r w:rsidRPr="00471A46">
        <w:t xml:space="preserve">Borner, M. and Zerfass, A. (2018) “The power of listening in corporate communications: Theoretical Foundations of corporate listening as a strategic mode of communication,” </w:t>
      </w:r>
      <w:r w:rsidRPr="00471A46">
        <w:rPr>
          <w:i/>
          <w:iCs/>
        </w:rPr>
        <w:t>Advances in Public Relations and Communication Management</w:t>
      </w:r>
      <w:r w:rsidRPr="00471A46">
        <w:t xml:space="preserve">, pp. 3–22. Available at: https://doi.org/10.1108/s2398-391420180000003001. </w:t>
      </w:r>
    </w:p>
    <w:p w14:paraId="233137DC" w14:textId="77777777" w:rsidR="00471A46" w:rsidRPr="00471A46" w:rsidRDefault="00471A46" w:rsidP="00471A46">
      <w:r w:rsidRPr="00471A46">
        <w:t xml:space="preserve">Chen, J.C., Silverthorne, C. and Hung, J.Y. (2006) “Organization communication, Job Stress, organizational commitment, and job performance of accounting professionals in Taiwan and America,” </w:t>
      </w:r>
      <w:r w:rsidRPr="00471A46">
        <w:rPr>
          <w:i/>
          <w:iCs/>
        </w:rPr>
        <w:t>Leadership &amp; Organization Development Journal</w:t>
      </w:r>
      <w:r w:rsidRPr="00471A46">
        <w:t xml:space="preserve">, 27(4), pp. 242–249. Available at: https://doi.org/10.1108/01437730610666000. </w:t>
      </w:r>
    </w:p>
    <w:p w14:paraId="3238C1AC" w14:textId="77777777" w:rsidR="00471A46" w:rsidRPr="00471A46" w:rsidRDefault="00471A46" w:rsidP="00471A46">
      <w:r w:rsidRPr="00471A46">
        <w:t xml:space="preserve">Dahanayake, P. </w:t>
      </w:r>
      <w:r w:rsidRPr="00471A46">
        <w:rPr>
          <w:i/>
          <w:iCs/>
        </w:rPr>
        <w:t>et al.</w:t>
      </w:r>
      <w:r w:rsidRPr="00471A46">
        <w:t xml:space="preserve"> (2018) “Justice and fairness in the workplace: A trajectory for managing diversity,” </w:t>
      </w:r>
      <w:r w:rsidRPr="00471A46">
        <w:rPr>
          <w:i/>
          <w:iCs/>
        </w:rPr>
        <w:t>Equality, Diversity and Inclusion: An International Journal</w:t>
      </w:r>
      <w:r w:rsidRPr="00471A46">
        <w:t xml:space="preserve">, 37(5), pp. 470–490. Available at: https://doi.org/10.1108/edi-11-2016-0105. </w:t>
      </w:r>
    </w:p>
    <w:p w14:paraId="466AB9A7" w14:textId="77777777" w:rsidR="00471A46" w:rsidRPr="00471A46" w:rsidRDefault="00471A46" w:rsidP="00471A46">
      <w:r w:rsidRPr="00471A46">
        <w:t xml:space="preserve">Forster, M. (2019) “‘ethnographic’ thematic phenomenography,” </w:t>
      </w:r>
      <w:r w:rsidRPr="00471A46">
        <w:rPr>
          <w:i/>
          <w:iCs/>
        </w:rPr>
        <w:t>Journal of Documentation</w:t>
      </w:r>
      <w:r w:rsidRPr="00471A46">
        <w:t xml:space="preserve">, 75(2), pp. 349–365. Available at: https://doi.org/10.1108/jd-05-2018-0079. </w:t>
      </w:r>
    </w:p>
    <w:p w14:paraId="0761112A" w14:textId="77777777" w:rsidR="00471A46" w:rsidRPr="00471A46" w:rsidRDefault="00471A46" w:rsidP="00471A46">
      <w:r w:rsidRPr="00471A46">
        <w:t xml:space="preserve">Grandien, C. and Johansson, C. (2012) “Institutionalization of Communication Management,” </w:t>
      </w:r>
      <w:r w:rsidRPr="00471A46">
        <w:rPr>
          <w:i/>
          <w:iCs/>
        </w:rPr>
        <w:t>Corporate Communications: An International Journal</w:t>
      </w:r>
      <w:r w:rsidRPr="00471A46">
        <w:t xml:space="preserve">, 17(2), pp. 209–227. Available at: https://doi.org/10.1108/13563281211220247. </w:t>
      </w:r>
    </w:p>
    <w:p w14:paraId="31DC3567" w14:textId="77777777" w:rsidR="00471A46" w:rsidRPr="00471A46" w:rsidRDefault="00471A46" w:rsidP="00471A46">
      <w:r w:rsidRPr="00471A46">
        <w:rPr>
          <w:i/>
          <w:iCs/>
        </w:rPr>
        <w:lastRenderedPageBreak/>
        <w:t>GSK</w:t>
      </w:r>
      <w:r w:rsidRPr="00471A46">
        <w:t xml:space="preserve"> (2023) </w:t>
      </w:r>
      <w:r w:rsidRPr="00471A46">
        <w:rPr>
          <w:i/>
          <w:iCs/>
        </w:rPr>
        <w:t>GSK.com</w:t>
      </w:r>
      <w:r w:rsidRPr="00471A46">
        <w:t xml:space="preserve">. Available at: https://www.gsk.com/en-gb/company/ (Accessed: March 18, 2023). </w:t>
      </w:r>
    </w:p>
    <w:p w14:paraId="67F96C49" w14:textId="77777777" w:rsidR="00471A46" w:rsidRPr="00471A46" w:rsidRDefault="00471A46" w:rsidP="00471A46">
      <w:r w:rsidRPr="00471A46">
        <w:t xml:space="preserve">Jadil, Y. </w:t>
      </w:r>
      <w:r w:rsidRPr="00471A46">
        <w:rPr>
          <w:i/>
          <w:iCs/>
        </w:rPr>
        <w:t>et al.</w:t>
      </w:r>
      <w:r w:rsidRPr="00471A46">
        <w:t xml:space="preserve"> (2022) “A meta-analysis of the factors associated with S-commerce intention: Hofstede's cultural dimensions as moderators,” </w:t>
      </w:r>
      <w:r w:rsidRPr="00471A46">
        <w:rPr>
          <w:i/>
          <w:iCs/>
        </w:rPr>
        <w:t>Internet Research</w:t>
      </w:r>
      <w:r w:rsidRPr="00471A46">
        <w:t xml:space="preserve"> [Preprint]. Available at: https://doi.org/10.1108/intr-10-2021-0768. </w:t>
      </w:r>
    </w:p>
    <w:p w14:paraId="66BC0B60" w14:textId="77777777" w:rsidR="00471A46" w:rsidRPr="00471A46" w:rsidRDefault="00471A46" w:rsidP="00471A46">
      <w:r w:rsidRPr="00471A46">
        <w:t xml:space="preserve">Kapoor, C. and Solomon, N. (2011) “Understanding and managing generational differences in the Workplace,” </w:t>
      </w:r>
      <w:r w:rsidRPr="00471A46">
        <w:rPr>
          <w:i/>
          <w:iCs/>
        </w:rPr>
        <w:t>Worldwide Hospitality and Tourism Themes</w:t>
      </w:r>
      <w:r w:rsidRPr="00471A46">
        <w:t xml:space="preserve">, 3(4), pp. 308–318. Available at: https://doi.org/10.1108/17554211111162435. </w:t>
      </w:r>
    </w:p>
    <w:p w14:paraId="570D606E" w14:textId="77777777" w:rsidR="00471A46" w:rsidRPr="00471A46" w:rsidRDefault="00471A46" w:rsidP="00471A46">
      <w:r w:rsidRPr="00471A46">
        <w:t xml:space="preserve">Koo, Y., Kim, S.J. and Song, J.H. (2022) “The moderating effect of communication on congruence and incongruence of openness to change: Is communication always beneficial for learning organization culture and knowledge sharing?,” </w:t>
      </w:r>
      <w:r w:rsidRPr="00471A46">
        <w:rPr>
          <w:i/>
          <w:iCs/>
        </w:rPr>
        <w:t>The Learning Organization</w:t>
      </w:r>
      <w:r w:rsidRPr="00471A46">
        <w:t xml:space="preserve">, 29(2), pp. 172–190. Available at: https://doi.org/10.1108/tlo-02-2021-0025. </w:t>
      </w:r>
    </w:p>
    <w:p w14:paraId="37392DC9" w14:textId="77777777" w:rsidR="00471A46" w:rsidRPr="00471A46" w:rsidRDefault="00471A46" w:rsidP="00471A46">
      <w:r w:rsidRPr="00471A46">
        <w:t xml:space="preserve">Lo, K.D., Waters, R.D. and Christensen, N. (2017) “Assessing the applicability of hofstede’s cultural dimensions for Global 500 corporations’ facebook profiles and content,” </w:t>
      </w:r>
      <w:r w:rsidRPr="00471A46">
        <w:rPr>
          <w:i/>
          <w:iCs/>
        </w:rPr>
        <w:t>Journal of Communication Management</w:t>
      </w:r>
      <w:r w:rsidRPr="00471A46">
        <w:t xml:space="preserve">, 21(1), pp. 51–67. Available at: https://doi.org/10.1108/jcom-04-2016-0021. </w:t>
      </w:r>
    </w:p>
    <w:p w14:paraId="279E38FC" w14:textId="77777777" w:rsidR="00471A46" w:rsidRPr="00471A46" w:rsidRDefault="00471A46" w:rsidP="00471A46">
      <w:r w:rsidRPr="00471A46">
        <w:t xml:space="preserve">Ng, E.S., Rajendran, D. and Waheduzzaman, W. (2022) “Promoting workplace inclusion and self-efficacy among skilled migrant workers in Australia,” </w:t>
      </w:r>
      <w:r w:rsidRPr="00471A46">
        <w:rPr>
          <w:i/>
          <w:iCs/>
        </w:rPr>
        <w:t>International Journal of Manpower</w:t>
      </w:r>
      <w:r w:rsidRPr="00471A46">
        <w:t xml:space="preserve"> [Preprint]. Available at: https://doi.org/10.1108/ijm-01-2022-0044. </w:t>
      </w:r>
    </w:p>
    <w:p w14:paraId="7BFCE187" w14:textId="77777777" w:rsidR="00471A46" w:rsidRPr="00471A46" w:rsidRDefault="00471A46" w:rsidP="00471A46">
      <w:r w:rsidRPr="00471A46">
        <w:t xml:space="preserve">Swoboda, B. and Batton, N. (2019) “National Cultural Value Models and reputation of mncs,” </w:t>
      </w:r>
      <w:r w:rsidRPr="00471A46">
        <w:rPr>
          <w:i/>
          <w:iCs/>
        </w:rPr>
        <w:t>Cross Cultural &amp; Strategic Management</w:t>
      </w:r>
      <w:r w:rsidRPr="00471A46">
        <w:t xml:space="preserve">, 26(2), pp. 166–198. Available at: https://doi.org/10.1108/ccsm-05-2018-0061. </w:t>
      </w:r>
    </w:p>
    <w:p w14:paraId="4FE28273" w14:textId="77777777" w:rsidR="001F2073" w:rsidRDefault="001F2073"/>
    <w:p w14:paraId="2EB810FC" w14:textId="667059D4" w:rsidR="00E93AFD" w:rsidRDefault="00E93AFD"/>
    <w:p w14:paraId="7F330263" w14:textId="62EF9124" w:rsidR="00E93AFD" w:rsidRDefault="00E93AFD"/>
    <w:p w14:paraId="1B9FF19D" w14:textId="6204DE36" w:rsidR="00E93AFD" w:rsidRDefault="00E93AFD"/>
    <w:p w14:paraId="632475F8" w14:textId="77777777" w:rsidR="00E93AFD" w:rsidRDefault="00E93AFD"/>
    <w:sectPr w:rsidR="00E93AFD" w:rsidSect="00EB4B3F">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53D64" w14:textId="77777777" w:rsidR="004D20E9" w:rsidRDefault="004D20E9" w:rsidP="0020589C">
      <w:pPr>
        <w:spacing w:after="0" w:line="240" w:lineRule="auto"/>
      </w:pPr>
      <w:r>
        <w:separator/>
      </w:r>
    </w:p>
  </w:endnote>
  <w:endnote w:type="continuationSeparator" w:id="0">
    <w:p w14:paraId="6DE91F32" w14:textId="77777777" w:rsidR="004D20E9" w:rsidRDefault="004D20E9" w:rsidP="002058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6335797"/>
      <w:docPartObj>
        <w:docPartGallery w:val="Page Numbers (Bottom of Page)"/>
        <w:docPartUnique/>
      </w:docPartObj>
    </w:sdtPr>
    <w:sdtEndPr>
      <w:rPr>
        <w:color w:val="7F7F7F" w:themeColor="background1" w:themeShade="7F"/>
        <w:spacing w:val="60"/>
      </w:rPr>
    </w:sdtEndPr>
    <w:sdtContent>
      <w:p w14:paraId="5CB9D154" w14:textId="26C8569F" w:rsidR="00EB4B3F" w:rsidRDefault="00EB4B3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5789CAD" w14:textId="77777777" w:rsidR="00EB4B3F" w:rsidRDefault="00EB4B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D1FC7B" w14:textId="77777777" w:rsidR="004D20E9" w:rsidRDefault="004D20E9" w:rsidP="0020589C">
      <w:pPr>
        <w:spacing w:after="0" w:line="240" w:lineRule="auto"/>
      </w:pPr>
      <w:r>
        <w:separator/>
      </w:r>
    </w:p>
  </w:footnote>
  <w:footnote w:type="continuationSeparator" w:id="0">
    <w:p w14:paraId="6210A1C2" w14:textId="77777777" w:rsidR="004D20E9" w:rsidRDefault="004D20E9" w:rsidP="002058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0Mzc3MDS3MDQ0tjBQ0lEKTi0uzszPAykwNKwFABDx0QItAAAA"/>
  </w:docVars>
  <w:rsids>
    <w:rsidRoot w:val="0027561D"/>
    <w:rsid w:val="00013458"/>
    <w:rsid w:val="00023442"/>
    <w:rsid w:val="00043DE5"/>
    <w:rsid w:val="00073382"/>
    <w:rsid w:val="000A493C"/>
    <w:rsid w:val="000D39CB"/>
    <w:rsid w:val="000F1055"/>
    <w:rsid w:val="00114E45"/>
    <w:rsid w:val="00161F12"/>
    <w:rsid w:val="00165F11"/>
    <w:rsid w:val="00172AE7"/>
    <w:rsid w:val="001A55A8"/>
    <w:rsid w:val="001B1D86"/>
    <w:rsid w:val="001E748F"/>
    <w:rsid w:val="001F2073"/>
    <w:rsid w:val="0020589C"/>
    <w:rsid w:val="0021359B"/>
    <w:rsid w:val="002142B7"/>
    <w:rsid w:val="00252E33"/>
    <w:rsid w:val="00264BFA"/>
    <w:rsid w:val="0027561D"/>
    <w:rsid w:val="0028793E"/>
    <w:rsid w:val="00297F12"/>
    <w:rsid w:val="002A4CFC"/>
    <w:rsid w:val="002B00F6"/>
    <w:rsid w:val="002B4D4F"/>
    <w:rsid w:val="002C2CC7"/>
    <w:rsid w:val="002D564F"/>
    <w:rsid w:val="002E5A8E"/>
    <w:rsid w:val="003A541D"/>
    <w:rsid w:val="003B14ED"/>
    <w:rsid w:val="003B1630"/>
    <w:rsid w:val="003C1FD0"/>
    <w:rsid w:val="003D520D"/>
    <w:rsid w:val="003D636D"/>
    <w:rsid w:val="003E0326"/>
    <w:rsid w:val="004024DB"/>
    <w:rsid w:val="004117D5"/>
    <w:rsid w:val="00421983"/>
    <w:rsid w:val="00444AFE"/>
    <w:rsid w:val="00463C92"/>
    <w:rsid w:val="00471A46"/>
    <w:rsid w:val="00485192"/>
    <w:rsid w:val="00487B12"/>
    <w:rsid w:val="004A297A"/>
    <w:rsid w:val="004A7C76"/>
    <w:rsid w:val="004D20E9"/>
    <w:rsid w:val="004F42F0"/>
    <w:rsid w:val="0053777C"/>
    <w:rsid w:val="00555A31"/>
    <w:rsid w:val="00557C67"/>
    <w:rsid w:val="00571718"/>
    <w:rsid w:val="00584DE1"/>
    <w:rsid w:val="005E3917"/>
    <w:rsid w:val="00623874"/>
    <w:rsid w:val="00677BB7"/>
    <w:rsid w:val="00712AD5"/>
    <w:rsid w:val="00720CE6"/>
    <w:rsid w:val="007276DA"/>
    <w:rsid w:val="00757891"/>
    <w:rsid w:val="0078377E"/>
    <w:rsid w:val="00791D14"/>
    <w:rsid w:val="007A3244"/>
    <w:rsid w:val="007B20D9"/>
    <w:rsid w:val="007F1B53"/>
    <w:rsid w:val="00826F11"/>
    <w:rsid w:val="008323D2"/>
    <w:rsid w:val="0083408A"/>
    <w:rsid w:val="00886576"/>
    <w:rsid w:val="008D4D16"/>
    <w:rsid w:val="009727FA"/>
    <w:rsid w:val="00990CFC"/>
    <w:rsid w:val="00995F24"/>
    <w:rsid w:val="009A038F"/>
    <w:rsid w:val="00A85071"/>
    <w:rsid w:val="00A97A30"/>
    <w:rsid w:val="00AE7B2C"/>
    <w:rsid w:val="00AF1CC7"/>
    <w:rsid w:val="00AF3E87"/>
    <w:rsid w:val="00B67A36"/>
    <w:rsid w:val="00B73A1A"/>
    <w:rsid w:val="00BD1028"/>
    <w:rsid w:val="00BD5973"/>
    <w:rsid w:val="00C0430C"/>
    <w:rsid w:val="00C30EED"/>
    <w:rsid w:val="00CC1151"/>
    <w:rsid w:val="00CD762B"/>
    <w:rsid w:val="00CE4157"/>
    <w:rsid w:val="00D247DA"/>
    <w:rsid w:val="00D71902"/>
    <w:rsid w:val="00DF72F1"/>
    <w:rsid w:val="00E23AF9"/>
    <w:rsid w:val="00E333A9"/>
    <w:rsid w:val="00E370CC"/>
    <w:rsid w:val="00E46EA1"/>
    <w:rsid w:val="00E51FD3"/>
    <w:rsid w:val="00E52A6F"/>
    <w:rsid w:val="00E93AFD"/>
    <w:rsid w:val="00EB4B3F"/>
    <w:rsid w:val="00EB78FC"/>
    <w:rsid w:val="00EC33DA"/>
    <w:rsid w:val="00EE09B7"/>
    <w:rsid w:val="00EF38A5"/>
    <w:rsid w:val="00F04964"/>
    <w:rsid w:val="00F526E3"/>
    <w:rsid w:val="00F543C0"/>
    <w:rsid w:val="00F57989"/>
    <w:rsid w:val="00FA7429"/>
    <w:rsid w:val="00FB2574"/>
    <w:rsid w:val="00FE3CE3"/>
    <w:rsid w:val="00FF50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46D91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561D"/>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A7C76"/>
    <w:pPr>
      <w:keepNext/>
      <w:keepLines/>
      <w:spacing w:before="240" w:after="120"/>
      <w:outlineLvl w:val="0"/>
    </w:pPr>
    <w:rPr>
      <w:rFonts w:eastAsiaTheme="majorEastAsia" w:cstheme="majorBidi"/>
      <w:b/>
      <w:color w:val="222A35" w:themeColor="text2" w:themeShade="80"/>
      <w:sz w:val="32"/>
      <w:szCs w:val="32"/>
    </w:rPr>
  </w:style>
  <w:style w:type="paragraph" w:styleId="Heading2">
    <w:name w:val="heading 2"/>
    <w:basedOn w:val="Normal"/>
    <w:next w:val="Normal"/>
    <w:link w:val="Heading2Char"/>
    <w:autoRedefine/>
    <w:uiPriority w:val="9"/>
    <w:unhideWhenUsed/>
    <w:qFormat/>
    <w:rsid w:val="00D71902"/>
    <w:pPr>
      <w:keepNext/>
      <w:keepLines/>
      <w:spacing w:before="120" w:after="120"/>
      <w:outlineLvl w:val="1"/>
    </w:pPr>
    <w:rPr>
      <w:rFonts w:eastAsiaTheme="majorEastAsia" w:cstheme="majorBidi"/>
      <w:b/>
      <w:color w:val="323E4F" w:themeColor="text2" w:themeShade="BF"/>
      <w:sz w:val="28"/>
      <w:szCs w:val="26"/>
    </w:rPr>
  </w:style>
  <w:style w:type="paragraph" w:styleId="Heading3">
    <w:name w:val="heading 3"/>
    <w:basedOn w:val="Normal"/>
    <w:next w:val="Normal"/>
    <w:link w:val="Heading3Char"/>
    <w:uiPriority w:val="9"/>
    <w:unhideWhenUsed/>
    <w:qFormat/>
    <w:rsid w:val="00D71902"/>
    <w:pPr>
      <w:keepNext/>
      <w:keepLines/>
      <w:spacing w:before="120" w:after="120"/>
      <w:outlineLvl w:val="2"/>
    </w:pPr>
    <w:rPr>
      <w:rFonts w:eastAsiaTheme="majorEastAsia" w:cstheme="majorBidi"/>
      <w:b/>
      <w:color w:val="404040" w:themeColor="text1" w:themeTint="BF"/>
      <w:sz w:val="26"/>
      <w:szCs w:val="24"/>
    </w:rPr>
  </w:style>
  <w:style w:type="paragraph" w:styleId="Heading4">
    <w:name w:val="heading 4"/>
    <w:basedOn w:val="Normal"/>
    <w:next w:val="Normal"/>
    <w:link w:val="Heading4Char"/>
    <w:uiPriority w:val="9"/>
    <w:unhideWhenUsed/>
    <w:qFormat/>
    <w:rsid w:val="00444AFE"/>
    <w:pPr>
      <w:keepNext/>
      <w:outlineLvl w:val="3"/>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7C76"/>
    <w:rPr>
      <w:rFonts w:ascii="Times New Roman" w:eastAsiaTheme="majorEastAsia" w:hAnsi="Times New Roman" w:cstheme="majorBidi"/>
      <w:b/>
      <w:color w:val="222A35" w:themeColor="text2" w:themeShade="80"/>
      <w:sz w:val="32"/>
      <w:szCs w:val="32"/>
    </w:rPr>
  </w:style>
  <w:style w:type="character" w:customStyle="1" w:styleId="Heading2Char">
    <w:name w:val="Heading 2 Char"/>
    <w:basedOn w:val="DefaultParagraphFont"/>
    <w:link w:val="Heading2"/>
    <w:uiPriority w:val="9"/>
    <w:rsid w:val="00D71902"/>
    <w:rPr>
      <w:rFonts w:ascii="Times New Roman" w:eastAsiaTheme="majorEastAsia" w:hAnsi="Times New Roman" w:cstheme="majorBidi"/>
      <w:b/>
      <w:color w:val="323E4F" w:themeColor="text2" w:themeShade="BF"/>
      <w:sz w:val="28"/>
      <w:szCs w:val="26"/>
    </w:rPr>
  </w:style>
  <w:style w:type="paragraph" w:styleId="Header">
    <w:name w:val="header"/>
    <w:basedOn w:val="Normal"/>
    <w:link w:val="HeaderChar"/>
    <w:uiPriority w:val="99"/>
    <w:unhideWhenUsed/>
    <w:rsid w:val="002058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589C"/>
    <w:rPr>
      <w:rFonts w:ascii="Times New Roman" w:hAnsi="Times New Roman"/>
      <w:sz w:val="24"/>
    </w:rPr>
  </w:style>
  <w:style w:type="paragraph" w:styleId="Footer">
    <w:name w:val="footer"/>
    <w:basedOn w:val="Normal"/>
    <w:link w:val="FooterChar"/>
    <w:uiPriority w:val="99"/>
    <w:unhideWhenUsed/>
    <w:rsid w:val="002058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589C"/>
    <w:rPr>
      <w:rFonts w:ascii="Times New Roman" w:hAnsi="Times New Roman"/>
      <w:sz w:val="24"/>
    </w:rPr>
  </w:style>
  <w:style w:type="character" w:styleId="Hyperlink">
    <w:name w:val="Hyperlink"/>
    <w:basedOn w:val="DefaultParagraphFont"/>
    <w:uiPriority w:val="99"/>
    <w:unhideWhenUsed/>
    <w:rsid w:val="0028793E"/>
    <w:rPr>
      <w:color w:val="0000FF"/>
      <w:u w:val="single"/>
    </w:rPr>
  </w:style>
  <w:style w:type="table" w:styleId="TableGrid">
    <w:name w:val="Table Grid"/>
    <w:basedOn w:val="TableNormal"/>
    <w:uiPriority w:val="39"/>
    <w:rsid w:val="00584DE1"/>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D71902"/>
    <w:rPr>
      <w:rFonts w:ascii="Times New Roman" w:eastAsiaTheme="majorEastAsia" w:hAnsi="Times New Roman" w:cstheme="majorBidi"/>
      <w:b/>
      <w:color w:val="404040" w:themeColor="text1" w:themeTint="BF"/>
      <w:sz w:val="26"/>
      <w:szCs w:val="24"/>
    </w:rPr>
  </w:style>
  <w:style w:type="paragraph" w:styleId="TOCHeading">
    <w:name w:val="TOC Heading"/>
    <w:basedOn w:val="Heading1"/>
    <w:next w:val="Normal"/>
    <w:uiPriority w:val="39"/>
    <w:unhideWhenUsed/>
    <w:qFormat/>
    <w:rsid w:val="000A493C"/>
    <w:pPr>
      <w:spacing w:after="0"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0A493C"/>
    <w:pPr>
      <w:spacing w:after="100"/>
    </w:pPr>
  </w:style>
  <w:style w:type="character" w:customStyle="1" w:styleId="Heading4Char">
    <w:name w:val="Heading 4 Char"/>
    <w:basedOn w:val="DefaultParagraphFont"/>
    <w:link w:val="Heading4"/>
    <w:uiPriority w:val="9"/>
    <w:rsid w:val="00444AFE"/>
    <w:rPr>
      <w:rFonts w:ascii="Times New Roman" w:hAnsi="Times New Roman"/>
      <w:b/>
      <w:bCs/>
      <w:i/>
      <w:iCs/>
      <w:sz w:val="24"/>
    </w:rPr>
  </w:style>
  <w:style w:type="paragraph" w:styleId="BodyText">
    <w:name w:val="Body Text"/>
    <w:basedOn w:val="Normal"/>
    <w:link w:val="BodyTextChar"/>
    <w:uiPriority w:val="99"/>
    <w:unhideWhenUsed/>
    <w:rsid w:val="003A541D"/>
    <w:rPr>
      <w:color w:val="FF0000"/>
    </w:rPr>
  </w:style>
  <w:style w:type="character" w:customStyle="1" w:styleId="BodyTextChar">
    <w:name w:val="Body Text Char"/>
    <w:basedOn w:val="DefaultParagraphFont"/>
    <w:link w:val="BodyText"/>
    <w:uiPriority w:val="99"/>
    <w:rsid w:val="003A541D"/>
    <w:rPr>
      <w:rFonts w:ascii="Times New Roman" w:hAnsi="Times New Roman"/>
      <w:color w:val="FF0000"/>
      <w:sz w:val="24"/>
    </w:rPr>
  </w:style>
  <w:style w:type="paragraph" w:styleId="Caption">
    <w:name w:val="caption"/>
    <w:basedOn w:val="Normal"/>
    <w:next w:val="Normal"/>
    <w:uiPriority w:val="35"/>
    <w:unhideWhenUsed/>
    <w:qFormat/>
    <w:rsid w:val="00F526E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71A4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2391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5CF808-955A-4F4C-B5B4-0B14A9A449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3290</Words>
  <Characters>18759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2020-04-24T02:09:00Z</dcterms:created>
  <dcterms:modified xsi:type="dcterms:W3CDTF">2023-04-17T09:54:00Z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3bb9cf054ceb89147efaa6b02e2fe4f6addd061c25c22da8615575b2da07fa71</vt:lpwstr>
  </property>
</Properties>
</file>