
<file path=[Content_Types].xml><?xml version="1.0" encoding="utf-8"?>
<Types xmlns="http://schemas.openxmlformats.org/package/2006/content-types">
  <Default Extension="rels" ContentType="application/vnd.openxmlformats-package.relationships+xml"/>
  <Default Extension="xml" ContentType="application/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both"/>
        <w:rPr>
          <w:rFonts w:hint="default" w:ascii="Times New Roman" w:hAnsi="Times New Roman" w:cs="Times New Roman"/>
          <w:lang w:val="en-US"/>
        </w:rPr>
      </w:pPr>
      <w:r>
        <w:rPr>
          <w:rFonts w:hint="default" w:ascii="Times New Roman" w:hAnsi="Times New Roman" w:cs="Times New Roman"/>
          <w:lang w:val="en-US"/>
        </w:rPr>
        <w:t xml:space="preserve">NAME : MUHAMMAD ALIF SYAZWAN </w:t>
      </w:r>
    </w:p>
    <w:p>
      <w:pPr>
        <w:jc w:val="both"/>
        <w:rPr>
          <w:rFonts w:hint="default" w:ascii="Times New Roman" w:hAnsi="Times New Roman" w:cs="Times New Roman"/>
          <w:lang w:val="en-US"/>
        </w:rPr>
      </w:pPr>
      <w:r>
        <w:rPr>
          <w:rFonts w:hint="default" w:ascii="Times New Roman" w:hAnsi="Times New Roman" w:cs="Times New Roman"/>
          <w:lang w:val="en-US"/>
        </w:rPr>
        <w:t>ID :2118683</w:t>
      </w: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The 2015 Consumer Rights Act (CRA) strengthened consumer rights. The Consumer Rights Act was signed into law on October 1st, 2015. Since the regulation has gotten more clear and understandable, consumers and businesses can now buy and sell with confidence. When issues arise, they can now be dealt with quickly and affordably. As an alternative to going to court, an Ombudsman can be a quicker and less expensive means to resolve a disagreement. All customers and businesses that sell directly to them are affected. The UK spends around £90 billion per month. As a result, they will save time and money by making better purchasing decisions.</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Comparing CRA 2015 to previous consumer protection laws like the Sale of Goods Act can be done (1979). Legally, customers can't seek a refund for digital items they've purchased through the SGA or CRA platforms. Consumer rights for malfunctioning digital gadgets are unclear under present legislation. Information in digital form is now included in the definition of content by the Canada Revenue Agency. To bring the consumer rights framework up to date, it intends to apply the recognised and expected consumer rights to digital content.</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Digital content can be repaired. The SGA requires commodities to be sold with quality, purpose, and description. If a customer discovers a flaw in a product, they can return it for a refund or ask the seller to replace or repair it. This should cause no inconvenience to customers. The SGA regulations do not apply to digital content. The SGA's definition of "goods" excludes digital content that is not on CD or DVD. The SGA's right to reject products and seek refunds is problematic for digital works due to the potential for piracy and ease of duplication.</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So yet, the case law has not dealt with these difficulties. For digital content that isn't working, consumers are likely to rely on the dealer's trust rather than strict legal rights.</w:t>
      </w:r>
    </w:p>
    <w:p>
      <w:pPr>
        <w:jc w:val="both"/>
        <w:rPr>
          <w:rFonts w:hint="default" w:ascii="Times New Roman" w:hAnsi="Times New Roman" w:cs="Times New Roman"/>
        </w:rPr>
      </w:pPr>
      <w:r>
        <w:rPr>
          <w:rFonts w:hint="default" w:ascii="Times New Roman" w:hAnsi="Times New Roman" w:cs="Times New Roman"/>
        </w:rPr>
        <w:t>New digital material rights and remedies are specified by the CRA as long as the consumer has paid a price for that content. If digital content fails to live up to expectations, the law provides a list of precise remedies. Repairing corrupted digital content on a consumer's smartphone may be more difficult than downloading a new copy. However, customers have the option of either repairing or replacing faulty digital information, as long as the chosen method is not impossible or excessively difficult.</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A discount is provided to customers who cannot repair or replace material due to lack of repair or replacement capabilities or the trader's failure to do so. For example, if the goods is defective, the full sum may be claimed. Customers can't get a refund for digital items purchased through SGA or CRA. Other services like digital content. In addition to digital content, the CRA regulates service contracts. The CRA's services must be performed with reasonable care and competence, in a reasonable time frame, and for a reasonable fee. If a trader violates these terms, clients have two options. Unfinished services can be requested if they are not completed with reasonable care and competence.</w:t>
      </w:r>
    </w:p>
    <w:p>
      <w:pPr>
        <w:jc w:val="both"/>
        <w:rPr>
          <w:rFonts w:hint="default" w:ascii="Times New Roman" w:hAnsi="Times New Roman" w:cs="Times New Roman"/>
        </w:rPr>
      </w:pPr>
    </w:p>
    <w:p>
      <w:pPr>
        <w:jc w:val="both"/>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t xml:space="preserve">Services that take longer than planned can be discounted. As a result of overly complex and fragmented consumer rights legislation, primary and secondary legislation such as the Supply of Goods Implied Terms Act 1973, Unfair Contract Terms Act 1977, Sale of Goods Act 1979, and Enterprise Act 2002 have been introduced. The current economic crisis has weakened customer trust. Consumer </w:t>
      </w:r>
    </w:p>
    <w:p>
      <w:pPr>
        <w:rPr>
          <w:rFonts w:hint="default" w:ascii="Times New Roman" w:hAnsi="Times New Roman" w:cs="Times New Roman"/>
        </w:rPr>
      </w:pPr>
      <w:r>
        <w:rPr>
          <w:rFonts w:hint="default" w:ascii="Times New Roman" w:hAnsi="Times New Roman" w:cs="Times New Roman"/>
        </w:rPr>
        <w:t>Law Reform Program developed to support EU reform efforts including the Consumer Rights Directive. A new Consumer Rights Act was passed in 2015 after the government agreed to some basic consumer rights. Scotland's Law Commission and the University of East Anglia conducted research in 2008.</w:t>
      </w:r>
    </w:p>
    <w:p>
      <w:pPr>
        <w:rPr>
          <w:rFonts w:hint="default" w:ascii="Times New Roman" w:hAnsi="Times New Roman" w:cs="Times New Roman"/>
        </w:rPr>
      </w:pPr>
    </w:p>
    <w:p>
      <w:pPr>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 xml:space="preserve">Act on the Provision of Goods and Services (1982). Supply of Goods Implied Terms Act 1973 will be replaced by the Consumer Rights Act 2015 for company-to-consumer agreements. In future, it will only be applicable to transactions between businesses and consumers. Consumer Rights Act of 1998 replaced the Act due to the challenges it caused. Section 14(2) and Section 15(2) of the Act indicated that reasonableness was a 'question of fact', and this was a big difficulty. </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While this may have seemed like a minor issue at first, it quickly became an issue because there was no exact definition for it. This "truth" can only be confirmed by hiring a professional to speak on behalf of the product or service, or by contacting the manufacturer or a representative of the industry. An expert or even a long-term relationship with the manufacturer can be costly. Getting your claim heard might have been difficult because of this. To demonstrate how reasonable the service or product was, a supplier could assert that someone else in their field would have done the same.</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Unfair Contract Terms Act (1977). The rest of the contract will take effect as far as possible if a term is considered to be unjust and hence unenforceable. A contractual term can be regarded to be unfair even though it has been individually agreed with the consumer. Both the old law and the EU's Consumer Rights Directive  are replaced by the CRA 2015. Few consumer contracts are actually arranged on an individual basis in practise. Only if the contract's essential elements are "transparent and prominent" are they exempt from the requirement of fairness in the contract. Clear and understandable wording is required to meet the transparency standard.</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 xml:space="preserve"> Consumers who are presumptively well-informed, perceptive, and prudent must be made aware of the term in order for it to become prominent.   If a core word does not match these conditions, it isn't unjust, but further scrutiny will be applied to this phrase. Consumer contract provisions that may be seen as unfair the "grey list are included in Section 2 of the act of the CRA 2015, which is referred to as a "indicative and non-exhaustive" list. The terms on the grey list aren't always unjust, but they might be utilised by a court to help determine whether or not the fairness test should be applied to a particular case.</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Similarly, terms that are not on the list may be ruled to be unfair by a court when the fairness test is applied. When a contract ends, the consumer may be required to pay for services that were never provided, or the trader may be given price discretion after the consumer has been contractually bound. These are all examples of "grey list" conditions.</w:t>
      </w:r>
    </w:p>
    <w:p>
      <w:pPr>
        <w:jc w:val="both"/>
        <w:rPr>
          <w:rFonts w:hint="default" w:ascii="Times New Roman" w:hAnsi="Times New Roman" w:cs="Times New Roman"/>
        </w:rPr>
      </w:pP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Consolidation and simplification of existing law is the major goal of the CRA 2015's simple, cohesive structure of consumer legislation. It also aims to modernise the law so that it can handle developments like online streaming and to apply EU Consumer Rights Directive elements such as outlining the consumer's cancellation rights for relevant contracts concluded off-premises or through distance trading. Each of the three elements of the CRA 2015 applies to contracts between traders defined as someone acting for purposes related to his or her occupation and consumers defined as someone acting for purposes fully or primarily outside of his or her occupation.</w:t>
      </w: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p>
    <w:p>
      <w:pPr>
        <w:jc w:val="both"/>
        <w:rPr>
          <w:rFonts w:hint="default" w:ascii="Times New Roman" w:hAnsi="Times New Roman" w:cs="Times New Roman"/>
          <w:color w:val="000000" w:themeColor="text1"/>
          <w14:textFill>
            <w14:solidFill>
              <w14:schemeClr w14:val="tx1"/>
            </w14:solidFill>
          </w14:textFill>
        </w:rPr>
      </w:pPr>
      <w:r>
        <w:rPr>
          <w:rFonts w:hint="default" w:ascii="Times New Roman" w:hAnsi="Times New Roman" w:cs="Times New Roman"/>
          <w:color w:val="000000" w:themeColor="text1"/>
          <w14:textFill>
            <w14:solidFill>
              <w14:schemeClr w14:val="tx1"/>
            </w14:solidFill>
          </w14:textFill>
        </w:rPr>
        <w:t>Part 1 of the CRA 2015 focuses on contracts involving commodities, digital content, and services. A large part of this chapter deals with the legal duties that consumers have to one another under consumer contracts and the minimal standards that must be met by the products they purchase. There are set quality and suitability requirements for products that must be met before they can be put into use. CRA 2015 clarifies consumer rights to replacements, refunds, price discounts and the right to refuse goods in the event of defective goods.</w:t>
      </w:r>
    </w:p>
    <w:p>
      <w:pPr>
        <w:jc w:val="both"/>
        <w:rPr>
          <w:rFonts w:hint="default" w:ascii="Times New Roman" w:hAnsi="Times New Roman" w:cs="Times New Roman"/>
          <w:color w:val="4472C4" w:themeColor="accent1"/>
          <w14:textFill>
            <w14:solidFill>
              <w14:schemeClr w14:val="accent1"/>
            </w14:solidFill>
          </w14:textFill>
        </w:rPr>
      </w:pPr>
    </w:p>
    <w:p>
      <w:pPr>
        <w:jc w:val="both"/>
        <w:rPr>
          <w:rFonts w:hint="default" w:ascii="Times New Roman" w:hAnsi="Times New Roman" w:cs="Times New Roman"/>
          <w:color w:val="4472C4" w:themeColor="accent1"/>
          <w14:textFill>
            <w14:solidFill>
              <w14:schemeClr w14:val="accent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Some minor changes in the regulations apply based on what kind of supply users have. According to the Sale of Goods Act 1979, buyers can expect that goods will be of a satisfactory quality, be suitable for their intended use, and be consistent with their description. There are, however, a few small alterations.</w:t>
      </w: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For example, model-based commodities such as cars on display or televisions in department shops must match the model unless otherwise stated to the consumer prior to signing a sales contract. Like the long-standing SGA rule on sample sales, which has finally been modified to match the CRA. Choosing to install or arrange for the installation of products obligates a dealer to ensure proper installation. Due to the Act's requirements, the CRA's three-tiered remedy mechanism will undoubtedly have the greatest impact on goods supply. The 2002 Sale and Supply of Goods to Consumers Regulations established a two-tier system.</w:t>
      </w: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The three-tiered structure functions as follows in general. in the short run, having the ability to reject. In the event of highly perishable items, a new legal remedy is available to buyers during the first thirty days of receiving their goods. Customers who want a refund must make their things available for trader pickup, but this is their right. Consumers are normally liable for the expense of returning products to the retailer from where they originally obtained them unless they are contractually required to do so or willingly transport the goods back to that retailer's location. Products that have been incorrectly installed are not eligible for short-term rejection rights.</w:t>
      </w: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Repair and replacement rights This is already fixed in the SSGCRs. The trader must repair or replace the product promptly and without further charge to the consumer. When a remedy is excessively costly or time demanding, a consumer cannot choose to replace their item. The 30-day right to reject is suspended if the consumer requests a repair or replacement within 30 days of receipt. If the repaired or replacement item still does not meet the contract, the consumer has 30 days or 7 days to reject it. The SSGCRs required only one repair or replacement from the client. If the problem remains or a new one arises, consumers can choose between price reduction or rejection.</w:t>
      </w: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The final says on whether or not a product will be offered at a reduced price.  Under the SSGCRs, a remedy is available in the event that a repair or replacement is unsuccessful, impossible, or does not occur within a reasonable period of time or without causing the customer undue inconvenience. Either the item is kept by the customer and a discount is claimed, or the item are returned and a refund is claimed. Customers' actual usage can be taken into consideration when determining the amount of a discount that is appropriate.</w:t>
      </w: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Motor vehicles are an exception to this rule, as long as they are returned within six months of delivery. Consumers have the right to receive a full refund from traders who fail to comply with the SGA's longstanding demand that they have licence to supply products imported into the CRA. Even if the CRA provides statutory remedies, consumers can pursue other legal avenues, such as suing for breach of contract whether for products, services, or digital material. The CRA, on the other hand, does not permit a second recovery.</w:t>
      </w: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For the Internet. Some previously unanswered questions about whether digital material could be considered commodities or services have been answered by the CRA by adopting a new regulation specifically for digital content. When someone buy a CD, it is almost certain going to get something physical in return. The internet, for example, is becoming an increasingly popular medium for distributing digital content. Products purchased with real money can be included as well as virtual currency acquired with real money. There are no restrictions on one-time purchases or subscriptions when it comes to digital content from the CRA.</w:t>
      </w: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There are no exceptions when it comes to digital content; it must be of acceptable quality, appropriate for its intended use, and appropriately described. A two-tiered statutory remedy mechanism has been put in place in the event that certain standards are breached.</w:t>
      </w: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Repairs or replacements for faulty products are offered. It is imperative that consumers receive repair or replacement services quickly and at no additional expense, in compliance with the goods provisions. The customer is unable to choose between replacement and repair if the first remedy is disproportionate to the second. Traders are not required to reduce their prices before providing customers with as many repairs or replacements as they wish when providing consumer services.</w:t>
      </w: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Right to a price reduction. As long as it can't be fixed in time or without significant inconvenience to the customer then this remedy will be invoked. Discounts of this magnitude are possible, but they should be justified in light of all relevant factors. These rights and remedies are not applicable if a digital information is actually free of charge Digital material given under a contract under the Consumer Protection Act (CRA) can be repaired or reimbursed if the trader employed reasonable care and skill in its delivery. For the avoidance of doubt, if a product, service, or other digital content comes with a fee and is not normally made available to customers for free, it cannot be termed free.</w:t>
      </w: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p>
    <w:p>
      <w:pPr>
        <w:jc w:val="both"/>
        <w:rPr>
          <w:rFonts w:hint="default" w:ascii="Times New Roman" w:hAnsi="Times New Roman" w:cs="Times New Roman"/>
          <w:color w:val="000000" w:themeColor="text1"/>
          <w:lang w:val="en-GB"/>
          <w14:textFill>
            <w14:solidFill>
              <w14:schemeClr w14:val="tx1"/>
            </w14:solidFill>
          </w14:textFill>
        </w:rPr>
      </w:pPr>
      <w:r>
        <w:rPr>
          <w:rFonts w:hint="default" w:ascii="Times New Roman" w:hAnsi="Times New Roman" w:cs="Times New Roman"/>
          <w:color w:val="000000" w:themeColor="text1"/>
          <w:lang w:val="en-GB"/>
          <w14:textFill>
            <w14:solidFill>
              <w14:schemeClr w14:val="tx1"/>
            </w14:solidFill>
          </w14:textFill>
        </w:rPr>
        <w:t>The CRA is requiring the dealer to supply digital content as a condition of doing business. However, if only a small amount of the digital content given is damaged, consumers are usually entitled to an entire refund. There are no exceptions to this rule when it comes to digital content that is delivered in a corporeal form. When those conditions are not met, consumers have recourse to statutory remedies afforded under the CRA for products. Good remedies are therefore preferred, in part because they offer the option of short-term rejection.</w:t>
      </w:r>
    </w:p>
    <w:p>
      <w:pPr>
        <w:jc w:val="both"/>
        <w:rPr>
          <w:rFonts w:hint="default" w:ascii="Times New Roman" w:hAnsi="Times New Roman" w:cs="Times New Roman"/>
          <w:color w:val="4472C4" w:themeColor="accent1"/>
          <w:lang w:val="en-GB"/>
          <w14:textFill>
            <w14:solidFill>
              <w14:schemeClr w14:val="accent1"/>
            </w14:solidFill>
          </w14:textFill>
        </w:rPr>
      </w:pPr>
    </w:p>
    <w:p>
      <w:pPr>
        <w:jc w:val="both"/>
        <w:rPr>
          <w:rFonts w:hint="default" w:ascii="Times New Roman" w:hAnsi="Times New Roman" w:cs="Times New Roman"/>
          <w:color w:val="4472C4" w:themeColor="accent1"/>
          <w:lang w:val="en-GB"/>
          <w14:textFill>
            <w14:solidFill>
              <w14:schemeClr w14:val="accent1"/>
            </w14:solidFill>
          </w14:textFill>
        </w:rPr>
      </w:pPr>
    </w:p>
    <w:p>
      <w:pPr>
        <w:jc w:val="both"/>
        <w:rPr>
          <w:rFonts w:hint="default" w:ascii="Times New Roman" w:hAnsi="Times New Roman" w:cs="Times New Roman"/>
        </w:rPr>
      </w:pPr>
      <w:r>
        <w:rPr>
          <w:rFonts w:hint="default" w:ascii="Times New Roman" w:hAnsi="Times New Roman" w:cs="Times New Roman"/>
        </w:rPr>
        <w:t>In general, the CRA mimics the relevant parts of the Supply of Goods and Services Act 1982. To supply services, a trader must work to the same standard as any other reasonably competent worker. The charge for unagreed services must be reasonable. If no timetable is set, the service should not be delayed.</w:t>
      </w:r>
    </w:p>
    <w:p>
      <w:pPr>
        <w:jc w:val="both"/>
        <w:rPr>
          <w:rFonts w:hint="default" w:ascii="Times New Roman" w:hAnsi="Times New Roman" w:cs="Times New Roman"/>
        </w:rPr>
      </w:pPr>
      <w:r>
        <w:rPr>
          <w:rFonts w:hint="default" w:ascii="Times New Roman" w:hAnsi="Times New Roman" w:cs="Times New Roman"/>
        </w:rPr>
        <w:t>The CRA also holds merchants contractually liable for any comments they make about their service or themselves that customers consider when deciding whether or not to sign a contract or when deciding how to use it after signing it.</w:t>
      </w:r>
    </w:p>
    <w:p>
      <w:pPr>
        <w:jc w:val="both"/>
        <w:rPr>
          <w:rFonts w:hint="default" w:ascii="Times New Roman" w:hAnsi="Times New Roman" w:cs="Times New Roman"/>
        </w:rPr>
      </w:pPr>
      <w:r>
        <w:rPr>
          <w:rFonts w:hint="default" w:ascii="Times New Roman" w:hAnsi="Times New Roman" w:cs="Times New Roman"/>
        </w:rPr>
        <w:t>When the service conditions are not met, a new two-tier redress system is in place.</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Performance of the same piece. As long as the trader has not complied with the information they have provided regarding the service, this remedy is available to ensure that the service is completed in a timely manner. If the work is not completed within a fair amount of time or at no cost to the customer, it is not acceptable.</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A decrease in the cost. It is permissible to seek a price reduction in cases when a duplicate performance cannot be achieved within a reasonable period of time or without significant inconvenience to the consumer. Additionally, if the service is not completed in a timely manner or if the trader's promises are not met, a refund is also accessible. The amount of the discount is determined by the severity of the breach and might range from a partial refund to a full refund.</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Consumer contracts information, cancellation and additional charges regulations of 2013 how to interact ("CCRs").When it comes to pre-contractual information required by CCRs, traders should keep in mind that this information is explicitly included as part of their relationship with customers under both CCRs and now CRA regulations. There are no exceptions to this rule, regardless of whether the contract is for physical products or digital information.</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For any breach of these terms, the CRA may collect fees up to the full price paid. Information that describes the main attributes of commodities or digital content is exempt from this rule, as is information that indicates the operation and compatibility of digital content. The product description is a basic guideline for both physical and digital goods. Given the current situation, the CCRs' provisions on delivery and risk transfer under sales contracts have been moved to the CRA.</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Unreasonable conditions of the contract. For consumers' protection against contractual language that could be exploited to provide traders an unfair advantage, the CRA combines different laws under the Unfair Contract Terms Act 1977 ("UCTA") and the Unfair Terms in Consumer Contracts Regulations 1999 ("UTCCRs"). The CRA has made a few minor adjustments to the statute, despite the fact that bulk of the legislation remains unchanged.</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Notices and terms are included in the scope of the CRA, which differs from the UTCCR but is essentially consistent with the UCTA, and blacklists terms and notices those that attempt to restrict certain rights provided under the CRA that are prohibited. Main exception in UTCCRs regarding price setting and primary subject matter words now includes requirement of prominence as an additional condition. Those phrases are exempted from the regular fairness test that has been adopted from the UTCCRs. If "contrary to the need of good faith, it generates a major imbalance in the parties' rights and obligations under the contract to the detriment of the consumer," then the phrase is unfair.</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r>
        <w:rPr>
          <w:rFonts w:hint="default" w:ascii="Times New Roman" w:hAnsi="Times New Roman" w:cs="Times New Roman"/>
        </w:rPr>
        <w:t>Schedule 2 of the CRA includes three amendments to the "Grey List" of phrases that may be unfair under the UTCCRs. In order to better serve consumers, three new terms have been included in the Grey List. Disproportionate fees, allowing trader discretion over subject matter characteristics, and allowing trader discretion over price, where no price or method of deducting fees has been established prior to contract signing. Certain facets of EU legislation or case law have been clarified by the CRA. It is stated in the CRA, for example, that courts must assess whether the conditions of consumer contracts are fair, even when the parties to a dispute do not bring it up as an issue.</w:t>
      </w:r>
    </w:p>
    <w:p>
      <w:pPr>
        <w:jc w:val="both"/>
        <w:rPr>
          <w:rFonts w:hint="default" w:ascii="Times New Roman" w:hAnsi="Times New Roman" w:cs="Times New Roman"/>
        </w:rPr>
      </w:pPr>
    </w:p>
    <w:p>
      <w:pPr>
        <w:rPr>
          <w:rFonts w:hint="default" w:ascii="Times New Roman" w:hAnsi="Times New Roman" w:cs="Times New Roman"/>
        </w:rPr>
      </w:pPr>
      <w:r>
        <w:rPr>
          <w:rFonts w:hint="default" w:ascii="Times New Roman" w:hAnsi="Times New Roman" w:cs="Times New Roman"/>
        </w:rPr>
        <w:br w:type="page"/>
      </w:r>
      <w:bookmarkStart w:id="0" w:name="_GoBack"/>
      <w:bookmarkEnd w:id="0"/>
    </w:p>
    <w:p>
      <w:pPr>
        <w:jc w:val="center"/>
        <w:rPr>
          <w:rFonts w:hint="default" w:ascii="Times New Roman" w:hAnsi="Times New Roman" w:cs="Times New Roman"/>
          <w:b/>
          <w:bCs/>
          <w:u w:val="single"/>
        </w:rPr>
      </w:pPr>
      <w:r>
        <w:rPr>
          <w:rFonts w:hint="default" w:ascii="Times New Roman" w:hAnsi="Times New Roman" w:cs="Times New Roman"/>
          <w:b/>
          <w:bCs/>
          <w:u w:val="single"/>
        </w:rPr>
        <w:t>REFERENCE LIST</w:t>
      </w:r>
    </w:p>
    <w:p>
      <w:pPr>
        <w:jc w:val="center"/>
        <w:rPr>
          <w:rFonts w:hint="default" w:ascii="Times New Roman" w:hAnsi="Times New Roman" w:cs="Times New Roman"/>
          <w:b/>
          <w:bCs/>
          <w:u w:val="single"/>
        </w:rPr>
      </w:pPr>
    </w:p>
    <w:p>
      <w:pPr>
        <w:numPr>
          <w:ilvl w:val="0"/>
          <w:numId w:val="1"/>
        </w:numPr>
        <w:ind w:left="420" w:leftChars="0" w:hanging="420" w:firstLineChars="0"/>
        <w:jc w:val="both"/>
        <w:rPr>
          <w:rFonts w:hint="default" w:ascii="Times New Roman" w:hAnsi="Times New Roman" w:cs="Times New Roman"/>
          <w:b/>
          <w:bCs/>
        </w:rPr>
      </w:pPr>
      <w:r>
        <w:rPr>
          <w:rFonts w:hint="default" w:ascii="Times New Roman" w:hAnsi="Times New Roman" w:cs="Times New Roman"/>
          <w:b/>
          <w:bCs/>
        </w:rPr>
        <w:t>OGUNSIPE, D.</w:t>
      </w:r>
    </w:p>
    <w:p>
      <w:pPr>
        <w:jc w:val="both"/>
        <w:rPr>
          <w:rFonts w:hint="default" w:ascii="Times New Roman" w:hAnsi="Times New Roman" w:cs="Times New Roman"/>
        </w:rPr>
      </w:pPr>
      <w:r>
        <w:rPr>
          <w:rFonts w:hint="default" w:ascii="Times New Roman" w:hAnsi="Times New Roman" w:cs="Times New Roman"/>
        </w:rPr>
        <w:t>Regulating Digital Content Under the Consumer Rights Act 2015 (United Kingdom): Lessons for Nigeria</w:t>
      </w:r>
    </w:p>
    <w:p>
      <w:pPr>
        <w:jc w:val="both"/>
        <w:rPr>
          <w:rFonts w:hint="default" w:ascii="Times New Roman" w:hAnsi="Times New Roman" w:cs="Times New Roman"/>
        </w:rPr>
      </w:pPr>
      <w:r>
        <w:rPr>
          <w:rFonts w:hint="default" w:ascii="Times New Roman" w:hAnsi="Times New Roman" w:cs="Times New Roman"/>
          <w:b/>
          <w:bCs/>
        </w:rPr>
        <w:t>Footnote: </w:t>
      </w:r>
      <w:r>
        <w:rPr>
          <w:rFonts w:hint="default" w:ascii="Times New Roman" w:hAnsi="Times New Roman" w:cs="Times New Roman"/>
        </w:rPr>
        <w:t>Damilola Ogunsipe, 'Regulating Digital Content Under The Consumer Rights Act 2015 (United Kingdom): Lessons For Nigeria' [2015] SSRN Electronic Journal.</w:t>
      </w:r>
    </w:p>
    <w:p>
      <w:pPr>
        <w:jc w:val="both"/>
        <w:rPr>
          <w:rFonts w:hint="default" w:ascii="Times New Roman" w:hAnsi="Times New Roman" w:cs="Times New Roman"/>
        </w:rPr>
      </w:pPr>
      <w:r>
        <w:rPr>
          <w:rFonts w:hint="default" w:ascii="Times New Roman" w:hAnsi="Times New Roman" w:cs="Times New Roman"/>
          <w:b/>
          <w:bCs/>
        </w:rPr>
        <w:t>Bibliography: </w:t>
      </w:r>
      <w:r>
        <w:rPr>
          <w:rFonts w:hint="default" w:ascii="Times New Roman" w:hAnsi="Times New Roman" w:cs="Times New Roman"/>
        </w:rPr>
        <w:t>Ogunsipe D, 'Regulating Digital Content Under The Consumer Rights Act 2015 (United Kingdom): Lessons For Nigeria' [2015] SSRN Electronic Journal</w:t>
      </w:r>
    </w:p>
    <w:p>
      <w:pPr>
        <w:jc w:val="both"/>
        <w:rPr>
          <w:rFonts w:hint="default" w:ascii="Times New Roman" w:hAnsi="Times New Roman" w:cs="Times New Roman"/>
        </w:rPr>
      </w:pPr>
    </w:p>
    <w:p>
      <w:pPr>
        <w:numPr>
          <w:ilvl w:val="0"/>
          <w:numId w:val="1"/>
        </w:numPr>
        <w:ind w:left="420" w:leftChars="0" w:hanging="420" w:firstLineChars="0"/>
        <w:jc w:val="both"/>
        <w:rPr>
          <w:rFonts w:hint="default" w:ascii="Times New Roman" w:hAnsi="Times New Roman" w:cs="Times New Roman"/>
          <w:b/>
          <w:bCs/>
        </w:rPr>
      </w:pPr>
      <w:r>
        <w:rPr>
          <w:rFonts w:hint="default" w:ascii="Times New Roman" w:hAnsi="Times New Roman" w:cs="Times New Roman"/>
          <w:b/>
          <w:bCs/>
        </w:rPr>
        <w:t>RODGER, B. J.</w:t>
      </w:r>
    </w:p>
    <w:p>
      <w:pPr>
        <w:jc w:val="both"/>
        <w:rPr>
          <w:rFonts w:hint="default" w:ascii="Times New Roman" w:hAnsi="Times New Roman" w:cs="Times New Roman"/>
        </w:rPr>
      </w:pPr>
      <w:r>
        <w:rPr>
          <w:rFonts w:hint="default" w:ascii="Times New Roman" w:hAnsi="Times New Roman" w:cs="Times New Roman"/>
        </w:rPr>
        <w:t>The Consumer Rights Act 2015 and collective redress for competition law infringements in the UK: a class act?</w:t>
      </w:r>
    </w:p>
    <w:p>
      <w:pPr>
        <w:jc w:val="both"/>
        <w:rPr>
          <w:rFonts w:hint="default" w:ascii="Times New Roman" w:hAnsi="Times New Roman" w:cs="Times New Roman"/>
        </w:rPr>
      </w:pPr>
      <w:r>
        <w:rPr>
          <w:rFonts w:hint="default" w:ascii="Times New Roman" w:hAnsi="Times New Roman" w:cs="Times New Roman"/>
          <w:b/>
          <w:bCs/>
        </w:rPr>
        <w:t>Footnote: </w:t>
      </w:r>
      <w:r>
        <w:rPr>
          <w:rFonts w:hint="default" w:ascii="Times New Roman" w:hAnsi="Times New Roman" w:cs="Times New Roman"/>
        </w:rPr>
        <w:t>Barry J. Rodger, 'The Consumer Rights Act 2015 And Collective Redress For Competition Law Infringements In The UK: A Class Act?' (2015) 3 Journal of Antitrust Enforcement.</w:t>
      </w:r>
    </w:p>
    <w:p>
      <w:pPr>
        <w:jc w:val="both"/>
        <w:rPr>
          <w:rFonts w:hint="default" w:ascii="Times New Roman" w:hAnsi="Times New Roman" w:cs="Times New Roman"/>
        </w:rPr>
      </w:pPr>
      <w:r>
        <w:rPr>
          <w:rFonts w:hint="default" w:ascii="Times New Roman" w:hAnsi="Times New Roman" w:cs="Times New Roman"/>
          <w:b/>
          <w:bCs/>
        </w:rPr>
        <w:t>Bibliography: </w:t>
      </w:r>
      <w:r>
        <w:rPr>
          <w:rFonts w:hint="default" w:ascii="Times New Roman" w:hAnsi="Times New Roman" w:cs="Times New Roman"/>
        </w:rPr>
        <w:t>Rodger B, 'The Consumer Rights Act 2015 And Collective Redress For Competition Law Infringements In The UK: A Class Act?' (2015) 3 Journal of Antitrust Enforcement</w:t>
      </w:r>
    </w:p>
    <w:p>
      <w:pPr>
        <w:jc w:val="both"/>
        <w:rPr>
          <w:rFonts w:hint="default" w:ascii="Times New Roman" w:hAnsi="Times New Roman" w:cs="Times New Roman"/>
        </w:rPr>
      </w:pPr>
    </w:p>
    <w:p>
      <w:pPr>
        <w:numPr>
          <w:ilvl w:val="0"/>
          <w:numId w:val="1"/>
        </w:numPr>
        <w:ind w:left="420" w:leftChars="0" w:hanging="420" w:firstLineChars="0"/>
        <w:jc w:val="both"/>
        <w:rPr>
          <w:rFonts w:hint="default" w:ascii="Times New Roman" w:hAnsi="Times New Roman" w:cs="Times New Roman"/>
          <w:b/>
          <w:bCs/>
        </w:rPr>
      </w:pPr>
      <w:r>
        <w:rPr>
          <w:rFonts w:hint="default" w:ascii="Times New Roman" w:hAnsi="Times New Roman" w:cs="Times New Roman"/>
          <w:b/>
          <w:bCs/>
        </w:rPr>
        <w:t>P. E. M.</w:t>
      </w:r>
    </w:p>
    <w:p>
      <w:pPr>
        <w:jc w:val="both"/>
        <w:rPr>
          <w:rFonts w:hint="default" w:ascii="Times New Roman" w:hAnsi="Times New Roman" w:cs="Times New Roman"/>
        </w:rPr>
      </w:pPr>
      <w:r>
        <w:rPr>
          <w:rFonts w:hint="default" w:ascii="Times New Roman" w:hAnsi="Times New Roman" w:cs="Times New Roman"/>
        </w:rPr>
        <w:t>Administrative Law: The Federal Trade Commission: Unfair Competition</w:t>
      </w:r>
    </w:p>
    <w:p>
      <w:pPr>
        <w:jc w:val="both"/>
        <w:rPr>
          <w:rFonts w:hint="default" w:ascii="Times New Roman" w:hAnsi="Times New Roman" w:cs="Times New Roman"/>
        </w:rPr>
      </w:pPr>
      <w:r>
        <w:rPr>
          <w:rFonts w:hint="default" w:ascii="Times New Roman" w:hAnsi="Times New Roman" w:cs="Times New Roman"/>
          <w:b/>
          <w:bCs/>
        </w:rPr>
        <w:t>Footnote: </w:t>
      </w:r>
      <w:r>
        <w:rPr>
          <w:rFonts w:hint="default" w:ascii="Times New Roman" w:hAnsi="Times New Roman" w:cs="Times New Roman"/>
        </w:rPr>
        <w:t>E. M. P., 'Administrative Law: The Federal Trade Commission: Unfair Competition' (1919) 8 California Law Review.</w:t>
      </w:r>
    </w:p>
    <w:p>
      <w:pPr>
        <w:jc w:val="both"/>
        <w:rPr>
          <w:rFonts w:hint="default" w:ascii="Times New Roman" w:hAnsi="Times New Roman" w:cs="Times New Roman"/>
        </w:rPr>
      </w:pPr>
      <w:r>
        <w:rPr>
          <w:rFonts w:hint="default" w:ascii="Times New Roman" w:hAnsi="Times New Roman" w:cs="Times New Roman"/>
          <w:b/>
          <w:bCs/>
        </w:rPr>
        <w:t>Bibliography: </w:t>
      </w:r>
      <w:r>
        <w:rPr>
          <w:rFonts w:hint="default" w:ascii="Times New Roman" w:hAnsi="Times New Roman" w:cs="Times New Roman"/>
        </w:rPr>
        <w:t>P. E, 'Administrative Law: The Federal Trade Commission: Unfair Competition' (1919) 8 California Law Review</w:t>
      </w:r>
    </w:p>
    <w:p>
      <w:pPr>
        <w:jc w:val="both"/>
        <w:rPr>
          <w:rFonts w:hint="default" w:ascii="Times New Roman" w:hAnsi="Times New Roman" w:cs="Times New Roman"/>
        </w:rPr>
      </w:pPr>
    </w:p>
    <w:p>
      <w:pPr>
        <w:numPr>
          <w:ilvl w:val="0"/>
          <w:numId w:val="1"/>
        </w:numPr>
        <w:ind w:left="420" w:leftChars="0" w:hanging="420" w:firstLineChars="0"/>
        <w:jc w:val="both"/>
        <w:rPr>
          <w:rFonts w:hint="default" w:ascii="Times New Roman" w:hAnsi="Times New Roman" w:cs="Times New Roman"/>
          <w:b/>
          <w:bCs/>
        </w:rPr>
      </w:pPr>
      <w:r>
        <w:rPr>
          <w:rFonts w:hint="default" w:ascii="Times New Roman" w:hAnsi="Times New Roman" w:cs="Times New Roman"/>
          <w:b/>
          <w:bCs/>
        </w:rPr>
        <w:t>THE UNFAIR CONTRACT TERMS ACT: DIVERSIONS ON SECTION 2</w:t>
      </w:r>
    </w:p>
    <w:p>
      <w:pPr>
        <w:jc w:val="both"/>
        <w:rPr>
          <w:rFonts w:hint="default" w:ascii="Times New Roman" w:hAnsi="Times New Roman" w:cs="Times New Roman"/>
        </w:rPr>
      </w:pPr>
      <w:r>
        <w:rPr>
          <w:rFonts w:hint="default" w:ascii="Times New Roman" w:hAnsi="Times New Roman" w:cs="Times New Roman"/>
          <w:b/>
          <w:bCs/>
        </w:rPr>
        <w:t>Footnote: </w:t>
      </w:r>
      <w:r>
        <w:rPr>
          <w:rFonts w:hint="default" w:ascii="Times New Roman" w:hAnsi="Times New Roman" w:cs="Times New Roman"/>
        </w:rPr>
        <w:t>'The Unfair Contract Terms Act: Diversions On Section 2' (1987) 8 Business Law Review.</w:t>
      </w:r>
    </w:p>
    <w:p>
      <w:pPr>
        <w:jc w:val="both"/>
        <w:rPr>
          <w:rFonts w:hint="default" w:ascii="Times New Roman" w:hAnsi="Times New Roman" w:cs="Times New Roman"/>
        </w:rPr>
      </w:pPr>
      <w:r>
        <w:rPr>
          <w:rFonts w:hint="default" w:ascii="Times New Roman" w:hAnsi="Times New Roman" w:cs="Times New Roman"/>
          <w:b/>
          <w:bCs/>
        </w:rPr>
        <w:t>Bibliography: </w:t>
      </w:r>
      <w:r>
        <w:rPr>
          <w:rFonts w:hint="default" w:ascii="Times New Roman" w:hAnsi="Times New Roman" w:cs="Times New Roman"/>
        </w:rPr>
        <w:t>'The Unfair Contract Terms Act: Diversions On Section 2' (1987) 8 Business Law Review</w:t>
      </w:r>
    </w:p>
    <w:p>
      <w:pPr>
        <w:jc w:val="both"/>
        <w:rPr>
          <w:rFonts w:hint="default" w:ascii="Times New Roman" w:hAnsi="Times New Roman" w:cs="Times New Roman"/>
        </w:rPr>
      </w:pPr>
    </w:p>
    <w:p>
      <w:pPr>
        <w:numPr>
          <w:ilvl w:val="0"/>
          <w:numId w:val="1"/>
        </w:numPr>
        <w:ind w:left="420" w:leftChars="0" w:hanging="420" w:firstLineChars="0"/>
        <w:jc w:val="both"/>
        <w:rPr>
          <w:rFonts w:hint="default" w:ascii="Times New Roman" w:hAnsi="Times New Roman" w:cs="Times New Roman"/>
          <w:b/>
          <w:bCs/>
        </w:rPr>
      </w:pPr>
      <w:r>
        <w:rPr>
          <w:rFonts w:hint="default" w:ascii="Times New Roman" w:hAnsi="Times New Roman" w:cs="Times New Roman"/>
          <w:b/>
          <w:bCs/>
        </w:rPr>
        <w:t>BRENNAN, C. AND COPPACK, M.</w:t>
      </w:r>
    </w:p>
    <w:p>
      <w:pPr>
        <w:jc w:val="both"/>
        <w:rPr>
          <w:rFonts w:hint="default" w:ascii="Times New Roman" w:hAnsi="Times New Roman" w:cs="Times New Roman"/>
        </w:rPr>
      </w:pPr>
      <w:r>
        <w:rPr>
          <w:rFonts w:hint="default" w:ascii="Times New Roman" w:hAnsi="Times New Roman" w:cs="Times New Roman"/>
        </w:rPr>
        <w:t>Consumer empowerment: global context, UK strategies and vulnerable consumers</w:t>
      </w:r>
    </w:p>
    <w:p>
      <w:pPr>
        <w:jc w:val="both"/>
        <w:rPr>
          <w:rFonts w:hint="default" w:ascii="Times New Roman" w:hAnsi="Times New Roman" w:cs="Times New Roman"/>
        </w:rPr>
      </w:pPr>
      <w:r>
        <w:rPr>
          <w:rFonts w:hint="default" w:ascii="Times New Roman" w:hAnsi="Times New Roman" w:cs="Times New Roman"/>
          <w:b/>
          <w:bCs/>
        </w:rPr>
        <w:t>Footnote: </w:t>
      </w:r>
      <w:r>
        <w:rPr>
          <w:rFonts w:hint="default" w:ascii="Times New Roman" w:hAnsi="Times New Roman" w:cs="Times New Roman"/>
        </w:rPr>
        <w:t>Carol Brennan and Martin Coppack, 'Consumer Empowerment: Global Context, UK Strategies And Vulnerable Consumers' (2008) 32 International Journal of Consumer Studies.</w:t>
      </w:r>
    </w:p>
    <w:p>
      <w:pPr>
        <w:jc w:val="both"/>
        <w:rPr>
          <w:rFonts w:hint="default" w:ascii="Times New Roman" w:hAnsi="Times New Roman" w:cs="Times New Roman"/>
        </w:rPr>
      </w:pPr>
      <w:r>
        <w:rPr>
          <w:rFonts w:hint="default" w:ascii="Times New Roman" w:hAnsi="Times New Roman" w:cs="Times New Roman"/>
          <w:b/>
          <w:bCs/>
        </w:rPr>
        <w:t>Bibliography: </w:t>
      </w:r>
      <w:r>
        <w:rPr>
          <w:rFonts w:hint="default" w:ascii="Times New Roman" w:hAnsi="Times New Roman" w:cs="Times New Roman"/>
        </w:rPr>
        <w:t>Brennan C, and Coppack M, 'Consumer Empowerment: Global Context, UK Strategies And Vulnerable Consumers' (2008) 32 International Journal of Consumer Studies</w:t>
      </w: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jc w:val="both"/>
        <w:rPr>
          <w:rFonts w:hint="default" w:ascii="Times New Roman" w:hAnsi="Times New Roman" w:cs="Times New Roman"/>
        </w:rPr>
      </w:pPr>
    </w:p>
    <w:p>
      <w:pPr>
        <w:numPr>
          <w:ilvl w:val="0"/>
          <w:numId w:val="1"/>
        </w:numPr>
        <w:ind w:left="420" w:leftChars="0" w:hanging="420" w:firstLineChars="0"/>
        <w:jc w:val="both"/>
        <w:rPr>
          <w:rFonts w:hint="default" w:ascii="Times New Roman" w:hAnsi="Times New Roman" w:cs="Times New Roman"/>
          <w:b/>
          <w:bCs/>
        </w:rPr>
      </w:pPr>
      <w:r>
        <w:rPr>
          <w:rFonts w:hint="default" w:ascii="Times New Roman" w:hAnsi="Times New Roman" w:cs="Times New Roman"/>
          <w:b/>
          <w:bCs/>
        </w:rPr>
        <w:t>WHITTAKER, S.</w:t>
      </w:r>
    </w:p>
    <w:p>
      <w:pPr>
        <w:jc w:val="both"/>
        <w:rPr>
          <w:rFonts w:hint="default" w:ascii="Times New Roman" w:hAnsi="Times New Roman" w:cs="Times New Roman"/>
        </w:rPr>
      </w:pPr>
      <w:r>
        <w:rPr>
          <w:rFonts w:hint="default" w:ascii="Times New Roman" w:hAnsi="Times New Roman" w:cs="Times New Roman"/>
        </w:rPr>
        <w:t>Unfair Contract Terms and Consumer Guarantees: the Proposal for a Directive on Consumer Rights and the Significance of ‘Full Harmonisation’</w:t>
      </w:r>
    </w:p>
    <w:p>
      <w:pPr>
        <w:jc w:val="both"/>
        <w:rPr>
          <w:rFonts w:hint="default" w:ascii="Times New Roman" w:hAnsi="Times New Roman" w:cs="Times New Roman"/>
        </w:rPr>
      </w:pPr>
      <w:r>
        <w:rPr>
          <w:rFonts w:hint="default" w:ascii="Times New Roman" w:hAnsi="Times New Roman" w:cs="Times New Roman"/>
          <w:b/>
          <w:bCs/>
        </w:rPr>
        <w:t>Footnote: </w:t>
      </w:r>
      <w:r>
        <w:rPr>
          <w:rFonts w:hint="default" w:ascii="Times New Roman" w:hAnsi="Times New Roman" w:cs="Times New Roman"/>
        </w:rPr>
        <w:t>Simon Whittaker, 'Unfair Contract Terms And Consumer Guarantees: The Proposal For A Directive On Consumer Rights And The Significance Of ‘Full Harmonisation’' (2009) 5 European Review of Contract Law.</w:t>
      </w:r>
    </w:p>
    <w:p>
      <w:pPr>
        <w:jc w:val="both"/>
        <w:rPr>
          <w:rFonts w:hint="default" w:ascii="Times New Roman" w:hAnsi="Times New Roman" w:cs="Times New Roman"/>
        </w:rPr>
      </w:pPr>
      <w:r>
        <w:rPr>
          <w:rFonts w:hint="default" w:ascii="Times New Roman" w:hAnsi="Times New Roman" w:cs="Times New Roman"/>
          <w:b/>
          <w:bCs/>
        </w:rPr>
        <w:t>Bibliography: </w:t>
      </w:r>
      <w:r>
        <w:rPr>
          <w:rFonts w:hint="default" w:ascii="Times New Roman" w:hAnsi="Times New Roman" w:cs="Times New Roman"/>
        </w:rPr>
        <w:t>Whittaker S, 'Unfair Contract Terms And Consumer Guarantees: The Proposal For A Directive On Consumer Rights And The Significance Of ‘Full Harmonisation’' (2009) 5 European Review of Contract Law</w:t>
      </w:r>
    </w:p>
    <w:p>
      <w:pPr>
        <w:jc w:val="both"/>
        <w:rPr>
          <w:rFonts w:hint="default" w:ascii="Times New Roman" w:hAnsi="Times New Roman" w:cs="Times New Roman"/>
        </w:rPr>
      </w:pPr>
    </w:p>
    <w:p>
      <w:pPr>
        <w:numPr>
          <w:ilvl w:val="0"/>
          <w:numId w:val="1"/>
        </w:numPr>
        <w:ind w:left="420" w:leftChars="0" w:hanging="420" w:firstLineChars="0"/>
        <w:jc w:val="both"/>
        <w:rPr>
          <w:rFonts w:hint="default" w:ascii="Times New Roman" w:hAnsi="Times New Roman" w:cs="Times New Roman"/>
          <w:b/>
          <w:bCs/>
        </w:rPr>
      </w:pPr>
      <w:r>
        <w:rPr>
          <w:rFonts w:hint="default" w:ascii="Times New Roman" w:hAnsi="Times New Roman" w:cs="Times New Roman"/>
          <w:b/>
          <w:bCs/>
        </w:rPr>
        <w:t>CONSUMER PROTECTION ACT: PRODUCT LIABILITY AND CONSUMER SAFETY</w:t>
      </w:r>
    </w:p>
    <w:p>
      <w:pPr>
        <w:jc w:val="both"/>
        <w:rPr>
          <w:rFonts w:hint="default" w:ascii="Times New Roman" w:hAnsi="Times New Roman" w:cs="Times New Roman"/>
        </w:rPr>
      </w:pPr>
      <w:r>
        <w:rPr>
          <w:rFonts w:hint="default" w:ascii="Times New Roman" w:hAnsi="Times New Roman" w:cs="Times New Roman"/>
          <w:b/>
          <w:bCs/>
        </w:rPr>
        <w:t>Footnote: </w:t>
      </w:r>
      <w:r>
        <w:rPr>
          <w:rFonts w:hint="default" w:ascii="Times New Roman" w:hAnsi="Times New Roman" w:cs="Times New Roman"/>
        </w:rPr>
        <w:t>'Consumer Protection Act: Product Liability And Consumer Safety' (1987) 8 Business Law Review.</w:t>
      </w:r>
    </w:p>
    <w:p>
      <w:pPr>
        <w:jc w:val="both"/>
        <w:rPr>
          <w:rFonts w:hint="default" w:ascii="Times New Roman" w:hAnsi="Times New Roman" w:cs="Times New Roman"/>
        </w:rPr>
      </w:pPr>
      <w:r>
        <w:rPr>
          <w:rFonts w:hint="default" w:ascii="Times New Roman" w:hAnsi="Times New Roman" w:cs="Times New Roman"/>
          <w:b/>
          <w:bCs/>
        </w:rPr>
        <w:t>Bibliography: </w:t>
      </w:r>
      <w:r>
        <w:rPr>
          <w:rFonts w:hint="default" w:ascii="Times New Roman" w:hAnsi="Times New Roman" w:cs="Times New Roman"/>
        </w:rPr>
        <w:t>'Consumer Protection Act: Product Liability And Consumer Safety' (1987) 8 Business Law Review</w:t>
      </w:r>
    </w:p>
    <w:p>
      <w:pPr>
        <w:jc w:val="both"/>
        <w:rPr>
          <w:rFonts w:hint="default" w:ascii="Times New Roman" w:hAnsi="Times New Roman" w:cs="Times New Roman"/>
        </w:rPr>
      </w:pPr>
    </w:p>
    <w:p>
      <w:pPr>
        <w:numPr>
          <w:ilvl w:val="0"/>
          <w:numId w:val="1"/>
        </w:numPr>
        <w:ind w:left="420" w:leftChars="0" w:hanging="420" w:firstLineChars="0"/>
        <w:jc w:val="both"/>
        <w:rPr>
          <w:rFonts w:hint="default" w:ascii="Times New Roman" w:hAnsi="Times New Roman" w:cs="Times New Roman"/>
          <w:b/>
          <w:bCs/>
        </w:rPr>
      </w:pPr>
      <w:r>
        <w:rPr>
          <w:rFonts w:hint="default" w:ascii="Times New Roman" w:hAnsi="Times New Roman" w:cs="Times New Roman"/>
          <w:b/>
          <w:bCs/>
        </w:rPr>
        <w:t>PRODUCT LIABILITY AND SAFETY IN THE UK (ENGLAND AND WALES): OVERVIEW | PRACTICAL LAW</w:t>
      </w:r>
    </w:p>
    <w:p>
      <w:pPr>
        <w:jc w:val="both"/>
        <w:rPr>
          <w:rFonts w:hint="default" w:ascii="Times New Roman" w:hAnsi="Times New Roman" w:cs="Times New Roman"/>
        </w:rPr>
      </w:pPr>
      <w:r>
        <w:rPr>
          <w:rFonts w:hint="default" w:ascii="Times New Roman" w:hAnsi="Times New Roman" w:cs="Times New Roman"/>
          <w:b/>
          <w:bCs/>
        </w:rPr>
        <w:t>Footnote: </w:t>
      </w:r>
      <w:r>
        <w:rPr>
          <w:rFonts w:hint="default" w:ascii="Times New Roman" w:hAnsi="Times New Roman" w:cs="Times New Roman"/>
        </w:rPr>
        <w:t>'Product Liability And Safety In The UK (England And Wales): Overview | Practical Law' (</w:t>
      </w:r>
      <w:r>
        <w:rPr>
          <w:rFonts w:hint="default" w:ascii="Times New Roman" w:hAnsi="Times New Roman" w:cs="Times New Roman"/>
          <w:i/>
          <w:iCs/>
        </w:rPr>
        <w:t>Practical Law</w:t>
      </w:r>
      <w:r>
        <w:rPr>
          <w:rFonts w:hint="default" w:ascii="Times New Roman" w:hAnsi="Times New Roman" w:cs="Times New Roman"/>
        </w:rPr>
        <w:t>, 2022) &lt;https://uk.practicallaw.thomsonreuters.com/w-013-0564?contextData=%28sc.Default%29&gt; accessed 6 May 2022.</w:t>
      </w:r>
    </w:p>
    <w:p>
      <w:pPr>
        <w:jc w:val="both"/>
        <w:rPr>
          <w:rFonts w:hint="default" w:ascii="Times New Roman" w:hAnsi="Times New Roman" w:cs="Times New Roman"/>
        </w:rPr>
      </w:pPr>
      <w:r>
        <w:rPr>
          <w:rFonts w:hint="default" w:ascii="Times New Roman" w:hAnsi="Times New Roman" w:cs="Times New Roman"/>
          <w:b/>
          <w:bCs/>
        </w:rPr>
        <w:t>Bibliography: </w:t>
      </w:r>
      <w:r>
        <w:rPr>
          <w:rFonts w:hint="default" w:ascii="Times New Roman" w:hAnsi="Times New Roman" w:cs="Times New Roman"/>
        </w:rPr>
        <w:t>'Product Liability And Safety In The UK (England And Wales): Overview | Practical Law' (</w:t>
      </w:r>
      <w:r>
        <w:rPr>
          <w:rFonts w:hint="default" w:ascii="Times New Roman" w:hAnsi="Times New Roman" w:cs="Times New Roman"/>
          <w:i/>
          <w:iCs/>
        </w:rPr>
        <w:t>Practical Law</w:t>
      </w:r>
      <w:r>
        <w:rPr>
          <w:rFonts w:hint="default" w:ascii="Times New Roman" w:hAnsi="Times New Roman" w:cs="Times New Roman"/>
        </w:rPr>
        <w:t>, 2022) &lt;https://uk.practicallaw.thomsonreuters.com/w-013-0564?contextData=%28sc.Default%29&gt; accessed 6 May 2022</w:t>
      </w:r>
    </w:p>
    <w:p>
      <w:pPr>
        <w:jc w:val="both"/>
        <w:rPr>
          <w:rFonts w:hint="default" w:ascii="Times New Roman" w:hAnsi="Times New Roman" w:cs="Times New Roman"/>
        </w:rPr>
      </w:pPr>
    </w:p>
    <w:p>
      <w:pPr>
        <w:numPr>
          <w:ilvl w:val="0"/>
          <w:numId w:val="1"/>
        </w:numPr>
        <w:ind w:left="420" w:leftChars="0" w:hanging="420" w:firstLineChars="0"/>
        <w:jc w:val="both"/>
        <w:rPr>
          <w:rFonts w:hint="default" w:ascii="Times New Roman" w:hAnsi="Times New Roman" w:cs="Times New Roman"/>
          <w:b/>
          <w:bCs/>
        </w:rPr>
      </w:pPr>
      <w:r>
        <w:rPr>
          <w:rFonts w:hint="default" w:ascii="Times New Roman" w:hAnsi="Times New Roman" w:cs="Times New Roman"/>
          <w:b/>
          <w:bCs/>
        </w:rPr>
        <w:t>CONSUMER REMEDIES FOR FAULTY GOODS | LAW COMMISSION</w:t>
      </w:r>
    </w:p>
    <w:p>
      <w:pPr>
        <w:jc w:val="both"/>
        <w:rPr>
          <w:rFonts w:hint="default" w:ascii="Times New Roman" w:hAnsi="Times New Roman" w:cs="Times New Roman"/>
        </w:rPr>
      </w:pPr>
      <w:r>
        <w:rPr>
          <w:rFonts w:hint="default" w:ascii="Times New Roman" w:hAnsi="Times New Roman" w:cs="Times New Roman"/>
          <w:b/>
          <w:bCs/>
        </w:rPr>
        <w:t>Footnote: </w:t>
      </w:r>
      <w:r>
        <w:rPr>
          <w:rFonts w:hint="default" w:ascii="Times New Roman" w:hAnsi="Times New Roman" w:cs="Times New Roman"/>
        </w:rPr>
        <w:t>'Consumer Remedies For Faulty Goods | Law Commission' (</w:t>
      </w:r>
      <w:r>
        <w:rPr>
          <w:rFonts w:hint="default" w:ascii="Times New Roman" w:hAnsi="Times New Roman" w:cs="Times New Roman"/>
          <w:i/>
          <w:iCs/>
        </w:rPr>
        <w:t>Lawcom.gov.uk</w:t>
      </w:r>
      <w:r>
        <w:rPr>
          <w:rFonts w:hint="default" w:ascii="Times New Roman" w:hAnsi="Times New Roman" w:cs="Times New Roman"/>
        </w:rPr>
        <w:t>, 2022) &lt;https://www.lawcom.gov.uk/project/consumer-remedies-for-faulty-goods/&gt; accessed 6 May 2022.</w:t>
      </w:r>
    </w:p>
    <w:p>
      <w:pPr>
        <w:jc w:val="both"/>
        <w:rPr>
          <w:rFonts w:hint="default" w:ascii="Times New Roman" w:hAnsi="Times New Roman" w:cs="Times New Roman"/>
        </w:rPr>
      </w:pPr>
      <w:r>
        <w:rPr>
          <w:rFonts w:hint="default" w:ascii="Times New Roman" w:hAnsi="Times New Roman" w:cs="Times New Roman"/>
          <w:b/>
          <w:bCs/>
        </w:rPr>
        <w:t>Bibliography: </w:t>
      </w:r>
      <w:r>
        <w:rPr>
          <w:rFonts w:hint="default" w:ascii="Times New Roman" w:hAnsi="Times New Roman" w:cs="Times New Roman"/>
        </w:rPr>
        <w:t>'Consumer Remedies For Faulty Goods | Law Commission' (</w:t>
      </w:r>
      <w:r>
        <w:rPr>
          <w:rFonts w:hint="default" w:ascii="Times New Roman" w:hAnsi="Times New Roman" w:cs="Times New Roman"/>
          <w:i/>
          <w:iCs/>
        </w:rPr>
        <w:t>Lawcom.gov.uk</w:t>
      </w:r>
      <w:r>
        <w:rPr>
          <w:rFonts w:hint="default" w:ascii="Times New Roman" w:hAnsi="Times New Roman" w:cs="Times New Roman"/>
        </w:rPr>
        <w:t>, 2022) &lt;https://www.lawcom.gov.uk/project/consumer-remedies-for-faulty-goods/&gt; accessed 6 May 2022</w:t>
      </w:r>
    </w:p>
    <w:p>
      <w:pPr>
        <w:jc w:val="both"/>
        <w:rPr>
          <w:rFonts w:hint="default" w:ascii="Times New Roman" w:hAnsi="Times New Roman" w:cs="Times New Roman"/>
        </w:rPr>
      </w:pPr>
    </w:p>
    <w:p>
      <w:pPr>
        <w:numPr>
          <w:ilvl w:val="0"/>
          <w:numId w:val="1"/>
        </w:numPr>
        <w:ind w:left="420" w:leftChars="0" w:hanging="420" w:firstLineChars="0"/>
        <w:jc w:val="both"/>
        <w:rPr>
          <w:rFonts w:hint="default" w:ascii="Times New Roman" w:hAnsi="Times New Roman" w:cs="Times New Roman"/>
          <w:b/>
          <w:bCs/>
        </w:rPr>
      </w:pPr>
      <w:r>
        <w:rPr>
          <w:rFonts w:hint="default" w:ascii="Times New Roman" w:hAnsi="Times New Roman" w:cs="Times New Roman"/>
          <w:b/>
          <w:bCs/>
        </w:rPr>
        <w:t>CONSUMER RIGHTS ACT 2015</w:t>
      </w:r>
    </w:p>
    <w:p>
      <w:pPr>
        <w:jc w:val="both"/>
        <w:rPr>
          <w:rFonts w:hint="default" w:ascii="Times New Roman" w:hAnsi="Times New Roman" w:cs="Times New Roman"/>
        </w:rPr>
      </w:pPr>
      <w:r>
        <w:rPr>
          <w:rFonts w:hint="default" w:ascii="Times New Roman" w:hAnsi="Times New Roman" w:cs="Times New Roman"/>
          <w:b/>
          <w:bCs/>
        </w:rPr>
        <w:t>Footnote: </w:t>
      </w:r>
      <w:r>
        <w:rPr>
          <w:rFonts w:hint="default" w:ascii="Times New Roman" w:hAnsi="Times New Roman" w:cs="Times New Roman"/>
        </w:rPr>
        <w:t>'Consumer Rights Act 2015' (</w:t>
      </w:r>
      <w:r>
        <w:rPr>
          <w:rFonts w:hint="default" w:ascii="Times New Roman" w:hAnsi="Times New Roman" w:cs="Times New Roman"/>
          <w:i/>
          <w:iCs/>
        </w:rPr>
        <w:t>Legislation.gov.uk</w:t>
      </w:r>
      <w:r>
        <w:rPr>
          <w:rFonts w:hint="default" w:ascii="Times New Roman" w:hAnsi="Times New Roman" w:cs="Times New Roman"/>
        </w:rPr>
        <w:t>, 2022) &lt;https://www.legislation.gov.uk/ukpga/2015/15/part/2/enacted&gt; accessed 6 May 2022.</w:t>
      </w:r>
    </w:p>
    <w:p>
      <w:pPr>
        <w:jc w:val="both"/>
        <w:rPr>
          <w:rFonts w:hint="default" w:ascii="Times New Roman" w:hAnsi="Times New Roman" w:cs="Times New Roman"/>
        </w:rPr>
      </w:pPr>
      <w:r>
        <w:rPr>
          <w:rFonts w:hint="default" w:ascii="Times New Roman" w:hAnsi="Times New Roman" w:cs="Times New Roman"/>
          <w:b/>
          <w:bCs/>
        </w:rPr>
        <w:t>Your Bibliography: </w:t>
      </w:r>
      <w:r>
        <w:rPr>
          <w:rFonts w:hint="default" w:ascii="Times New Roman" w:hAnsi="Times New Roman" w:cs="Times New Roman"/>
        </w:rPr>
        <w:t>'Consumer Rights Act 2015' (</w:t>
      </w:r>
      <w:r>
        <w:rPr>
          <w:rFonts w:hint="default" w:ascii="Times New Roman" w:hAnsi="Times New Roman" w:cs="Times New Roman"/>
          <w:i/>
          <w:iCs/>
        </w:rPr>
        <w:t>Legislation.gov.uk</w:t>
      </w:r>
      <w:r>
        <w:rPr>
          <w:rFonts w:hint="default" w:ascii="Times New Roman" w:hAnsi="Times New Roman" w:cs="Times New Roman"/>
        </w:rPr>
        <w:t>, 2022) &lt;https://www.legislation.gov.uk/ukpga/2015/15/part/2/enacted&gt; accessed 6 May 2022</w:t>
      </w:r>
    </w:p>
    <w:p>
      <w:pPr>
        <w:jc w:val="both"/>
        <w:rPr>
          <w:rFonts w:ascii="Arial" w:hAnsi="Arial" w:cs="Arial"/>
        </w:rPr>
      </w:pPr>
    </w:p>
    <w:p>
      <w:pPr>
        <w:jc w:val="both"/>
        <w:rPr>
          <w:rFonts w:ascii="Arial" w:hAnsi="Arial" w:cs="Arial"/>
        </w:rPr>
      </w:pPr>
    </w:p>
    <w:p>
      <w:pPr>
        <w:jc w:val="both"/>
        <w:rPr>
          <w:rFonts w:ascii="Arial" w:hAnsi="Arial" w:cs="Arial"/>
        </w:rPr>
      </w:pPr>
    </w:p>
    <w:p>
      <w:pPr>
        <w:jc w:val="both"/>
        <w:rPr>
          <w:rFonts w:ascii="Arial" w:hAnsi="Arial" w:cs="Arial"/>
        </w:rPr>
      </w:pPr>
    </w:p>
    <w:sectPr>
      <w:pgSz w:w="11906" w:h="16838"/>
      <w:pgMar w:top="1440" w:right="1440" w:bottom="1440" w:left="1440" w:header="708" w:footer="708" w:gutter="0"/>
      <w:cols w:space="708" w:num="1"/>
      <w:docGrid w:linePitch="360"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0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86"/>
    <w:family w:val="swiss"/>
    <w:pitch w:val="default"/>
    <w:sig w:usb0="E4002EFF" w:usb1="C000247B" w:usb2="00000009" w:usb3="00000000" w:csb0="200001FF" w:csb1="00000000"/>
  </w:font>
  <w:font w:name="Calibri">
    <w:panose1 w:val="020F0502020204030204"/>
    <w:charset w:val="00"/>
    <w:family w:val="auto"/>
    <w:pitch w:val="default"/>
    <w:sig w:usb0="E4002E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EC75A5D2"/>
    <w:multiLevelType w:val="singleLevel"/>
    <w:tmpl w:val="EC75A5D2"/>
    <w:lvl w:ilvl="0" w:tentative="0">
      <w:start w:val="1"/>
      <w:numFmt w:val="bullet"/>
      <w:lvlText w:val=""/>
      <w:lvlJc w:val="left"/>
      <w:pPr>
        <w:tabs>
          <w:tab w:val="left" w:pos="420"/>
        </w:tabs>
        <w:ind w:left="420" w:leftChars="0" w:hanging="420" w:firstLineChars="0"/>
      </w:pPr>
      <w:rPr>
        <w:rFonts w:hint="default" w:ascii="Wingdings" w:hAnsi="Wingdings"/>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00"/>
  <w:documentProtection w:enforcement="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26E6A"/>
    <w:rsid w:val="00026E6A"/>
    <w:rsid w:val="00084795"/>
    <w:rsid w:val="000D0DE0"/>
    <w:rsid w:val="00141196"/>
    <w:rsid w:val="001755BE"/>
    <w:rsid w:val="001E451C"/>
    <w:rsid w:val="001F2A85"/>
    <w:rsid w:val="00284D93"/>
    <w:rsid w:val="00394053"/>
    <w:rsid w:val="004004D0"/>
    <w:rsid w:val="00594495"/>
    <w:rsid w:val="00671340"/>
    <w:rsid w:val="00682A48"/>
    <w:rsid w:val="006B5B79"/>
    <w:rsid w:val="006C6948"/>
    <w:rsid w:val="006F554E"/>
    <w:rsid w:val="00704C35"/>
    <w:rsid w:val="00741A2F"/>
    <w:rsid w:val="0076591C"/>
    <w:rsid w:val="00871727"/>
    <w:rsid w:val="008F0921"/>
    <w:rsid w:val="00942393"/>
    <w:rsid w:val="009943F1"/>
    <w:rsid w:val="009B3DAE"/>
    <w:rsid w:val="009E4629"/>
    <w:rsid w:val="00A14A78"/>
    <w:rsid w:val="00A861D4"/>
    <w:rsid w:val="00B52B4E"/>
    <w:rsid w:val="00B93A98"/>
    <w:rsid w:val="00CA2227"/>
    <w:rsid w:val="00E62043"/>
    <w:rsid w:val="00EF45D7"/>
    <w:rsid w:val="00EF7268"/>
    <w:rsid w:val="00F267D2"/>
    <w:rsid w:val="00F379D2"/>
    <w:rsid w:val="00FA1456"/>
    <w:rsid w:val="229A15EA"/>
  </w:rsids>
  <m:mathPr>
    <m:mathFont m:val="Cambria Math"/>
    <m:brkBin m:val="before"/>
    <m:brkBinSub m:val="--"/>
    <m:smallFrac m:val="0"/>
    <m:dispDef/>
    <m:lMargin m:val="0"/>
    <m:rMargin m:val="0"/>
    <m:defJc m:val="centerGroup"/>
    <m:wrapIndent m:val="1440"/>
    <m:intLim m:val="subSup"/>
    <m:naryLim m:val="undOvr"/>
  </m:mathPr>
  <w:themeFontLang w:val="en-MY" w:eastAsia="zh-CN"/>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heme="minorHAnsi" w:hAnsiTheme="minorHAnsi" w:eastAsiaTheme="minorHAnsi" w:cstheme="minorBidi"/>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 w:semiHidden="0" w:name="heading 1"/>
    <w:lsdException w:qFormat="1" w:uiPriority="9" w:name="heading 2"/>
    <w:lsdException w:qFormat="1" w:uiPriority="9" w:name="heading 3"/>
    <w:lsdException w:qFormat="1" w:uiPriority="9"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uiPriority="99" w:name="annotation text"/>
    <w:lsdException w:uiPriority="99" w:name="header"/>
    <w:lsdException w:uiPriority="99"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uiPriority="99" w:name="annotation reference"/>
    <w:lsdException w:uiPriority="99" w:name="line number"/>
    <w:lsdException w:uiPriority="99"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uiPriority="99" w:name="Body Text 2"/>
    <w:lsdException w:uiPriority="99" w:name="Body Text 3"/>
    <w:lsdException w:uiPriority="99" w:name="Body Text Indent 2"/>
    <w:lsdException w:uiPriority="99" w:name="Body Text Indent 3"/>
    <w:lsdException w:uiPriority="99" w:name="Block Text"/>
    <w:lsdException w:qFormat="1" w:uiPriority="99" w:semiHidden="0" w:name="Hyperlink"/>
    <w:lsdException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iPriority="99"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uiPriority="99" w:name="Balloon Text"/>
    <w:lsdException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heme="minorHAnsi" w:hAnsiTheme="minorHAnsi" w:eastAsiaTheme="minorHAnsi" w:cstheme="minorBidi"/>
      <w:sz w:val="24"/>
      <w:szCs w:val="24"/>
      <w:lang w:val="en-MY" w:eastAsia="en-US" w:bidi="ar-SA"/>
    </w:rPr>
  </w:style>
  <w:style w:type="character" w:default="1" w:styleId="2">
    <w:name w:val="Default Paragraph Font"/>
    <w:unhideWhenUsed/>
    <w:uiPriority w:val="1"/>
  </w:style>
  <w:style w:type="table" w:default="1" w:styleId="3">
    <w:name w:val="Normal Table"/>
    <w:semiHidden/>
    <w:unhideWhenUsed/>
    <w:uiPriority w:val="99"/>
    <w:tblPr>
      <w:tblCellMar>
        <w:top w:w="0" w:type="dxa"/>
        <w:left w:w="108" w:type="dxa"/>
        <w:bottom w:w="0" w:type="dxa"/>
        <w:right w:w="108" w:type="dxa"/>
      </w:tblCellMar>
    </w:tblPr>
  </w:style>
  <w:style w:type="character" w:styleId="4">
    <w:name w:val="Hyperlink"/>
    <w:basedOn w:val="2"/>
    <w:unhideWhenUsed/>
    <w:qFormat/>
    <w:uiPriority w:val="99"/>
    <w:rPr>
      <w:color w:val="0563C1" w:themeColor="hyperlink"/>
      <w:u w:val="single"/>
      <w14:textFill>
        <w14:solidFill>
          <w14:schemeClr w14:val="hlink"/>
        </w14:solidFill>
      </w14:textFill>
    </w:rPr>
  </w:style>
  <w:style w:type="paragraph" w:styleId="5">
    <w:name w:val="List Paragraph"/>
    <w:basedOn w:val="1"/>
    <w:qFormat/>
    <w:uiPriority w:val="34"/>
    <w:pPr>
      <w:ind w:left="720"/>
      <w:contextualSpacing/>
    </w:pPr>
    <w:rPr>
      <w:rFonts w:ascii="Times New Roman" w:hAnsi="Times New Roman" w:eastAsia="Times New Roman" w:cs="Times New Roman"/>
      <w:sz w:val="20"/>
      <w:szCs w:val="20"/>
      <w:lang w:val="en-GB" w:eastAsia="en-GB"/>
    </w:rPr>
  </w:style>
  <w:style w:type="character" w:customStyle="1" w:styleId="6">
    <w:name w:val="Unresolved Mention"/>
    <w:basedOn w:val="2"/>
    <w:semiHidden/>
    <w:unhideWhenUsed/>
    <w:qFormat/>
    <w:uiPriority w:val="99"/>
    <w:rPr>
      <w:color w:val="605E5C"/>
      <w:shd w:val="clear" w:color="auto" w:fill="E1DFDD"/>
    </w:rPr>
  </w:style>
</w:styles>
</file>

<file path=word/_rels/document.xml.rels><?xml version="1.0" encoding="UTF-8" standalone="yes"?>
<Relationships xmlns="http://schemas.openxmlformats.org/package/2006/relationships"><Relationship Id="rId5" Type="http://schemas.openxmlformats.org/officeDocument/2006/relationships/fontTable" Target="fontTable.xml"/><Relationship Id="rId4" Type="http://schemas.openxmlformats.org/officeDocument/2006/relationships/numbering" Target="numbering.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docProps/app.xml><?xml version="1.0" encoding="utf-8"?>
<Properties xmlns="http://schemas.openxmlformats.org/officeDocument/2006/extended-properties" xmlns:vt="http://schemas.openxmlformats.org/officeDocument/2006/docPropsVTypes">
  <Template>Normal.dotm</Template>
  <Pages>1</Pages>
  <Words>3294</Words>
  <Characters>18781</Characters>
  <Lines>156</Lines>
  <Paragraphs>44</Paragraphs>
  <TotalTime>126</TotalTime>
  <ScaleCrop>false</ScaleCrop>
  <LinksUpToDate>false</LinksUpToDate>
  <CharactersWithSpaces>22031</CharactersWithSpaces>
  <Application>WPS Office_11.2.0.11130_F1E327BC-269C-435d-A152-05C5408002CA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2022-05-03T19:35:00Z</dcterms:created>
  <dc:creator>NURAIN SYAZWANI BINTI KAMARUL AZAM</dc:creator>
  <cp:lastModifiedBy>User</cp:lastModifiedBy>
  <dcterms:modified xsi:type="dcterms:W3CDTF">2022-05-06T19:47:50Z</dcterms:modified>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1033-11.2.0.11130</vt:lpwstr>
  </property>
  <property fmtid="{D5CDD505-2E9C-101B-9397-08002B2CF9AE}" pid="3" name="ICV">
    <vt:lpwstr>1501C00ABFB0442FA0DB53ABE813E765</vt:lpwstr>
  </property>
</Properties>
</file>