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F3594" w14:textId="77777777" w:rsidR="00542288" w:rsidRDefault="00542288"/>
    <w:p w14:paraId="0406F1DC" w14:textId="77777777" w:rsidR="00542288" w:rsidRDefault="00542288" w:rsidP="00542288">
      <w:pPr>
        <w:pStyle w:val="Title"/>
      </w:pPr>
      <w:r w:rsidRPr="00A406E5">
        <w:rPr>
          <w:noProof/>
        </w:rPr>
        <w:drawing>
          <wp:anchor distT="0" distB="0" distL="114300" distR="114300" simplePos="0" relativeHeight="251659264" behindDoc="0" locked="0" layoutInCell="1" allowOverlap="1" wp14:anchorId="0E69E83F" wp14:editId="0FFF6FE3">
            <wp:simplePos x="0" y="0"/>
            <wp:positionH relativeFrom="margin">
              <wp:posOffset>-83820</wp:posOffset>
            </wp:positionH>
            <wp:positionV relativeFrom="paragraph">
              <wp:posOffset>7620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9793328" w14:textId="77777777" w:rsidR="00542288" w:rsidRDefault="00542288" w:rsidP="00542288">
      <w:pPr>
        <w:pStyle w:val="Title"/>
      </w:pPr>
    </w:p>
    <w:p w14:paraId="59AC3BC7" w14:textId="77777777" w:rsidR="00542288" w:rsidRDefault="00542288" w:rsidP="00542288">
      <w:pPr>
        <w:pStyle w:val="Title"/>
      </w:pPr>
    </w:p>
    <w:p w14:paraId="31C18025" w14:textId="77777777" w:rsidR="00542288" w:rsidRDefault="00542288" w:rsidP="00542288">
      <w:pPr>
        <w:pStyle w:val="Title"/>
      </w:pPr>
    </w:p>
    <w:p w14:paraId="675DC7FB" w14:textId="77777777" w:rsidR="00542288" w:rsidRDefault="00542288" w:rsidP="00542288">
      <w:pPr>
        <w:pStyle w:val="Title"/>
      </w:pPr>
    </w:p>
    <w:p w14:paraId="13CDDF66" w14:textId="77777777" w:rsidR="00542288" w:rsidRPr="00542288" w:rsidRDefault="00542288" w:rsidP="00542288">
      <w:pPr>
        <w:pStyle w:val="Title"/>
        <w:jc w:val="center"/>
        <w:rPr>
          <w:sz w:val="48"/>
          <w:szCs w:val="48"/>
        </w:rPr>
      </w:pPr>
      <w:r w:rsidRPr="00542288">
        <w:rPr>
          <w:b/>
          <w:bCs/>
          <w:sz w:val="48"/>
          <w:szCs w:val="48"/>
        </w:rPr>
        <w:t>Module Name and Code:</w:t>
      </w:r>
      <w:r>
        <w:t xml:space="preserve"> </w:t>
      </w:r>
      <w:r w:rsidRPr="00542288">
        <w:rPr>
          <w:bCs/>
          <w:sz w:val="44"/>
          <w:szCs w:val="44"/>
        </w:rPr>
        <w:t>Legal Process BMLW 4006</w:t>
      </w:r>
    </w:p>
    <w:p w14:paraId="5BFFFF28" w14:textId="77777777" w:rsidR="00542288" w:rsidRDefault="00542288" w:rsidP="00542288">
      <w:pPr>
        <w:pStyle w:val="Normal1"/>
        <w:jc w:val="center"/>
        <w:rPr>
          <w:rFonts w:ascii="Arial" w:hAnsi="Arial" w:cs="Arial"/>
          <w:b/>
          <w:bCs/>
          <w:sz w:val="36"/>
          <w:szCs w:val="36"/>
        </w:rPr>
      </w:pPr>
      <w:r w:rsidRPr="00542288">
        <w:rPr>
          <w:rFonts w:ascii="Arial" w:hAnsi="Arial" w:cs="Arial"/>
          <w:b/>
          <w:bCs/>
          <w:sz w:val="48"/>
          <w:szCs w:val="48"/>
        </w:rPr>
        <w:t xml:space="preserve">Lecturer’s name: </w:t>
      </w:r>
      <w:r w:rsidRPr="00542288">
        <w:rPr>
          <w:rFonts w:ascii="Arial" w:hAnsi="Arial" w:cs="Arial"/>
          <w:sz w:val="44"/>
          <w:szCs w:val="44"/>
        </w:rPr>
        <w:t>Sian Turvey</w:t>
      </w:r>
    </w:p>
    <w:p w14:paraId="06EC76BB" w14:textId="77777777" w:rsidR="00542288" w:rsidRDefault="00542288" w:rsidP="00542288">
      <w:pPr>
        <w:pStyle w:val="Title"/>
        <w:jc w:val="center"/>
      </w:pPr>
      <w:bookmarkStart w:id="0" w:name="_hrab1la7g868"/>
      <w:bookmarkEnd w:id="0"/>
      <w:r w:rsidRPr="00542288">
        <w:rPr>
          <w:b/>
          <w:bCs/>
          <w:sz w:val="48"/>
          <w:szCs w:val="48"/>
        </w:rPr>
        <w:t>Student Name:</w:t>
      </w:r>
      <w:r>
        <w:t xml:space="preserve"> </w:t>
      </w:r>
      <w:r w:rsidRPr="00542288">
        <w:rPr>
          <w:bCs/>
          <w:sz w:val="44"/>
          <w:szCs w:val="44"/>
        </w:rPr>
        <w:t>Andreea-Teodora Calin</w:t>
      </w:r>
    </w:p>
    <w:p w14:paraId="38938534" w14:textId="77777777" w:rsidR="00542288" w:rsidRDefault="00542288" w:rsidP="00542288">
      <w:pPr>
        <w:pStyle w:val="Title"/>
        <w:jc w:val="center"/>
        <w:rPr>
          <w:b/>
          <w:bCs/>
        </w:rPr>
      </w:pPr>
      <w:bookmarkStart w:id="1" w:name="_16hbnnhkbeu"/>
      <w:bookmarkEnd w:id="1"/>
      <w:r w:rsidRPr="00542288">
        <w:rPr>
          <w:b/>
          <w:bCs/>
          <w:sz w:val="48"/>
          <w:szCs w:val="48"/>
        </w:rPr>
        <w:t>Student ID:</w:t>
      </w:r>
      <w:r w:rsidRPr="00542288">
        <w:rPr>
          <w:sz w:val="48"/>
          <w:szCs w:val="48"/>
        </w:rPr>
        <w:t xml:space="preserve"> </w:t>
      </w:r>
      <w:r w:rsidRPr="00542288">
        <w:rPr>
          <w:bCs/>
          <w:sz w:val="44"/>
          <w:szCs w:val="44"/>
        </w:rPr>
        <w:t>2207380</w:t>
      </w:r>
    </w:p>
    <w:p w14:paraId="5DA30243" w14:textId="77777777" w:rsidR="00542288" w:rsidRDefault="00542288"/>
    <w:p w14:paraId="35458A47" w14:textId="77777777" w:rsidR="00542288" w:rsidRDefault="00542288"/>
    <w:p w14:paraId="0F6C1EE4" w14:textId="77777777" w:rsidR="00542288" w:rsidRDefault="00542288"/>
    <w:p w14:paraId="3EDAC47E" w14:textId="77777777" w:rsidR="00542288" w:rsidRDefault="00542288"/>
    <w:p w14:paraId="4401EA6A" w14:textId="77777777" w:rsidR="00542288" w:rsidRDefault="00542288"/>
    <w:p w14:paraId="1D36B3B2" w14:textId="77777777" w:rsidR="00542288" w:rsidRDefault="00542288"/>
    <w:p w14:paraId="33D5B26B" w14:textId="77777777" w:rsidR="00542288" w:rsidRDefault="00542288"/>
    <w:p w14:paraId="01820985" w14:textId="77777777" w:rsidR="00542288" w:rsidRDefault="00542288"/>
    <w:p w14:paraId="34DD8918" w14:textId="77777777" w:rsidR="00542288" w:rsidRDefault="00542288"/>
    <w:p w14:paraId="2468A54D" w14:textId="77777777" w:rsidR="00542288" w:rsidRDefault="00542288"/>
    <w:p w14:paraId="0178A67C" w14:textId="77777777" w:rsidR="00542288" w:rsidRDefault="00542288"/>
    <w:p w14:paraId="2E092945" w14:textId="77777777" w:rsidR="00542288" w:rsidRDefault="00542288"/>
    <w:p w14:paraId="5F9330A9" w14:textId="77777777" w:rsidR="00542288" w:rsidRDefault="00542288"/>
    <w:p w14:paraId="2864DFC7" w14:textId="77777777" w:rsidR="00542288" w:rsidRDefault="00542288"/>
    <w:p w14:paraId="64B8FA6F" w14:textId="77777777" w:rsidR="00AF587C" w:rsidRDefault="00AF587C"/>
    <w:p w14:paraId="027DC1BC" w14:textId="77777777" w:rsidR="00AF587C" w:rsidRDefault="00AF587C"/>
    <w:p w14:paraId="539F3D64" w14:textId="77777777" w:rsidR="00AF587C" w:rsidRDefault="00AF587C"/>
    <w:p w14:paraId="5EF38867" w14:textId="77777777" w:rsidR="00542288" w:rsidRDefault="00542288"/>
    <w:p w14:paraId="7A5AA56B" w14:textId="77777777" w:rsidR="00542288" w:rsidRDefault="00542288"/>
    <w:p w14:paraId="3DB002E1" w14:textId="77777777" w:rsidR="00542288" w:rsidRDefault="00542288"/>
    <w:p w14:paraId="00000001" w14:textId="0F459F4A" w:rsidR="002E184E" w:rsidRPr="006344F5" w:rsidRDefault="00F3449A" w:rsidP="006344F5">
      <w:pPr>
        <w:spacing w:line="360" w:lineRule="auto"/>
        <w:jc w:val="both"/>
        <w:rPr>
          <w:sz w:val="24"/>
          <w:szCs w:val="24"/>
        </w:rPr>
      </w:pPr>
      <w:r>
        <w:rPr>
          <w:sz w:val="24"/>
          <w:szCs w:val="24"/>
        </w:rPr>
        <w:lastRenderedPageBreak/>
        <w:t xml:space="preserve">       </w:t>
      </w:r>
      <w:r w:rsidRPr="006344F5">
        <w:rPr>
          <w:sz w:val="24"/>
          <w:szCs w:val="24"/>
        </w:rPr>
        <w:t>The common law and civil law traditions that make up the British legal system are an intriguing combination. While the UK is frequently identified with common law, which places a strong focus on precedents and court decisions, civil law concepts have also had an impact on several aspects of the legal system. Understanding common law and civil law's nature, traits, and practical applications is essential to understanding the complexities of the UK legal system. These issues are investigated in this essay by looking at the common law's historical history, sources, judicial procedures, and actual applications in the UK. Investigating these facets helps us understand how these legal customs influence and add to the rich fabric of the UK legal system.</w:t>
      </w:r>
    </w:p>
    <w:p w14:paraId="5581E08B" w14:textId="318A5F4D" w:rsidR="00E162CF" w:rsidRDefault="00F3449A" w:rsidP="006344F5">
      <w:pPr>
        <w:spacing w:line="360" w:lineRule="auto"/>
        <w:jc w:val="both"/>
        <w:rPr>
          <w:sz w:val="24"/>
          <w:szCs w:val="24"/>
        </w:rPr>
      </w:pPr>
      <w:r>
        <w:rPr>
          <w:sz w:val="24"/>
          <w:szCs w:val="24"/>
        </w:rPr>
        <w:t xml:space="preserve">       </w:t>
      </w:r>
      <w:r w:rsidRPr="006344F5">
        <w:rPr>
          <w:sz w:val="24"/>
          <w:szCs w:val="24"/>
        </w:rPr>
        <w:t>The common law principle is at the foundation of the legal system in the United Kingdom, which is recognised for its extensive legal history. The common law, which derives from old practises and court rulings, has been crucial in forming the UK's legal system.</w:t>
      </w:r>
      <w:r w:rsidR="00E162CF">
        <w:rPr>
          <w:sz w:val="24"/>
          <w:szCs w:val="24"/>
        </w:rPr>
        <w:t xml:space="preserve"> </w:t>
      </w:r>
      <w:r w:rsidRPr="006344F5">
        <w:rPr>
          <w:sz w:val="24"/>
          <w:szCs w:val="24"/>
        </w:rPr>
        <w:t xml:space="preserve">A legal system that is founded on precedents and court rulings rather than statutory law is referred to as common law. It is a body of law that has evolved through ages as a result of decisions made by judges in different courts. The values of equality, fairness, and flexibility are embodied in common law, which can alter to meet changing social norms. The origins of common law can be found in mediaeval England, when regional norms, habits, and judicial rulings served as the foundation for establishing laws. Judges all around the nation constantly followed these traditions, </w:t>
      </w:r>
      <w:r w:rsidRPr="006B7259">
        <w:rPr>
          <w:sz w:val="24"/>
          <w:szCs w:val="24"/>
          <w:lang w:val="en-GB"/>
        </w:rPr>
        <w:t>which</w:t>
      </w:r>
      <w:r w:rsidRPr="006344F5">
        <w:rPr>
          <w:sz w:val="24"/>
          <w:szCs w:val="24"/>
        </w:rPr>
        <w:t xml:space="preserve"> gave the system a semblance of consistency. Judges relied on earlier rulings as binding precedents in later cases as the common law system grew and advanced over time. A strong and thorough legal structure emerged as a result of this gradual growth. The notion of stare decisis, which literally translates to "to stand by things decided," is one of the characteristics of common law. It underlines the value of precedent and guarantees the legal system's uniformity and predictability. Judges must adhere to the rulings of higher courts and apply recognised legal standards to similar cases under this approach. This adherence to precedent promotes stability while allowing for small adjustments as new situations are encountered. </w:t>
      </w:r>
    </w:p>
    <w:p w14:paraId="6B553CF7" w14:textId="727583A7" w:rsidR="00DA2627" w:rsidRDefault="00E162CF" w:rsidP="006344F5">
      <w:pPr>
        <w:spacing w:line="360" w:lineRule="auto"/>
        <w:jc w:val="both"/>
        <w:rPr>
          <w:sz w:val="24"/>
          <w:szCs w:val="24"/>
        </w:rPr>
      </w:pPr>
      <w:r>
        <w:rPr>
          <w:sz w:val="24"/>
          <w:szCs w:val="24"/>
        </w:rPr>
        <w:t xml:space="preserve">       </w:t>
      </w:r>
      <w:r w:rsidRPr="006344F5">
        <w:rPr>
          <w:sz w:val="24"/>
          <w:szCs w:val="24"/>
        </w:rPr>
        <w:t xml:space="preserve">One of the main advantages of common law is its adaptability, which enables it to keep up with changes in society and technology. Common law can develop via judicial interpretation and refinement, unlike statutory law, which frequently necessitates protracted legislative processes to enact changes. Judges have the authority to interpret statutes and close legal voids, ensuring that legal concepts are still applicable </w:t>
      </w:r>
      <w:r w:rsidRPr="006344F5">
        <w:rPr>
          <w:sz w:val="24"/>
          <w:szCs w:val="24"/>
        </w:rPr>
        <w:lastRenderedPageBreak/>
        <w:t xml:space="preserve">in evolving situations. Due to its adaptability, common law is able to take into account fresh ideas, deal with cutting-edge legal problems, and stay relevant over time. Even while common law has its own independent operations, it coexists with statute law in the UK's legal system and engages with it. Judges must interpret and apply laws passed by Parliament with common law precepts when they become a part of the legal system. Judges play a critical role in balancing the two legal sources and establishing harmony and consistency where there is dispute or ambiguity. </w:t>
      </w:r>
    </w:p>
    <w:p w14:paraId="2585B113" w14:textId="77777777" w:rsidR="0001362B" w:rsidRDefault="00DA2627" w:rsidP="006344F5">
      <w:pPr>
        <w:spacing w:line="360" w:lineRule="auto"/>
        <w:jc w:val="both"/>
        <w:rPr>
          <w:sz w:val="24"/>
          <w:szCs w:val="24"/>
        </w:rPr>
      </w:pPr>
      <w:r>
        <w:rPr>
          <w:sz w:val="24"/>
          <w:szCs w:val="24"/>
        </w:rPr>
        <w:t xml:space="preserve">       </w:t>
      </w:r>
      <w:r w:rsidRPr="006344F5">
        <w:rPr>
          <w:sz w:val="24"/>
          <w:szCs w:val="24"/>
        </w:rPr>
        <w:t xml:space="preserve">The United Kingdom's legal system is still shaped by common law and depends on it to function. Despite the growing significance of statutes, common law offers a flexible method for addressing new legal challenges that have not yet been addressed by legislation. In order to ensure that the law is flexible and responsive, it enables courts to interpret statutes in light of shifting societal norms and technological breakthroughs. The common law, which incorporates centuries of judicial learning and ideas, serves as the cornerstone of the legal system of the United Kingdom. Its tenacity and adaptability can be seen in how it developed from old traditions to a sophisticated legal framework. A key factor in the continuous applicability of common law is its dependence on precedent, adaptability, and interaction with statute law. The common law's continuing influence ensures that the UK's legal system maintains its integrity, consistency, and capacity to fulfil the requirements of a dynamic society even as the legal landscape changes. The legal system in the United Kingdom is recognised for its many different legal traditions, with civil law being one of its most important subsets. Although frequently overshadowed by the common law system, civil law is an important factor in determining the UK's legal system. </w:t>
      </w:r>
    </w:p>
    <w:p w14:paraId="051BA4CE" w14:textId="101915C2" w:rsidR="00B424F3" w:rsidRDefault="0001362B" w:rsidP="006344F5">
      <w:pPr>
        <w:spacing w:line="360" w:lineRule="auto"/>
        <w:jc w:val="both"/>
        <w:rPr>
          <w:sz w:val="24"/>
          <w:szCs w:val="24"/>
        </w:rPr>
      </w:pPr>
      <w:r>
        <w:rPr>
          <w:sz w:val="24"/>
          <w:szCs w:val="24"/>
        </w:rPr>
        <w:t xml:space="preserve">       </w:t>
      </w:r>
      <w:r w:rsidRPr="006344F5">
        <w:rPr>
          <w:sz w:val="24"/>
          <w:szCs w:val="24"/>
        </w:rPr>
        <w:t xml:space="preserve">A legal system known as civil law is one that is based on extensive statute codes that offer a framework for resolving individual disputes and controlling different facets of civil life. It is distinguished by a comprehensive and defined body of laws that specify duties, responsibilities, and procedures. Judges are primarily tasked with the interpretation and application of statutes rather than the creation of legal precedents under civil law, which places a focus on written laws and legal principles. The foundations of civil law in the UK may be found in Roman law, which had a significant impact on legal systems all over Europe. The Napoleonic Code, which was created in France at the beginning of the 19th century, had a particularly large impact on the principles of civil law. Over time, the UK adopted certain aspects of civil law, primarily in areas such as family law, contract law, and tort law. However, the UK's legal system </w:t>
      </w:r>
      <w:r w:rsidRPr="006344F5">
        <w:rPr>
          <w:sz w:val="24"/>
          <w:szCs w:val="24"/>
        </w:rPr>
        <w:lastRenderedPageBreak/>
        <w:t>remains a unique blend of civil law and common law elements. Civil law's thorough codification of legal rules and ideas is one of its main advantages. Civil law gives a high level of legal certainty and predictability because it has comprehensive statutes and rules. A more clear awareness of one's rights and obligations by both individuals and corporations can promote a stable and predictable legal environment. Additionally, the codification of laws makes them easier to obtain and apply, assisting lawyers and maintaining consistency in judicial rulings.</w:t>
      </w:r>
    </w:p>
    <w:p w14:paraId="253F791C" w14:textId="22EE11DC" w:rsidR="002E0414" w:rsidRDefault="00B424F3" w:rsidP="006344F5">
      <w:pPr>
        <w:spacing w:line="360" w:lineRule="auto"/>
        <w:jc w:val="both"/>
        <w:rPr>
          <w:sz w:val="24"/>
          <w:szCs w:val="24"/>
        </w:rPr>
      </w:pPr>
      <w:r>
        <w:rPr>
          <w:sz w:val="24"/>
          <w:szCs w:val="24"/>
        </w:rPr>
        <w:t xml:space="preserve">       </w:t>
      </w:r>
      <w:r w:rsidRPr="006344F5">
        <w:rPr>
          <w:sz w:val="24"/>
          <w:szCs w:val="24"/>
        </w:rPr>
        <w:t xml:space="preserve">In the UK, common law and civil law coexist and interact to form a distinctive hybrid legal system. While common law has an impact on a number of areas, including judicial precedent and the interpretation of statutes, civil law principles predominantly regulate others, such as family law, tort law, and contract law. A balanced legal framework that draws from both legal traditions and maintains legal consistency while meeting changing societal requirements is ensured by the interaction between common law and civil law. The UK's legal system continues to be heavily reliant on civil law, which gives private law issues a clear framework. In places with extensive codification, it provides legal clarity, predictability, and accessibility. Civil law concepts provide a basis for business dealings and contractual interactions as well as aid in the swift and equitable resolution of private disputes. The coexistence of the two separate legal traditions of common law and civil law is what distinguishes the legal system of the United Kingdom. Both systems seek to dispense justice, but their origins, guiding concepts, and operating procedures are very different. </w:t>
      </w:r>
      <w:r w:rsidR="007E3E92" w:rsidRPr="006344F5">
        <w:rPr>
          <w:sz w:val="24"/>
          <w:szCs w:val="24"/>
        </w:rPr>
        <w:t>The flexibility, adaptability, and capacity for gradual evolution through judicial decisions characterise common law. Judges apply legal concepts to new situations, fill in legal voids, and interpret statutes, ensuring that the law is sensitive to societal changes. Common law is based on the principle of precedent, according to which juries' rulings in earlier cases set forth laws that must be followed in later instances</w:t>
      </w:r>
      <w:r w:rsidR="00930467">
        <w:rPr>
          <w:sz w:val="24"/>
          <w:szCs w:val="24"/>
        </w:rPr>
        <w:t xml:space="preserve"> and t</w:t>
      </w:r>
      <w:r w:rsidR="007E3E92" w:rsidRPr="006344F5">
        <w:rPr>
          <w:sz w:val="24"/>
          <w:szCs w:val="24"/>
        </w:rPr>
        <w:t xml:space="preserve">he legal system is consistent and predictable according to the stare decisis concept. </w:t>
      </w:r>
    </w:p>
    <w:p w14:paraId="00000002" w14:textId="69800968" w:rsidR="002E184E" w:rsidRPr="006344F5" w:rsidRDefault="002E0414" w:rsidP="006344F5">
      <w:pPr>
        <w:spacing w:line="360" w:lineRule="auto"/>
        <w:jc w:val="both"/>
        <w:rPr>
          <w:sz w:val="24"/>
          <w:szCs w:val="24"/>
        </w:rPr>
      </w:pPr>
      <w:r>
        <w:rPr>
          <w:sz w:val="24"/>
          <w:szCs w:val="24"/>
        </w:rPr>
        <w:t xml:space="preserve">       </w:t>
      </w:r>
      <w:r w:rsidRPr="006344F5">
        <w:rPr>
          <w:sz w:val="24"/>
          <w:szCs w:val="24"/>
        </w:rPr>
        <w:t xml:space="preserve">In the United Kingdom, the differences between common law and civil law are reflected in their various historical backgrounds, legal traditions, and judicial systems. With its reliance on precedent and open-ended interpretation, common law fills in the gaps left by statute law and adapts to societal changes. Contrarily, the focus of civil law is on codification, legal certainty, and an investigative approach to judicial procedures. The cohabitation of these two legal systems adds to the UK's diversity and complexity. The creation and use of the neighbour principle in the context of tort </w:t>
      </w:r>
      <w:r w:rsidRPr="006344F5">
        <w:rPr>
          <w:sz w:val="24"/>
          <w:szCs w:val="24"/>
        </w:rPr>
        <w:lastRenderedPageBreak/>
        <w:t xml:space="preserve">law is a well-known illustration of the common law in use in the UK. The famous case Donoghue v. Stevenson (1932) shows how common law principles are applied to deal with novel and difficult circumstances. The plaintiff in the Donoghue case drank ginger beer that was later discovered to contain a dead snail. She became ill as a result, harming both her physical and mental health. Whether the manufacturer owed a duty of care to the consumer who did not have a contract with the business was the main legal issue. In this ruling, the House of Lords established the neighbour principle, which serves as the cornerstone of contemporary negligence law. According to this rule, a person is required to exercise reasonable care to refrain from any actions or inactions that could fairly be expected to hurt others who would be directly and immediately impacted by them. </w:t>
      </w:r>
    </w:p>
    <w:p w14:paraId="211E8D0D" w14:textId="0269DE9D" w:rsidR="00A26AC5" w:rsidRDefault="00E12BBB" w:rsidP="006344F5">
      <w:pPr>
        <w:spacing w:line="360" w:lineRule="auto"/>
        <w:jc w:val="both"/>
        <w:rPr>
          <w:sz w:val="24"/>
          <w:szCs w:val="24"/>
        </w:rPr>
      </w:pPr>
      <w:r>
        <w:rPr>
          <w:sz w:val="24"/>
          <w:szCs w:val="24"/>
        </w:rPr>
        <w:t xml:space="preserve">       </w:t>
      </w:r>
      <w:r w:rsidRPr="006344F5">
        <w:rPr>
          <w:sz w:val="24"/>
          <w:szCs w:val="24"/>
        </w:rPr>
        <w:t>The legal system of the United Kingdom is an intriguing fusion of common law and civil law, each having unique traits and contributions. The cohabitation of these two legal systems has influenced the UK's legal system and made justice more easily administered. Common law is a prime example of how adaptable and flexible the legal system is because it is founded on precedents and judicial rulings. It permits gradual modifications, ensuring that the law continues to be responsive to society demands and changing conditions. The neighbour principle and the stare decisis doctrine are two examples of how the common law actually works in practise, ensuring stability, consistency, and fairness. Contrarily, civil law principles, inspired by extensive statutes and codification, provide clarity, predictability, and legal certainty in areas like tort and contract law. The inquisitorial approach in civil law systems emphasises the active involvement of judges in discovering the truth and making sure that justice is served in court proceedings. In the UK, the interaction between common law and civil law exemplifies how adaptable and resilient the legal system is.</w:t>
      </w:r>
      <w:r w:rsidR="003A093C">
        <w:rPr>
          <w:sz w:val="24"/>
          <w:szCs w:val="24"/>
        </w:rPr>
        <w:t xml:space="preserve"> </w:t>
      </w:r>
      <w:r w:rsidR="0083648B" w:rsidRPr="006344F5">
        <w:rPr>
          <w:sz w:val="24"/>
          <w:szCs w:val="24"/>
        </w:rPr>
        <w:t>Their coexistence helps to create a complex legal framework that incorporates elements from both traditions, upholding legal consistency while taking into account changing societal requirements.</w:t>
      </w:r>
    </w:p>
    <w:p w14:paraId="00000003" w14:textId="76F6DB64" w:rsidR="002E184E" w:rsidRDefault="00A26AC5" w:rsidP="006344F5">
      <w:pPr>
        <w:spacing w:line="360" w:lineRule="auto"/>
        <w:jc w:val="both"/>
        <w:rPr>
          <w:sz w:val="24"/>
          <w:szCs w:val="24"/>
        </w:rPr>
      </w:pPr>
      <w:r>
        <w:rPr>
          <w:sz w:val="24"/>
          <w:szCs w:val="24"/>
        </w:rPr>
        <w:t xml:space="preserve">       </w:t>
      </w:r>
      <w:r w:rsidR="0083648B" w:rsidRPr="006344F5">
        <w:rPr>
          <w:sz w:val="24"/>
          <w:szCs w:val="24"/>
        </w:rPr>
        <w:t>In conclusion, the British legal system is strengthened by the blending of common law and civil law traditions. The historical evolution, sources of law, judicial procedures, and real-world situations covered in this essay serve as illustrations of how dynamic the legal system in the UK is. Understanding how common law and civil law interact gives us important insights into how the UK's legal system operates, evolves, and ensures that justice is done and the rule of law is upheld.</w:t>
      </w:r>
    </w:p>
    <w:p w14:paraId="42E7E98D" w14:textId="77777777" w:rsidR="00B42708" w:rsidRDefault="00B42708" w:rsidP="006344F5">
      <w:pPr>
        <w:spacing w:line="360" w:lineRule="auto"/>
        <w:jc w:val="both"/>
        <w:rPr>
          <w:sz w:val="24"/>
          <w:szCs w:val="24"/>
        </w:rPr>
      </w:pPr>
    </w:p>
    <w:p w14:paraId="5B02E954" w14:textId="77777777" w:rsidR="00FA01EC" w:rsidRDefault="00FA01EC" w:rsidP="006344F5">
      <w:pPr>
        <w:spacing w:line="360" w:lineRule="auto"/>
        <w:jc w:val="both"/>
        <w:rPr>
          <w:sz w:val="24"/>
          <w:szCs w:val="24"/>
        </w:rPr>
      </w:pPr>
    </w:p>
    <w:p w14:paraId="12B09533" w14:textId="77777777" w:rsidR="00D27289" w:rsidRDefault="00D27289" w:rsidP="00D27289">
      <w:pPr>
        <w:spacing w:line="360" w:lineRule="auto"/>
        <w:jc w:val="both"/>
        <w:rPr>
          <w:b/>
          <w:bCs/>
          <w:sz w:val="24"/>
          <w:szCs w:val="24"/>
        </w:rPr>
      </w:pPr>
      <w:r w:rsidRPr="00167FD5">
        <w:rPr>
          <w:b/>
          <w:bCs/>
          <w:sz w:val="24"/>
          <w:szCs w:val="24"/>
        </w:rPr>
        <w:t>Resources</w:t>
      </w:r>
    </w:p>
    <w:p w14:paraId="7A6E94EE" w14:textId="77777777" w:rsidR="006D436E" w:rsidRPr="00B16707" w:rsidRDefault="006D436E" w:rsidP="00D27289">
      <w:pPr>
        <w:spacing w:line="360" w:lineRule="auto"/>
        <w:jc w:val="both"/>
        <w:rPr>
          <w:b/>
          <w:bCs/>
          <w:sz w:val="10"/>
          <w:szCs w:val="10"/>
        </w:rPr>
      </w:pPr>
    </w:p>
    <w:p w14:paraId="5B19E9BE" w14:textId="733D51AC" w:rsidR="006D436E" w:rsidRPr="00BE724F" w:rsidRDefault="006D436E" w:rsidP="006D436E">
      <w:pPr>
        <w:spacing w:line="360" w:lineRule="auto"/>
        <w:jc w:val="both"/>
        <w:rPr>
          <w:sz w:val="24"/>
          <w:szCs w:val="24"/>
        </w:rPr>
      </w:pPr>
      <w:r>
        <w:rPr>
          <w:sz w:val="24"/>
          <w:szCs w:val="24"/>
        </w:rPr>
        <w:t xml:space="preserve">Ben, Q. (2022) ’What is commom law and why is it being misinterpreted?’, </w:t>
      </w:r>
      <w:r>
        <w:rPr>
          <w:i/>
          <w:iCs/>
          <w:sz w:val="24"/>
          <w:szCs w:val="24"/>
        </w:rPr>
        <w:t>The Guardian</w:t>
      </w:r>
      <w:r>
        <w:rPr>
          <w:sz w:val="24"/>
          <w:szCs w:val="24"/>
        </w:rPr>
        <w:t>. Available at: </w:t>
      </w:r>
      <w:hyperlink r:id="rId8" w:history="1">
        <w:r w:rsidRPr="003437ED">
          <w:rPr>
            <w:rStyle w:val="Hyperlink"/>
            <w:color w:val="000000" w:themeColor="text1"/>
            <w:sz w:val="24"/>
            <w:szCs w:val="24"/>
            <w:u w:val="none"/>
          </w:rPr>
          <w:t>https://www.theguardian.com/law/2022/feb/12/what-is-common-law-and-why-is-it-being-misinterpreted</w:t>
        </w:r>
      </w:hyperlink>
      <w:r w:rsidRPr="003437ED">
        <w:rPr>
          <w:color w:val="000000" w:themeColor="text1"/>
          <w:sz w:val="24"/>
          <w:szCs w:val="24"/>
        </w:rPr>
        <w:t>.</w:t>
      </w:r>
    </w:p>
    <w:p w14:paraId="1EFDF9D1" w14:textId="775AD8D5" w:rsidR="006D436E" w:rsidRPr="00BE724F" w:rsidRDefault="006D436E" w:rsidP="00BE724F">
      <w:pPr>
        <w:jc w:val="both"/>
        <w:rPr>
          <w:color w:val="000000" w:themeColor="text1"/>
          <w:sz w:val="24"/>
          <w:szCs w:val="24"/>
          <w:shd w:val="clear" w:color="auto" w:fill="FFFFFF"/>
        </w:rPr>
      </w:pPr>
      <w:r w:rsidRPr="00ED068A">
        <w:rPr>
          <w:color w:val="000000" w:themeColor="text1"/>
          <w:sz w:val="24"/>
          <w:szCs w:val="24"/>
          <w:shd w:val="clear" w:color="auto" w:fill="FFFFFF"/>
        </w:rPr>
        <w:t xml:space="preserve">Brouwer, R., 2018. </w:t>
      </w:r>
      <w:r w:rsidRPr="00ED068A">
        <w:rPr>
          <w:i/>
          <w:iCs/>
          <w:color w:val="000000" w:themeColor="text1"/>
          <w:sz w:val="24"/>
          <w:szCs w:val="24"/>
          <w:shd w:val="clear" w:color="auto" w:fill="FFFFFF"/>
        </w:rPr>
        <w:t>On the Meaning of ‘System’ in the Common and Civil Law Traditions: Two Approaches to Legal Unity</w:t>
      </w:r>
      <w:r w:rsidRPr="00ED068A">
        <w:rPr>
          <w:color w:val="000000" w:themeColor="text1"/>
          <w:sz w:val="24"/>
          <w:szCs w:val="24"/>
          <w:shd w:val="clear" w:color="auto" w:fill="FFFFFF"/>
        </w:rPr>
        <w:t>. </w:t>
      </w:r>
      <w:r w:rsidRPr="00ED068A">
        <w:rPr>
          <w:i/>
          <w:iCs/>
          <w:color w:val="000000" w:themeColor="text1"/>
          <w:sz w:val="24"/>
          <w:szCs w:val="24"/>
          <w:bdr w:val="none" w:sz="0" w:space="0" w:color="auto" w:frame="1"/>
          <w:shd w:val="clear" w:color="auto" w:fill="FFFFFF"/>
        </w:rPr>
        <w:t>Utrecht Journal of International and European Law</w:t>
      </w:r>
      <w:r w:rsidRPr="00ED068A">
        <w:rPr>
          <w:color w:val="000000" w:themeColor="text1"/>
          <w:sz w:val="24"/>
          <w:szCs w:val="24"/>
          <w:shd w:val="clear" w:color="auto" w:fill="FFFFFF"/>
        </w:rPr>
        <w:t>, 34(1), p.45-55.</w:t>
      </w:r>
      <w:r>
        <w:rPr>
          <w:color w:val="000000" w:themeColor="text1"/>
          <w:sz w:val="24"/>
          <w:szCs w:val="24"/>
          <w:shd w:val="clear" w:color="auto" w:fill="FFFFFF"/>
        </w:rPr>
        <w:t xml:space="preserve"> </w:t>
      </w:r>
      <w:r w:rsidRPr="00ED068A">
        <w:rPr>
          <w:color w:val="000000" w:themeColor="text1"/>
          <w:sz w:val="24"/>
          <w:szCs w:val="24"/>
          <w:shd w:val="clear" w:color="auto" w:fill="FFFFFF"/>
        </w:rPr>
        <w:t xml:space="preserve">DOI: </w:t>
      </w:r>
      <w:hyperlink r:id="rId9" w:history="1">
        <w:r w:rsidRPr="00666871">
          <w:rPr>
            <w:rStyle w:val="Hyperlink"/>
            <w:color w:val="000000" w:themeColor="text1"/>
            <w:sz w:val="24"/>
            <w:szCs w:val="24"/>
            <w:u w:val="none"/>
            <w:shd w:val="clear" w:color="auto" w:fill="FFFFFF"/>
          </w:rPr>
          <w:t>https://doi.org/10.5334/ujiel.451</w:t>
        </w:r>
      </w:hyperlink>
    </w:p>
    <w:p w14:paraId="662E347C" w14:textId="650B81B0" w:rsidR="006D436E" w:rsidRPr="00BE724F" w:rsidRDefault="006D436E" w:rsidP="006D436E">
      <w:pPr>
        <w:spacing w:line="360" w:lineRule="auto"/>
        <w:jc w:val="both"/>
        <w:rPr>
          <w:sz w:val="24"/>
          <w:szCs w:val="24"/>
        </w:rPr>
      </w:pPr>
      <w:r>
        <w:rPr>
          <w:sz w:val="24"/>
          <w:szCs w:val="24"/>
        </w:rPr>
        <w:t xml:space="preserve">Carlsons Solicitors (2021) </w:t>
      </w:r>
      <w:r>
        <w:rPr>
          <w:i/>
          <w:iCs/>
          <w:sz w:val="24"/>
          <w:szCs w:val="24"/>
        </w:rPr>
        <w:t>Litigation Under a Codified System (Civil Law) VS Common Law. </w:t>
      </w:r>
      <w:r>
        <w:rPr>
          <w:sz w:val="24"/>
          <w:szCs w:val="24"/>
        </w:rPr>
        <w:t>Available at: </w:t>
      </w:r>
      <w:hyperlink r:id="rId10" w:history="1">
        <w:r w:rsidRPr="00633EE8">
          <w:rPr>
            <w:rStyle w:val="Hyperlink"/>
            <w:color w:val="000000" w:themeColor="text1"/>
            <w:sz w:val="24"/>
            <w:szCs w:val="24"/>
            <w:u w:val="none"/>
          </w:rPr>
          <w:t>https://www.carlsonssolicitors.com/news/2021/7/12/litigation-under-a-codified-system-civil-law-vs-common-law</w:t>
        </w:r>
      </w:hyperlink>
      <w:r w:rsidRPr="00633EE8">
        <w:rPr>
          <w:color w:val="000000" w:themeColor="text1"/>
          <w:sz w:val="24"/>
          <w:szCs w:val="24"/>
        </w:rPr>
        <w:t xml:space="preserve">. </w:t>
      </w:r>
      <w:r>
        <w:rPr>
          <w:sz w:val="24"/>
          <w:szCs w:val="24"/>
        </w:rPr>
        <w:t>(Accessed: 02 March 2023).</w:t>
      </w:r>
    </w:p>
    <w:p w14:paraId="20332228" w14:textId="16D2447B" w:rsidR="006D436E" w:rsidRPr="00BE724F" w:rsidRDefault="006D436E" w:rsidP="006D436E">
      <w:pPr>
        <w:spacing w:line="360" w:lineRule="auto"/>
        <w:jc w:val="both"/>
        <w:rPr>
          <w:sz w:val="24"/>
          <w:szCs w:val="24"/>
          <w:lang w:val="ro-RO"/>
        </w:rPr>
      </w:pPr>
      <w:r>
        <w:rPr>
          <w:sz w:val="24"/>
          <w:szCs w:val="24"/>
          <w:lang w:val="ro-RO"/>
        </w:rPr>
        <w:t>Claire</w:t>
      </w:r>
      <w:r w:rsidRPr="00C44C23">
        <w:rPr>
          <w:sz w:val="24"/>
          <w:szCs w:val="24"/>
          <w:lang w:val="ro-RO"/>
        </w:rPr>
        <w:t xml:space="preserve">, </w:t>
      </w:r>
      <w:r>
        <w:rPr>
          <w:sz w:val="24"/>
          <w:szCs w:val="24"/>
          <w:lang w:val="ro-RO"/>
        </w:rPr>
        <w:t>S.</w:t>
      </w:r>
      <w:r w:rsidRPr="00C44C23">
        <w:rPr>
          <w:sz w:val="24"/>
          <w:szCs w:val="24"/>
          <w:lang w:val="ro-RO"/>
        </w:rPr>
        <w:t xml:space="preserve"> and </w:t>
      </w:r>
      <w:r>
        <w:rPr>
          <w:sz w:val="24"/>
          <w:szCs w:val="24"/>
          <w:lang w:val="ro-RO"/>
        </w:rPr>
        <w:t>Marcus</w:t>
      </w:r>
      <w:r w:rsidRPr="00C44C23">
        <w:rPr>
          <w:sz w:val="24"/>
          <w:szCs w:val="24"/>
          <w:lang w:val="ro-RO"/>
        </w:rPr>
        <w:t xml:space="preserve">, </w:t>
      </w:r>
      <w:r>
        <w:rPr>
          <w:sz w:val="24"/>
          <w:szCs w:val="24"/>
          <w:lang w:val="ro-RO"/>
        </w:rPr>
        <w:t>G</w:t>
      </w:r>
      <w:r w:rsidRPr="00C44C23">
        <w:rPr>
          <w:sz w:val="24"/>
          <w:szCs w:val="24"/>
          <w:lang w:val="ro-RO"/>
        </w:rPr>
        <w:t>. (201</w:t>
      </w:r>
      <w:r>
        <w:rPr>
          <w:sz w:val="24"/>
          <w:szCs w:val="24"/>
          <w:lang w:val="ro-RO"/>
        </w:rPr>
        <w:t>8</w:t>
      </w:r>
      <w:r w:rsidRPr="00C44C23">
        <w:rPr>
          <w:sz w:val="24"/>
          <w:szCs w:val="24"/>
          <w:lang w:val="ro-RO"/>
        </w:rPr>
        <w:t>)</w:t>
      </w:r>
      <w:r>
        <w:rPr>
          <w:sz w:val="24"/>
          <w:szCs w:val="24"/>
          <w:lang w:val="ro-RO"/>
        </w:rPr>
        <w:t xml:space="preserve"> </w:t>
      </w:r>
      <w:r>
        <w:rPr>
          <w:i/>
          <w:iCs/>
          <w:sz w:val="24"/>
          <w:szCs w:val="24"/>
          <w:lang w:val="ro-RO"/>
        </w:rPr>
        <w:t xml:space="preserve">Contract Law: A Comparison of Civil Law and Common Law Jurisdictions. </w:t>
      </w:r>
      <w:r>
        <w:rPr>
          <w:sz w:val="24"/>
          <w:szCs w:val="24"/>
          <w:lang w:val="ro-RO"/>
        </w:rPr>
        <w:t>United Kingdom: Business Expert Press.</w:t>
      </w:r>
    </w:p>
    <w:p w14:paraId="1F18C82A" w14:textId="0C236B94" w:rsidR="006D436E" w:rsidRPr="00BE724F" w:rsidRDefault="006D436E" w:rsidP="006D436E">
      <w:pPr>
        <w:spacing w:line="360" w:lineRule="auto"/>
        <w:jc w:val="both"/>
        <w:rPr>
          <w:sz w:val="24"/>
          <w:szCs w:val="24"/>
        </w:rPr>
      </w:pPr>
      <w:r>
        <w:rPr>
          <w:sz w:val="24"/>
          <w:szCs w:val="24"/>
        </w:rPr>
        <w:t>Court Room Advice (2023) </w:t>
      </w:r>
      <w:r>
        <w:rPr>
          <w:i/>
          <w:iCs/>
          <w:sz w:val="24"/>
          <w:szCs w:val="24"/>
        </w:rPr>
        <w:t>Common Law in England</w:t>
      </w:r>
      <w:r>
        <w:rPr>
          <w:sz w:val="24"/>
          <w:szCs w:val="24"/>
        </w:rPr>
        <w:t>. Available at: </w:t>
      </w:r>
      <w:hyperlink r:id="rId11" w:history="1">
        <w:r w:rsidRPr="00B566E8">
          <w:rPr>
            <w:rStyle w:val="Hyperlink"/>
            <w:color w:val="000000" w:themeColor="text1"/>
            <w:sz w:val="24"/>
            <w:szCs w:val="24"/>
            <w:u w:val="none"/>
          </w:rPr>
          <w:t>https://www.courtroomadvice.co.uk/common-law-england.html</w:t>
        </w:r>
      </w:hyperlink>
      <w:r w:rsidRPr="00B566E8">
        <w:rPr>
          <w:color w:val="000000" w:themeColor="text1"/>
          <w:sz w:val="24"/>
          <w:szCs w:val="24"/>
        </w:rPr>
        <w:t>.</w:t>
      </w:r>
      <w:r>
        <w:rPr>
          <w:sz w:val="24"/>
          <w:szCs w:val="24"/>
        </w:rPr>
        <w:t xml:space="preserve"> (Accessed: 28 Apr 2023). </w:t>
      </w:r>
    </w:p>
    <w:p w14:paraId="4A6FAA38" w14:textId="06DB888E" w:rsidR="006D436E" w:rsidRPr="001544D1" w:rsidRDefault="006D436E" w:rsidP="006D436E">
      <w:pPr>
        <w:jc w:val="both"/>
        <w:rPr>
          <w:color w:val="000000" w:themeColor="text1"/>
          <w:spacing w:val="-5"/>
          <w:sz w:val="24"/>
          <w:szCs w:val="24"/>
        </w:rPr>
      </w:pPr>
      <w:r w:rsidRPr="00453027">
        <w:rPr>
          <w:color w:val="000000" w:themeColor="text1"/>
          <w:spacing w:val="-5"/>
          <w:sz w:val="24"/>
          <w:szCs w:val="24"/>
        </w:rPr>
        <w:t>Dainow,</w:t>
      </w:r>
      <w:r>
        <w:rPr>
          <w:color w:val="000000" w:themeColor="text1"/>
          <w:spacing w:val="-5"/>
          <w:sz w:val="24"/>
          <w:szCs w:val="24"/>
        </w:rPr>
        <w:t> </w:t>
      </w:r>
      <w:r w:rsidRPr="00453027">
        <w:rPr>
          <w:color w:val="000000" w:themeColor="text1"/>
          <w:spacing w:val="-5"/>
          <w:sz w:val="24"/>
          <w:szCs w:val="24"/>
        </w:rPr>
        <w:t>J.</w:t>
      </w:r>
      <w:r>
        <w:rPr>
          <w:color w:val="000000" w:themeColor="text1"/>
          <w:spacing w:val="-5"/>
          <w:sz w:val="24"/>
          <w:szCs w:val="24"/>
        </w:rPr>
        <w:t> </w:t>
      </w:r>
      <w:r w:rsidRPr="00453027">
        <w:rPr>
          <w:color w:val="000000" w:themeColor="text1"/>
          <w:spacing w:val="-5"/>
          <w:sz w:val="24"/>
          <w:szCs w:val="24"/>
        </w:rPr>
        <w:t>(1966)</w:t>
      </w:r>
      <w:r>
        <w:rPr>
          <w:color w:val="000000" w:themeColor="text1"/>
          <w:spacing w:val="-5"/>
          <w:sz w:val="24"/>
          <w:szCs w:val="24"/>
        </w:rPr>
        <w:t> </w:t>
      </w:r>
      <w:r w:rsidRPr="00453027">
        <w:rPr>
          <w:i/>
          <w:iCs/>
          <w:color w:val="000000" w:themeColor="text1"/>
          <w:spacing w:val="-5"/>
          <w:sz w:val="24"/>
          <w:szCs w:val="24"/>
        </w:rPr>
        <w:t>The</w:t>
      </w:r>
      <w:r>
        <w:rPr>
          <w:i/>
          <w:iCs/>
          <w:color w:val="000000" w:themeColor="text1"/>
          <w:spacing w:val="-5"/>
          <w:sz w:val="24"/>
          <w:szCs w:val="24"/>
        </w:rPr>
        <w:t> </w:t>
      </w:r>
      <w:r w:rsidRPr="00453027">
        <w:rPr>
          <w:i/>
          <w:iCs/>
          <w:color w:val="000000" w:themeColor="text1"/>
          <w:spacing w:val="-5"/>
          <w:sz w:val="24"/>
          <w:szCs w:val="24"/>
        </w:rPr>
        <w:t>Civil</w:t>
      </w:r>
      <w:r>
        <w:rPr>
          <w:i/>
          <w:iCs/>
          <w:color w:val="000000" w:themeColor="text1"/>
          <w:spacing w:val="-5"/>
          <w:sz w:val="24"/>
          <w:szCs w:val="24"/>
        </w:rPr>
        <w:t> </w:t>
      </w:r>
      <w:r w:rsidRPr="00453027">
        <w:rPr>
          <w:i/>
          <w:iCs/>
          <w:color w:val="000000" w:themeColor="text1"/>
          <w:spacing w:val="-5"/>
          <w:sz w:val="24"/>
          <w:szCs w:val="24"/>
        </w:rPr>
        <w:t>Law</w:t>
      </w:r>
      <w:r>
        <w:rPr>
          <w:i/>
          <w:iCs/>
          <w:color w:val="000000" w:themeColor="text1"/>
          <w:spacing w:val="-5"/>
          <w:sz w:val="24"/>
          <w:szCs w:val="24"/>
        </w:rPr>
        <w:t> </w:t>
      </w:r>
      <w:r w:rsidRPr="00453027">
        <w:rPr>
          <w:i/>
          <w:iCs/>
          <w:color w:val="000000" w:themeColor="text1"/>
          <w:spacing w:val="-5"/>
          <w:sz w:val="24"/>
          <w:szCs w:val="24"/>
        </w:rPr>
        <w:t>and</w:t>
      </w:r>
      <w:r>
        <w:rPr>
          <w:i/>
          <w:iCs/>
          <w:color w:val="000000" w:themeColor="text1"/>
          <w:spacing w:val="-5"/>
          <w:sz w:val="24"/>
          <w:szCs w:val="24"/>
        </w:rPr>
        <w:t> </w:t>
      </w:r>
      <w:r w:rsidRPr="00453027">
        <w:rPr>
          <w:i/>
          <w:iCs/>
          <w:color w:val="000000" w:themeColor="text1"/>
          <w:spacing w:val="-5"/>
          <w:sz w:val="24"/>
          <w:szCs w:val="24"/>
        </w:rPr>
        <w:t>the</w:t>
      </w:r>
      <w:r>
        <w:rPr>
          <w:i/>
          <w:iCs/>
          <w:color w:val="000000" w:themeColor="text1"/>
          <w:spacing w:val="-5"/>
          <w:sz w:val="24"/>
          <w:szCs w:val="24"/>
        </w:rPr>
        <w:t> </w:t>
      </w:r>
      <w:r w:rsidRPr="00453027">
        <w:rPr>
          <w:i/>
          <w:iCs/>
          <w:color w:val="000000" w:themeColor="text1"/>
          <w:spacing w:val="-5"/>
          <w:sz w:val="24"/>
          <w:szCs w:val="24"/>
        </w:rPr>
        <w:t>Common</w:t>
      </w:r>
      <w:r>
        <w:rPr>
          <w:i/>
          <w:iCs/>
          <w:color w:val="000000" w:themeColor="text1"/>
          <w:spacing w:val="-5"/>
          <w:sz w:val="24"/>
          <w:szCs w:val="24"/>
        </w:rPr>
        <w:t> </w:t>
      </w:r>
      <w:r w:rsidRPr="00453027">
        <w:rPr>
          <w:i/>
          <w:iCs/>
          <w:color w:val="000000" w:themeColor="text1"/>
          <w:spacing w:val="-5"/>
          <w:sz w:val="24"/>
          <w:szCs w:val="24"/>
        </w:rPr>
        <w:t>Law:</w:t>
      </w:r>
      <w:r>
        <w:rPr>
          <w:i/>
          <w:iCs/>
          <w:color w:val="000000" w:themeColor="text1"/>
          <w:spacing w:val="-5"/>
          <w:sz w:val="24"/>
          <w:szCs w:val="24"/>
        </w:rPr>
        <w:t> </w:t>
      </w:r>
      <w:r w:rsidRPr="00453027">
        <w:rPr>
          <w:i/>
          <w:iCs/>
          <w:color w:val="000000" w:themeColor="text1"/>
          <w:spacing w:val="-5"/>
          <w:sz w:val="24"/>
          <w:szCs w:val="24"/>
        </w:rPr>
        <w:t>Some</w:t>
      </w:r>
      <w:r>
        <w:rPr>
          <w:i/>
          <w:iCs/>
          <w:color w:val="000000" w:themeColor="text1"/>
          <w:spacing w:val="-5"/>
          <w:sz w:val="24"/>
          <w:szCs w:val="24"/>
        </w:rPr>
        <w:t> </w:t>
      </w:r>
      <w:r w:rsidRPr="00453027">
        <w:rPr>
          <w:i/>
          <w:iCs/>
          <w:color w:val="000000" w:themeColor="text1"/>
          <w:spacing w:val="-5"/>
          <w:sz w:val="24"/>
          <w:szCs w:val="24"/>
        </w:rPr>
        <w:t>Points</w:t>
      </w:r>
      <w:r>
        <w:rPr>
          <w:i/>
          <w:iCs/>
          <w:color w:val="000000" w:themeColor="text1"/>
          <w:spacing w:val="-5"/>
          <w:sz w:val="24"/>
          <w:szCs w:val="24"/>
        </w:rPr>
        <w:t> </w:t>
      </w:r>
      <w:r w:rsidRPr="00453027">
        <w:rPr>
          <w:i/>
          <w:iCs/>
          <w:color w:val="000000" w:themeColor="text1"/>
          <w:spacing w:val="-5"/>
          <w:sz w:val="24"/>
          <w:szCs w:val="24"/>
        </w:rPr>
        <w:t>of</w:t>
      </w:r>
      <w:r>
        <w:rPr>
          <w:i/>
          <w:iCs/>
          <w:color w:val="000000" w:themeColor="text1"/>
          <w:spacing w:val="-5"/>
          <w:sz w:val="24"/>
          <w:szCs w:val="24"/>
        </w:rPr>
        <w:t> </w:t>
      </w:r>
      <w:r w:rsidRPr="00453027">
        <w:rPr>
          <w:i/>
          <w:iCs/>
          <w:color w:val="000000" w:themeColor="text1"/>
          <w:spacing w:val="-5"/>
          <w:sz w:val="24"/>
          <w:szCs w:val="24"/>
        </w:rPr>
        <w:t>Comparison</w:t>
      </w:r>
      <w:r w:rsidRPr="00453027">
        <w:rPr>
          <w:color w:val="000000" w:themeColor="text1"/>
          <w:spacing w:val="-5"/>
          <w:sz w:val="24"/>
          <w:szCs w:val="24"/>
        </w:rPr>
        <w:t>. </w:t>
      </w:r>
      <w:r>
        <w:rPr>
          <w:i/>
          <w:iCs/>
          <w:color w:val="000000" w:themeColor="text1"/>
          <w:spacing w:val="-5"/>
          <w:sz w:val="24"/>
          <w:szCs w:val="24"/>
        </w:rPr>
        <w:t> </w:t>
      </w:r>
      <w:r w:rsidRPr="00453027">
        <w:rPr>
          <w:i/>
          <w:iCs/>
          <w:color w:val="000000" w:themeColor="text1"/>
          <w:spacing w:val="-5"/>
          <w:sz w:val="24"/>
          <w:szCs w:val="24"/>
        </w:rPr>
        <w:t>Journal</w:t>
      </w:r>
      <w:r>
        <w:rPr>
          <w:i/>
          <w:iCs/>
          <w:color w:val="000000" w:themeColor="text1"/>
          <w:spacing w:val="-5"/>
          <w:sz w:val="24"/>
          <w:szCs w:val="24"/>
        </w:rPr>
        <w:t> </w:t>
      </w:r>
      <w:r w:rsidRPr="00453027">
        <w:rPr>
          <w:i/>
          <w:iCs/>
          <w:color w:val="000000" w:themeColor="text1"/>
          <w:spacing w:val="-5"/>
          <w:sz w:val="24"/>
          <w:szCs w:val="24"/>
        </w:rPr>
        <w:t>of</w:t>
      </w:r>
      <w:r>
        <w:rPr>
          <w:i/>
          <w:iCs/>
          <w:color w:val="000000" w:themeColor="text1"/>
          <w:spacing w:val="-5"/>
          <w:sz w:val="24"/>
          <w:szCs w:val="24"/>
        </w:rPr>
        <w:t> </w:t>
      </w:r>
      <w:r w:rsidRPr="00453027">
        <w:rPr>
          <w:i/>
          <w:iCs/>
          <w:color w:val="000000" w:themeColor="text1"/>
          <w:spacing w:val="-5"/>
          <w:sz w:val="24"/>
          <w:szCs w:val="24"/>
        </w:rPr>
        <w:t>Comparative</w:t>
      </w:r>
      <w:r>
        <w:rPr>
          <w:i/>
          <w:iCs/>
          <w:color w:val="000000" w:themeColor="text1"/>
          <w:spacing w:val="-5"/>
          <w:sz w:val="24"/>
          <w:szCs w:val="24"/>
        </w:rPr>
        <w:t> </w:t>
      </w:r>
      <w:r w:rsidRPr="00453027">
        <w:rPr>
          <w:i/>
          <w:iCs/>
          <w:color w:val="000000" w:themeColor="text1"/>
          <w:spacing w:val="-5"/>
          <w:sz w:val="24"/>
          <w:szCs w:val="24"/>
        </w:rPr>
        <w:t>Law</w:t>
      </w:r>
      <w:r w:rsidRPr="00453027">
        <w:rPr>
          <w:color w:val="000000" w:themeColor="text1"/>
          <w:spacing w:val="-5"/>
          <w:sz w:val="24"/>
          <w:szCs w:val="24"/>
        </w:rPr>
        <w:t>, </w:t>
      </w:r>
      <w:r w:rsidRPr="00453027">
        <w:rPr>
          <w:i/>
          <w:iCs/>
          <w:color w:val="000000" w:themeColor="text1"/>
          <w:spacing w:val="-5"/>
          <w:sz w:val="24"/>
          <w:szCs w:val="24"/>
        </w:rPr>
        <w:t>15</w:t>
      </w:r>
      <w:r w:rsidRPr="00453027">
        <w:rPr>
          <w:color w:val="000000" w:themeColor="text1"/>
          <w:spacing w:val="-5"/>
          <w:sz w:val="24"/>
          <w:szCs w:val="24"/>
        </w:rPr>
        <w:t>(3),</w:t>
      </w:r>
      <w:r>
        <w:rPr>
          <w:color w:val="000000" w:themeColor="text1"/>
          <w:spacing w:val="-5"/>
          <w:sz w:val="24"/>
          <w:szCs w:val="24"/>
        </w:rPr>
        <w:t> </w:t>
      </w:r>
      <w:r w:rsidRPr="00453027">
        <w:rPr>
          <w:color w:val="000000" w:themeColor="text1"/>
          <w:spacing w:val="-5"/>
          <w:sz w:val="24"/>
          <w:szCs w:val="24"/>
        </w:rPr>
        <w:t>419</w:t>
      </w:r>
      <w:r>
        <w:rPr>
          <w:color w:val="000000" w:themeColor="text1"/>
          <w:spacing w:val="-5"/>
          <w:sz w:val="24"/>
          <w:szCs w:val="24"/>
        </w:rPr>
        <w:t>-</w:t>
      </w:r>
      <w:r w:rsidRPr="00453027">
        <w:rPr>
          <w:color w:val="000000" w:themeColor="text1"/>
          <w:spacing w:val="-5"/>
          <w:sz w:val="24"/>
          <w:szCs w:val="24"/>
        </w:rPr>
        <w:t>435.</w:t>
      </w:r>
      <w:r>
        <w:rPr>
          <w:color w:val="000000" w:themeColor="text1"/>
          <w:spacing w:val="-5"/>
          <w:sz w:val="24"/>
          <w:szCs w:val="24"/>
        </w:rPr>
        <w:t xml:space="preserve"> DOI</w:t>
      </w:r>
      <w:r w:rsidRPr="00453027">
        <w:rPr>
          <w:color w:val="000000" w:themeColor="text1"/>
          <w:spacing w:val="-5"/>
          <w:sz w:val="24"/>
          <w:szCs w:val="24"/>
        </w:rPr>
        <w:t>:</w:t>
      </w:r>
      <w:r>
        <w:rPr>
          <w:color w:val="000000" w:themeColor="text1"/>
          <w:spacing w:val="-5"/>
          <w:sz w:val="24"/>
          <w:szCs w:val="24"/>
        </w:rPr>
        <w:t> </w:t>
      </w:r>
      <w:r w:rsidRPr="00453027">
        <w:rPr>
          <w:color w:val="000000" w:themeColor="text1"/>
          <w:spacing w:val="-5"/>
          <w:sz w:val="24"/>
          <w:szCs w:val="24"/>
        </w:rPr>
        <w:t xml:space="preserve"> </w:t>
      </w:r>
      <w:hyperlink r:id="rId12" w:history="1">
        <w:r w:rsidR="00880CAB" w:rsidRPr="001544D1">
          <w:rPr>
            <w:rStyle w:val="Hyperlink"/>
            <w:color w:val="000000" w:themeColor="text1"/>
            <w:spacing w:val="-5"/>
            <w:sz w:val="24"/>
            <w:szCs w:val="24"/>
            <w:u w:val="none"/>
          </w:rPr>
          <w:t>https://doi.org/10.2307/838275</w:t>
        </w:r>
      </w:hyperlink>
    </w:p>
    <w:p w14:paraId="103EBE16" w14:textId="77777777" w:rsidR="00880CAB" w:rsidRPr="00B16707" w:rsidRDefault="00880CAB" w:rsidP="006D436E">
      <w:pPr>
        <w:jc w:val="both"/>
        <w:rPr>
          <w:color w:val="000000" w:themeColor="text1"/>
          <w:spacing w:val="-5"/>
          <w:sz w:val="10"/>
          <w:szCs w:val="10"/>
        </w:rPr>
      </w:pPr>
    </w:p>
    <w:p w14:paraId="24FCF538" w14:textId="18432A23" w:rsidR="00F242DA" w:rsidRPr="00BE724F" w:rsidRDefault="00880CAB" w:rsidP="00880CAB">
      <w:pPr>
        <w:spacing w:line="360" w:lineRule="auto"/>
        <w:jc w:val="both"/>
        <w:rPr>
          <w:sz w:val="24"/>
          <w:szCs w:val="24"/>
        </w:rPr>
      </w:pPr>
      <w:r w:rsidRPr="00F172E1">
        <w:rPr>
          <w:sz w:val="24"/>
          <w:szCs w:val="24"/>
        </w:rPr>
        <w:t xml:space="preserve">Harry, P. (2108) </w:t>
      </w:r>
      <w:r w:rsidRPr="00F172E1">
        <w:rPr>
          <w:i/>
          <w:iCs/>
          <w:sz w:val="24"/>
          <w:szCs w:val="24"/>
        </w:rPr>
        <w:t>Law, Liberty and the Constitution: A Brief history of the Common Law</w:t>
      </w:r>
      <w:r>
        <w:rPr>
          <w:i/>
          <w:iCs/>
          <w:sz w:val="24"/>
          <w:szCs w:val="24"/>
        </w:rPr>
        <w:t xml:space="preserve">. </w:t>
      </w:r>
      <w:r>
        <w:rPr>
          <w:sz w:val="24"/>
          <w:szCs w:val="24"/>
        </w:rPr>
        <w:t>United Kingdom: Boydell Press.</w:t>
      </w:r>
    </w:p>
    <w:p w14:paraId="505B895C" w14:textId="1F018474" w:rsidR="006D436E" w:rsidRPr="00BE724F" w:rsidRDefault="00F242DA" w:rsidP="006D436E">
      <w:pPr>
        <w:spacing w:line="360" w:lineRule="auto"/>
        <w:jc w:val="both"/>
        <w:rPr>
          <w:color w:val="000000" w:themeColor="text1"/>
          <w:sz w:val="28"/>
          <w:szCs w:val="28"/>
        </w:rPr>
      </w:pPr>
      <w:r w:rsidRPr="00F242DA">
        <w:rPr>
          <w:color w:val="000000" w:themeColor="text1"/>
          <w:sz w:val="24"/>
          <w:szCs w:val="24"/>
          <w:shd w:val="clear" w:color="auto" w:fill="FFFFFF"/>
        </w:rPr>
        <w:t>Allbon, E. (2020) </w:t>
      </w:r>
      <w:r w:rsidRPr="00F242DA">
        <w:rPr>
          <w:i/>
          <w:iCs/>
          <w:color w:val="000000" w:themeColor="text1"/>
          <w:sz w:val="24"/>
          <w:szCs w:val="24"/>
          <w:shd w:val="clear" w:color="auto" w:fill="FFFFFF"/>
        </w:rPr>
        <w:t>Elliott and Quinnʹs English legal system  </w:t>
      </w:r>
      <w:r w:rsidRPr="00F242DA">
        <w:rPr>
          <w:color w:val="000000" w:themeColor="text1"/>
          <w:sz w:val="24"/>
          <w:szCs w:val="24"/>
          <w:shd w:val="clear" w:color="auto" w:fill="FFFFFF"/>
        </w:rPr>
        <w:t>. Twenty-first edition. Harlow, England :, Pearson c.</w:t>
      </w:r>
    </w:p>
    <w:p w14:paraId="5202932D" w14:textId="1D81FE32" w:rsidR="006D436E" w:rsidRPr="00BE724F" w:rsidRDefault="006D436E" w:rsidP="006D436E">
      <w:pPr>
        <w:spacing w:line="360" w:lineRule="auto"/>
        <w:jc w:val="both"/>
        <w:rPr>
          <w:sz w:val="24"/>
          <w:szCs w:val="24"/>
        </w:rPr>
      </w:pPr>
      <w:r w:rsidRPr="0083606F">
        <w:rPr>
          <w:color w:val="000000" w:themeColor="text1"/>
          <w:sz w:val="24"/>
          <w:szCs w:val="24"/>
          <w:shd w:val="clear" w:color="auto" w:fill="FFFFFF"/>
        </w:rPr>
        <w:t>Incorporated Council of Law Reporting for England and Wales</w:t>
      </w:r>
      <w:r w:rsidRPr="0083606F">
        <w:rPr>
          <w:color w:val="000000" w:themeColor="text1"/>
          <w:sz w:val="28"/>
          <w:szCs w:val="28"/>
        </w:rPr>
        <w:t xml:space="preserve"> </w:t>
      </w:r>
      <w:r w:rsidRPr="007C1FEB">
        <w:rPr>
          <w:sz w:val="24"/>
          <w:szCs w:val="24"/>
        </w:rPr>
        <w:t>(20</w:t>
      </w:r>
      <w:r>
        <w:rPr>
          <w:sz w:val="24"/>
          <w:szCs w:val="24"/>
        </w:rPr>
        <w:t>23</w:t>
      </w:r>
      <w:r w:rsidRPr="007C1FEB">
        <w:rPr>
          <w:sz w:val="24"/>
          <w:szCs w:val="24"/>
        </w:rPr>
        <w:t xml:space="preserve">) </w:t>
      </w:r>
      <w:r>
        <w:rPr>
          <w:i/>
          <w:iCs/>
          <w:sz w:val="24"/>
          <w:szCs w:val="24"/>
        </w:rPr>
        <w:t>The English legal system</w:t>
      </w:r>
      <w:r w:rsidRPr="007C1FEB">
        <w:rPr>
          <w:sz w:val="24"/>
          <w:szCs w:val="24"/>
        </w:rPr>
        <w:t xml:space="preserve">. Available at: </w:t>
      </w:r>
      <w:r w:rsidRPr="0083606F">
        <w:rPr>
          <w:sz w:val="24"/>
          <w:szCs w:val="24"/>
        </w:rPr>
        <w:t>https://www.iclr.co.uk/knowledge/topics/the-english-legal-system/</w:t>
      </w:r>
      <w:r w:rsidRPr="007C1FEB">
        <w:rPr>
          <w:sz w:val="24"/>
          <w:szCs w:val="24"/>
        </w:rPr>
        <w:t xml:space="preserve"> (Accessed: </w:t>
      </w:r>
      <w:r>
        <w:rPr>
          <w:sz w:val="24"/>
          <w:szCs w:val="24"/>
        </w:rPr>
        <w:t>01</w:t>
      </w:r>
      <w:r w:rsidRPr="007C1FEB">
        <w:rPr>
          <w:sz w:val="24"/>
          <w:szCs w:val="24"/>
        </w:rPr>
        <w:t xml:space="preserve"> </w:t>
      </w:r>
      <w:r>
        <w:rPr>
          <w:sz w:val="24"/>
          <w:szCs w:val="24"/>
        </w:rPr>
        <w:t>March</w:t>
      </w:r>
      <w:r w:rsidRPr="007C1FEB">
        <w:rPr>
          <w:sz w:val="24"/>
          <w:szCs w:val="24"/>
        </w:rPr>
        <w:t xml:space="preserve"> 20</w:t>
      </w:r>
      <w:r>
        <w:rPr>
          <w:sz w:val="24"/>
          <w:szCs w:val="24"/>
        </w:rPr>
        <w:t>23</w:t>
      </w:r>
      <w:r w:rsidRPr="007C1FEB">
        <w:rPr>
          <w:sz w:val="24"/>
          <w:szCs w:val="24"/>
        </w:rPr>
        <w:t>).</w:t>
      </w:r>
    </w:p>
    <w:p w14:paraId="7B39FB97" w14:textId="11770185" w:rsidR="006D436E" w:rsidRPr="00BE724F" w:rsidRDefault="00880CAB" w:rsidP="006D436E">
      <w:pPr>
        <w:spacing w:line="360" w:lineRule="auto"/>
        <w:jc w:val="both"/>
        <w:rPr>
          <w:sz w:val="24"/>
          <w:szCs w:val="24"/>
        </w:rPr>
      </w:pPr>
      <w:r>
        <w:rPr>
          <w:sz w:val="24"/>
          <w:szCs w:val="24"/>
        </w:rPr>
        <w:t xml:space="preserve">John, H. (2017) </w:t>
      </w:r>
      <w:r>
        <w:rPr>
          <w:i/>
          <w:iCs/>
          <w:sz w:val="24"/>
          <w:szCs w:val="24"/>
        </w:rPr>
        <w:t xml:space="preserve">The Formation of the English Common Law: Law and Society in England from King Alfred to Magna Carta. </w:t>
      </w:r>
      <w:r w:rsidRPr="009701AE">
        <w:rPr>
          <w:sz w:val="24"/>
          <w:szCs w:val="24"/>
        </w:rPr>
        <w:t>2nd edn. United Kingdom</w:t>
      </w:r>
      <w:r>
        <w:rPr>
          <w:sz w:val="24"/>
          <w:szCs w:val="24"/>
        </w:rPr>
        <w:t>: The Medieval World.</w:t>
      </w:r>
    </w:p>
    <w:p w14:paraId="746BA2B1" w14:textId="0824B275" w:rsidR="00880CAB" w:rsidRPr="00BE724F" w:rsidRDefault="00880CAB" w:rsidP="006D436E">
      <w:pPr>
        <w:spacing w:line="360" w:lineRule="auto"/>
        <w:jc w:val="both"/>
        <w:rPr>
          <w:sz w:val="24"/>
          <w:szCs w:val="24"/>
        </w:rPr>
      </w:pPr>
      <w:r w:rsidRPr="00D07386">
        <w:rPr>
          <w:sz w:val="24"/>
          <w:szCs w:val="24"/>
        </w:rPr>
        <w:t xml:space="preserve">LawTeacher </w:t>
      </w:r>
      <w:r>
        <w:rPr>
          <w:sz w:val="24"/>
          <w:szCs w:val="24"/>
        </w:rPr>
        <w:t>(</w:t>
      </w:r>
      <w:r w:rsidRPr="00D07386">
        <w:rPr>
          <w:sz w:val="24"/>
          <w:szCs w:val="24"/>
        </w:rPr>
        <w:t>2013</w:t>
      </w:r>
      <w:r>
        <w:rPr>
          <w:sz w:val="24"/>
          <w:szCs w:val="24"/>
        </w:rPr>
        <w:t>)</w:t>
      </w:r>
      <w:r w:rsidRPr="00D07386">
        <w:rPr>
          <w:sz w:val="24"/>
          <w:szCs w:val="24"/>
        </w:rPr>
        <w:t xml:space="preserve"> </w:t>
      </w:r>
      <w:r w:rsidRPr="00D07386">
        <w:rPr>
          <w:i/>
          <w:iCs/>
          <w:sz w:val="24"/>
          <w:szCs w:val="24"/>
        </w:rPr>
        <w:t>Donoghue v Stevenson [1932]</w:t>
      </w:r>
      <w:r w:rsidRPr="00D07386">
        <w:rPr>
          <w:sz w:val="24"/>
          <w:szCs w:val="24"/>
        </w:rPr>
        <w:t xml:space="preserve"> </w:t>
      </w:r>
      <w:r w:rsidRPr="00D07386">
        <w:rPr>
          <w:i/>
          <w:iCs/>
          <w:sz w:val="24"/>
          <w:szCs w:val="24"/>
        </w:rPr>
        <w:t>Doctrine of negligence</w:t>
      </w:r>
      <w:r w:rsidRPr="00D07386">
        <w:rPr>
          <w:sz w:val="24"/>
          <w:szCs w:val="24"/>
        </w:rPr>
        <w:t xml:space="preserve">. Available </w:t>
      </w:r>
      <w:r>
        <w:rPr>
          <w:sz w:val="24"/>
          <w:szCs w:val="24"/>
        </w:rPr>
        <w:t>at</w:t>
      </w:r>
      <w:r w:rsidRPr="00D07386">
        <w:rPr>
          <w:sz w:val="24"/>
          <w:szCs w:val="24"/>
        </w:rPr>
        <w:t>:</w:t>
      </w:r>
      <w:r w:rsidRPr="00D07386">
        <w:rPr>
          <w:color w:val="000000" w:themeColor="text1"/>
          <w:sz w:val="24"/>
          <w:szCs w:val="24"/>
        </w:rPr>
        <w:t> </w:t>
      </w:r>
      <w:hyperlink r:id="rId13" w:history="1">
        <w:r w:rsidRPr="00D07386">
          <w:rPr>
            <w:rStyle w:val="Hyperlink"/>
            <w:color w:val="000000" w:themeColor="text1"/>
            <w:sz w:val="24"/>
            <w:szCs w:val="24"/>
            <w:u w:val="none"/>
          </w:rPr>
          <w:t>https://www.lawteacher.net/cases/donoghue-v-stevenson.php?vref=1</w:t>
        </w:r>
      </w:hyperlink>
      <w:r>
        <w:rPr>
          <w:sz w:val="24"/>
          <w:szCs w:val="24"/>
        </w:rPr>
        <w:t>. (</w:t>
      </w:r>
      <w:r w:rsidRPr="00D07386">
        <w:rPr>
          <w:sz w:val="24"/>
          <w:szCs w:val="24"/>
        </w:rPr>
        <w:t>Accessed</w:t>
      </w:r>
      <w:r>
        <w:rPr>
          <w:sz w:val="24"/>
          <w:szCs w:val="24"/>
        </w:rPr>
        <w:t>: 03</w:t>
      </w:r>
      <w:r w:rsidRPr="00D07386">
        <w:rPr>
          <w:sz w:val="24"/>
          <w:szCs w:val="24"/>
        </w:rPr>
        <w:t xml:space="preserve"> M</w:t>
      </w:r>
      <w:r>
        <w:rPr>
          <w:sz w:val="24"/>
          <w:szCs w:val="24"/>
        </w:rPr>
        <w:t>arch</w:t>
      </w:r>
      <w:r w:rsidRPr="00D07386">
        <w:rPr>
          <w:sz w:val="24"/>
          <w:szCs w:val="24"/>
        </w:rPr>
        <w:t xml:space="preserve"> 2023</w:t>
      </w:r>
      <w:r>
        <w:rPr>
          <w:sz w:val="24"/>
          <w:szCs w:val="24"/>
        </w:rPr>
        <w:t>)</w:t>
      </w:r>
      <w:r w:rsidRPr="00D07386">
        <w:rPr>
          <w:sz w:val="24"/>
          <w:szCs w:val="24"/>
        </w:rPr>
        <w:t>.</w:t>
      </w:r>
    </w:p>
    <w:p w14:paraId="2328FF71" w14:textId="49228C68" w:rsidR="006F40C1" w:rsidRDefault="00880CAB" w:rsidP="00880CAB">
      <w:pPr>
        <w:spacing w:line="360" w:lineRule="auto"/>
        <w:jc w:val="both"/>
        <w:rPr>
          <w:sz w:val="24"/>
          <w:szCs w:val="24"/>
        </w:rPr>
      </w:pPr>
      <w:r>
        <w:rPr>
          <w:sz w:val="24"/>
          <w:szCs w:val="24"/>
        </w:rPr>
        <w:t xml:space="preserve">Michael, A. (2004) </w:t>
      </w:r>
      <w:r>
        <w:rPr>
          <w:i/>
          <w:iCs/>
          <w:sz w:val="24"/>
          <w:szCs w:val="24"/>
        </w:rPr>
        <w:t xml:space="preserve">Principles of the Common Law. </w:t>
      </w:r>
      <w:r>
        <w:rPr>
          <w:sz w:val="24"/>
          <w:szCs w:val="24"/>
        </w:rPr>
        <w:t>United Kingdom: Bristol Classical Press.</w:t>
      </w:r>
    </w:p>
    <w:p w14:paraId="69852DC7" w14:textId="5973C392" w:rsidR="0005295D" w:rsidRPr="00BE724F" w:rsidRDefault="006F40C1" w:rsidP="0083606F">
      <w:pPr>
        <w:spacing w:line="360" w:lineRule="auto"/>
        <w:jc w:val="both"/>
        <w:rPr>
          <w:color w:val="000000" w:themeColor="text1"/>
          <w:sz w:val="28"/>
          <w:szCs w:val="28"/>
        </w:rPr>
      </w:pPr>
      <w:r w:rsidRPr="006F40C1">
        <w:rPr>
          <w:color w:val="000000" w:themeColor="text1"/>
          <w:sz w:val="24"/>
          <w:szCs w:val="24"/>
          <w:shd w:val="clear" w:color="auto" w:fill="FFFFFF"/>
        </w:rPr>
        <w:t>Potter, H. (2015) </w:t>
      </w:r>
      <w:r w:rsidRPr="006F40C1">
        <w:rPr>
          <w:i/>
          <w:iCs/>
          <w:color w:val="000000" w:themeColor="text1"/>
          <w:sz w:val="24"/>
          <w:szCs w:val="24"/>
          <w:shd w:val="clear" w:color="auto" w:fill="FFFFFF"/>
        </w:rPr>
        <w:t>Law, liberty and the constitution : a brief history of the common law</w:t>
      </w:r>
      <w:r w:rsidRPr="006F40C1">
        <w:rPr>
          <w:color w:val="000000" w:themeColor="text1"/>
          <w:sz w:val="24"/>
          <w:szCs w:val="24"/>
          <w:shd w:val="clear" w:color="auto" w:fill="FFFFFF"/>
        </w:rPr>
        <w:t>. Suffolk: Boydell &amp; Brewer.</w:t>
      </w:r>
    </w:p>
    <w:p w14:paraId="129824D7" w14:textId="462B3E22" w:rsidR="0005295D" w:rsidRPr="00BE724F" w:rsidRDefault="0005295D" w:rsidP="0083606F">
      <w:pPr>
        <w:spacing w:line="360" w:lineRule="auto"/>
        <w:jc w:val="both"/>
        <w:rPr>
          <w:sz w:val="24"/>
          <w:szCs w:val="24"/>
        </w:rPr>
      </w:pPr>
      <w:r>
        <w:rPr>
          <w:sz w:val="24"/>
          <w:szCs w:val="24"/>
        </w:rPr>
        <w:lastRenderedPageBreak/>
        <w:t>The Common Law and Civil Law Traditions. Available at: </w:t>
      </w:r>
      <w:hyperlink r:id="rId14" w:history="1">
        <w:r w:rsidR="00463524" w:rsidRPr="00463524">
          <w:rPr>
            <w:rStyle w:val="Hyperlink"/>
            <w:color w:val="000000" w:themeColor="text1"/>
            <w:u w:val="none"/>
          </w:rPr>
          <w:t>https://www.law.berkeley.edu/wp-content/uploads/2017/11/CommonLawCivilLawTraditions.pdf</w:t>
        </w:r>
      </w:hyperlink>
      <w:r w:rsidR="00463524" w:rsidRPr="00463524">
        <w:rPr>
          <w:color w:val="000000" w:themeColor="text1"/>
        </w:rPr>
        <w:t> </w:t>
      </w:r>
      <w:r>
        <w:rPr>
          <w:sz w:val="24"/>
          <w:szCs w:val="24"/>
        </w:rPr>
        <w:t>(Accessed:</w:t>
      </w:r>
      <w:r w:rsidR="007F06ED">
        <w:rPr>
          <w:sz w:val="24"/>
          <w:szCs w:val="24"/>
        </w:rPr>
        <w:t> </w:t>
      </w:r>
      <w:r>
        <w:rPr>
          <w:sz w:val="24"/>
          <w:szCs w:val="24"/>
        </w:rPr>
        <w:t>01</w:t>
      </w:r>
      <w:r w:rsidR="007F06ED">
        <w:rPr>
          <w:sz w:val="24"/>
          <w:szCs w:val="24"/>
        </w:rPr>
        <w:t> </w:t>
      </w:r>
      <w:r>
        <w:rPr>
          <w:sz w:val="24"/>
          <w:szCs w:val="24"/>
        </w:rPr>
        <w:t>March 2023).</w:t>
      </w:r>
    </w:p>
    <w:p w14:paraId="382BE877" w14:textId="40C9F42E" w:rsidR="00666871" w:rsidRPr="00880CAB" w:rsidRDefault="002920D0" w:rsidP="00880CAB">
      <w:pPr>
        <w:spacing w:line="360" w:lineRule="auto"/>
        <w:jc w:val="both"/>
        <w:rPr>
          <w:sz w:val="24"/>
          <w:szCs w:val="24"/>
        </w:rPr>
      </w:pPr>
      <w:r w:rsidRPr="00A97EC6">
        <w:rPr>
          <w:i/>
          <w:iCs/>
          <w:sz w:val="24"/>
          <w:szCs w:val="24"/>
        </w:rPr>
        <w:t>The strength of English law and the  UK jurisdiction</w:t>
      </w:r>
      <w:r w:rsidR="00C05099">
        <w:rPr>
          <w:sz w:val="24"/>
          <w:szCs w:val="24"/>
        </w:rPr>
        <w:t xml:space="preserve"> (2017). Available at: </w:t>
      </w:r>
      <w:hyperlink r:id="rId15" w:history="1">
        <w:r w:rsidR="00C05099" w:rsidRPr="00A97EC6">
          <w:rPr>
            <w:rStyle w:val="Hyperlink"/>
            <w:color w:val="000000" w:themeColor="text1"/>
            <w:sz w:val="24"/>
            <w:szCs w:val="24"/>
            <w:u w:val="none"/>
          </w:rPr>
          <w:t>https://www.judiciary.uk/wp-content/uploads/2017/08/legaluk-strength-of-english-law-draft-4-FINAL.pdf</w:t>
        </w:r>
      </w:hyperlink>
      <w:r w:rsidR="00C05099" w:rsidRPr="00A97EC6">
        <w:rPr>
          <w:color w:val="000000" w:themeColor="text1"/>
          <w:sz w:val="24"/>
          <w:szCs w:val="24"/>
        </w:rPr>
        <w:t xml:space="preserve">. </w:t>
      </w:r>
      <w:r w:rsidR="00C05099">
        <w:rPr>
          <w:sz w:val="24"/>
          <w:szCs w:val="24"/>
        </w:rPr>
        <w:t>(Accessed: 02 March 2023).</w:t>
      </w:r>
    </w:p>
    <w:p w14:paraId="00000009" w14:textId="77777777" w:rsidR="002E184E" w:rsidRDefault="002E184E"/>
    <w:sectPr w:rsidR="002E184E">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4F961" w14:textId="77777777" w:rsidR="00453BB7" w:rsidRDefault="00453BB7" w:rsidP="00160B0E">
      <w:pPr>
        <w:spacing w:line="240" w:lineRule="auto"/>
      </w:pPr>
      <w:r>
        <w:separator/>
      </w:r>
    </w:p>
  </w:endnote>
  <w:endnote w:type="continuationSeparator" w:id="0">
    <w:p w14:paraId="33A18C6A" w14:textId="77777777" w:rsidR="00453BB7" w:rsidRDefault="00453BB7" w:rsidP="00160B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6307326"/>
      <w:docPartObj>
        <w:docPartGallery w:val="Page Numbers (Bottom of Page)"/>
        <w:docPartUnique/>
      </w:docPartObj>
    </w:sdtPr>
    <w:sdtEndPr>
      <w:rPr>
        <w:noProof/>
      </w:rPr>
    </w:sdtEndPr>
    <w:sdtContent>
      <w:p w14:paraId="7BA56111" w14:textId="4972B1D5" w:rsidR="00160B0E" w:rsidRDefault="00160B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D3531B" w14:textId="77777777" w:rsidR="00160B0E" w:rsidRDefault="00160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849EF" w14:textId="77777777" w:rsidR="00453BB7" w:rsidRDefault="00453BB7" w:rsidP="00160B0E">
      <w:pPr>
        <w:spacing w:line="240" w:lineRule="auto"/>
      </w:pPr>
      <w:r>
        <w:separator/>
      </w:r>
    </w:p>
  </w:footnote>
  <w:footnote w:type="continuationSeparator" w:id="0">
    <w:p w14:paraId="01D5D7A7" w14:textId="77777777" w:rsidR="00453BB7" w:rsidRDefault="00453BB7" w:rsidP="00160B0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84E"/>
    <w:rsid w:val="0001000D"/>
    <w:rsid w:val="0001362B"/>
    <w:rsid w:val="00030A30"/>
    <w:rsid w:val="0005295D"/>
    <w:rsid w:val="000B44CE"/>
    <w:rsid w:val="000E74FB"/>
    <w:rsid w:val="001544D1"/>
    <w:rsid w:val="00160B0E"/>
    <w:rsid w:val="001B0D2C"/>
    <w:rsid w:val="00243B3D"/>
    <w:rsid w:val="00246BB2"/>
    <w:rsid w:val="002920D0"/>
    <w:rsid w:val="002E0414"/>
    <w:rsid w:val="002E184E"/>
    <w:rsid w:val="003437ED"/>
    <w:rsid w:val="003A093C"/>
    <w:rsid w:val="00453027"/>
    <w:rsid w:val="00453BB7"/>
    <w:rsid w:val="00463524"/>
    <w:rsid w:val="00481543"/>
    <w:rsid w:val="004D1CF9"/>
    <w:rsid w:val="00506704"/>
    <w:rsid w:val="005361EE"/>
    <w:rsid w:val="00542288"/>
    <w:rsid w:val="005A1526"/>
    <w:rsid w:val="005A4151"/>
    <w:rsid w:val="006242AD"/>
    <w:rsid w:val="00633EE8"/>
    <w:rsid w:val="006344F5"/>
    <w:rsid w:val="00666871"/>
    <w:rsid w:val="006B7259"/>
    <w:rsid w:val="006D436E"/>
    <w:rsid w:val="006F40C1"/>
    <w:rsid w:val="007E3E92"/>
    <w:rsid w:val="007F0689"/>
    <w:rsid w:val="007F06ED"/>
    <w:rsid w:val="00816C24"/>
    <w:rsid w:val="0083606F"/>
    <w:rsid w:val="0083648B"/>
    <w:rsid w:val="00855D8E"/>
    <w:rsid w:val="00880CAB"/>
    <w:rsid w:val="00930467"/>
    <w:rsid w:val="009701AE"/>
    <w:rsid w:val="009D1B65"/>
    <w:rsid w:val="00A26AC5"/>
    <w:rsid w:val="00A95A52"/>
    <w:rsid w:val="00A97EC6"/>
    <w:rsid w:val="00AF587C"/>
    <w:rsid w:val="00B112F6"/>
    <w:rsid w:val="00B16707"/>
    <w:rsid w:val="00B40CE6"/>
    <w:rsid w:val="00B424F3"/>
    <w:rsid w:val="00B42708"/>
    <w:rsid w:val="00B566E8"/>
    <w:rsid w:val="00BE724F"/>
    <w:rsid w:val="00C05099"/>
    <w:rsid w:val="00CA7C49"/>
    <w:rsid w:val="00CD2B5A"/>
    <w:rsid w:val="00D07386"/>
    <w:rsid w:val="00D27289"/>
    <w:rsid w:val="00D907ED"/>
    <w:rsid w:val="00DA2627"/>
    <w:rsid w:val="00E12BBB"/>
    <w:rsid w:val="00E162CF"/>
    <w:rsid w:val="00ED068A"/>
    <w:rsid w:val="00EE55AF"/>
    <w:rsid w:val="00F172E1"/>
    <w:rsid w:val="00F242DA"/>
    <w:rsid w:val="00F3449A"/>
    <w:rsid w:val="00FA0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3118F"/>
  <w15:docId w15:val="{85A57677-8EC8-4170-BAF6-BECE7CB31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Normal1">
    <w:name w:val="Normal1"/>
    <w:rsid w:val="00542288"/>
    <w:pPr>
      <w:spacing w:line="360" w:lineRule="auto"/>
      <w:jc w:val="both"/>
    </w:pPr>
    <w:rPr>
      <w:rFonts w:ascii="Times New Roman" w:eastAsia="Times New Roman" w:hAnsi="Times New Roman" w:cs="Times New Roman"/>
      <w:sz w:val="24"/>
      <w:szCs w:val="24"/>
      <w:lang w:val="en-GB" w:eastAsia="en-IN"/>
    </w:rPr>
  </w:style>
  <w:style w:type="character" w:customStyle="1" w:styleId="TitleChar">
    <w:name w:val="Title Char"/>
    <w:basedOn w:val="DefaultParagraphFont"/>
    <w:link w:val="Title"/>
    <w:rsid w:val="00542288"/>
    <w:rPr>
      <w:sz w:val="52"/>
      <w:szCs w:val="52"/>
    </w:rPr>
  </w:style>
  <w:style w:type="paragraph" w:styleId="Bibliography">
    <w:name w:val="Bibliography"/>
    <w:basedOn w:val="Normal"/>
    <w:next w:val="Normal"/>
    <w:uiPriority w:val="37"/>
    <w:semiHidden/>
    <w:unhideWhenUsed/>
    <w:rsid w:val="00D27289"/>
    <w:pPr>
      <w:spacing w:after="160" w:line="259" w:lineRule="auto"/>
    </w:pPr>
    <w:rPr>
      <w:rFonts w:asciiTheme="minorHAnsi" w:eastAsiaTheme="minorHAnsi" w:hAnsiTheme="minorHAnsi" w:cstheme="minorBidi"/>
      <w:lang w:val="en-GB" w:eastAsia="en-US"/>
    </w:rPr>
  </w:style>
  <w:style w:type="character" w:styleId="Hyperlink">
    <w:name w:val="Hyperlink"/>
    <w:basedOn w:val="DefaultParagraphFont"/>
    <w:uiPriority w:val="99"/>
    <w:unhideWhenUsed/>
    <w:rsid w:val="00D27289"/>
    <w:rPr>
      <w:color w:val="0000FF" w:themeColor="hyperlink"/>
      <w:u w:val="single"/>
    </w:rPr>
  </w:style>
  <w:style w:type="character" w:styleId="UnresolvedMention">
    <w:name w:val="Unresolved Mention"/>
    <w:basedOn w:val="DefaultParagraphFont"/>
    <w:uiPriority w:val="99"/>
    <w:semiHidden/>
    <w:unhideWhenUsed/>
    <w:rsid w:val="00633EE8"/>
    <w:rPr>
      <w:color w:val="605E5C"/>
      <w:shd w:val="clear" w:color="auto" w:fill="E1DFDD"/>
    </w:rPr>
  </w:style>
  <w:style w:type="paragraph" w:styleId="Header">
    <w:name w:val="header"/>
    <w:basedOn w:val="Normal"/>
    <w:link w:val="HeaderChar"/>
    <w:uiPriority w:val="99"/>
    <w:unhideWhenUsed/>
    <w:rsid w:val="00160B0E"/>
    <w:pPr>
      <w:tabs>
        <w:tab w:val="center" w:pos="4513"/>
        <w:tab w:val="right" w:pos="9026"/>
      </w:tabs>
      <w:spacing w:line="240" w:lineRule="auto"/>
    </w:pPr>
  </w:style>
  <w:style w:type="character" w:customStyle="1" w:styleId="HeaderChar">
    <w:name w:val="Header Char"/>
    <w:basedOn w:val="DefaultParagraphFont"/>
    <w:link w:val="Header"/>
    <w:uiPriority w:val="99"/>
    <w:rsid w:val="00160B0E"/>
  </w:style>
  <w:style w:type="paragraph" w:styleId="Footer">
    <w:name w:val="footer"/>
    <w:basedOn w:val="Normal"/>
    <w:link w:val="FooterChar"/>
    <w:uiPriority w:val="99"/>
    <w:unhideWhenUsed/>
    <w:rsid w:val="00160B0E"/>
    <w:pPr>
      <w:tabs>
        <w:tab w:val="center" w:pos="4513"/>
        <w:tab w:val="right" w:pos="9026"/>
      </w:tabs>
      <w:spacing w:line="240" w:lineRule="auto"/>
    </w:pPr>
  </w:style>
  <w:style w:type="character" w:customStyle="1" w:styleId="FooterChar">
    <w:name w:val="Footer Char"/>
    <w:basedOn w:val="DefaultParagraphFont"/>
    <w:link w:val="Footer"/>
    <w:uiPriority w:val="99"/>
    <w:rsid w:val="00160B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2606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22/feb/12/what-is-common-law-and-why-is-it-being-misinterpreted" TargetMode="External"/><Relationship Id="rId13" Type="http://schemas.openxmlformats.org/officeDocument/2006/relationships/hyperlink" Target="https://www.lawteacher.net/cases/donoghue-v-stevenson.php?vref=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doi.org/10.2307/838275"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ourtroomadvice.co.uk/common-law-england.html" TargetMode="External"/><Relationship Id="rId5" Type="http://schemas.openxmlformats.org/officeDocument/2006/relationships/endnotes" Target="endnotes.xml"/><Relationship Id="rId15" Type="http://schemas.openxmlformats.org/officeDocument/2006/relationships/hyperlink" Target="https://www.judiciary.uk/wp-content/uploads/2017/08/legaluk-strength-of-english-law-draft-4-FINAL.pdf" TargetMode="External"/><Relationship Id="rId10" Type="http://schemas.openxmlformats.org/officeDocument/2006/relationships/hyperlink" Target="https://www.carlsonssolicitors.com/news/2021/7/12/litigation-under-a-codified-system-civil-law-vs-common-law" TargetMode="External"/><Relationship Id="rId4" Type="http://schemas.openxmlformats.org/officeDocument/2006/relationships/footnotes" Target="footnotes.xml"/><Relationship Id="rId9" Type="http://schemas.openxmlformats.org/officeDocument/2006/relationships/hyperlink" Target="https://doi.org/10.5334/ujiel.451" TargetMode="External"/><Relationship Id="rId14" Type="http://schemas.openxmlformats.org/officeDocument/2006/relationships/hyperlink" Target="https://www.law.berkeley.edu/wp-content/uploads/2017/11/CommonLawCivilLawTradi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170</TotalTime>
  <Pages>7</Pages>
  <Words>2172</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Calin (2207380)</cp:lastModifiedBy>
  <cp:revision>66</cp:revision>
  <dcterms:created xsi:type="dcterms:W3CDTF">2023-05-25T17:12:00Z</dcterms:created>
  <dcterms:modified xsi:type="dcterms:W3CDTF">2023-05-27T17:46:00Z</dcterms:modified>
</cp:coreProperties>
</file>