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40A3" w:rsidRDefault="00F1222D" w:rsidP="009B5D46">
      <w:pPr>
        <w:spacing w:line="480" w:lineRule="auto"/>
      </w:pPr>
      <w:r w:rsidRPr="009C4A2C">
        <w:rPr>
          <w:u w:val="single"/>
        </w:rPr>
        <w:t xml:space="preserve">Choosing a case study of your choice drawn from the Bronze Age </w:t>
      </w:r>
      <w:r w:rsidR="004E65F1" w:rsidRPr="009C4A2C">
        <w:rPr>
          <w:u w:val="single"/>
        </w:rPr>
        <w:t>Mediterranean</w:t>
      </w:r>
      <w:r w:rsidRPr="009C4A2C">
        <w:rPr>
          <w:u w:val="single"/>
        </w:rPr>
        <w:t>, (Aegean, Cyprus or The Levant) con</w:t>
      </w:r>
      <w:r w:rsidR="005848C9">
        <w:rPr>
          <w:u w:val="single"/>
        </w:rPr>
        <w:t>s</w:t>
      </w:r>
      <w:r w:rsidRPr="009C4A2C">
        <w:rPr>
          <w:u w:val="single"/>
        </w:rPr>
        <w:t>ider how theoretical perspectives might help archaeologists interpret ritual and ceremony in palatial contexts</w:t>
      </w:r>
      <w:r>
        <w:t xml:space="preserve">. </w:t>
      </w:r>
    </w:p>
    <w:p w:rsidR="009C4A2C" w:rsidRPr="009C4A2C" w:rsidRDefault="009C4A2C" w:rsidP="009B5D46">
      <w:pPr>
        <w:spacing w:line="480" w:lineRule="auto"/>
        <w:rPr>
          <w:b/>
          <w:i/>
          <w:u w:val="single"/>
        </w:rPr>
      </w:pPr>
      <w:r w:rsidRPr="009C4A2C">
        <w:rPr>
          <w:b/>
          <w:u w:val="single"/>
        </w:rPr>
        <w:t xml:space="preserve">How </w:t>
      </w:r>
      <w:r w:rsidRPr="009C4A2C">
        <w:rPr>
          <w:b/>
          <w:i/>
          <w:u w:val="single"/>
        </w:rPr>
        <w:t>theoretical perspectives</w:t>
      </w:r>
      <w:r w:rsidRPr="009C4A2C">
        <w:rPr>
          <w:b/>
          <w:u w:val="single"/>
        </w:rPr>
        <w:t xml:space="preserve"> can help </w:t>
      </w:r>
      <w:r w:rsidRPr="009C4A2C">
        <w:rPr>
          <w:b/>
          <w:i/>
          <w:u w:val="single"/>
        </w:rPr>
        <w:t>archaeologists</w:t>
      </w:r>
      <w:r w:rsidRPr="009C4A2C">
        <w:rPr>
          <w:b/>
          <w:u w:val="single"/>
        </w:rPr>
        <w:t xml:space="preserve"> interpret </w:t>
      </w:r>
      <w:r w:rsidR="007E55C2">
        <w:rPr>
          <w:b/>
          <w:u w:val="single"/>
        </w:rPr>
        <w:t xml:space="preserve">ritual and ceremony in </w:t>
      </w:r>
      <w:r w:rsidRPr="009C4A2C">
        <w:rPr>
          <w:b/>
          <w:i/>
          <w:u w:val="single"/>
        </w:rPr>
        <w:t xml:space="preserve">Minoan and </w:t>
      </w:r>
      <w:proofErr w:type="spellStart"/>
      <w:r w:rsidRPr="009C4A2C">
        <w:rPr>
          <w:b/>
          <w:i/>
          <w:u w:val="single"/>
        </w:rPr>
        <w:t>Mycenean</w:t>
      </w:r>
      <w:proofErr w:type="spellEnd"/>
      <w:r w:rsidRPr="009C4A2C">
        <w:rPr>
          <w:b/>
          <w:i/>
          <w:u w:val="single"/>
        </w:rPr>
        <w:t xml:space="preserve"> palaces.</w:t>
      </w:r>
      <w:r w:rsidR="007E55C2">
        <w:rPr>
          <w:b/>
          <w:i/>
          <w:u w:val="single"/>
        </w:rPr>
        <w:t xml:space="preserve"> (The Palace of Minos, Knossos)</w:t>
      </w:r>
    </w:p>
    <w:p w:rsidR="004E65F1" w:rsidRDefault="004E65F1" w:rsidP="009B5D46">
      <w:pPr>
        <w:spacing w:line="480" w:lineRule="auto"/>
      </w:pPr>
      <w:r>
        <w:t xml:space="preserve">Throughout this essay, I will be explaining a number of theories, and how these theories can assist archaeologists in interpreting ritual practices in an Aegean palatial setting. </w:t>
      </w:r>
      <w:r w:rsidR="00C13CA6">
        <w:t>Some of the anthrop</w:t>
      </w:r>
      <w:r>
        <w:t>o</w:t>
      </w:r>
      <w:r w:rsidR="00C13CA6">
        <w:t>lo</w:t>
      </w:r>
      <w:r>
        <w:t xml:space="preserve">gical theories that I think would be relevant to aid to the interpretation of rituals in the palace of Knossos would be </w:t>
      </w:r>
      <w:r w:rsidR="00D80272">
        <w:t xml:space="preserve">material culture and memory and </w:t>
      </w:r>
      <w:r>
        <w:t>structured depositi</w:t>
      </w:r>
      <w:r w:rsidR="00266326">
        <w:t>on. In my opinion, t</w:t>
      </w:r>
      <w:r>
        <w:t xml:space="preserve">hese are the most relevant in relation to the palace of Minos </w:t>
      </w:r>
      <w:r w:rsidR="00266326">
        <w:t>because</w:t>
      </w:r>
      <w:r>
        <w:t xml:space="preserve"> </w:t>
      </w:r>
      <w:r w:rsidR="00266326">
        <w:t>they are easily fitted into a palatial context as a lot of information from these settings is derived from the artefacts and the placement of objects on the site. These factors can give us a lot of information about the particular site and allows archaeologists to interpret the site further with the addition of any background knowledge they have; the artefacts simply prove or disprove what their original thought or hypothesis about t</w:t>
      </w:r>
      <w:r w:rsidR="00B51E0A">
        <w:t xml:space="preserve">he site, which is </w:t>
      </w:r>
      <w:r w:rsidR="00890504">
        <w:t xml:space="preserve">important when dealing with palaces because each palace may have a different purpose or work in different ways. </w:t>
      </w:r>
    </w:p>
    <w:p w:rsidR="005848C9" w:rsidRDefault="00DB38C7" w:rsidP="009B5D46">
      <w:pPr>
        <w:spacing w:line="480" w:lineRule="auto"/>
      </w:pPr>
      <w:r>
        <w:t>In the ancient world, palaces were an incredibly important part of society and the landscape.</w:t>
      </w:r>
      <w:r w:rsidR="00266326">
        <w:t xml:space="preserve"> They are hold a variety of </w:t>
      </w:r>
      <w:r w:rsidR="00D609A6">
        <w:t>purposes such as residences to the elite members of society, ceremonial or religious centres and redistribution centres</w:t>
      </w:r>
      <w:r w:rsidR="00266326">
        <w:rPr>
          <w:rStyle w:val="FootnoteReference"/>
        </w:rPr>
        <w:footnoteReference w:id="1"/>
      </w:r>
      <w:r w:rsidR="00D609A6">
        <w:t xml:space="preserve">. </w:t>
      </w:r>
      <w:r>
        <w:t>The first palaces in the Aegean were administered in the old palatial period, and the proto-palatial period. These palaces tended to be built within the period of when states were first being formed in between 1900 and 1700BC</w:t>
      </w:r>
      <w:r>
        <w:rPr>
          <w:rStyle w:val="FootnoteReference"/>
        </w:rPr>
        <w:footnoteReference w:id="2"/>
      </w:r>
      <w:r>
        <w:t xml:space="preserve">. The second palaces of the Aegean consist mainly of the famous architectural remains that can be seen at the sites today, and were administered between 1700 and approximately 1500/1425BC. These palaces were </w:t>
      </w:r>
      <w:r>
        <w:lastRenderedPageBreak/>
        <w:t>constructed in the time periods known as the neo-palatial period and the new palace period.</w:t>
      </w:r>
      <w:r>
        <w:rPr>
          <w:rStyle w:val="FootnoteReference"/>
        </w:rPr>
        <w:footnoteReference w:id="3"/>
      </w:r>
      <w:r w:rsidR="00C13CA6">
        <w:t xml:space="preserve"> Minoan palaces in particular tended to be large central buildings with beautiful, often repetitive architecture, with the purpose of creating a wide ceremonial space of worship, mostly through ritual.</w:t>
      </w:r>
    </w:p>
    <w:p w:rsidR="0098237C" w:rsidRPr="00DB38C7" w:rsidRDefault="00890504" w:rsidP="009B5D46">
      <w:pPr>
        <w:spacing w:line="480" w:lineRule="auto"/>
      </w:pPr>
      <w:r>
        <w:t xml:space="preserve">Rituals were also an important aspect of Minoan life. </w:t>
      </w:r>
      <w:r w:rsidR="00C13CA6">
        <w:t>The term “ritual” refers to a physical action or movement, and can involve the combination of knowledge and communication. A ritual or ceremonial performance is usually related in some way to a religious aspect and involves some arrangement of a routine,</w:t>
      </w:r>
      <w:r>
        <w:t xml:space="preserve"> often</w:t>
      </w:r>
      <w:r w:rsidR="00C13CA6">
        <w:t xml:space="preserve"> at a designated time, whether </w:t>
      </w:r>
      <w:r>
        <w:t>it</w:t>
      </w:r>
      <w:r w:rsidR="00C13CA6">
        <w:t xml:space="preserve"> be daily, monthly or yearly. It also tends to involve specialised equipment </w:t>
      </w:r>
      <w:r>
        <w:t xml:space="preserve">(such as amulets) </w:t>
      </w:r>
      <w:r w:rsidR="00C13CA6">
        <w:t>and an altered manner of the common form of speech</w:t>
      </w:r>
      <w:r w:rsidR="00C63769">
        <w:t>. The ritual is usually carried out in a certain wide space and in a Minoan palace, this was usually the Central Court, which in many palaces is located in the very centre of the palace and is what all rooms and corridors eventually lead to.</w:t>
      </w:r>
      <w:r w:rsidR="00036A90">
        <w:t xml:space="preserve"> All palaces tended to be built around the central court on the north-south alignment</w:t>
      </w:r>
      <w:r w:rsidR="00036A90" w:rsidRPr="00036A90">
        <w:t xml:space="preserve"> </w:t>
      </w:r>
      <w:r w:rsidR="00036A90">
        <w:t xml:space="preserve">and usually hold similar features to one another. </w:t>
      </w:r>
      <w:r w:rsidR="0098237C">
        <w:t>The rituals that were performed in these courts were so incredibly important, that they dictated the architectural layout of the entire building.</w:t>
      </w:r>
      <w:r w:rsidR="00266326">
        <w:t xml:space="preserve"> In ancient times, rituals were often used as a combination of both being part of a religious aid, and as a kind of performance for others. </w:t>
      </w:r>
    </w:p>
    <w:p w:rsidR="00036A90" w:rsidRDefault="00036A90" w:rsidP="009B5D46">
      <w:pPr>
        <w:spacing w:line="480" w:lineRule="auto"/>
      </w:pPr>
      <w:r>
        <w:t>Althou</w:t>
      </w:r>
      <w:r w:rsidR="0098237C">
        <w:t>gh there are hundreds of palaces</w:t>
      </w:r>
      <w:r>
        <w:t xml:space="preserve"> in the Aegean such as the</w:t>
      </w:r>
      <w:r w:rsidR="0098237C">
        <w:t xml:space="preserve"> architecturally pleasing </w:t>
      </w:r>
      <w:proofErr w:type="spellStart"/>
      <w:r w:rsidR="0098237C">
        <w:t>Ayia</w:t>
      </w:r>
      <w:proofErr w:type="spellEnd"/>
      <w:r w:rsidR="0098237C">
        <w:t xml:space="preserve"> </w:t>
      </w:r>
      <w:proofErr w:type="spellStart"/>
      <w:r w:rsidR="0098237C">
        <w:t>Triadha</w:t>
      </w:r>
      <w:proofErr w:type="spellEnd"/>
      <w:r w:rsidR="0098237C">
        <w:t xml:space="preserve"> and th</w:t>
      </w:r>
      <w:r w:rsidR="00F57FCB">
        <w:t xml:space="preserve">e well-covered plains of </w:t>
      </w:r>
      <w:proofErr w:type="spellStart"/>
      <w:r w:rsidR="00F57FCB">
        <w:t>Mallia</w:t>
      </w:r>
      <w:proofErr w:type="spellEnd"/>
      <w:r w:rsidR="00F57FCB">
        <w:t xml:space="preserve">, </w:t>
      </w:r>
      <w:r>
        <w:t xml:space="preserve">the Palace of Minos (at Knossos) is worth the most focus due to its interesting and rich heritage of ritual practices and religious </w:t>
      </w:r>
      <w:r w:rsidR="00607928">
        <w:t>tendencies</w:t>
      </w:r>
      <w:r w:rsidR="00F57FCB">
        <w:t>.</w:t>
      </w:r>
    </w:p>
    <w:p w:rsidR="00D75F17" w:rsidRDefault="00746FAF" w:rsidP="009B5D46">
      <w:pPr>
        <w:spacing w:line="480" w:lineRule="auto"/>
      </w:pPr>
      <w:r>
        <w:t>Warren states that palaces are “one of the best sources of information about the social structure and culture of Bronze Age Crete”</w:t>
      </w:r>
      <w:r w:rsidR="004F69BB">
        <w:rPr>
          <w:rStyle w:val="FootnoteReference"/>
        </w:rPr>
        <w:footnoteReference w:id="4"/>
      </w:r>
      <w:r w:rsidR="004F69BB">
        <w:t>, and further research states that palaces most likely had significant control over both rich foreign trade and agriculture</w:t>
      </w:r>
      <w:r w:rsidR="004F69BB">
        <w:rPr>
          <w:rStyle w:val="FootnoteReference"/>
        </w:rPr>
        <w:footnoteReference w:id="5"/>
      </w:r>
      <w:r w:rsidR="004F69BB">
        <w:t xml:space="preserve">, which is clearly evident in the grand palace at Knossos. </w:t>
      </w:r>
      <w:r>
        <w:t xml:space="preserve">The Palace of Minos, Knossos was discovered in 1878 by Minos </w:t>
      </w:r>
      <w:proofErr w:type="spellStart"/>
      <w:r>
        <w:t>Kalokairinos</w:t>
      </w:r>
      <w:proofErr w:type="spellEnd"/>
      <w:r>
        <w:t xml:space="preserve"> and </w:t>
      </w:r>
      <w:r>
        <w:lastRenderedPageBreak/>
        <w:t>was first excavated by the English archaeologist Sir Arthur Evans in 1900. The excavation took 35 years in total to complete.</w:t>
      </w:r>
      <w:r>
        <w:rPr>
          <w:rStyle w:val="FootnoteReference"/>
        </w:rPr>
        <w:footnoteReference w:id="6"/>
      </w:r>
      <w:r>
        <w:t xml:space="preserve"> The palace can be found on a hill, which would have been an advantage to the ancient Minoans as this was located close to the sea, but was far enough away if they ever needed to escape from pirates or could defend themselves against any invaders. This location also had access to a fresh water supply and </w:t>
      </w:r>
      <w:r w:rsidR="004F69BB">
        <w:t>it</w:t>
      </w:r>
      <w:r>
        <w:t>s ground luckily had a rich farming land so the society was able to thrive.</w:t>
      </w:r>
      <w:r>
        <w:rPr>
          <w:rStyle w:val="FootnoteReference"/>
        </w:rPr>
        <w:footnoteReference w:id="7"/>
      </w:r>
      <w:r>
        <w:t xml:space="preserve"> </w:t>
      </w:r>
      <w:r w:rsidR="004F69BB">
        <w:t xml:space="preserve">The palace itself is one of the </w:t>
      </w:r>
      <w:r w:rsidR="00D75F17">
        <w:t xml:space="preserve">most complicated and </w:t>
      </w:r>
      <w:r w:rsidR="004F69BB">
        <w:t xml:space="preserve">largest palaces in Crete being twice the size of the palaces at </w:t>
      </w:r>
      <w:proofErr w:type="spellStart"/>
      <w:r w:rsidR="004F69BB">
        <w:t>Mallia</w:t>
      </w:r>
      <w:proofErr w:type="spellEnd"/>
      <w:r w:rsidR="004F69BB">
        <w:t xml:space="preserve"> (discovered in 1915</w:t>
      </w:r>
      <w:r w:rsidR="00D75F17">
        <w:rPr>
          <w:rStyle w:val="FootnoteReference"/>
        </w:rPr>
        <w:footnoteReference w:id="8"/>
      </w:r>
      <w:r w:rsidR="004F69BB">
        <w:t>) and Phaistos</w:t>
      </w:r>
      <w:r w:rsidR="00607928">
        <w:t xml:space="preserve"> </w:t>
      </w:r>
      <w:r w:rsidR="009B5D46">
        <w:t>(</w:t>
      </w:r>
      <w:r w:rsidR="004F69BB">
        <w:t>discovered in 1901</w:t>
      </w:r>
      <w:r w:rsidR="00D75F17">
        <w:rPr>
          <w:rStyle w:val="FootnoteReference"/>
        </w:rPr>
        <w:footnoteReference w:id="9"/>
      </w:r>
      <w:r w:rsidR="004F69BB">
        <w:t xml:space="preserve">), four times the size of the palace at </w:t>
      </w:r>
      <w:proofErr w:type="spellStart"/>
      <w:r w:rsidR="004F69BB">
        <w:t>Zakros</w:t>
      </w:r>
      <w:proofErr w:type="spellEnd"/>
      <w:r w:rsidR="004F69BB">
        <w:t xml:space="preserve"> (discovered in 1963</w:t>
      </w:r>
      <w:r w:rsidR="00D75F17">
        <w:rPr>
          <w:rStyle w:val="FootnoteReference"/>
        </w:rPr>
        <w:footnoteReference w:id="10"/>
      </w:r>
      <w:r w:rsidR="004F69BB">
        <w:t xml:space="preserve">) and seven times the size of the smaller palace at </w:t>
      </w:r>
      <w:proofErr w:type="spellStart"/>
      <w:r w:rsidR="004F69BB">
        <w:t>Gournia</w:t>
      </w:r>
      <w:proofErr w:type="spellEnd"/>
      <w:r w:rsidR="004F69BB">
        <w:rPr>
          <w:rStyle w:val="FootnoteReference"/>
        </w:rPr>
        <w:footnoteReference w:id="11"/>
      </w:r>
      <w:r w:rsidR="004F69BB">
        <w:t xml:space="preserve"> (discovered in 1907)</w:t>
      </w:r>
      <w:r w:rsidR="004F69BB">
        <w:rPr>
          <w:rStyle w:val="FootnoteReference"/>
        </w:rPr>
        <w:footnoteReference w:id="12"/>
      </w:r>
      <w:r w:rsidR="004F69BB">
        <w:t xml:space="preserve">.  During excavation of the site, Arthur Evans attempted to do a reconstruction of the prehistoric Cretan landscape as a kingdom that was supposedly </w:t>
      </w:r>
      <w:r w:rsidR="00D75F17">
        <w:t>based on a hereditary monarchy</w:t>
      </w:r>
      <w:r w:rsidR="00D75F17">
        <w:rPr>
          <w:rStyle w:val="FootnoteReference"/>
        </w:rPr>
        <w:footnoteReference w:id="13"/>
      </w:r>
      <w:r w:rsidR="00D75F17">
        <w:t xml:space="preserve"> as Knossos is considered to be an ancient ancestral site</w:t>
      </w:r>
      <w:r w:rsidR="00D75F17">
        <w:rPr>
          <w:rStyle w:val="FootnoteReference"/>
        </w:rPr>
        <w:footnoteReference w:id="14"/>
      </w:r>
      <w:r w:rsidR="00D75F17">
        <w:t xml:space="preserve">. </w:t>
      </w:r>
    </w:p>
    <w:p w:rsidR="00890504" w:rsidRDefault="00D75F17" w:rsidP="009B5D46">
      <w:pPr>
        <w:spacing w:line="480" w:lineRule="auto"/>
      </w:pPr>
      <w:r>
        <w:t xml:space="preserve">Although this grand palace has a number of incredible and interesting </w:t>
      </w:r>
      <w:r w:rsidR="003F0783">
        <w:t>rooms and spaces</w:t>
      </w:r>
      <w:r>
        <w:t xml:space="preserve">, some of the main features that have been amplified and hold consistent evidence of ritual practice and ceremonies compared to similar palaces of </w:t>
      </w:r>
      <w:r w:rsidR="00CF0073">
        <w:t>the Cretan area</w:t>
      </w:r>
      <w:r>
        <w:t xml:space="preserve"> include the Central court, the Throne Room and the Pillar Crypts</w:t>
      </w:r>
      <w:r w:rsidR="003F0783">
        <w:t>.</w:t>
      </w:r>
    </w:p>
    <w:p w:rsidR="00E94A21" w:rsidRDefault="006B3652" w:rsidP="009B5D46">
      <w:pPr>
        <w:spacing w:line="480" w:lineRule="auto"/>
      </w:pPr>
      <w:r>
        <w:t xml:space="preserve"> The </w:t>
      </w:r>
      <w:r w:rsidR="00CF0073">
        <w:t>Central Court</w:t>
      </w:r>
      <w:r>
        <w:t xml:space="preserve"> was considered the mos</w:t>
      </w:r>
      <w:r w:rsidR="006B4944">
        <w:t xml:space="preserve">t important space in the palace, and it is located at the very centre. The Central Courts main focus was the gathering of people and ceremonial use. It held a large area for rituals of eating and drinking, along with spiritual cleansing. To begin with, the surrounding architecture of the court such as pillars and doors acted as screens for people who wished to have private rituals, however the public were able to see the rituals and ceremonies </w:t>
      </w:r>
      <w:r w:rsidR="006B4944">
        <w:lastRenderedPageBreak/>
        <w:t>taking place from the outside of the palace</w:t>
      </w:r>
      <w:r w:rsidR="00662AF2">
        <w:t xml:space="preserve"> if they wanted to</w:t>
      </w:r>
      <w:r w:rsidR="006B4944">
        <w:t>. According to archaeological evidence, there is proof that the walls surrounding the palace were raised so that the public could no longer see what was happening inside and the central court was completely screened off from the outside world to create a larger sense of privacy for the people undergoing rituals on the inside</w:t>
      </w:r>
      <w:r w:rsidR="00662AF2">
        <w:rPr>
          <w:rStyle w:val="FootnoteReference"/>
        </w:rPr>
        <w:footnoteReference w:id="15"/>
      </w:r>
      <w:r w:rsidR="006B4944">
        <w:t xml:space="preserve">. </w:t>
      </w:r>
      <w:r w:rsidR="00662AF2">
        <w:t xml:space="preserve">The manipulation of the rituals through this constructed space suggests that these ceremonies were specially and temporarily </w:t>
      </w:r>
      <w:r w:rsidR="00AC3BC0">
        <w:t xml:space="preserve">controlled </w:t>
      </w:r>
      <w:r w:rsidR="00AC3BC0">
        <w:rPr>
          <w:rStyle w:val="FootnoteReference"/>
        </w:rPr>
        <w:footnoteReference w:id="16"/>
      </w:r>
      <w:r w:rsidR="00662AF2">
        <w:t>by a certain social group rather than just one leader. This strict control was maintained by only allowing participation in ritual by selection only.</w:t>
      </w:r>
      <w:r w:rsidR="00662AF2">
        <w:rPr>
          <w:rStyle w:val="FootnoteReference"/>
        </w:rPr>
        <w:footnoteReference w:id="17"/>
      </w:r>
      <w:r w:rsidR="00662AF2">
        <w:t xml:space="preserve"> There are many other ideas as to what the court was used for, including bull games, peaceful ceremonies, dances, sacrifices or even something as simply innocent as astronomical observation.</w:t>
      </w:r>
      <w:r w:rsidR="00AC3BC0">
        <w:t xml:space="preserve"> It is clear from archaeological evidence to predict that the central court was probably in operation at all times. </w:t>
      </w:r>
    </w:p>
    <w:p w:rsidR="00CF0073" w:rsidRDefault="00AC3BC0" w:rsidP="009B5D46">
      <w:pPr>
        <w:spacing w:line="480" w:lineRule="auto"/>
      </w:pPr>
      <w:r>
        <w:t>The throne r</w:t>
      </w:r>
      <w:r w:rsidR="00CF0073">
        <w:t>oom</w:t>
      </w:r>
      <w:r>
        <w:t xml:space="preserve"> was another important part of the palace. Although it has become probable that it did not house any royal persons, the throne itself would have had a more religious significance rather than a political one. It may not have been a seat for a King but</w:t>
      </w:r>
      <w:r w:rsidR="00BB70CD">
        <w:t xml:space="preserve"> instead</w:t>
      </w:r>
      <w:r>
        <w:t xml:space="preserve"> a seat for a priestess to sit on while reanacting some form of epiphany rituals, which would be supported by the representations of griffins painted on the walls and other religious symbolism.</w:t>
      </w:r>
      <w:r w:rsidR="00BB70CD">
        <w:rPr>
          <w:rStyle w:val="FootnoteReference"/>
        </w:rPr>
        <w:footnoteReference w:id="18"/>
      </w:r>
      <w:r w:rsidR="00BB70CD">
        <w:t xml:space="preserve"> The Throne room was also situated on the west side of the central court which further associates the throne room with religious purposes. When the palace was excavated in 1900, the throne room was scattered with large, flat oil vases which contained gypsum and a storage jar (otherwise known as a </w:t>
      </w:r>
      <w:proofErr w:type="spellStart"/>
      <w:r w:rsidR="00BB70CD">
        <w:t>pithos</w:t>
      </w:r>
      <w:proofErr w:type="spellEnd"/>
      <w:r w:rsidR="00BB70CD">
        <w:t>). This points to the idea that a ritual was actually being carried out in this room when the palace was destroyed, perhaps in an attempt to stop the destruction</w:t>
      </w:r>
      <w:r w:rsidR="00BB70CD">
        <w:rPr>
          <w:rStyle w:val="FootnoteReference"/>
        </w:rPr>
        <w:footnoteReference w:id="19"/>
      </w:r>
      <w:r w:rsidR="00BB70CD">
        <w:t xml:space="preserve">. This highlights how much the Minoans believed in the effect of such rituals for protection and health, as in this instance they believed that they were powerful enough to revert disaster. </w:t>
      </w:r>
    </w:p>
    <w:p w:rsidR="004F69BB" w:rsidRDefault="00350AF4" w:rsidP="009B5D46">
      <w:pPr>
        <w:spacing w:line="480" w:lineRule="auto"/>
      </w:pPr>
      <w:r>
        <w:lastRenderedPageBreak/>
        <w:t xml:space="preserve">The </w:t>
      </w:r>
      <w:r w:rsidR="00CF0073">
        <w:t>Pillar Crypts</w:t>
      </w:r>
      <w:r w:rsidR="00C0667F">
        <w:t xml:space="preserve">; so named due to the number of pillars in them that bare the sacred double axe symbol, </w:t>
      </w:r>
      <w:r>
        <w:t xml:space="preserve">are probably the areas of the palace that are most associated with ritual practices and ceremonies. They are dark chambers </w:t>
      </w:r>
      <w:r w:rsidR="00C0667F">
        <w:t>which are said to be related to the cult of the chthonic powers which revitalise the earth</w:t>
      </w:r>
      <w:r w:rsidR="00C0667F">
        <w:rPr>
          <w:rStyle w:val="FootnoteReference"/>
        </w:rPr>
        <w:footnoteReference w:id="20"/>
      </w:r>
      <w:r w:rsidR="00C0667F">
        <w:t>. These crypts were the places that it was common for ritual sacrifices and blood offerings to take place and they were usually directly connected to shrines and sacred treasuries. In Knossos specifically, the pillar crypts were in the middle of temple depositories and storerooms of ritualistic materials such as oils and wine. According to archaeologists, the ancient people may have waited for rituals to take place in the lobby of the stone seats, or they may have been done in private in the dark crypts. It is also probable that “rituals of light” may have been undergone in the crypts because it was so dark inside them.</w:t>
      </w:r>
      <w:r w:rsidR="00C0667F">
        <w:rPr>
          <w:rStyle w:val="FootnoteReference"/>
        </w:rPr>
        <w:footnoteReference w:id="21"/>
      </w:r>
    </w:p>
    <w:p w:rsidR="00D75F17" w:rsidRDefault="00D75F17" w:rsidP="009B5D46">
      <w:pPr>
        <w:spacing w:line="480" w:lineRule="auto"/>
      </w:pPr>
      <w:r>
        <w:t xml:space="preserve">The </w:t>
      </w:r>
      <w:r w:rsidR="003F0783">
        <w:t xml:space="preserve">first thing that comes to </w:t>
      </w:r>
      <w:r w:rsidR="005A08B1">
        <w:t>mind when a palace is mentioned is that the ruler of such a place would most likely be a King or Queen</w:t>
      </w:r>
      <w:r w:rsidR="00CF0073">
        <w:t xml:space="preserve"> that are surrounded by their people</w:t>
      </w:r>
      <w:r w:rsidR="005A08B1">
        <w:t xml:space="preserve">. This is what was originally thought at the palace of Minos, but upon analysing the evidence and artefacts, this could be reconsidered </w:t>
      </w:r>
      <w:r w:rsidR="00CF0073">
        <w:t>reletively</w:t>
      </w:r>
      <w:r w:rsidR="005A08B1">
        <w:t xml:space="preserve"> quickly. </w:t>
      </w:r>
      <w:r w:rsidR="00CF0073">
        <w:t xml:space="preserve">A lot of research and analysis has been done on this particular site, however in this case there is a lack of textual evidence for a royal ruler due to the fact that in any form of evidence whether it be ancient or modern, there is no mention whatsoever of any royal figure ever having inhabited the palace at the apex of the Minoan palatial society. There is neither no textual reference to any rulers at all or any ruling dynasties in the slightest. This is true for art and visual evidence also because there seems to be no representation of any rulers in the palace in this form either. </w:t>
      </w:r>
    </w:p>
    <w:p w:rsidR="00CF0073" w:rsidRDefault="00CF0073" w:rsidP="009B5D46">
      <w:pPr>
        <w:spacing w:line="480" w:lineRule="auto"/>
      </w:pPr>
      <w:r>
        <w:t xml:space="preserve">The argument is that the palace of Minos </w:t>
      </w:r>
      <w:r w:rsidR="00BB1CC9">
        <w:t>is a ceremonial and spiritual setting rather than one of royal importance. To elaborate on this further, according to historical evidence no royal burials were attested at the site until at least the Late-Middle period</w:t>
      </w:r>
      <w:r w:rsidR="00BB1CC9">
        <w:rPr>
          <w:rStyle w:val="FootnoteReference"/>
        </w:rPr>
        <w:footnoteReference w:id="22"/>
      </w:r>
      <w:r w:rsidR="00BB1CC9">
        <w:t xml:space="preserve">. Also the grounds plan of the palace tells </w:t>
      </w:r>
      <w:r w:rsidR="00BB1CC9">
        <w:lastRenderedPageBreak/>
        <w:t xml:space="preserve">us a lot about the circulation of movement throughout the palace. If the palace had a purpose to house royalty, the most important room in the palace (that being the throne room) would surely be at the centre of the palace so all rooms would eventually lead you to the most sacred and valued part of the building. However, this is not the case at Knossos because instead of a throne room being at the centre, there is the central court. </w:t>
      </w:r>
      <w:r w:rsidR="00BB1CC9">
        <w:rPr>
          <w:rStyle w:val="FootnoteReference"/>
        </w:rPr>
        <w:footnoteReference w:id="23"/>
      </w:r>
      <w:r w:rsidR="00BB70CD">
        <w:t xml:space="preserve"> In the throne room itself, there is no evidence to suggest that it was ever inhabited by any sort of King or royal ruler</w:t>
      </w:r>
      <w:r w:rsidR="00350AF4">
        <w:t>. In fact the Hall of Double Axes on the East side of the palace would have been more suited for a King if there ever was one in the palace.</w:t>
      </w:r>
      <w:r w:rsidR="00350AF4">
        <w:rPr>
          <w:rStyle w:val="FootnoteReference"/>
        </w:rPr>
        <w:footnoteReference w:id="24"/>
      </w:r>
      <w:r w:rsidR="00BB1CC9">
        <w:t>The central court is associated with ritual as it is a large communal space, and the fact that this is in the centre of the palace suggests that the inhabitants of the palace favoured ceremony and ritual more than anything else, particularly some sort of roya</w:t>
      </w:r>
      <w:r w:rsidR="004478F8">
        <w:t>l family, which seems non-existe</w:t>
      </w:r>
      <w:r w:rsidR="00BB1CC9">
        <w:t>nt.</w:t>
      </w:r>
      <w:r w:rsidR="00F61C9A">
        <w:t xml:space="preserve"> Evans actually came to the conclusion that Knossos was governed by some sort of priest King, the combination of religion and royalty. It was then thought that Crete was ruled by a “beneficent dominion” which used politics as its main focus for the society</w:t>
      </w:r>
      <w:r w:rsidR="007E2D19">
        <w:t>.</w:t>
      </w:r>
      <w:r w:rsidR="007E2D19">
        <w:rPr>
          <w:rStyle w:val="FootnoteReference"/>
        </w:rPr>
        <w:footnoteReference w:id="25"/>
      </w:r>
      <w:r w:rsidR="007E2D19">
        <w:t xml:space="preserve"> </w:t>
      </w:r>
      <w:r w:rsidR="00EB190F">
        <w:t>To support the idea that the palace was more ceremonially important, Hood (1995) describes palaces as the residences of both “Gods and Men” and that they are able to live beside one another.</w:t>
      </w:r>
      <w:r w:rsidR="00EB190F">
        <w:rPr>
          <w:rStyle w:val="FootnoteReference"/>
        </w:rPr>
        <w:footnoteReference w:id="26"/>
      </w:r>
      <w:r w:rsidR="00EB190F">
        <w:t xml:space="preserve"> </w:t>
      </w:r>
      <w:r w:rsidR="007E2D19">
        <w:t xml:space="preserve">Whether </w:t>
      </w:r>
      <w:r w:rsidR="00EB190F">
        <w:t>Evans</w:t>
      </w:r>
      <w:r w:rsidR="007E2D19">
        <w:t xml:space="preserve"> was correct about this or not, what is certain that whoever held a position of power in this pa</w:t>
      </w:r>
      <w:r w:rsidR="00D80272">
        <w:t>latial M</w:t>
      </w:r>
      <w:r w:rsidR="007E2D19">
        <w:t>inoan society in particular, had to have a certain charisma about their personality and a personal or religious power about them</w:t>
      </w:r>
      <w:r w:rsidR="007E2D19">
        <w:rPr>
          <w:rStyle w:val="FootnoteReference"/>
        </w:rPr>
        <w:footnoteReference w:id="27"/>
      </w:r>
      <w:r w:rsidR="00BB70CD">
        <w:t xml:space="preserve">. </w:t>
      </w:r>
      <w:r w:rsidR="007E2D19">
        <w:t>None the less, religion seemed to hold the most importance in these contexts, with ritualistic practices at the centre.</w:t>
      </w:r>
      <w:r w:rsidR="00E94A21">
        <w:t xml:space="preserve"> </w:t>
      </w:r>
    </w:p>
    <w:p w:rsidR="00086E7F" w:rsidRDefault="00E94A21" w:rsidP="009B5D46">
      <w:pPr>
        <w:spacing w:line="480" w:lineRule="auto"/>
      </w:pPr>
      <w:r>
        <w:t>There is significant evidence by historian that rituals were usually practiced either monthly or seasonally, and myth and rituals are mentioned often in a variety of written evidence. According to research, some kind of great political change took place in the middl</w:t>
      </w:r>
      <w:r w:rsidR="00EB190F">
        <w:t xml:space="preserve">e centuries that the palace of </w:t>
      </w:r>
      <w:r w:rsidR="00EB190F">
        <w:lastRenderedPageBreak/>
        <w:t>M</w:t>
      </w:r>
      <w:r>
        <w:t xml:space="preserve">inos stood, and this then resulted in a drastic change </w:t>
      </w:r>
      <w:r w:rsidR="00EB190F">
        <w:t>in religion. This is the change that promoted the adoption of communal worship and ritualistic practices.</w:t>
      </w:r>
      <w:r w:rsidR="00EB190F">
        <w:rPr>
          <w:rStyle w:val="FootnoteReference"/>
        </w:rPr>
        <w:footnoteReference w:id="28"/>
      </w:r>
    </w:p>
    <w:p w:rsidR="00D80272" w:rsidRDefault="00EB190F" w:rsidP="009B5D46">
      <w:pPr>
        <w:spacing w:line="480" w:lineRule="auto"/>
      </w:pPr>
      <w:r>
        <w:t xml:space="preserve">Although a number of significant and interesting artefacts have been recovered from the ruins of this magnificent palace complex such as a variety of amulets and furniture, the most crucial </w:t>
      </w:r>
      <w:r w:rsidR="00086E7F">
        <w:t xml:space="preserve">and reoccurring </w:t>
      </w:r>
      <w:r>
        <w:t xml:space="preserve">of these is the </w:t>
      </w:r>
      <w:r w:rsidR="00086E7F">
        <w:t>Minoan deity known as the Minoan Snake Goddess.</w:t>
      </w:r>
      <w:r w:rsidR="00086E7F">
        <w:rPr>
          <w:rStyle w:val="FootnoteReference"/>
        </w:rPr>
        <w:footnoteReference w:id="29"/>
      </w:r>
      <w:r w:rsidR="00086E7F">
        <w:t xml:space="preserve"> The Snake Goddess was considered to be the fertility Goddess by the Minoans, however other interpretations claim that she is the protector of the house or that she represents the reborn dead. A number of figurines of this goddess were found by Evans during excavation and were usually rather large in comparison to other figurines that were discovered, signifying her importance to the community. Interestingly, one of the larger figurines of the Goddess was found broken in three pieces and each piece was discovered separately. This was most likely done deliberately in some sort of ritual ceremony due to the fact that it was uncommon for figurines of such importance to be broken in this way </w:t>
      </w:r>
      <w:r w:rsidR="006B3652">
        <w:t xml:space="preserve">for no reason. Also, having one single fertility Goddess standing alone from any other mention of other divine </w:t>
      </w:r>
      <w:r w:rsidR="00F50602">
        <w:t>host’s</w:t>
      </w:r>
      <w:r w:rsidR="006B3652">
        <w:t xml:space="preserve"> points to the idea that monotheism may have been in practice in the palace, which is crucial for the understanding of this setting.</w:t>
      </w:r>
      <w:r w:rsidR="006B3652">
        <w:rPr>
          <w:rStyle w:val="FootnoteReference"/>
        </w:rPr>
        <w:footnoteReference w:id="30"/>
      </w:r>
      <w:r w:rsidR="006B3652">
        <w:t xml:space="preserve"> This further iterates the snake goddesses’ significance to</w:t>
      </w:r>
      <w:r w:rsidR="00D80272">
        <w:t xml:space="preserve"> the inhabitants of the palace and fits in with the structured deposition theory. </w:t>
      </w:r>
    </w:p>
    <w:p w:rsidR="009B5D46" w:rsidRDefault="009B5D46" w:rsidP="009B5D46">
      <w:pPr>
        <w:spacing w:line="480" w:lineRule="auto"/>
      </w:pPr>
    </w:p>
    <w:p w:rsidR="004E65F1" w:rsidRPr="004E65F1" w:rsidRDefault="004E65F1" w:rsidP="009B5D46">
      <w:pPr>
        <w:spacing w:line="480" w:lineRule="auto"/>
      </w:pPr>
      <w:r>
        <w:t>In accordance with this research</w:t>
      </w:r>
      <w:r w:rsidR="00F57FCB">
        <w:t xml:space="preserve"> on the palace of Minos, Knossos</w:t>
      </w:r>
      <w:r>
        <w:t>, the information can be interpreted in a number of different ways by archaeologists if certain theories are applied to them</w:t>
      </w:r>
      <w:r w:rsidR="004478F8">
        <w:t xml:space="preserve">. </w:t>
      </w:r>
      <w:r>
        <w:t xml:space="preserve"> </w:t>
      </w:r>
    </w:p>
    <w:p w:rsidR="007E55C2" w:rsidRDefault="007E55C2" w:rsidP="009B5D46">
      <w:pPr>
        <w:spacing w:line="480" w:lineRule="auto"/>
      </w:pPr>
      <w:r>
        <w:t>Material culture and memory</w:t>
      </w:r>
      <w:r w:rsidR="00EE77C5">
        <w:t xml:space="preserve"> is a key factor when it comes to interpreting a historical or ancient site. The association with memory also mediates a relationship between a persons past and having a sense of identity. It is an ongoing process and involves factors such as remembering a deceased </w:t>
      </w:r>
      <w:r w:rsidR="00EE77C5">
        <w:lastRenderedPageBreak/>
        <w:t>person by an object or in the context of ritual behaviour or practices can involve ceremony, mortuary ritual, commensality and votive deposition</w:t>
      </w:r>
      <w:r w:rsidR="00F57FCB">
        <w:rPr>
          <w:rStyle w:val="FootnoteReference"/>
        </w:rPr>
        <w:footnoteReference w:id="31"/>
      </w:r>
      <w:r w:rsidR="00EE77C5">
        <w:t xml:space="preserve">. In ritualistic terms, this could involve the repeated actions of a certain ritual ceremony or the physical actions that one must undertake during the process of the ritual. </w:t>
      </w:r>
      <w:r w:rsidR="00526232">
        <w:t>Palatial embodied experiences can also be applicable to this theory. For the ancient Minoans, the smashing of vessels was associated with flow and the consumption of alcohol. This is evident from fragmented pots that were discovered beneath the courtyards, which also supports the idea that the central court was used for grand feasts. The religious iconography particularly in</w:t>
      </w:r>
      <w:r w:rsidR="00F57FCB">
        <w:t xml:space="preserve"> the throne room of the palace </w:t>
      </w:r>
      <w:r w:rsidR="00526232">
        <w:t>for example, can be associated with material culture and memory because for the Minoans, this would have been a ritual within itself due to the fact they tended to use this room specifically for this purpose, they would associate the art and wall paintings with ritualistic ceremony.  Also</w:t>
      </w:r>
      <w:r w:rsidR="00EE77C5">
        <w:t xml:space="preserve"> the palace of Minos, </w:t>
      </w:r>
      <w:r w:rsidR="00526232">
        <w:t xml:space="preserve">in the funerary context it was common for animal bones to be burnt which was purposefully done in the context of a funerary feast or a burnt sacrifice would be offered to honour and commemorate the dead person’s life. Material Culture and Memory is important to aid the interpretation of </w:t>
      </w:r>
      <w:r w:rsidR="00F57FCB">
        <w:t xml:space="preserve">rituals at </w:t>
      </w:r>
      <w:r w:rsidR="00526232">
        <w:t xml:space="preserve">an archaeological site such as the palace of Minos because </w:t>
      </w:r>
      <w:r w:rsidR="00F57FCB">
        <w:t>it discusses a person’s heritage and it is easy to look for patterns throughout the sites in order to gain an idea of what the society was like for each person who lived there. It is an extremely unique perspective to look at a site in as it relates to an individual person, and based on the site’s state of religious and ritualistic practices. This theory will help archaeologists to gather a bigger picture of a society by looking at the evidence for certain individuals and how they carried out their individual ritualistic tendencies based on who they were as a person and what their society taught them to believe and how to act in certain circumstances, adding to a larger understanding of the civilisation as a whole.</w:t>
      </w:r>
    </w:p>
    <w:p w:rsidR="007E55C2" w:rsidRDefault="007E55C2" w:rsidP="009B5D46">
      <w:pPr>
        <w:spacing w:line="480" w:lineRule="auto"/>
      </w:pPr>
      <w:r>
        <w:t>Structured Deposition</w:t>
      </w:r>
      <w:r w:rsidR="00C13CA6">
        <w:t xml:space="preserve"> is</w:t>
      </w:r>
      <w:r w:rsidR="004478F8">
        <w:t xml:space="preserve"> the idea that objects or artefacts have been deliberately and meaningfully been placed in a certain place. This could also include that certain objects have been removed from </w:t>
      </w:r>
      <w:r w:rsidR="004478F8">
        <w:lastRenderedPageBreak/>
        <w:t>circulation for a specific reason. It should be noted that structured deposition is different from simply disregarding an item that is no longer needed</w:t>
      </w:r>
      <w:r w:rsidR="004C18C2">
        <w:t xml:space="preserve">. </w:t>
      </w:r>
      <w:r w:rsidR="004478F8">
        <w:t>In the palatial context the most likely form of structured deposition is that an object has been deliberately broken or smashed for ritual purposes and not just by coincidence or accident</w:t>
      </w:r>
      <w:r w:rsidR="004C18C2">
        <w:t>. An example of this in the palace of Minos would be the repeated breaking of the snake goddess figurine. This particular large figurine was discovered to be broken into three separate parts upon excavation and it is suitable to make the conclusion that this was done as the result of ritual ceremony and was discarded in the context of structured deposition. Also according to archaeological record, the stratigraphy in the East and West Repositories are virtually identical, supporting the idea that the breaking of these assemblages were done on purpose in ceremonial terms as these objects were deposited virtually free of any rubble or similar debris such as bone or pottery</w:t>
      </w:r>
      <w:r w:rsidR="004C18C2">
        <w:rPr>
          <w:rStyle w:val="FootnoteReference"/>
        </w:rPr>
        <w:footnoteReference w:id="32"/>
      </w:r>
      <w:r w:rsidR="004C18C2">
        <w:t xml:space="preserve">. To elaborate, in the East repository a number of objects were found such as faience fragments, seashells, faience cups, female figurines in faience (including the torso of the snake goddess) and dresses in faience. All of the other cists in the West repository </w:t>
      </w:r>
      <w:r w:rsidR="0007503F">
        <w:t>were free of artefacts other than a few shards of broken pottery which suggests that all of the material that was deposited in cists was uniquely selected specifically for deposition by ritualistic purposes and was not simply debris that had been swept up when the site was being cleared for excavation</w:t>
      </w:r>
      <w:r w:rsidR="0007503F">
        <w:rPr>
          <w:rStyle w:val="FootnoteReference"/>
        </w:rPr>
        <w:footnoteReference w:id="33"/>
      </w:r>
      <w:r w:rsidR="0007503F">
        <w:t xml:space="preserve">. It was also discovered that some of the faience figures and boxes were burnt rather than broken and it seems that all of the objects and artefacts found must have been collected and separated by their type for ceremonial structured deposition in cists. </w:t>
      </w:r>
      <w:r w:rsidR="0007503F">
        <w:rPr>
          <w:rStyle w:val="FootnoteReference"/>
        </w:rPr>
        <w:footnoteReference w:id="34"/>
      </w:r>
      <w:r w:rsidR="0007503F">
        <w:t xml:space="preserve"> Structured Deposition is helpful to archaeologists when interpreting a site because it allows them to think beyond what they see deposited on the floor of a site. It allows a meaning to be administered to every artefact and lets the archaeologist perhaps think how an ancient Minoan would have thought about their world.</w:t>
      </w:r>
      <w:r w:rsidR="00EE77C5">
        <w:t xml:space="preserve"> It </w:t>
      </w:r>
      <w:r w:rsidR="00EE77C5">
        <w:lastRenderedPageBreak/>
        <w:t>therefore allows more care to be administered during the excavation process, and is crucial for an archaeologist to gain information about an ancient society this way.</w:t>
      </w:r>
      <w:r w:rsidR="0007503F">
        <w:t xml:space="preserve"> </w:t>
      </w:r>
    </w:p>
    <w:p w:rsidR="009B5D46" w:rsidRDefault="009B5D46" w:rsidP="009B5D46">
      <w:pPr>
        <w:spacing w:line="480" w:lineRule="auto"/>
      </w:pPr>
    </w:p>
    <w:p w:rsidR="009B5D46" w:rsidRDefault="009B5D46" w:rsidP="009B5D46">
      <w:pPr>
        <w:spacing w:line="480" w:lineRule="auto"/>
      </w:pPr>
    </w:p>
    <w:p w:rsidR="007E55C2" w:rsidRDefault="00D80272" w:rsidP="009B5D46">
      <w:pPr>
        <w:spacing w:line="480" w:lineRule="auto"/>
      </w:pPr>
      <w:r>
        <w:t>Word Court: 3240</w:t>
      </w:r>
    </w:p>
    <w:p w:rsidR="00D940B6" w:rsidRDefault="00D940B6" w:rsidP="009B5D46">
      <w:pPr>
        <w:spacing w:line="480" w:lineRule="auto"/>
      </w:pPr>
    </w:p>
    <w:p w:rsidR="00D940B6" w:rsidRDefault="00D940B6"/>
    <w:p w:rsidR="00D940B6" w:rsidRDefault="00D940B6"/>
    <w:p w:rsidR="00D940B6" w:rsidRDefault="00D940B6"/>
    <w:p w:rsidR="00D940B6" w:rsidRDefault="00D940B6"/>
    <w:p w:rsidR="00D940B6" w:rsidRDefault="00D940B6"/>
    <w:p w:rsidR="00D940B6" w:rsidRDefault="00D940B6"/>
    <w:p w:rsidR="009B5D46" w:rsidRDefault="009B5D46"/>
    <w:p w:rsidR="009B5D46" w:rsidRDefault="009B5D46"/>
    <w:p w:rsidR="009B5D46" w:rsidRDefault="009B5D46"/>
    <w:p w:rsidR="009B5D46" w:rsidRDefault="009B5D46"/>
    <w:p w:rsidR="009B5D46" w:rsidRDefault="009B5D46"/>
    <w:p w:rsidR="009B5D46" w:rsidRDefault="009B5D46"/>
    <w:p w:rsidR="009B5D46" w:rsidRDefault="009B5D46"/>
    <w:p w:rsidR="009B5D46" w:rsidRDefault="009B5D46"/>
    <w:p w:rsidR="009B5D46" w:rsidRDefault="009B5D46"/>
    <w:p w:rsidR="009B5D46" w:rsidRDefault="009B5D46"/>
    <w:p w:rsidR="00D940B6" w:rsidRDefault="00D940B6"/>
    <w:p w:rsidR="00D940B6" w:rsidRDefault="00D940B6"/>
    <w:p w:rsidR="00D940B6" w:rsidRDefault="00D940B6"/>
    <w:p w:rsidR="00D940B6" w:rsidRDefault="00D940B6">
      <w:pPr>
        <w:rPr>
          <w:b/>
          <w:u w:val="single"/>
        </w:rPr>
      </w:pPr>
      <w:r w:rsidRPr="009B5D46">
        <w:rPr>
          <w:b/>
          <w:u w:val="single"/>
        </w:rPr>
        <w:lastRenderedPageBreak/>
        <w:t>Bibliography</w:t>
      </w:r>
    </w:p>
    <w:p w:rsidR="009B5D46" w:rsidRPr="009B5D46" w:rsidRDefault="009B5D46">
      <w:pPr>
        <w:rPr>
          <w:b/>
          <w:u w:val="single"/>
        </w:rPr>
      </w:pPr>
    </w:p>
    <w:p w:rsidR="00981C81" w:rsidRDefault="004518AB">
      <w:proofErr w:type="spellStart"/>
      <w:r>
        <w:t>Branigan</w:t>
      </w:r>
      <w:proofErr w:type="spellEnd"/>
      <w:r>
        <w:t>, K. (1970)</w:t>
      </w:r>
      <w:r w:rsidR="00981C81">
        <w:t xml:space="preserve"> </w:t>
      </w:r>
      <w:proofErr w:type="gramStart"/>
      <w:r w:rsidR="00981C81" w:rsidRPr="00981C81">
        <w:rPr>
          <w:i/>
        </w:rPr>
        <w:t>The</w:t>
      </w:r>
      <w:proofErr w:type="gramEnd"/>
      <w:r w:rsidR="00981C81" w:rsidRPr="00981C81">
        <w:rPr>
          <w:i/>
        </w:rPr>
        <w:t xml:space="preserve"> Foundations of Palatial Crete</w:t>
      </w:r>
      <w:r>
        <w:t>,</w:t>
      </w:r>
      <w:r w:rsidR="00981C81" w:rsidRPr="00981C81">
        <w:t xml:space="preserve"> London: Routledge and Kegan.</w:t>
      </w:r>
    </w:p>
    <w:p w:rsidR="00D940B6" w:rsidRDefault="00D940B6">
      <w:proofErr w:type="spellStart"/>
      <w:r w:rsidRPr="00D940B6">
        <w:t>Cadogan</w:t>
      </w:r>
      <w:proofErr w:type="spellEnd"/>
      <w:r w:rsidRPr="00D940B6">
        <w:t>, G. (1993</w:t>
      </w:r>
      <w:r w:rsidR="004518AB">
        <w:rPr>
          <w:i/>
        </w:rPr>
        <w:t>) Palaces of Minoan Crete,</w:t>
      </w:r>
      <w:r w:rsidRPr="00D940B6">
        <w:t xml:space="preserve"> London: Routledge.</w:t>
      </w:r>
    </w:p>
    <w:p w:rsidR="009B5D46" w:rsidRDefault="004518AB">
      <w:proofErr w:type="spellStart"/>
      <w:r>
        <w:t>Cotterell</w:t>
      </w:r>
      <w:proofErr w:type="spellEnd"/>
      <w:r>
        <w:t xml:space="preserve">, A. (1980) </w:t>
      </w:r>
      <w:r w:rsidR="009B5D46" w:rsidRPr="009B5D46">
        <w:rPr>
          <w:i/>
        </w:rPr>
        <w:t>The Minoan world</w:t>
      </w:r>
      <w:r>
        <w:t>,</w:t>
      </w:r>
      <w:r w:rsidR="009B5D46" w:rsidRPr="009B5D46">
        <w:t xml:space="preserve"> New York: Scribner.</w:t>
      </w:r>
    </w:p>
    <w:p w:rsidR="00981C81" w:rsidRDefault="00D940B6">
      <w:proofErr w:type="spellStart"/>
      <w:r>
        <w:t>Driessen</w:t>
      </w:r>
      <w:proofErr w:type="spellEnd"/>
      <w:r>
        <w:t>, J. (2003</w:t>
      </w:r>
      <w:proofErr w:type="gramStart"/>
      <w:r w:rsidR="004518AB">
        <w:t xml:space="preserve">) </w:t>
      </w:r>
      <w:r w:rsidRPr="00D940B6">
        <w:t xml:space="preserve"> </w:t>
      </w:r>
      <w:r w:rsidRPr="00981C81">
        <w:rPr>
          <w:i/>
        </w:rPr>
        <w:t>The</w:t>
      </w:r>
      <w:proofErr w:type="gramEnd"/>
      <w:r w:rsidRPr="00981C81">
        <w:rPr>
          <w:i/>
        </w:rPr>
        <w:t xml:space="preserve"> Court Compounds of Minoan Crete: Royal Palaces or Ceremonial Centres?.</w:t>
      </w:r>
      <w:r w:rsidRPr="00D940B6">
        <w:t xml:space="preserve"> Minoan Crete, [online] 3(3). Available at: http://www.athenapub.com/11court.htm [Accessed 4 Dec. 2017].</w:t>
      </w:r>
    </w:p>
    <w:p w:rsidR="00F50602" w:rsidRDefault="004518AB">
      <w:r>
        <w:t>Evans, A. and Evans, J. (1964)</w:t>
      </w:r>
      <w:r w:rsidR="00F50602" w:rsidRPr="00F50602">
        <w:t xml:space="preserve"> </w:t>
      </w:r>
      <w:proofErr w:type="gramStart"/>
      <w:r w:rsidR="00F50602" w:rsidRPr="00F50602">
        <w:rPr>
          <w:i/>
        </w:rPr>
        <w:t>The</w:t>
      </w:r>
      <w:proofErr w:type="gramEnd"/>
      <w:r w:rsidR="00F50602" w:rsidRPr="00F50602">
        <w:rPr>
          <w:i/>
        </w:rPr>
        <w:t xml:space="preserve"> Palace of Minos</w:t>
      </w:r>
      <w:r>
        <w:t>,</w:t>
      </w:r>
      <w:r w:rsidR="00F50602" w:rsidRPr="00F50602">
        <w:t xml:space="preserve"> New York: </w:t>
      </w:r>
      <w:proofErr w:type="spellStart"/>
      <w:r w:rsidR="00F50602" w:rsidRPr="00F50602">
        <w:t>Biblo</w:t>
      </w:r>
      <w:proofErr w:type="spellEnd"/>
      <w:r w:rsidR="00F50602" w:rsidRPr="00F50602">
        <w:t xml:space="preserve"> and Tannen.</w:t>
      </w:r>
    </w:p>
    <w:p w:rsidR="009B5D46" w:rsidRPr="007E55C2" w:rsidRDefault="009B5D46" w:rsidP="009B5D46">
      <w:proofErr w:type="spellStart"/>
      <w:r w:rsidRPr="009B5D46">
        <w:t>Hamilakis</w:t>
      </w:r>
      <w:proofErr w:type="spellEnd"/>
      <w:r w:rsidRPr="009B5D46">
        <w:t xml:space="preserve">, Y. (2002). </w:t>
      </w:r>
      <w:r w:rsidRPr="009B5D46">
        <w:rPr>
          <w:i/>
        </w:rPr>
        <w:t>Labyrinth revisited: Rethinking Minoan Archaeology</w:t>
      </w:r>
      <w:r w:rsidRPr="009B5D46">
        <w:t>. Oxford: Oxbow Books.</w:t>
      </w:r>
    </w:p>
    <w:p w:rsidR="00D23BD5" w:rsidRDefault="004518AB">
      <w:proofErr w:type="spellStart"/>
      <w:r>
        <w:t>Hatzaki</w:t>
      </w:r>
      <w:proofErr w:type="spellEnd"/>
      <w:r>
        <w:t xml:space="preserve">, E. (2009) </w:t>
      </w:r>
      <w:r w:rsidR="00D23BD5" w:rsidRPr="00D23BD5">
        <w:t>S</w:t>
      </w:r>
      <w:r w:rsidR="00D23BD5" w:rsidRPr="00D23BD5">
        <w:rPr>
          <w:i/>
        </w:rPr>
        <w:t>tructured Deposition as ritual action at Knossos</w:t>
      </w:r>
      <w:r w:rsidR="00D23BD5" w:rsidRPr="00D23BD5">
        <w:t xml:space="preserve">. Archaeologies of Cult: Essays on ritual and cult in </w:t>
      </w:r>
      <w:proofErr w:type="spellStart"/>
      <w:r w:rsidR="00D23BD5" w:rsidRPr="00D23BD5">
        <w:t>cretein</w:t>
      </w:r>
      <w:proofErr w:type="spellEnd"/>
      <w:r w:rsidR="00D23BD5" w:rsidRPr="00D23BD5">
        <w:t xml:space="preserve"> </w:t>
      </w:r>
      <w:proofErr w:type="spellStart"/>
      <w:r w:rsidR="00D23BD5" w:rsidRPr="00D23BD5">
        <w:t>honor</w:t>
      </w:r>
      <w:proofErr w:type="spellEnd"/>
      <w:r w:rsidR="00D23BD5" w:rsidRPr="00D23BD5">
        <w:t xml:space="preserve"> of Gera</w:t>
      </w:r>
      <w:r>
        <w:t xml:space="preserve">ldine C. Gesell, [online] (42), </w:t>
      </w:r>
      <w:r w:rsidR="00D23BD5" w:rsidRPr="00D23BD5">
        <w:t>Available at: https://www.academia.edu/2242356/Structured_deposition_as_ritual_action_at_Knossos [Accessed 10 Dec. 2017].</w:t>
      </w:r>
    </w:p>
    <w:p w:rsidR="00981C81" w:rsidRDefault="004518AB">
      <w:proofErr w:type="spellStart"/>
      <w:r>
        <w:t>Michailidou</w:t>
      </w:r>
      <w:proofErr w:type="spellEnd"/>
      <w:r>
        <w:t>, A. (1987)</w:t>
      </w:r>
      <w:r w:rsidR="00981C81" w:rsidRPr="00981C81">
        <w:t xml:space="preserve"> </w:t>
      </w:r>
      <w:r w:rsidR="00981C81" w:rsidRPr="00981C81">
        <w:rPr>
          <w:i/>
        </w:rPr>
        <w:t>Knossos, a complete guide to the palace of Minos</w:t>
      </w:r>
      <w:r>
        <w:t>,</w:t>
      </w:r>
      <w:r w:rsidR="00981C81" w:rsidRPr="00981C81">
        <w:t xml:space="preserve"> Athens: </w:t>
      </w:r>
      <w:proofErr w:type="spellStart"/>
      <w:r w:rsidR="00981C81" w:rsidRPr="00981C81">
        <w:t>Ekdotike</w:t>
      </w:r>
      <w:proofErr w:type="spellEnd"/>
      <w:r w:rsidR="00981C81" w:rsidRPr="00981C81">
        <w:t xml:space="preserve"> </w:t>
      </w:r>
      <w:proofErr w:type="spellStart"/>
      <w:r w:rsidR="00981C81" w:rsidRPr="00981C81">
        <w:t>Athenon</w:t>
      </w:r>
      <w:proofErr w:type="spellEnd"/>
      <w:r w:rsidR="00981C81" w:rsidRPr="00981C81">
        <w:t>.</w:t>
      </w:r>
    </w:p>
    <w:p w:rsidR="00981C81" w:rsidRDefault="004518AB">
      <w:proofErr w:type="spellStart"/>
      <w:r>
        <w:t>Schoep</w:t>
      </w:r>
      <w:proofErr w:type="spellEnd"/>
      <w:r>
        <w:t>, I. (2010)</w:t>
      </w:r>
      <w:r w:rsidR="00981C81" w:rsidRPr="00981C81">
        <w:t xml:space="preserve"> </w:t>
      </w:r>
      <w:proofErr w:type="gramStart"/>
      <w:r w:rsidR="00981C81" w:rsidRPr="00981C81">
        <w:rPr>
          <w:i/>
        </w:rPr>
        <w:t>The</w:t>
      </w:r>
      <w:proofErr w:type="gramEnd"/>
      <w:r w:rsidR="00981C81" w:rsidRPr="00981C81">
        <w:rPr>
          <w:i/>
        </w:rPr>
        <w:t xml:space="preserve"> Minoan ‘Palace-Temple’ Reconsidered: A Critical Assessment of the Spatial Concentration of Political, Religious and Economic Power in Bronze Age Crete</w:t>
      </w:r>
      <w:r>
        <w:t>,</w:t>
      </w:r>
      <w:r w:rsidR="00981C81" w:rsidRPr="00981C81">
        <w:t xml:space="preserve"> Journal of Mediterranean Archaeology, 23(2).</w:t>
      </w:r>
    </w:p>
    <w:p w:rsidR="00607928" w:rsidRPr="00607928" w:rsidRDefault="00607928">
      <w:r>
        <w:t>Steel, L (2017)</w:t>
      </w:r>
      <w:r>
        <w:rPr>
          <w:i/>
        </w:rPr>
        <w:t xml:space="preserve"> </w:t>
      </w:r>
      <w:proofErr w:type="gramStart"/>
      <w:r>
        <w:rPr>
          <w:i/>
        </w:rPr>
        <w:t>The</w:t>
      </w:r>
      <w:proofErr w:type="gramEnd"/>
      <w:r>
        <w:rPr>
          <w:i/>
        </w:rPr>
        <w:t xml:space="preserve"> First Palaces in the Aegean</w:t>
      </w:r>
      <w:r>
        <w:t>, AHAR6003: Towns, Tombs and Temples, [Accessed 7</w:t>
      </w:r>
      <w:r>
        <w:rPr>
          <w:vertAlign w:val="superscript"/>
        </w:rPr>
        <w:t xml:space="preserve"> </w:t>
      </w:r>
      <w:r>
        <w:t>December 2017]</w:t>
      </w:r>
    </w:p>
    <w:p w:rsidR="00F50602" w:rsidRDefault="004518AB">
      <w:proofErr w:type="spellStart"/>
      <w:r>
        <w:t>Vasilakis</w:t>
      </w:r>
      <w:proofErr w:type="spellEnd"/>
      <w:r>
        <w:t xml:space="preserve">, A. (2000) </w:t>
      </w:r>
      <w:r w:rsidR="00F50602" w:rsidRPr="00F50602">
        <w:rPr>
          <w:i/>
        </w:rPr>
        <w:t>Chronology of Minoan Crete</w:t>
      </w:r>
      <w:r>
        <w:t>,</w:t>
      </w:r>
      <w:bookmarkStart w:id="0" w:name="_GoBack"/>
      <w:bookmarkEnd w:id="0"/>
      <w:r w:rsidR="00F50602" w:rsidRPr="00F50602">
        <w:t xml:space="preserve"> [online] Minoancrete.com. Available at: http://www.minoancrete.com/chron.htm [Accessed 13 Dec. 2017].</w:t>
      </w:r>
    </w:p>
    <w:p w:rsidR="009B5D46" w:rsidRPr="007E55C2" w:rsidRDefault="009B5D46"/>
    <w:sectPr w:rsidR="009B5D46" w:rsidRPr="007E55C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79CD" w:rsidRDefault="006979CD" w:rsidP="009C4A2C">
      <w:pPr>
        <w:spacing w:after="0" w:line="240" w:lineRule="auto"/>
      </w:pPr>
      <w:r>
        <w:separator/>
      </w:r>
    </w:p>
  </w:endnote>
  <w:endnote w:type="continuationSeparator" w:id="0">
    <w:p w:rsidR="006979CD" w:rsidRDefault="006979CD" w:rsidP="009C4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79CD" w:rsidRDefault="006979CD" w:rsidP="009C4A2C">
      <w:pPr>
        <w:spacing w:after="0" w:line="240" w:lineRule="auto"/>
      </w:pPr>
      <w:r>
        <w:separator/>
      </w:r>
    </w:p>
  </w:footnote>
  <w:footnote w:type="continuationSeparator" w:id="0">
    <w:p w:rsidR="006979CD" w:rsidRDefault="006979CD" w:rsidP="009C4A2C">
      <w:pPr>
        <w:spacing w:after="0" w:line="240" w:lineRule="auto"/>
      </w:pPr>
      <w:r>
        <w:continuationSeparator/>
      </w:r>
    </w:p>
  </w:footnote>
  <w:footnote w:id="1">
    <w:p w:rsidR="00266326" w:rsidRDefault="00266326">
      <w:pPr>
        <w:pStyle w:val="FootnoteText"/>
      </w:pPr>
      <w:r>
        <w:rPr>
          <w:rStyle w:val="FootnoteReference"/>
        </w:rPr>
        <w:footnoteRef/>
      </w:r>
      <w:r w:rsidR="00F50602">
        <w:t xml:space="preserve"> </w:t>
      </w:r>
      <w:r w:rsidR="00F50602" w:rsidRPr="00F50602">
        <w:t>(</w:t>
      </w:r>
      <w:proofErr w:type="spellStart"/>
      <w:r w:rsidR="00F50602" w:rsidRPr="00F50602">
        <w:t>Vasilakis</w:t>
      </w:r>
      <w:proofErr w:type="spellEnd"/>
      <w:r w:rsidR="00F50602" w:rsidRPr="00F50602">
        <w:t>, 2000)</w:t>
      </w:r>
    </w:p>
  </w:footnote>
  <w:footnote w:id="2">
    <w:p w:rsidR="00DB38C7" w:rsidRDefault="00DB38C7">
      <w:pPr>
        <w:pStyle w:val="FootnoteText"/>
      </w:pPr>
      <w:r>
        <w:rPr>
          <w:rStyle w:val="FootnoteReference"/>
        </w:rPr>
        <w:footnoteRef/>
      </w:r>
      <w:r>
        <w:t xml:space="preserve"> </w:t>
      </w:r>
      <w:r w:rsidR="00F50602" w:rsidRPr="00F50602">
        <w:t>(</w:t>
      </w:r>
      <w:proofErr w:type="spellStart"/>
      <w:r w:rsidR="00F50602" w:rsidRPr="00F50602">
        <w:t>Vasilakis</w:t>
      </w:r>
      <w:proofErr w:type="spellEnd"/>
      <w:r w:rsidR="00F50602" w:rsidRPr="00F50602">
        <w:t>, 2000)</w:t>
      </w:r>
    </w:p>
  </w:footnote>
  <w:footnote w:id="3">
    <w:p w:rsidR="00D609A6" w:rsidRDefault="00DB38C7">
      <w:pPr>
        <w:pStyle w:val="FootnoteText"/>
      </w:pPr>
      <w:r>
        <w:rPr>
          <w:rStyle w:val="FootnoteReference"/>
        </w:rPr>
        <w:footnoteRef/>
      </w:r>
      <w:r>
        <w:t xml:space="preserve"> </w:t>
      </w:r>
      <w:r w:rsidR="00F50602" w:rsidRPr="00F50602">
        <w:t>(</w:t>
      </w:r>
      <w:proofErr w:type="spellStart"/>
      <w:r w:rsidR="00F50602" w:rsidRPr="00F50602">
        <w:t>Vasilakis</w:t>
      </w:r>
      <w:proofErr w:type="spellEnd"/>
      <w:r w:rsidR="00F50602" w:rsidRPr="00F50602">
        <w:t>, 2000)</w:t>
      </w:r>
    </w:p>
  </w:footnote>
  <w:footnote w:id="4">
    <w:p w:rsidR="004F69BB" w:rsidRDefault="004F69BB">
      <w:pPr>
        <w:pStyle w:val="FootnoteText"/>
      </w:pPr>
      <w:r>
        <w:rPr>
          <w:rStyle w:val="FootnoteReference"/>
        </w:rPr>
        <w:footnoteRef/>
      </w:r>
      <w:r>
        <w:t xml:space="preserve"> </w:t>
      </w:r>
      <w:r w:rsidR="00981C81" w:rsidRPr="00981C81">
        <w:t>(</w:t>
      </w:r>
      <w:proofErr w:type="spellStart"/>
      <w:r w:rsidR="00981C81" w:rsidRPr="00981C81">
        <w:t>Schoep</w:t>
      </w:r>
      <w:proofErr w:type="spellEnd"/>
      <w:r w:rsidR="00981C81" w:rsidRPr="00981C81">
        <w:t>, 2010)</w:t>
      </w:r>
    </w:p>
  </w:footnote>
  <w:footnote w:id="5">
    <w:p w:rsidR="004F69BB" w:rsidRDefault="004F69BB">
      <w:pPr>
        <w:pStyle w:val="FootnoteText"/>
      </w:pPr>
      <w:r>
        <w:rPr>
          <w:rStyle w:val="FootnoteReference"/>
        </w:rPr>
        <w:footnoteRef/>
      </w:r>
      <w:r>
        <w:t xml:space="preserve"> </w:t>
      </w:r>
      <w:r w:rsidR="00981C81" w:rsidRPr="00981C81">
        <w:t>(</w:t>
      </w:r>
      <w:proofErr w:type="spellStart"/>
      <w:r w:rsidR="00981C81" w:rsidRPr="00981C81">
        <w:t>Schoep</w:t>
      </w:r>
      <w:proofErr w:type="spellEnd"/>
      <w:r w:rsidR="00981C81" w:rsidRPr="00981C81">
        <w:t>, 2010)</w:t>
      </w:r>
    </w:p>
  </w:footnote>
  <w:footnote w:id="6">
    <w:p w:rsidR="00746FAF" w:rsidRDefault="00746FAF">
      <w:pPr>
        <w:pStyle w:val="FootnoteText"/>
      </w:pPr>
      <w:r>
        <w:rPr>
          <w:rStyle w:val="FootnoteReference"/>
        </w:rPr>
        <w:footnoteRef/>
      </w:r>
      <w:r>
        <w:t xml:space="preserve"> </w:t>
      </w:r>
      <w:r w:rsidR="00F50602" w:rsidRPr="00F50602">
        <w:t xml:space="preserve"> (Evans and Evans, 1964)</w:t>
      </w:r>
    </w:p>
  </w:footnote>
  <w:footnote w:id="7">
    <w:p w:rsidR="00746FAF" w:rsidRDefault="00746FAF">
      <w:pPr>
        <w:pStyle w:val="FootnoteText"/>
      </w:pPr>
      <w:r>
        <w:rPr>
          <w:rStyle w:val="FootnoteReference"/>
        </w:rPr>
        <w:footnoteRef/>
      </w:r>
      <w:r>
        <w:t xml:space="preserve"> </w:t>
      </w:r>
      <w:r w:rsidR="00981C81">
        <w:t xml:space="preserve">(Cadogen </w:t>
      </w:r>
      <w:r w:rsidR="00D940B6" w:rsidRPr="00D940B6">
        <w:t>1993)</w:t>
      </w:r>
    </w:p>
  </w:footnote>
  <w:footnote w:id="8">
    <w:p w:rsidR="00D75F17" w:rsidRDefault="00D75F17">
      <w:pPr>
        <w:pStyle w:val="FootnoteText"/>
      </w:pPr>
      <w:r>
        <w:rPr>
          <w:rStyle w:val="FootnoteReference"/>
        </w:rPr>
        <w:footnoteRef/>
      </w:r>
      <w:r>
        <w:t xml:space="preserve"> </w:t>
      </w:r>
      <w:r w:rsidR="00D940B6" w:rsidRPr="00D940B6">
        <w:t>(Driessen, 2003)</w:t>
      </w:r>
    </w:p>
  </w:footnote>
  <w:footnote w:id="9">
    <w:p w:rsidR="00D75F17" w:rsidRDefault="00D75F17">
      <w:pPr>
        <w:pStyle w:val="FootnoteText"/>
      </w:pPr>
      <w:r>
        <w:rPr>
          <w:rStyle w:val="FootnoteReference"/>
        </w:rPr>
        <w:footnoteRef/>
      </w:r>
      <w:r>
        <w:t xml:space="preserve"> </w:t>
      </w:r>
      <w:r w:rsidR="00D940B6" w:rsidRPr="00D940B6">
        <w:t>(</w:t>
      </w:r>
      <w:proofErr w:type="spellStart"/>
      <w:r w:rsidR="00D940B6" w:rsidRPr="00D940B6">
        <w:t>Driessen</w:t>
      </w:r>
      <w:proofErr w:type="spellEnd"/>
      <w:r w:rsidR="00D940B6" w:rsidRPr="00D940B6">
        <w:t>, 2003)</w:t>
      </w:r>
    </w:p>
  </w:footnote>
  <w:footnote w:id="10">
    <w:p w:rsidR="00D75F17" w:rsidRDefault="00D75F17">
      <w:pPr>
        <w:pStyle w:val="FootnoteText"/>
      </w:pPr>
      <w:r>
        <w:rPr>
          <w:rStyle w:val="FootnoteReference"/>
        </w:rPr>
        <w:footnoteRef/>
      </w:r>
      <w:r>
        <w:t xml:space="preserve"> </w:t>
      </w:r>
      <w:r w:rsidR="00D940B6" w:rsidRPr="00D940B6">
        <w:t>(</w:t>
      </w:r>
      <w:proofErr w:type="spellStart"/>
      <w:r w:rsidR="00D940B6" w:rsidRPr="00D940B6">
        <w:t>Driessen</w:t>
      </w:r>
      <w:proofErr w:type="spellEnd"/>
      <w:r w:rsidR="00D940B6" w:rsidRPr="00D940B6">
        <w:t>, 2003)</w:t>
      </w:r>
    </w:p>
  </w:footnote>
  <w:footnote w:id="11">
    <w:p w:rsidR="004F69BB" w:rsidRDefault="004F69BB">
      <w:pPr>
        <w:pStyle w:val="FootnoteText"/>
      </w:pPr>
      <w:r>
        <w:rPr>
          <w:rStyle w:val="FootnoteReference"/>
        </w:rPr>
        <w:footnoteRef/>
      </w:r>
      <w:r>
        <w:t xml:space="preserve"> </w:t>
      </w:r>
      <w:proofErr w:type="spellStart"/>
      <w:r w:rsidR="00D940B6" w:rsidRPr="00D940B6">
        <w:t>Cadogen</w:t>
      </w:r>
      <w:proofErr w:type="spellEnd"/>
      <w:r w:rsidR="00D940B6" w:rsidRPr="00D940B6">
        <w:t xml:space="preserve"> (1993)</w:t>
      </w:r>
    </w:p>
  </w:footnote>
  <w:footnote w:id="12">
    <w:p w:rsidR="004F69BB" w:rsidRDefault="004F69BB">
      <w:pPr>
        <w:pStyle w:val="FootnoteText"/>
      </w:pPr>
      <w:r>
        <w:rPr>
          <w:rStyle w:val="FootnoteReference"/>
        </w:rPr>
        <w:footnoteRef/>
      </w:r>
      <w:r>
        <w:t xml:space="preserve"> </w:t>
      </w:r>
      <w:r w:rsidR="00D940B6" w:rsidRPr="00D940B6">
        <w:t>(</w:t>
      </w:r>
      <w:proofErr w:type="spellStart"/>
      <w:r w:rsidR="00D940B6" w:rsidRPr="00D940B6">
        <w:t>Driessen</w:t>
      </w:r>
      <w:proofErr w:type="spellEnd"/>
      <w:r w:rsidR="00D940B6" w:rsidRPr="00D940B6">
        <w:t>, 2003)</w:t>
      </w:r>
    </w:p>
  </w:footnote>
  <w:footnote w:id="13">
    <w:p w:rsidR="00D75F17" w:rsidRDefault="00D75F17">
      <w:pPr>
        <w:pStyle w:val="FootnoteText"/>
      </w:pPr>
      <w:r>
        <w:rPr>
          <w:rStyle w:val="FootnoteReference"/>
        </w:rPr>
        <w:footnoteRef/>
      </w:r>
      <w:r>
        <w:t xml:space="preserve"> </w:t>
      </w:r>
      <w:r w:rsidR="00D940B6" w:rsidRPr="00D940B6">
        <w:t>(</w:t>
      </w:r>
      <w:proofErr w:type="spellStart"/>
      <w:r w:rsidR="00D940B6" w:rsidRPr="00D940B6">
        <w:t>Driessen</w:t>
      </w:r>
      <w:proofErr w:type="spellEnd"/>
      <w:r w:rsidR="00D940B6" w:rsidRPr="00D940B6">
        <w:t>, 2003)</w:t>
      </w:r>
    </w:p>
  </w:footnote>
  <w:footnote w:id="14">
    <w:p w:rsidR="00D75F17" w:rsidRDefault="00D75F17">
      <w:pPr>
        <w:pStyle w:val="FootnoteText"/>
      </w:pPr>
      <w:r>
        <w:rPr>
          <w:rStyle w:val="FootnoteReference"/>
        </w:rPr>
        <w:footnoteRef/>
      </w:r>
      <w:r>
        <w:t xml:space="preserve"> </w:t>
      </w:r>
      <w:r w:rsidR="00F50602" w:rsidRPr="00F50602">
        <w:t>(</w:t>
      </w:r>
      <w:proofErr w:type="spellStart"/>
      <w:r w:rsidR="00F50602" w:rsidRPr="00F50602">
        <w:t>Driessen</w:t>
      </w:r>
      <w:proofErr w:type="spellEnd"/>
      <w:r w:rsidR="00F50602" w:rsidRPr="00F50602">
        <w:t>, 2003)</w:t>
      </w:r>
    </w:p>
  </w:footnote>
  <w:footnote w:id="15">
    <w:p w:rsidR="00662AF2" w:rsidRDefault="00662AF2">
      <w:pPr>
        <w:pStyle w:val="FootnoteText"/>
      </w:pPr>
      <w:r>
        <w:rPr>
          <w:rStyle w:val="FootnoteReference"/>
        </w:rPr>
        <w:footnoteRef/>
      </w:r>
      <w:r>
        <w:t xml:space="preserve"> </w:t>
      </w:r>
      <w:r w:rsidR="00D940B6" w:rsidRPr="00D940B6">
        <w:t>(</w:t>
      </w:r>
      <w:proofErr w:type="spellStart"/>
      <w:r w:rsidR="00D940B6" w:rsidRPr="00D940B6">
        <w:t>Driessen</w:t>
      </w:r>
      <w:proofErr w:type="spellEnd"/>
      <w:r w:rsidR="00D940B6" w:rsidRPr="00D940B6">
        <w:t>, 2003)</w:t>
      </w:r>
    </w:p>
  </w:footnote>
  <w:footnote w:id="16">
    <w:p w:rsidR="00AC3BC0" w:rsidRDefault="00AC3BC0">
      <w:pPr>
        <w:pStyle w:val="FootnoteText"/>
      </w:pPr>
      <w:r>
        <w:rPr>
          <w:rStyle w:val="FootnoteReference"/>
        </w:rPr>
        <w:footnoteRef/>
      </w:r>
      <w:r>
        <w:t xml:space="preserve"> </w:t>
      </w:r>
      <w:r w:rsidR="00D940B6" w:rsidRPr="00D940B6">
        <w:t>(</w:t>
      </w:r>
      <w:proofErr w:type="spellStart"/>
      <w:r w:rsidR="00D940B6" w:rsidRPr="00D940B6">
        <w:t>Driessen</w:t>
      </w:r>
      <w:proofErr w:type="spellEnd"/>
      <w:r w:rsidR="00D940B6" w:rsidRPr="00D940B6">
        <w:t>, 2003)</w:t>
      </w:r>
    </w:p>
  </w:footnote>
  <w:footnote w:id="17">
    <w:p w:rsidR="00662AF2" w:rsidRDefault="00662AF2">
      <w:pPr>
        <w:pStyle w:val="FootnoteText"/>
      </w:pPr>
      <w:r>
        <w:rPr>
          <w:rStyle w:val="FootnoteReference"/>
        </w:rPr>
        <w:footnoteRef/>
      </w:r>
      <w:r>
        <w:t xml:space="preserve"> </w:t>
      </w:r>
      <w:r w:rsidR="00D940B6" w:rsidRPr="00D940B6">
        <w:t>(</w:t>
      </w:r>
      <w:proofErr w:type="spellStart"/>
      <w:r w:rsidR="00D940B6" w:rsidRPr="00D940B6">
        <w:t>Driessen</w:t>
      </w:r>
      <w:proofErr w:type="spellEnd"/>
      <w:r w:rsidR="00D940B6" w:rsidRPr="00D940B6">
        <w:t>, 2003)</w:t>
      </w:r>
    </w:p>
  </w:footnote>
  <w:footnote w:id="18">
    <w:p w:rsidR="00BB70CD" w:rsidRDefault="00BB70CD">
      <w:pPr>
        <w:pStyle w:val="FootnoteText"/>
      </w:pPr>
      <w:r>
        <w:rPr>
          <w:rStyle w:val="FootnoteReference"/>
        </w:rPr>
        <w:footnoteRef/>
      </w:r>
      <w:r w:rsidR="00F50602">
        <w:t xml:space="preserve"> (</w:t>
      </w:r>
      <w:proofErr w:type="spellStart"/>
      <w:r w:rsidR="00F50602" w:rsidRPr="00F50602">
        <w:t>Cadogen</w:t>
      </w:r>
      <w:proofErr w:type="spellEnd"/>
      <w:r w:rsidR="00F50602" w:rsidRPr="00F50602">
        <w:t xml:space="preserve"> 1993)</w:t>
      </w:r>
    </w:p>
  </w:footnote>
  <w:footnote w:id="19">
    <w:p w:rsidR="00BB70CD" w:rsidRDefault="00BB70CD">
      <w:pPr>
        <w:pStyle w:val="FootnoteText"/>
      </w:pPr>
      <w:r>
        <w:rPr>
          <w:rStyle w:val="FootnoteReference"/>
        </w:rPr>
        <w:footnoteRef/>
      </w:r>
      <w:r>
        <w:t xml:space="preserve"> </w:t>
      </w:r>
      <w:r w:rsidR="00981C81">
        <w:t>(</w:t>
      </w:r>
      <w:proofErr w:type="spellStart"/>
      <w:r w:rsidR="00981C81">
        <w:t>Cadogen</w:t>
      </w:r>
      <w:proofErr w:type="spellEnd"/>
      <w:r w:rsidR="00981C81">
        <w:t xml:space="preserve"> </w:t>
      </w:r>
      <w:r w:rsidR="00D940B6" w:rsidRPr="00D940B6">
        <w:t>1993)</w:t>
      </w:r>
    </w:p>
  </w:footnote>
  <w:footnote w:id="20">
    <w:p w:rsidR="00C0667F" w:rsidRDefault="00C0667F">
      <w:pPr>
        <w:pStyle w:val="FootnoteText"/>
      </w:pPr>
      <w:r>
        <w:rPr>
          <w:rStyle w:val="FootnoteReference"/>
        </w:rPr>
        <w:footnoteRef/>
      </w:r>
      <w:r>
        <w:t xml:space="preserve"> </w:t>
      </w:r>
      <w:r w:rsidR="00981C81" w:rsidRPr="00981C81">
        <w:t>(</w:t>
      </w:r>
      <w:proofErr w:type="spellStart"/>
      <w:r w:rsidR="00981C81" w:rsidRPr="00981C81">
        <w:t>Michailidou</w:t>
      </w:r>
      <w:proofErr w:type="spellEnd"/>
      <w:r w:rsidR="00981C81" w:rsidRPr="00981C81">
        <w:t>, 1987)</w:t>
      </w:r>
    </w:p>
  </w:footnote>
  <w:footnote w:id="21">
    <w:p w:rsidR="00C0667F" w:rsidRDefault="00C0667F">
      <w:pPr>
        <w:pStyle w:val="FootnoteText"/>
      </w:pPr>
      <w:r>
        <w:rPr>
          <w:rStyle w:val="FootnoteReference"/>
        </w:rPr>
        <w:footnoteRef/>
      </w:r>
      <w:r>
        <w:t xml:space="preserve"> </w:t>
      </w:r>
      <w:r w:rsidR="009B5D46">
        <w:t>(</w:t>
      </w:r>
      <w:proofErr w:type="spellStart"/>
      <w:r w:rsidR="009B5D46">
        <w:t>Cadogen</w:t>
      </w:r>
      <w:proofErr w:type="spellEnd"/>
      <w:r w:rsidR="009B5D46">
        <w:t xml:space="preserve"> </w:t>
      </w:r>
      <w:r w:rsidR="00D940B6" w:rsidRPr="00D940B6">
        <w:t>1993)</w:t>
      </w:r>
    </w:p>
  </w:footnote>
  <w:footnote w:id="22">
    <w:p w:rsidR="00BB1CC9" w:rsidRDefault="00BB1CC9">
      <w:pPr>
        <w:pStyle w:val="FootnoteText"/>
      </w:pPr>
      <w:r>
        <w:rPr>
          <w:rStyle w:val="FootnoteReference"/>
        </w:rPr>
        <w:footnoteRef/>
      </w:r>
      <w:r w:rsidR="009B5D46">
        <w:t xml:space="preserve"> (</w:t>
      </w:r>
      <w:proofErr w:type="spellStart"/>
      <w:r w:rsidR="009B5D46">
        <w:t>Cadogen</w:t>
      </w:r>
      <w:proofErr w:type="spellEnd"/>
      <w:r w:rsidR="009B5D46">
        <w:t xml:space="preserve"> </w:t>
      </w:r>
      <w:r w:rsidR="00D23BD5" w:rsidRPr="00D23BD5">
        <w:t>1993)</w:t>
      </w:r>
    </w:p>
  </w:footnote>
  <w:footnote w:id="23">
    <w:p w:rsidR="00BB1CC9" w:rsidRDefault="00BB1CC9">
      <w:pPr>
        <w:pStyle w:val="FootnoteText"/>
      </w:pPr>
      <w:r>
        <w:rPr>
          <w:rStyle w:val="FootnoteReference"/>
        </w:rPr>
        <w:footnoteRef/>
      </w:r>
      <w:r>
        <w:t xml:space="preserve"> </w:t>
      </w:r>
      <w:r w:rsidR="009B5D46">
        <w:t>(</w:t>
      </w:r>
      <w:proofErr w:type="spellStart"/>
      <w:r w:rsidR="009B5D46">
        <w:t>Cadogen</w:t>
      </w:r>
      <w:proofErr w:type="spellEnd"/>
      <w:r w:rsidR="009B5D46">
        <w:t xml:space="preserve"> </w:t>
      </w:r>
      <w:r w:rsidR="00D940B6" w:rsidRPr="00D940B6">
        <w:t>1993)</w:t>
      </w:r>
    </w:p>
  </w:footnote>
  <w:footnote w:id="24">
    <w:p w:rsidR="00350AF4" w:rsidRDefault="00350AF4">
      <w:pPr>
        <w:pStyle w:val="FootnoteText"/>
      </w:pPr>
      <w:r>
        <w:rPr>
          <w:rStyle w:val="FootnoteReference"/>
        </w:rPr>
        <w:footnoteRef/>
      </w:r>
      <w:r>
        <w:t xml:space="preserve"> </w:t>
      </w:r>
      <w:r w:rsidR="009B5D46">
        <w:t>(</w:t>
      </w:r>
      <w:proofErr w:type="spellStart"/>
      <w:r w:rsidR="009B5D46">
        <w:t>Cadogen</w:t>
      </w:r>
      <w:proofErr w:type="spellEnd"/>
      <w:r w:rsidR="009B5D46">
        <w:t xml:space="preserve"> </w:t>
      </w:r>
      <w:r w:rsidR="00D940B6">
        <w:t>1993)</w:t>
      </w:r>
    </w:p>
  </w:footnote>
  <w:footnote w:id="25">
    <w:p w:rsidR="007E2D19" w:rsidRDefault="007E2D19">
      <w:pPr>
        <w:pStyle w:val="FootnoteText"/>
      </w:pPr>
      <w:r>
        <w:rPr>
          <w:rStyle w:val="FootnoteReference"/>
        </w:rPr>
        <w:footnoteRef/>
      </w:r>
      <w:r>
        <w:t xml:space="preserve"> </w:t>
      </w:r>
      <w:r w:rsidR="00D940B6" w:rsidRPr="00D940B6">
        <w:t>(</w:t>
      </w:r>
      <w:proofErr w:type="spellStart"/>
      <w:r w:rsidR="00D940B6" w:rsidRPr="00D940B6">
        <w:t>Driessen</w:t>
      </w:r>
      <w:proofErr w:type="spellEnd"/>
      <w:r w:rsidR="00D940B6" w:rsidRPr="00D940B6">
        <w:t>, 2003)</w:t>
      </w:r>
    </w:p>
  </w:footnote>
  <w:footnote w:id="26">
    <w:p w:rsidR="00EB190F" w:rsidRDefault="00EB190F">
      <w:pPr>
        <w:pStyle w:val="FootnoteText"/>
      </w:pPr>
      <w:r>
        <w:rPr>
          <w:rStyle w:val="FootnoteReference"/>
        </w:rPr>
        <w:footnoteRef/>
      </w:r>
      <w:r>
        <w:t xml:space="preserve"> </w:t>
      </w:r>
      <w:r w:rsidR="00D23BD5" w:rsidRPr="00D23BD5">
        <w:t>(</w:t>
      </w:r>
      <w:proofErr w:type="spellStart"/>
      <w:r w:rsidR="00D23BD5" w:rsidRPr="00D23BD5">
        <w:t>Schoep</w:t>
      </w:r>
      <w:proofErr w:type="spellEnd"/>
      <w:r w:rsidR="00D23BD5" w:rsidRPr="00D23BD5">
        <w:t>, 2010)</w:t>
      </w:r>
    </w:p>
  </w:footnote>
  <w:footnote w:id="27">
    <w:p w:rsidR="007E2D19" w:rsidRDefault="007E2D19">
      <w:pPr>
        <w:pStyle w:val="FootnoteText"/>
      </w:pPr>
      <w:r>
        <w:rPr>
          <w:rStyle w:val="FootnoteReference"/>
        </w:rPr>
        <w:footnoteRef/>
      </w:r>
      <w:r>
        <w:t xml:space="preserve"> </w:t>
      </w:r>
      <w:r w:rsidR="00D940B6">
        <w:t>(</w:t>
      </w:r>
      <w:proofErr w:type="spellStart"/>
      <w:r w:rsidR="00D940B6">
        <w:t>Driessen</w:t>
      </w:r>
      <w:proofErr w:type="spellEnd"/>
      <w:r w:rsidR="00D940B6">
        <w:t>, 2003</w:t>
      </w:r>
      <w:r w:rsidR="00D940B6" w:rsidRPr="00D940B6">
        <w:t>)</w:t>
      </w:r>
    </w:p>
  </w:footnote>
  <w:footnote w:id="28">
    <w:p w:rsidR="00EB190F" w:rsidRDefault="00EB190F">
      <w:pPr>
        <w:pStyle w:val="FootnoteText"/>
      </w:pPr>
      <w:r>
        <w:rPr>
          <w:rStyle w:val="FootnoteReference"/>
        </w:rPr>
        <w:footnoteRef/>
      </w:r>
      <w:r>
        <w:t xml:space="preserve"> </w:t>
      </w:r>
      <w:r w:rsidR="00981C81" w:rsidRPr="00981C81">
        <w:t>(</w:t>
      </w:r>
      <w:proofErr w:type="spellStart"/>
      <w:r w:rsidR="00981C81" w:rsidRPr="00981C81">
        <w:t>Branigan</w:t>
      </w:r>
      <w:proofErr w:type="spellEnd"/>
      <w:r w:rsidR="00981C81" w:rsidRPr="00981C81">
        <w:t>, 1970)</w:t>
      </w:r>
    </w:p>
  </w:footnote>
  <w:footnote w:id="29">
    <w:p w:rsidR="00086E7F" w:rsidRDefault="00086E7F">
      <w:pPr>
        <w:pStyle w:val="FootnoteText"/>
      </w:pPr>
      <w:r>
        <w:rPr>
          <w:rStyle w:val="FootnoteReference"/>
        </w:rPr>
        <w:footnoteRef/>
      </w:r>
      <w:r w:rsidR="00981C81">
        <w:t xml:space="preserve"> </w:t>
      </w:r>
      <w:r w:rsidR="00981C81" w:rsidRPr="00981C81">
        <w:t>(</w:t>
      </w:r>
      <w:proofErr w:type="spellStart"/>
      <w:r w:rsidR="00981C81" w:rsidRPr="00981C81">
        <w:t>Branigan</w:t>
      </w:r>
      <w:proofErr w:type="spellEnd"/>
      <w:r w:rsidR="00981C81" w:rsidRPr="00981C81">
        <w:t>, 1970)</w:t>
      </w:r>
    </w:p>
  </w:footnote>
  <w:footnote w:id="30">
    <w:p w:rsidR="006B3652" w:rsidRDefault="006B3652">
      <w:pPr>
        <w:pStyle w:val="FootnoteText"/>
      </w:pPr>
      <w:r>
        <w:rPr>
          <w:rStyle w:val="FootnoteReference"/>
        </w:rPr>
        <w:footnoteRef/>
      </w:r>
      <w:r>
        <w:t xml:space="preserve"> </w:t>
      </w:r>
      <w:r w:rsidR="00981C81" w:rsidRPr="00981C81">
        <w:t>(Schoep, 2010)</w:t>
      </w:r>
    </w:p>
  </w:footnote>
  <w:footnote w:id="31">
    <w:p w:rsidR="00F57FCB" w:rsidRDefault="00F57FCB">
      <w:pPr>
        <w:pStyle w:val="FootnoteText"/>
      </w:pPr>
      <w:r>
        <w:rPr>
          <w:rStyle w:val="FootnoteReference"/>
        </w:rPr>
        <w:footnoteRef/>
      </w:r>
      <w:r>
        <w:t xml:space="preserve"> </w:t>
      </w:r>
      <w:r w:rsidR="00F50602">
        <w:t>(Steel, 2017)</w:t>
      </w:r>
    </w:p>
  </w:footnote>
  <w:footnote w:id="32">
    <w:p w:rsidR="004C18C2" w:rsidRDefault="004C18C2">
      <w:pPr>
        <w:pStyle w:val="FootnoteText"/>
      </w:pPr>
      <w:r>
        <w:rPr>
          <w:rStyle w:val="FootnoteReference"/>
        </w:rPr>
        <w:footnoteRef/>
      </w:r>
      <w:r w:rsidR="00D23BD5">
        <w:t xml:space="preserve"> </w:t>
      </w:r>
      <w:r w:rsidR="00D23BD5" w:rsidRPr="00D23BD5">
        <w:t>(</w:t>
      </w:r>
      <w:proofErr w:type="spellStart"/>
      <w:r w:rsidR="00D23BD5" w:rsidRPr="00D23BD5">
        <w:t>Hatzaki</w:t>
      </w:r>
      <w:proofErr w:type="spellEnd"/>
      <w:r w:rsidR="00D23BD5" w:rsidRPr="00D23BD5">
        <w:t>, 2009)</w:t>
      </w:r>
    </w:p>
  </w:footnote>
  <w:footnote w:id="33">
    <w:p w:rsidR="0007503F" w:rsidRDefault="0007503F">
      <w:pPr>
        <w:pStyle w:val="FootnoteText"/>
      </w:pPr>
      <w:r>
        <w:rPr>
          <w:rStyle w:val="FootnoteReference"/>
        </w:rPr>
        <w:footnoteRef/>
      </w:r>
      <w:r w:rsidR="00D23BD5">
        <w:t xml:space="preserve"> </w:t>
      </w:r>
      <w:r w:rsidR="00D23BD5" w:rsidRPr="00D23BD5">
        <w:t>(</w:t>
      </w:r>
      <w:proofErr w:type="spellStart"/>
      <w:r w:rsidR="00D23BD5" w:rsidRPr="00D23BD5">
        <w:t>Hatzaki</w:t>
      </w:r>
      <w:proofErr w:type="spellEnd"/>
      <w:r w:rsidR="00D23BD5" w:rsidRPr="00D23BD5">
        <w:t>, 2009)</w:t>
      </w:r>
    </w:p>
  </w:footnote>
  <w:footnote w:id="34">
    <w:p w:rsidR="0007503F" w:rsidRDefault="0007503F">
      <w:pPr>
        <w:pStyle w:val="FootnoteText"/>
      </w:pPr>
      <w:r>
        <w:rPr>
          <w:rStyle w:val="FootnoteReference"/>
        </w:rPr>
        <w:footnoteRef/>
      </w:r>
      <w:r w:rsidR="00D23BD5">
        <w:t xml:space="preserve"> </w:t>
      </w:r>
      <w:r w:rsidR="00D23BD5" w:rsidRPr="00D23BD5">
        <w:t>(</w:t>
      </w:r>
      <w:proofErr w:type="spellStart"/>
      <w:r w:rsidR="00D23BD5" w:rsidRPr="00D23BD5">
        <w:t>Hatzaki</w:t>
      </w:r>
      <w:proofErr w:type="spellEnd"/>
      <w:r w:rsidR="00D23BD5" w:rsidRPr="00D23BD5">
        <w:t>, 2009)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C4A2C" w:rsidRDefault="009C4A2C">
    <w:pPr>
      <w:pStyle w:val="Header"/>
    </w:pPr>
    <w:r>
      <w:t xml:space="preserve">Kayleigh Cole 1502512                                                                                                                    AHAR6003 </w:t>
    </w:r>
  </w:p>
  <w:p w:rsidR="009C4A2C" w:rsidRDefault="009C4A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222D"/>
    <w:rsid w:val="00036A90"/>
    <w:rsid w:val="0007503F"/>
    <w:rsid w:val="00086E7F"/>
    <w:rsid w:val="000A6692"/>
    <w:rsid w:val="00100A7E"/>
    <w:rsid w:val="001A5715"/>
    <w:rsid w:val="002262BA"/>
    <w:rsid w:val="00266326"/>
    <w:rsid w:val="0028253E"/>
    <w:rsid w:val="00350AF4"/>
    <w:rsid w:val="003F0783"/>
    <w:rsid w:val="004478F8"/>
    <w:rsid w:val="004518AB"/>
    <w:rsid w:val="004C18C2"/>
    <w:rsid w:val="004E65F1"/>
    <w:rsid w:val="004F69BB"/>
    <w:rsid w:val="00526232"/>
    <w:rsid w:val="005848C9"/>
    <w:rsid w:val="005A08B1"/>
    <w:rsid w:val="00607928"/>
    <w:rsid w:val="00662AF2"/>
    <w:rsid w:val="006979CD"/>
    <w:rsid w:val="006B3652"/>
    <w:rsid w:val="006B4944"/>
    <w:rsid w:val="00746FAF"/>
    <w:rsid w:val="00754D66"/>
    <w:rsid w:val="007E2D19"/>
    <w:rsid w:val="007E55C2"/>
    <w:rsid w:val="00890504"/>
    <w:rsid w:val="009061A6"/>
    <w:rsid w:val="00981C81"/>
    <w:rsid w:val="0098237C"/>
    <w:rsid w:val="009B5D46"/>
    <w:rsid w:val="009C4A2C"/>
    <w:rsid w:val="00A22B1D"/>
    <w:rsid w:val="00AC3BC0"/>
    <w:rsid w:val="00B51E0A"/>
    <w:rsid w:val="00BB1CC9"/>
    <w:rsid w:val="00BB70CD"/>
    <w:rsid w:val="00C0667F"/>
    <w:rsid w:val="00C13CA6"/>
    <w:rsid w:val="00C63769"/>
    <w:rsid w:val="00CF0073"/>
    <w:rsid w:val="00D23BD5"/>
    <w:rsid w:val="00D609A6"/>
    <w:rsid w:val="00D72478"/>
    <w:rsid w:val="00D75F17"/>
    <w:rsid w:val="00D80272"/>
    <w:rsid w:val="00D940B6"/>
    <w:rsid w:val="00DB38C7"/>
    <w:rsid w:val="00E94A21"/>
    <w:rsid w:val="00EB190F"/>
    <w:rsid w:val="00EE3BC3"/>
    <w:rsid w:val="00EE77C5"/>
    <w:rsid w:val="00F1222D"/>
    <w:rsid w:val="00F169F0"/>
    <w:rsid w:val="00F50602"/>
    <w:rsid w:val="00F57FCB"/>
    <w:rsid w:val="00F61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7EA090-D847-4DF4-A1C6-DA5FA5FA2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4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A2C"/>
  </w:style>
  <w:style w:type="paragraph" w:styleId="Footer">
    <w:name w:val="footer"/>
    <w:basedOn w:val="Normal"/>
    <w:link w:val="FooterChar"/>
    <w:uiPriority w:val="99"/>
    <w:unhideWhenUsed/>
    <w:rsid w:val="009C4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A2C"/>
  </w:style>
  <w:style w:type="paragraph" w:styleId="FootnoteText">
    <w:name w:val="footnote text"/>
    <w:basedOn w:val="Normal"/>
    <w:link w:val="FootnoteTextChar"/>
    <w:uiPriority w:val="99"/>
    <w:semiHidden/>
    <w:unhideWhenUsed/>
    <w:rsid w:val="00DB38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38C7"/>
    <w:rPr>
      <w:sz w:val="20"/>
      <w:szCs w:val="20"/>
    </w:rPr>
  </w:style>
  <w:style w:type="character" w:styleId="FootnoteReference">
    <w:name w:val="footnote reference"/>
    <w:basedOn w:val="DefaultParagraphFont"/>
    <w:uiPriority w:val="99"/>
    <w:semiHidden/>
    <w:unhideWhenUsed/>
    <w:rsid w:val="00DB38C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1C2A4C-A345-42EC-8510-B44BC828B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11</Pages>
  <Words>3082</Words>
  <Characters>17574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Cole</dc:creator>
  <cp:keywords/>
  <dc:description/>
  <cp:lastModifiedBy>Kayleigh Cole</cp:lastModifiedBy>
  <cp:revision>11</cp:revision>
  <dcterms:created xsi:type="dcterms:W3CDTF">2017-12-04T14:07:00Z</dcterms:created>
  <dcterms:modified xsi:type="dcterms:W3CDTF">2017-12-13T21:49:00Z</dcterms:modified>
</cp:coreProperties>
</file>