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49CC6"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218DC3B5" wp14:editId="5699C5CD">
                <wp:extent cx="5731510" cy="1270"/>
                <wp:effectExtent l="0" t="31750" r="0" b="36830"/>
                <wp:docPr id="262790759" name="Rectangle 7">
                  <a:extLst xmlns:a="http://schemas.openxmlformats.org/drawingml/2006/main">
                    <a:ext uri="{FF2B5EF4-FFF2-40B4-BE49-F238E27FC236}">
                      <a16:creationId xmlns:a16="http://schemas.microsoft.com/office/drawing/2014/main" id="{1FEAF78D-2C43-42E8-A7B5-2864E2B15575}"/>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34052F"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94F20C3" w14:textId="77777777" w:rsidR="00B929F1" w:rsidRPr="00B929F1" w:rsidRDefault="00B929F1" w:rsidP="00B929F1">
      <w:pPr>
        <w:spacing w:before="100" w:beforeAutospacing="1" w:after="100" w:afterAutospacing="1" w:line="240" w:lineRule="auto"/>
        <w:outlineLvl w:val="0"/>
        <w:rPr>
          <w:rFonts w:ascii="Times New Roman" w:hAnsi="Times New Roman" w:cs="Times New Roman"/>
          <w:b/>
          <w:bCs/>
          <w:kern w:val="36"/>
          <w:sz w:val="48"/>
          <w:szCs w:val="48"/>
          <w14:ligatures w14:val="none"/>
        </w:rPr>
      </w:pPr>
      <w:r w:rsidRPr="00B929F1">
        <w:rPr>
          <w:rFonts w:ascii="Times New Roman" w:eastAsia="Times New Roman" w:hAnsi="Times New Roman" w:cs="Times New Roman"/>
          <w:b/>
          <w:bCs/>
          <w:kern w:val="36"/>
          <w:sz w:val="48"/>
          <w:szCs w:val="48"/>
          <w14:ligatures w14:val="none"/>
        </w:rPr>
        <w:t xml:space="preserve">The Evolution of Melancholia: From Ancient Beliefs to Modern </w:t>
      </w:r>
      <w:proofErr w:type="spellStart"/>
      <w:r w:rsidRPr="00B929F1">
        <w:rPr>
          <w:rFonts w:ascii="Times New Roman" w:eastAsia="Times New Roman" w:hAnsi="Times New Roman" w:cs="Times New Roman"/>
          <w:b/>
          <w:bCs/>
          <w:kern w:val="36"/>
          <w:sz w:val="48"/>
          <w:szCs w:val="48"/>
          <w14:ligatures w14:val="none"/>
        </w:rPr>
        <w:t>Biopsychosocial</w:t>
      </w:r>
      <w:proofErr w:type="spellEnd"/>
      <w:r w:rsidRPr="00B929F1">
        <w:rPr>
          <w:rFonts w:ascii="Times New Roman" w:eastAsia="Times New Roman" w:hAnsi="Times New Roman" w:cs="Times New Roman"/>
          <w:b/>
          <w:bCs/>
          <w:kern w:val="36"/>
          <w:sz w:val="48"/>
          <w:szCs w:val="48"/>
          <w14:ligatures w14:val="none"/>
        </w:rPr>
        <w:t xml:space="preserve"> Understanding</w:t>
      </w:r>
    </w:p>
    <w:p w14:paraId="3BA8A199"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4F4C2C5E" w14:textId="77777777" w:rsidR="00B929F1" w:rsidRPr="00B929F1" w:rsidRDefault="00B929F1" w:rsidP="00B929F1">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Introduction</w:t>
      </w:r>
    </w:p>
    <w:p w14:paraId="384EFE6C"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49833AC4"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Melancholia is one of the oldest recorded concepts in the history of mental health. Traditionally referring to deep sadness, despair, or persistent despondency, the term has undergone significant transformation across cultures and eras (Jackson, 1986). In contemporary psychology, melancholia is most commonly associated with clinical depression and related mood disorders, yet its historical roots reveal a far more complex and varied conceptual development. Over time, explanations for melancholia have moved from supernatural, moral, and spiritual frameworks to medicalised, psychological, and ultimately integrated </w:t>
      </w:r>
      <w:proofErr w:type="spellStart"/>
      <w:r w:rsidRPr="00B929F1">
        <w:rPr>
          <w:rFonts w:ascii="Times New Roman" w:hAnsi="Times New Roman" w:cs="Times New Roman"/>
          <w:kern w:val="0"/>
          <w14:ligatures w14:val="none"/>
        </w:rPr>
        <w:t>biopsychosocial</w:t>
      </w:r>
      <w:proofErr w:type="spellEnd"/>
      <w:r w:rsidRPr="00B929F1">
        <w:rPr>
          <w:rFonts w:ascii="Times New Roman" w:hAnsi="Times New Roman" w:cs="Times New Roman"/>
          <w:kern w:val="0"/>
          <w14:ligatures w14:val="none"/>
        </w:rPr>
        <w:t xml:space="preserve"> models (Shorter, 1997).</w:t>
      </w:r>
    </w:p>
    <w:p w14:paraId="4A72609F"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20F1916D"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This essay examines the evolution of melancholia from antiquity to the present day. It begins by exploring the origins of melancholia in ancient Greek medicine, particularly in Hippocratic </w:t>
      </w:r>
      <w:proofErr w:type="spellStart"/>
      <w:r w:rsidRPr="00B929F1">
        <w:rPr>
          <w:rFonts w:ascii="Times New Roman" w:hAnsi="Times New Roman" w:cs="Times New Roman"/>
          <w:kern w:val="0"/>
          <w14:ligatures w14:val="none"/>
        </w:rPr>
        <w:t>humoral</w:t>
      </w:r>
      <w:proofErr w:type="spellEnd"/>
      <w:r w:rsidRPr="00B929F1">
        <w:rPr>
          <w:rFonts w:ascii="Times New Roman" w:hAnsi="Times New Roman" w:cs="Times New Roman"/>
          <w:kern w:val="0"/>
          <w14:ligatures w14:val="none"/>
        </w:rPr>
        <w:t xml:space="preserve"> theory, and follows its reinterpretation during the medieval period when religious and moral explanations dominated. The discussion then traces the transition in the Renaissance and Enlightenment towards more rational, psychological, and </w:t>
      </w:r>
      <w:proofErr w:type="spellStart"/>
      <w:r w:rsidRPr="00B929F1">
        <w:rPr>
          <w:rFonts w:ascii="Times New Roman" w:hAnsi="Times New Roman" w:cs="Times New Roman"/>
          <w:kern w:val="0"/>
          <w14:ligatures w14:val="none"/>
        </w:rPr>
        <w:t>proto-scientific</w:t>
      </w:r>
      <w:proofErr w:type="spellEnd"/>
      <w:r w:rsidRPr="00B929F1">
        <w:rPr>
          <w:rFonts w:ascii="Times New Roman" w:hAnsi="Times New Roman" w:cs="Times New Roman"/>
          <w:kern w:val="0"/>
          <w14:ligatures w14:val="none"/>
        </w:rPr>
        <w:t xml:space="preserve"> perspectives, culminating in the emergence of psychiatry as a discipline in the 19th century (</w:t>
      </w:r>
      <w:proofErr w:type="spellStart"/>
      <w:r w:rsidRPr="00B929F1">
        <w:rPr>
          <w:rFonts w:ascii="Times New Roman" w:hAnsi="Times New Roman" w:cs="Times New Roman"/>
          <w:kern w:val="0"/>
          <w14:ligatures w14:val="none"/>
        </w:rPr>
        <w:t>Berrios</w:t>
      </w:r>
      <w:proofErr w:type="spellEnd"/>
      <w:r w:rsidRPr="00B929F1">
        <w:rPr>
          <w:rFonts w:ascii="Times New Roman" w:hAnsi="Times New Roman" w:cs="Times New Roman"/>
          <w:kern w:val="0"/>
          <w14:ligatures w14:val="none"/>
        </w:rPr>
        <w:t xml:space="preserve">, 1988). Key developments in early 20th-century psychoanalysis are considered alongside the growing medicalisation of mental illness. The essay then analyses the biological and pharmacological revolution of the mid- to late-20th century, including the discovery of antidepressants and the creation of diagnostic systems. Finally, it considers modern </w:t>
      </w:r>
      <w:proofErr w:type="spellStart"/>
      <w:r w:rsidRPr="00B929F1">
        <w:rPr>
          <w:rFonts w:ascii="Times New Roman" w:hAnsi="Times New Roman" w:cs="Times New Roman"/>
          <w:kern w:val="0"/>
          <w14:ligatures w14:val="none"/>
        </w:rPr>
        <w:t>biopsychosocial</w:t>
      </w:r>
      <w:proofErr w:type="spellEnd"/>
      <w:r w:rsidRPr="00B929F1">
        <w:rPr>
          <w:rFonts w:ascii="Times New Roman" w:hAnsi="Times New Roman" w:cs="Times New Roman"/>
          <w:kern w:val="0"/>
          <w14:ligatures w14:val="none"/>
        </w:rPr>
        <w:t xml:space="preserve"> and holistic approaches that reflect contemporary mental healthcare (Engel, 1977). Together, these developments highlight how interpretations of melancholia have shifted from supernatural and punitive responses to compassionate, evidence-based treatments grounded in scientific understanding.</w:t>
      </w:r>
    </w:p>
    <w:p w14:paraId="6E64B805"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64463B83" wp14:editId="7565FBF6">
                <wp:extent cx="5731510" cy="1270"/>
                <wp:effectExtent l="0" t="31750" r="0" b="36830"/>
                <wp:docPr id="1348611112" name="Rectangle 6">
                  <a:extLst xmlns:a="http://schemas.openxmlformats.org/drawingml/2006/main">
                    <a:ext uri="{FF2B5EF4-FFF2-40B4-BE49-F238E27FC236}">
                      <a16:creationId xmlns:a16="http://schemas.microsoft.com/office/drawing/2014/main" id="{A7A55D97-6E8E-42A2-930D-44B6314AFB4F}"/>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5C17E93"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28F48537"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Ancient and Medieval Understandings</w:t>
      </w:r>
    </w:p>
    <w:p w14:paraId="47A749F3"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7CCC73D"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earliest systematic explanations of melancholia appear in ancient Greek medicine. Hippocrates, writing in the 5th century BCE, proposed a naturalistic understanding of </w:t>
      </w:r>
      <w:r w:rsidRPr="00B929F1">
        <w:rPr>
          <w:rFonts w:ascii="Times New Roman" w:hAnsi="Times New Roman" w:cs="Times New Roman"/>
          <w:kern w:val="0"/>
          <w14:ligatures w14:val="none"/>
        </w:rPr>
        <w:lastRenderedPageBreak/>
        <w:t xml:space="preserve">emotional and physical disorders through the theory of the four bodily humours: blood, phlegm, yellow bile, and black bile (Hippocrates, as cited in </w:t>
      </w:r>
      <w:proofErr w:type="spellStart"/>
      <w:r w:rsidRPr="00B929F1">
        <w:rPr>
          <w:rFonts w:ascii="Times New Roman" w:hAnsi="Times New Roman" w:cs="Times New Roman"/>
          <w:kern w:val="0"/>
          <w14:ligatures w14:val="none"/>
        </w:rPr>
        <w:t>Nutton</w:t>
      </w:r>
      <w:proofErr w:type="spellEnd"/>
      <w:r w:rsidRPr="00B929F1">
        <w:rPr>
          <w:rFonts w:ascii="Times New Roman" w:hAnsi="Times New Roman" w:cs="Times New Roman"/>
          <w:kern w:val="0"/>
          <w14:ligatures w14:val="none"/>
        </w:rPr>
        <w:t>, 2013). According to this model, melancholia resulted from an excess of black bile, which disrupted both bodily functioning and the stability of the mind. Symptoms such as persistent sadness, fearfulness, reduced appetite, and disturbed thinking were interpreted as direct consequences of this internal imbalance.</w:t>
      </w:r>
    </w:p>
    <w:p w14:paraId="060478CF"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49B443C"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Treatment in the Hippocratic tradition therefore aimed at restoring harmony among the humours. Recommended interventions included dietary regulation, exercise, rest, herbal preparations, and occasionally bloodletting or purging to remove the supposed excess fluid (Porter, 2002). These approaches represent some of the earliest recorded attempts at what might be considered psychological treatment, even if framed within a physiological theory that modern science has long abandoned.</w:t>
      </w:r>
    </w:p>
    <w:p w14:paraId="0395A3FE"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1EC0F3DC"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Classical thinkers also debated the relationship between melancholia and temperament. Aristotle famously suggested that individuals of exceptional creativity, philosophical insight, or artistic talent often possessed a melancholic disposition (Aristotle, as cited in </w:t>
      </w:r>
      <w:proofErr w:type="spellStart"/>
      <w:r w:rsidRPr="00B929F1">
        <w:rPr>
          <w:rFonts w:ascii="Times New Roman" w:hAnsi="Times New Roman" w:cs="Times New Roman"/>
          <w:kern w:val="0"/>
          <w14:ligatures w14:val="none"/>
        </w:rPr>
        <w:t>Klibansky</w:t>
      </w:r>
      <w:proofErr w:type="spellEnd"/>
      <w:r w:rsidRPr="00B929F1">
        <w:rPr>
          <w:rFonts w:ascii="Times New Roman" w:hAnsi="Times New Roman" w:cs="Times New Roman"/>
          <w:kern w:val="0"/>
          <w14:ligatures w14:val="none"/>
        </w:rPr>
        <w:t xml:space="preserve">, Panofsky &amp; </w:t>
      </w:r>
      <w:proofErr w:type="spellStart"/>
      <w:r w:rsidRPr="00B929F1">
        <w:rPr>
          <w:rFonts w:ascii="Times New Roman" w:hAnsi="Times New Roman" w:cs="Times New Roman"/>
          <w:kern w:val="0"/>
          <w14:ligatures w14:val="none"/>
        </w:rPr>
        <w:t>Saxl</w:t>
      </w:r>
      <w:proofErr w:type="spellEnd"/>
      <w:r w:rsidRPr="00B929F1">
        <w:rPr>
          <w:rFonts w:ascii="Times New Roman" w:hAnsi="Times New Roman" w:cs="Times New Roman"/>
          <w:kern w:val="0"/>
          <w14:ligatures w14:val="none"/>
        </w:rPr>
        <w:t>, 1964). This view helped create the longstanding association between genius and suffering—a cultural motif that persisted for centuries.</w:t>
      </w:r>
    </w:p>
    <w:p w14:paraId="6B57F551"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286B1FAF"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During the medieval period, however, rational medical interpretations were increasingly overshadowed by spiritual and moral frameworks. In Christian Europe, melancholia or acedia, a form of spiritual despair, was at times considered a sin reflecting weak faith or moral failure (</w:t>
      </w:r>
      <w:proofErr w:type="spellStart"/>
      <w:r w:rsidRPr="00B929F1">
        <w:rPr>
          <w:rFonts w:ascii="Times New Roman" w:hAnsi="Times New Roman" w:cs="Times New Roman"/>
          <w:kern w:val="0"/>
          <w14:ligatures w14:val="none"/>
        </w:rPr>
        <w:t>Radden</w:t>
      </w:r>
      <w:proofErr w:type="spellEnd"/>
      <w:r w:rsidRPr="00B929F1">
        <w:rPr>
          <w:rFonts w:ascii="Times New Roman" w:hAnsi="Times New Roman" w:cs="Times New Roman"/>
          <w:kern w:val="0"/>
          <w14:ligatures w14:val="none"/>
        </w:rPr>
        <w:t>, 2000). In more severe cases, melancholic behaviour might be interpreted as evidence of demonic possession. As a result, treatment shifted from medical strategies to religious and punitive responses. Prayer, confession, fasting, and exorcism were common interventions (</w:t>
      </w:r>
      <w:proofErr w:type="spellStart"/>
      <w:r w:rsidRPr="00B929F1">
        <w:rPr>
          <w:rFonts w:ascii="Times New Roman" w:hAnsi="Times New Roman" w:cs="Times New Roman"/>
          <w:kern w:val="0"/>
          <w14:ligatures w14:val="none"/>
        </w:rPr>
        <w:t>Midelfort</w:t>
      </w:r>
      <w:proofErr w:type="spellEnd"/>
      <w:r w:rsidRPr="00B929F1">
        <w:rPr>
          <w:rFonts w:ascii="Times New Roman" w:hAnsi="Times New Roman" w:cs="Times New Roman"/>
          <w:kern w:val="0"/>
          <w14:ligatures w14:val="none"/>
        </w:rPr>
        <w:t>, 1999). Individuals showing signs of severe melancholy or madness were sometimes confined to monasteries or early asylums, not primarily for therapeutic purposes but to separate them from society. These interpretations reinforced stigma and framed melancholia as a personal or moral failing.</w:t>
      </w:r>
    </w:p>
    <w:p w14:paraId="30AB4EC6"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647FF15E" wp14:editId="1B5B9DA9">
                <wp:extent cx="5731510" cy="1270"/>
                <wp:effectExtent l="0" t="31750" r="0" b="36830"/>
                <wp:docPr id="1882801495" name="Rectangle 5">
                  <a:extLst xmlns:a="http://schemas.openxmlformats.org/drawingml/2006/main">
                    <a:ext uri="{FF2B5EF4-FFF2-40B4-BE49-F238E27FC236}">
                      <a16:creationId xmlns:a16="http://schemas.microsoft.com/office/drawing/2014/main" id="{64D4F3F9-E6B7-4E4B-A902-710F3008025D}"/>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05E4C57"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36F9BF5F"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Renaissance to Enlightenment Reinterpretations</w:t>
      </w:r>
    </w:p>
    <w:p w14:paraId="262F7741"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05FEC6FE"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Renaissance marked a gradual return to humanistic and naturalistic explanations of human behaviour. Scholarly interest in classical texts, combined with broader cultural shifts, led to the re-examination of melancholia from medical, philosophical, and artistic perspectives. Robert Burton’s The Anatomy of Melancholy (1621) is perhaps the most influential work of this era. Burton (1621/2001) synthesised medical, philosophical, literary, and personal observations to explore the psychological roots of melancholia, identifying </w:t>
      </w:r>
      <w:r w:rsidRPr="00B929F1">
        <w:rPr>
          <w:rFonts w:ascii="Times New Roman" w:hAnsi="Times New Roman" w:cs="Times New Roman"/>
          <w:kern w:val="0"/>
          <w14:ligatures w14:val="none"/>
        </w:rPr>
        <w:lastRenderedPageBreak/>
        <w:t>causes such as grief, fear, idleness, loneliness, and unrequited love. His work acknowledged biological contributions while also recognising cognitive and environmental influences, making it a precursor to modern psychological thought.</w:t>
      </w:r>
    </w:p>
    <w:p w14:paraId="1A24B19A"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0CBE24AF"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The Renaissance also saw the early development of institutional care for mental illness. Although many asylums were overcrowded and punitive, they signalled a shift toward the idea that melancholia was a condition requiring structured care rather than purely spiritual intervention (Porter, 2002).</w:t>
      </w:r>
    </w:p>
    <w:p w14:paraId="759208D7"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E6A13F1"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Enlightenment further advanced this transformation. Philosophers and physicians emphasised empirical observation, rational inquiry, and human welfare. This intellectual environment led to more humane treatment of those experiencing mental distress. Reformers such as Philippe </w:t>
      </w:r>
      <w:proofErr w:type="spellStart"/>
      <w:r w:rsidRPr="00B929F1">
        <w:rPr>
          <w:rFonts w:ascii="Times New Roman" w:hAnsi="Times New Roman" w:cs="Times New Roman"/>
          <w:kern w:val="0"/>
          <w14:ligatures w14:val="none"/>
        </w:rPr>
        <w:t>Pinel</w:t>
      </w:r>
      <w:proofErr w:type="spellEnd"/>
      <w:r w:rsidRPr="00B929F1">
        <w:rPr>
          <w:rFonts w:ascii="Times New Roman" w:hAnsi="Times New Roman" w:cs="Times New Roman"/>
          <w:kern w:val="0"/>
          <w14:ligatures w14:val="none"/>
        </w:rPr>
        <w:t xml:space="preserve"> in France and William </w:t>
      </w:r>
      <w:proofErr w:type="spellStart"/>
      <w:r w:rsidRPr="00B929F1">
        <w:rPr>
          <w:rFonts w:ascii="Times New Roman" w:hAnsi="Times New Roman" w:cs="Times New Roman"/>
          <w:kern w:val="0"/>
          <w14:ligatures w14:val="none"/>
        </w:rPr>
        <w:t>Tuke</w:t>
      </w:r>
      <w:proofErr w:type="spellEnd"/>
      <w:r w:rsidRPr="00B929F1">
        <w:rPr>
          <w:rFonts w:ascii="Times New Roman" w:hAnsi="Times New Roman" w:cs="Times New Roman"/>
          <w:kern w:val="0"/>
          <w14:ligatures w14:val="none"/>
        </w:rPr>
        <w:t xml:space="preserve"> in England advocated for compassionate care, moral treatment, and the rejection of physical restraints (Weiner, 1992). </w:t>
      </w:r>
      <w:proofErr w:type="spellStart"/>
      <w:r w:rsidRPr="00B929F1">
        <w:rPr>
          <w:rFonts w:ascii="Times New Roman" w:hAnsi="Times New Roman" w:cs="Times New Roman"/>
          <w:kern w:val="0"/>
          <w14:ligatures w14:val="none"/>
        </w:rPr>
        <w:t>Pinel’s</w:t>
      </w:r>
      <w:proofErr w:type="spellEnd"/>
      <w:r w:rsidRPr="00B929F1">
        <w:rPr>
          <w:rFonts w:ascii="Times New Roman" w:hAnsi="Times New Roman" w:cs="Times New Roman"/>
          <w:kern w:val="0"/>
          <w14:ligatures w14:val="none"/>
        </w:rPr>
        <w:t xml:space="preserve"> symbolic unchaining of asylum patients demonstrated a profound shift in attitudes: melancholia began to be seen as a disorder deserving understanding, empathy, and structured care rather than punishment.</w:t>
      </w:r>
    </w:p>
    <w:p w14:paraId="468BFDB6"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24BC0F33" wp14:editId="5D9FD0D9">
                <wp:extent cx="5731510" cy="1270"/>
                <wp:effectExtent l="0" t="31750" r="0" b="36830"/>
                <wp:docPr id="388337176" name="Rectangle 4">
                  <a:extLst xmlns:a="http://schemas.openxmlformats.org/drawingml/2006/main">
                    <a:ext uri="{FF2B5EF4-FFF2-40B4-BE49-F238E27FC236}">
                      <a16:creationId xmlns:a16="http://schemas.microsoft.com/office/drawing/2014/main" id="{5ADC42FE-3ECE-4159-A7A9-0AAF46458822}"/>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B30D100"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0390FE05"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19th and Early 20th Century Scientific and Psychoanalytic Approaches</w:t>
      </w:r>
    </w:p>
    <w:p w14:paraId="6C6DC38E"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49F41233"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19th century was a pivotal period in the medicalisation of melancholia. As psychiatry emerged as a professional discipline, clinicians sought to categorise mental disorders more systematically. Emil </w:t>
      </w:r>
      <w:proofErr w:type="spellStart"/>
      <w:r w:rsidRPr="00B929F1">
        <w:rPr>
          <w:rFonts w:ascii="Times New Roman" w:hAnsi="Times New Roman" w:cs="Times New Roman"/>
          <w:kern w:val="0"/>
          <w14:ligatures w14:val="none"/>
        </w:rPr>
        <w:t>Kraepelin</w:t>
      </w:r>
      <w:proofErr w:type="spellEnd"/>
      <w:r w:rsidRPr="00B929F1">
        <w:rPr>
          <w:rFonts w:ascii="Times New Roman" w:hAnsi="Times New Roman" w:cs="Times New Roman"/>
          <w:kern w:val="0"/>
          <w14:ligatures w14:val="none"/>
        </w:rPr>
        <w:t xml:space="preserve"> played a central role in shaping this new scientific approach. In his influential classification system, </w:t>
      </w:r>
      <w:proofErr w:type="spellStart"/>
      <w:r w:rsidRPr="00B929F1">
        <w:rPr>
          <w:rFonts w:ascii="Times New Roman" w:hAnsi="Times New Roman" w:cs="Times New Roman"/>
          <w:kern w:val="0"/>
          <w14:ligatures w14:val="none"/>
        </w:rPr>
        <w:t>Kraepelin</w:t>
      </w:r>
      <w:proofErr w:type="spellEnd"/>
      <w:r w:rsidRPr="00B929F1">
        <w:rPr>
          <w:rFonts w:ascii="Times New Roman" w:hAnsi="Times New Roman" w:cs="Times New Roman"/>
          <w:kern w:val="0"/>
          <w14:ligatures w14:val="none"/>
        </w:rPr>
        <w:t xml:space="preserve"> (1899) distinguished between manic–depressive illness (which included melancholia) and dementia praecox (later termed schizophrenia). His work laid the foundation for modern diagnostic systems and firmly established melancholia as part of a broader spectrum of mood disorders.</w:t>
      </w:r>
    </w:p>
    <w:p w14:paraId="336B12DB"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2DBF3DB7"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This era also saw the rise of biological explanations grounded in early neuroscience. Some physicians attributed melancholia to hereditary factors or abnormalities in the nervous system (Shorter, 1997). Treatments varied widely, from rest cures and hydrotherapy to sedatives and electrotherapy. Institutionalisation remained common, reflecting the limited treatment options and ongoing stigma associated with mental illness.</w:t>
      </w:r>
    </w:p>
    <w:p w14:paraId="1CAF6D60"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1103B1D4"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early 20th century brought new insights through psychoanalysis. In Mourning and Melancholia (1917), Sigmund Freud proposed that melancholia resulted from the </w:t>
      </w:r>
      <w:r w:rsidRPr="00B929F1">
        <w:rPr>
          <w:rFonts w:ascii="Times New Roman" w:hAnsi="Times New Roman" w:cs="Times New Roman"/>
          <w:kern w:val="0"/>
          <w14:ligatures w14:val="none"/>
        </w:rPr>
        <w:lastRenderedPageBreak/>
        <w:t>internalisation of a lost or disappointing relationship (Freud, 1917/1957). He argued that individuals turn anger and hostility inward, leading to feelings of guilt, self-reproach, and diminished self-esteem. Freud’s interpretation was influential in the development of psychodynamic therapy and contributed to understanding the emotional complexity of depression.</w:t>
      </w:r>
    </w:p>
    <w:p w14:paraId="55C9BD19"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376852EE"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Although psychoanalysis provided a deeper psychological perspective, treatment remained limited and often inaccessible. Institutional care continued to dominate, and many patients experienced little relief (Scull, 2015).</w:t>
      </w:r>
    </w:p>
    <w:p w14:paraId="38424F0D"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571BECF2" wp14:editId="655DF121">
                <wp:extent cx="5731510" cy="1270"/>
                <wp:effectExtent l="0" t="31750" r="0" b="36830"/>
                <wp:docPr id="776022975" name="Rectangle 3">
                  <a:extLst xmlns:a="http://schemas.openxmlformats.org/drawingml/2006/main">
                    <a:ext uri="{FF2B5EF4-FFF2-40B4-BE49-F238E27FC236}">
                      <a16:creationId xmlns:a16="http://schemas.microsoft.com/office/drawing/2014/main" id="{7FFD2D62-272C-4AE7-A530-BD11FC2C7F9C}"/>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711211A"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2DF7059"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Mid to Late 20th Century: The Biological and Pharmacological Revolution</w:t>
      </w:r>
    </w:p>
    <w:p w14:paraId="30E6033D"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03170D23"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The mid-20th century brought dramatic changes with the rise of biological psychiatry and the development of effective pharmacological treatments. The accidental discovery of the first antidepressants—monoamine oxidase inhibitors (MAOIs) and tricyclic antidepressants—in the 1950s revolutionised mental healthcare (Healy, 2002). These medications introduced the idea that depression could be treated by altering brain chemistry, particularly neurotransmitters such as serotonin, norepinephrine, and dopamine. Although the “chemical imbalance” model was simplified, it provided a useful framework for developing new treatments.</w:t>
      </w:r>
    </w:p>
    <w:p w14:paraId="265FA041"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3D939B5B"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Electroconvulsive therapy (ECT), developed earlier in the century, was further refined and became a highly effective treatment for severe melancholia, especially when other interventions failed (Fink, 2001). The introduction of selective serotonin </w:t>
      </w:r>
      <w:proofErr w:type="spellStart"/>
      <w:r w:rsidRPr="00B929F1">
        <w:rPr>
          <w:rFonts w:ascii="Times New Roman" w:hAnsi="Times New Roman" w:cs="Times New Roman"/>
          <w:kern w:val="0"/>
          <w14:ligatures w14:val="none"/>
        </w:rPr>
        <w:t>reuptake</w:t>
      </w:r>
      <w:proofErr w:type="spellEnd"/>
      <w:r w:rsidRPr="00B929F1">
        <w:rPr>
          <w:rFonts w:ascii="Times New Roman" w:hAnsi="Times New Roman" w:cs="Times New Roman"/>
          <w:kern w:val="0"/>
          <w14:ligatures w14:val="none"/>
        </w:rPr>
        <w:t xml:space="preserve"> inhibitors (SSRIs) in the 1980s, including fluoxetine (Prozac), expanded treatment options and normalised the use of antidepressant medication due to their relatively favourable safety profile (Kramer, 1993).</w:t>
      </w:r>
    </w:p>
    <w:p w14:paraId="62BBD650"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5B199640"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Alongside these advances, diagnostic systems such as the DSM-III (American Psychiatric Association, 1980) formalised criteria for major depressive disorder. This represented a shift toward symptom-based classification and away from psychoanalytic interpretations. While these developments improved diagnostic reliability, critics argued that the growing dominance of biological models risked oversimplifying the complexity of human emotion and minimising the role of environmental, relational, and psychological factors (</w:t>
      </w:r>
      <w:proofErr w:type="spellStart"/>
      <w:r w:rsidRPr="00B929F1">
        <w:rPr>
          <w:rFonts w:ascii="Times New Roman" w:hAnsi="Times New Roman" w:cs="Times New Roman"/>
          <w:kern w:val="0"/>
          <w14:ligatures w14:val="none"/>
        </w:rPr>
        <w:t>Horwitz</w:t>
      </w:r>
      <w:proofErr w:type="spellEnd"/>
      <w:r w:rsidRPr="00B929F1">
        <w:rPr>
          <w:rFonts w:ascii="Times New Roman" w:hAnsi="Times New Roman" w:cs="Times New Roman"/>
          <w:kern w:val="0"/>
          <w14:ligatures w14:val="none"/>
        </w:rPr>
        <w:t xml:space="preserve"> &amp; Wakefield, 2007). Concerns about over-prescription and pharmaceutical influence also emerged.</w:t>
      </w:r>
    </w:p>
    <w:p w14:paraId="7FA5F142"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5FF86A6F" wp14:editId="5818104B">
                <wp:extent cx="5731510" cy="1270"/>
                <wp:effectExtent l="0" t="31750" r="0" b="36830"/>
                <wp:docPr id="327666673" name="Rectangle 2">
                  <a:extLst xmlns:a="http://schemas.openxmlformats.org/drawingml/2006/main">
                    <a:ext uri="{FF2B5EF4-FFF2-40B4-BE49-F238E27FC236}">
                      <a16:creationId xmlns:a16="http://schemas.microsoft.com/office/drawing/2014/main" id="{F803B969-99A1-4F6B-93B5-30F5A7629304}"/>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B86DCE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1C257348"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lastRenderedPageBreak/>
        <w:t xml:space="preserve">21st Century: </w:t>
      </w:r>
      <w:proofErr w:type="spellStart"/>
      <w:r w:rsidRPr="00B929F1">
        <w:rPr>
          <w:rFonts w:ascii="Times New Roman" w:eastAsia="Times New Roman" w:hAnsi="Times New Roman" w:cs="Times New Roman"/>
          <w:b/>
          <w:bCs/>
          <w:kern w:val="0"/>
          <w:sz w:val="36"/>
          <w:szCs w:val="36"/>
          <w14:ligatures w14:val="none"/>
        </w:rPr>
        <w:t>Biopsychosocial</w:t>
      </w:r>
      <w:proofErr w:type="spellEnd"/>
      <w:r w:rsidRPr="00B929F1">
        <w:rPr>
          <w:rFonts w:ascii="Times New Roman" w:eastAsia="Times New Roman" w:hAnsi="Times New Roman" w:cs="Times New Roman"/>
          <w:b/>
          <w:bCs/>
          <w:kern w:val="0"/>
          <w:sz w:val="36"/>
          <w:szCs w:val="36"/>
          <w14:ligatures w14:val="none"/>
        </w:rPr>
        <w:t xml:space="preserve"> and Holistic Approaches</w:t>
      </w:r>
    </w:p>
    <w:p w14:paraId="63C43FD6"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AD1D4CC"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Contemporary understanding reflects an integrated approach that acknowledges the interplay among biological, psychological, and social influences. The </w:t>
      </w:r>
      <w:proofErr w:type="spellStart"/>
      <w:r w:rsidRPr="00B929F1">
        <w:rPr>
          <w:rFonts w:ascii="Times New Roman" w:hAnsi="Times New Roman" w:cs="Times New Roman"/>
          <w:kern w:val="0"/>
          <w14:ligatures w14:val="none"/>
        </w:rPr>
        <w:t>biopsychosocial</w:t>
      </w:r>
      <w:proofErr w:type="spellEnd"/>
      <w:r w:rsidRPr="00B929F1">
        <w:rPr>
          <w:rFonts w:ascii="Times New Roman" w:hAnsi="Times New Roman" w:cs="Times New Roman"/>
          <w:kern w:val="0"/>
          <w14:ligatures w14:val="none"/>
        </w:rPr>
        <w:t xml:space="preserve"> model, first proposed by George Engel in the late 1970s, is now foundational in modern clinical practice (Engel, 1977). It emphasises that depression and melancholia arise from complex interactions among genetic vulnerability, cognitive patterns, emotional regulation, interpersonal relationships, trauma history, and societal influences.</w:t>
      </w:r>
    </w:p>
    <w:p w14:paraId="5EDD9111"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51315DC"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Current treatment approaches are correspondingly diverse. Cognitive-behavioural therapy (Beck, 1979), mindfulness-based interventions (</w:t>
      </w:r>
      <w:proofErr w:type="spellStart"/>
      <w:r w:rsidRPr="00B929F1">
        <w:rPr>
          <w:rFonts w:ascii="Times New Roman" w:hAnsi="Times New Roman" w:cs="Times New Roman"/>
          <w:kern w:val="0"/>
          <w14:ligatures w14:val="none"/>
        </w:rPr>
        <w:t>Kabat-Zinn</w:t>
      </w:r>
      <w:proofErr w:type="spellEnd"/>
      <w:r w:rsidRPr="00B929F1">
        <w:rPr>
          <w:rFonts w:ascii="Times New Roman" w:hAnsi="Times New Roman" w:cs="Times New Roman"/>
          <w:kern w:val="0"/>
          <w14:ligatures w14:val="none"/>
        </w:rPr>
        <w:t>, 1990), interpersonal therapy (</w:t>
      </w:r>
      <w:proofErr w:type="spellStart"/>
      <w:r w:rsidRPr="00B929F1">
        <w:rPr>
          <w:rFonts w:ascii="Times New Roman" w:hAnsi="Times New Roman" w:cs="Times New Roman"/>
          <w:kern w:val="0"/>
          <w14:ligatures w14:val="none"/>
        </w:rPr>
        <w:t>Klerman</w:t>
      </w:r>
      <w:proofErr w:type="spellEnd"/>
      <w:r w:rsidRPr="00B929F1">
        <w:rPr>
          <w:rFonts w:ascii="Times New Roman" w:hAnsi="Times New Roman" w:cs="Times New Roman"/>
          <w:kern w:val="0"/>
          <w14:ligatures w14:val="none"/>
        </w:rPr>
        <w:t xml:space="preserve"> et al., 1984), and trauma-informed approaches provide evidence-based psychological support. Medication remains an important option, particularly for moderate to severe symptoms, but is often combined with therapy and lifestyle interventions (National Institute for Health and Care Excellence, 2022). Growing attention is given to the role of exercise, nutrition, sleep regulation, social connection, and stress reduction in emotional wellbeing.</w:t>
      </w:r>
    </w:p>
    <w:p w14:paraId="783A8D35"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794826DB"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Research into novel treatments, including psychedelic-assisted therapy using substances such as psilocybin or MDMA, reflects renewed interest in expanding therapeutic possibilities, particularly for treatment-resistant depression (</w:t>
      </w:r>
      <w:proofErr w:type="spellStart"/>
      <w:r w:rsidRPr="00B929F1">
        <w:rPr>
          <w:rFonts w:ascii="Times New Roman" w:hAnsi="Times New Roman" w:cs="Times New Roman"/>
          <w:kern w:val="0"/>
          <w14:ligatures w14:val="none"/>
        </w:rPr>
        <w:t>Carhart-Harris</w:t>
      </w:r>
      <w:proofErr w:type="spellEnd"/>
      <w:r w:rsidRPr="00B929F1">
        <w:rPr>
          <w:rFonts w:ascii="Times New Roman" w:hAnsi="Times New Roman" w:cs="Times New Roman"/>
          <w:kern w:val="0"/>
          <w14:ligatures w14:val="none"/>
        </w:rPr>
        <w:t xml:space="preserve"> &amp; Goodwin, 2017). Additionally, contemporary mental health frameworks recognise cultural, social, and individual differences, encouraging personalised care rather than one-size-fits-all treatment.</w:t>
      </w:r>
    </w:p>
    <w:p w14:paraId="6007A275"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1FF048EF"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Stigma reduction, early intervention, and public awareness have become central priorities. Individuals are increasingly encouraged to seek help early, practice self-care, and understand mental health as a continuum rather than a binary state of illness versus wellness (</w:t>
      </w:r>
      <w:proofErr w:type="spellStart"/>
      <w:r w:rsidRPr="00B929F1">
        <w:rPr>
          <w:rFonts w:ascii="Times New Roman" w:hAnsi="Times New Roman" w:cs="Times New Roman"/>
          <w:kern w:val="0"/>
          <w14:ligatures w14:val="none"/>
        </w:rPr>
        <w:t>Corrigan</w:t>
      </w:r>
      <w:proofErr w:type="spellEnd"/>
      <w:r w:rsidRPr="00B929F1">
        <w:rPr>
          <w:rFonts w:ascii="Times New Roman" w:hAnsi="Times New Roman" w:cs="Times New Roman"/>
          <w:kern w:val="0"/>
          <w14:ligatures w14:val="none"/>
        </w:rPr>
        <w:t xml:space="preserve"> &amp; Watson, 2002).</w:t>
      </w:r>
    </w:p>
    <w:p w14:paraId="602AB7EA" w14:textId="77777777" w:rsidR="00B929F1" w:rsidRPr="00B929F1" w:rsidRDefault="00B929F1" w:rsidP="00B929F1">
      <w:pPr>
        <w:spacing w:after="0" w:line="240" w:lineRule="auto"/>
        <w:rPr>
          <w:rFonts w:ascii="Times New Roman" w:eastAsia="Times New Roman" w:hAnsi="Times New Roman" w:cs="Times New Roman"/>
          <w:kern w:val="0"/>
          <w14:ligatures w14:val="none"/>
        </w:rPr>
      </w:pPr>
      <w:r w:rsidRPr="00B929F1">
        <w:rPr>
          <w:rFonts w:ascii="Times New Roman" w:eastAsia="Times New Roman" w:hAnsi="Times New Roman" w:cs="Times New Roman"/>
          <w:noProof/>
          <w:kern w:val="0"/>
          <w14:ligatures w14:val="none"/>
        </w:rPr>
        <mc:AlternateContent>
          <mc:Choice Requires="wps">
            <w:drawing>
              <wp:inline distT="0" distB="0" distL="0" distR="0" wp14:anchorId="2E3603A2" wp14:editId="69363764">
                <wp:extent cx="5731510" cy="1270"/>
                <wp:effectExtent l="0" t="31750" r="0" b="36830"/>
                <wp:docPr id="1931868713" name="Rectangle 1">
                  <a:extLst xmlns:a="http://schemas.openxmlformats.org/drawingml/2006/main">
                    <a:ext uri="{FF2B5EF4-FFF2-40B4-BE49-F238E27FC236}">
                      <a16:creationId xmlns:a16="http://schemas.microsoft.com/office/drawing/2014/main" id="{28D5E8AE-9619-4CEC-B610-6B8BD0604616}"/>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D5F78D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" filled="f">
                <w10:anchorlock/>
              </v:rect>
            </w:pict>
          </mc:Fallback>
        </mc:AlternateContent>
      </w:r>
    </w:p>
    <w:p w14:paraId="61DE6399" w14:textId="77777777" w:rsidR="00B929F1" w:rsidRPr="00B929F1" w:rsidRDefault="00B929F1" w:rsidP="00B929F1">
      <w:pPr>
        <w:spacing w:before="100" w:beforeAutospacing="1" w:after="100" w:afterAutospacing="1" w:line="240" w:lineRule="auto"/>
        <w:outlineLvl w:val="1"/>
        <w:rPr>
          <w:rFonts w:ascii="Times New Roman" w:hAnsi="Times New Roman" w:cs="Times New Roman"/>
          <w:b/>
          <w:bCs/>
          <w:kern w:val="0"/>
          <w:sz w:val="36"/>
          <w:szCs w:val="36"/>
          <w14:ligatures w14:val="none"/>
        </w:rPr>
      </w:pPr>
      <w:r w:rsidRPr="00B929F1">
        <w:rPr>
          <w:rFonts w:ascii="Times New Roman" w:eastAsia="Times New Roman" w:hAnsi="Times New Roman" w:cs="Times New Roman"/>
          <w:b/>
          <w:bCs/>
          <w:kern w:val="0"/>
          <w:sz w:val="36"/>
          <w:szCs w:val="36"/>
          <w14:ligatures w14:val="none"/>
        </w:rPr>
        <w:t>Conclusion</w:t>
      </w:r>
    </w:p>
    <w:p w14:paraId="2B9FCB63"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2C4A5089"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 xml:space="preserve">The history of melancholia offers a unique lens through which to understand the evolution of psychological thought. From ancient fears of black bile to the complexities of neurotransmitters, and from monastic confinement to compassionate therapeutic environments, the journey reflects a profound transformation in how human suffering is interpreted and treated. While contemporary models integrate biological, psychological, and social perspectives, the search for balance continues. Modern mental healthcare aims not only </w:t>
      </w:r>
      <w:r w:rsidRPr="00B929F1">
        <w:rPr>
          <w:rFonts w:ascii="Times New Roman" w:hAnsi="Times New Roman" w:cs="Times New Roman"/>
          <w:kern w:val="0"/>
          <w14:ligatures w14:val="none"/>
        </w:rPr>
        <w:lastRenderedPageBreak/>
        <w:t>to alleviate symptoms but also to recognise the emotional depth and lived experiences of individuals.</w:t>
      </w:r>
    </w:p>
    <w:p w14:paraId="3A005AC2"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p>
    <w:p w14:paraId="3AA686CA" w14:textId="77777777" w:rsidR="00B929F1" w:rsidRPr="00B929F1" w:rsidRDefault="00B929F1" w:rsidP="00B929F1">
      <w:pPr>
        <w:spacing w:before="100" w:beforeAutospacing="1" w:after="100" w:afterAutospacing="1" w:line="240" w:lineRule="auto"/>
        <w:rPr>
          <w:rFonts w:ascii="Times New Roman" w:hAnsi="Times New Roman" w:cs="Times New Roman"/>
          <w:kern w:val="0"/>
          <w14:ligatures w14:val="none"/>
        </w:rPr>
      </w:pPr>
      <w:r w:rsidRPr="00B929F1">
        <w:rPr>
          <w:rFonts w:ascii="Times New Roman" w:hAnsi="Times New Roman" w:cs="Times New Roman"/>
          <w:kern w:val="0"/>
          <w14:ligatures w14:val="none"/>
        </w:rPr>
        <w:t>Ultimately, the story of melancholia is also a story of progress—from superstition to science, from stigma to empathy, and from isolation to holistic, person-centred care. It reminds us that understanding emotional distress requires not only biological insight but also appreciation for the human experience, relationships, and the social worlds in which people live.</w:t>
      </w:r>
    </w:p>
    <w:p w14:paraId="302D0D6B" w14:textId="6ED1173B" w:rsidR="00B929F1" w:rsidRDefault="00B929F1"/>
    <w:p w14:paraId="54F10661" w14:textId="77777777" w:rsidR="00A51F1F" w:rsidRDefault="00A51F1F"/>
    <w:p w14:paraId="5365313B" w14:textId="77777777" w:rsidR="00A51F1F" w:rsidRDefault="00A51F1F">
      <w:pPr>
        <w:pStyle w:val="p1"/>
      </w:pPr>
      <w:r>
        <w:rPr>
          <w:rStyle w:val="s1"/>
        </w:rPr>
        <w:t xml:space="preserve">American Psychiatric Association. (1980). </w:t>
      </w:r>
      <w:r>
        <w:rPr>
          <w:rStyle w:val="s2"/>
        </w:rPr>
        <w:t>Diagnostic and statistical manual of mental disorders</w:t>
      </w:r>
      <w:r>
        <w:rPr>
          <w:rStyle w:val="s1"/>
        </w:rPr>
        <w:t xml:space="preserve"> (3rd ed.). Author.</w:t>
      </w:r>
    </w:p>
    <w:p w14:paraId="6C1E8204" w14:textId="77777777" w:rsidR="00A51F1F" w:rsidRDefault="00A51F1F">
      <w:pPr>
        <w:pStyle w:val="p2"/>
      </w:pPr>
    </w:p>
    <w:p w14:paraId="696ECEA2" w14:textId="77777777" w:rsidR="00A51F1F" w:rsidRDefault="00A51F1F">
      <w:pPr>
        <w:pStyle w:val="p1"/>
      </w:pPr>
      <w:r>
        <w:rPr>
          <w:rStyle w:val="s1"/>
        </w:rPr>
        <w:t xml:space="preserve">Aristotle. (1964). </w:t>
      </w:r>
      <w:proofErr w:type="spellStart"/>
      <w:r>
        <w:rPr>
          <w:rStyle w:val="s2"/>
        </w:rPr>
        <w:t>Problemata</w:t>
      </w:r>
      <w:proofErr w:type="spellEnd"/>
      <w:r>
        <w:rPr>
          <w:rStyle w:val="s1"/>
        </w:rPr>
        <w:t xml:space="preserve"> (W. S. </w:t>
      </w:r>
      <w:proofErr w:type="spellStart"/>
      <w:r>
        <w:rPr>
          <w:rStyle w:val="s1"/>
        </w:rPr>
        <w:t>Hett</w:t>
      </w:r>
      <w:proofErr w:type="spellEnd"/>
      <w:r>
        <w:rPr>
          <w:rStyle w:val="s1"/>
        </w:rPr>
        <w:t xml:space="preserve">, Trans.). In R. </w:t>
      </w:r>
      <w:proofErr w:type="spellStart"/>
      <w:r>
        <w:rPr>
          <w:rStyle w:val="s1"/>
        </w:rPr>
        <w:t>Klibansky</w:t>
      </w:r>
      <w:proofErr w:type="spellEnd"/>
      <w:r>
        <w:rPr>
          <w:rStyle w:val="s1"/>
        </w:rPr>
        <w:t xml:space="preserve">, E. Panofsky, &amp; F. </w:t>
      </w:r>
      <w:proofErr w:type="spellStart"/>
      <w:r>
        <w:rPr>
          <w:rStyle w:val="s1"/>
        </w:rPr>
        <w:t>Saxl</w:t>
      </w:r>
      <w:proofErr w:type="spellEnd"/>
      <w:r>
        <w:rPr>
          <w:rStyle w:val="s1"/>
        </w:rPr>
        <w:t xml:space="preserve">, </w:t>
      </w:r>
      <w:r>
        <w:rPr>
          <w:rStyle w:val="s2"/>
        </w:rPr>
        <w:t>Saturn and melancholy</w:t>
      </w:r>
      <w:r>
        <w:rPr>
          <w:rStyle w:val="s1"/>
        </w:rPr>
        <w:t xml:space="preserve"> (pp. 18–35). Thames &amp; Hudson. (Original work ca. 4th century BCE)</w:t>
      </w:r>
    </w:p>
    <w:p w14:paraId="5AFA0E5E" w14:textId="77777777" w:rsidR="00A51F1F" w:rsidRDefault="00A51F1F">
      <w:pPr>
        <w:pStyle w:val="p2"/>
      </w:pPr>
    </w:p>
    <w:p w14:paraId="46060D1B" w14:textId="77777777" w:rsidR="00A51F1F" w:rsidRDefault="00A51F1F">
      <w:pPr>
        <w:pStyle w:val="p1"/>
      </w:pPr>
      <w:r>
        <w:rPr>
          <w:rStyle w:val="s1"/>
        </w:rPr>
        <w:t xml:space="preserve">Beck, A. T. (1979). </w:t>
      </w:r>
      <w:r>
        <w:rPr>
          <w:rStyle w:val="s2"/>
        </w:rPr>
        <w:t>Cognitive therapy of depression</w:t>
      </w:r>
      <w:r>
        <w:rPr>
          <w:rStyle w:val="s1"/>
        </w:rPr>
        <w:t>. Guilford Press.</w:t>
      </w:r>
    </w:p>
    <w:p w14:paraId="7131A04B" w14:textId="77777777" w:rsidR="00A51F1F" w:rsidRDefault="00A51F1F">
      <w:pPr>
        <w:pStyle w:val="p2"/>
      </w:pPr>
    </w:p>
    <w:p w14:paraId="17DF5522" w14:textId="77777777" w:rsidR="00A51F1F" w:rsidRDefault="00A51F1F">
      <w:pPr>
        <w:pStyle w:val="p1"/>
      </w:pPr>
      <w:proofErr w:type="spellStart"/>
      <w:r>
        <w:rPr>
          <w:rStyle w:val="s1"/>
        </w:rPr>
        <w:t>Berrios</w:t>
      </w:r>
      <w:proofErr w:type="spellEnd"/>
      <w:r>
        <w:rPr>
          <w:rStyle w:val="s1"/>
        </w:rPr>
        <w:t xml:space="preserve">, G. E. (1988). Melancholia and depression during the 19th century: A conceptual history. </w:t>
      </w:r>
      <w:r>
        <w:rPr>
          <w:rStyle w:val="s2"/>
        </w:rPr>
        <w:t>British Journal of Psychiatry, 153</w:t>
      </w:r>
      <w:r>
        <w:rPr>
          <w:rStyle w:val="s1"/>
        </w:rPr>
        <w:t>, 298–304. https://doi.org/10.1192/bjp.153.3.298</w:t>
      </w:r>
    </w:p>
    <w:p w14:paraId="6DD1C4CD" w14:textId="77777777" w:rsidR="00A51F1F" w:rsidRDefault="00A51F1F">
      <w:pPr>
        <w:pStyle w:val="p2"/>
      </w:pPr>
    </w:p>
    <w:p w14:paraId="2377E94E" w14:textId="77777777" w:rsidR="00A51F1F" w:rsidRDefault="00A51F1F">
      <w:pPr>
        <w:pStyle w:val="p1"/>
      </w:pPr>
      <w:r>
        <w:rPr>
          <w:rStyle w:val="s1"/>
        </w:rPr>
        <w:t xml:space="preserve">Burton, R. (2001). </w:t>
      </w:r>
      <w:r>
        <w:rPr>
          <w:rStyle w:val="s2"/>
        </w:rPr>
        <w:t>The anatomy of melancholy</w:t>
      </w:r>
      <w:r>
        <w:rPr>
          <w:rStyle w:val="s1"/>
        </w:rPr>
        <w:t xml:space="preserve"> (Holbrook, Ed.). New York Review Books. (Original work published 1621)</w:t>
      </w:r>
    </w:p>
    <w:p w14:paraId="4A3E2057" w14:textId="77777777" w:rsidR="00A51F1F" w:rsidRDefault="00A51F1F">
      <w:pPr>
        <w:pStyle w:val="p2"/>
      </w:pPr>
    </w:p>
    <w:p w14:paraId="4C6B7CA0" w14:textId="77777777" w:rsidR="00A51F1F" w:rsidRDefault="00A51F1F">
      <w:pPr>
        <w:pStyle w:val="p1"/>
      </w:pPr>
      <w:proofErr w:type="spellStart"/>
      <w:r>
        <w:rPr>
          <w:rStyle w:val="s1"/>
        </w:rPr>
        <w:t>Carhart-Harris</w:t>
      </w:r>
      <w:proofErr w:type="spellEnd"/>
      <w:r>
        <w:rPr>
          <w:rStyle w:val="s1"/>
        </w:rPr>
        <w:t xml:space="preserve">, R. L., &amp; Goodwin, G. M. (2017). The therapeutic potential of psychedelic drugs: Past, present, and future. </w:t>
      </w:r>
      <w:proofErr w:type="spellStart"/>
      <w:r>
        <w:rPr>
          <w:rStyle w:val="s2"/>
        </w:rPr>
        <w:t>Neuropsychopharmacology</w:t>
      </w:r>
      <w:proofErr w:type="spellEnd"/>
      <w:r>
        <w:rPr>
          <w:rStyle w:val="s2"/>
        </w:rPr>
        <w:t>, 42</w:t>
      </w:r>
      <w:r>
        <w:rPr>
          <w:rStyle w:val="s1"/>
        </w:rPr>
        <w:t>(11), 2105–2113. https://doi.org/10.1038/npp.2017.84</w:t>
      </w:r>
    </w:p>
    <w:p w14:paraId="5298E9DB" w14:textId="77777777" w:rsidR="00A51F1F" w:rsidRDefault="00A51F1F">
      <w:pPr>
        <w:pStyle w:val="p2"/>
      </w:pPr>
    </w:p>
    <w:p w14:paraId="4F504755" w14:textId="77777777" w:rsidR="00A51F1F" w:rsidRDefault="00A51F1F">
      <w:pPr>
        <w:pStyle w:val="p1"/>
      </w:pPr>
      <w:proofErr w:type="spellStart"/>
      <w:r>
        <w:rPr>
          <w:rStyle w:val="s1"/>
        </w:rPr>
        <w:t>Corrigan</w:t>
      </w:r>
      <w:proofErr w:type="spellEnd"/>
      <w:r>
        <w:rPr>
          <w:rStyle w:val="s1"/>
        </w:rPr>
        <w:t xml:space="preserve">, P. W., &amp; Watson, A. C. (2002). Understanding the impact of stigma on people with mental illness. </w:t>
      </w:r>
      <w:r>
        <w:rPr>
          <w:rStyle w:val="s2"/>
        </w:rPr>
        <w:t>World Psychiatry, 1</w:t>
      </w:r>
      <w:r>
        <w:rPr>
          <w:rStyle w:val="s1"/>
        </w:rPr>
        <w:t>(1), 16–20.</w:t>
      </w:r>
    </w:p>
    <w:p w14:paraId="55CD5A60" w14:textId="77777777" w:rsidR="00A51F1F" w:rsidRDefault="00A51F1F">
      <w:pPr>
        <w:pStyle w:val="p2"/>
      </w:pPr>
    </w:p>
    <w:p w14:paraId="4210EE31" w14:textId="77777777" w:rsidR="00A51F1F" w:rsidRDefault="00A51F1F">
      <w:pPr>
        <w:pStyle w:val="p1"/>
      </w:pPr>
      <w:r>
        <w:rPr>
          <w:rStyle w:val="s1"/>
        </w:rPr>
        <w:lastRenderedPageBreak/>
        <w:t xml:space="preserve">Engel, G. L. (1977). The need for a new medical model: A challenge for biomedicine. </w:t>
      </w:r>
      <w:r>
        <w:rPr>
          <w:rStyle w:val="s2"/>
        </w:rPr>
        <w:t>Science, 196</w:t>
      </w:r>
      <w:r>
        <w:rPr>
          <w:rStyle w:val="s1"/>
        </w:rPr>
        <w:t>(4286), 129–136. https://doi.org/10.1126/science.847460</w:t>
      </w:r>
    </w:p>
    <w:p w14:paraId="1E8E950F" w14:textId="77777777" w:rsidR="00A51F1F" w:rsidRDefault="00A51F1F">
      <w:pPr>
        <w:pStyle w:val="p2"/>
      </w:pPr>
    </w:p>
    <w:p w14:paraId="5EF93052" w14:textId="77777777" w:rsidR="00A51F1F" w:rsidRDefault="00A51F1F">
      <w:pPr>
        <w:pStyle w:val="p1"/>
      </w:pPr>
      <w:r>
        <w:rPr>
          <w:rStyle w:val="s1"/>
        </w:rPr>
        <w:t xml:space="preserve">Fink, M. (2001). </w:t>
      </w:r>
      <w:r>
        <w:rPr>
          <w:rStyle w:val="s2"/>
        </w:rPr>
        <w:t>Electroconvulsive therapy: A guide for professionals and their patients</w:t>
      </w:r>
      <w:r>
        <w:rPr>
          <w:rStyle w:val="s1"/>
        </w:rPr>
        <w:t>. Oxford University Press.</w:t>
      </w:r>
    </w:p>
    <w:p w14:paraId="18BFABC2" w14:textId="77777777" w:rsidR="00A51F1F" w:rsidRDefault="00A51F1F">
      <w:pPr>
        <w:pStyle w:val="p2"/>
      </w:pPr>
    </w:p>
    <w:p w14:paraId="0C2CEF85" w14:textId="77777777" w:rsidR="00A51F1F" w:rsidRDefault="00A51F1F">
      <w:pPr>
        <w:pStyle w:val="p1"/>
      </w:pPr>
      <w:r>
        <w:rPr>
          <w:rStyle w:val="s1"/>
        </w:rPr>
        <w:t xml:space="preserve">Freud, S. (1957). Mourning and melancholia. In J. Strachey (Ed. &amp; Trans.), </w:t>
      </w:r>
      <w:r>
        <w:rPr>
          <w:rStyle w:val="s2"/>
        </w:rPr>
        <w:t>The standard edition of the complete psychological works of Sigmund Freud</w:t>
      </w:r>
      <w:r>
        <w:rPr>
          <w:rStyle w:val="s1"/>
        </w:rPr>
        <w:t xml:space="preserve"> (Vol. 14, pp. 237–258). Hogarth Press. (Original work published 1917)</w:t>
      </w:r>
    </w:p>
    <w:p w14:paraId="32ED8414" w14:textId="77777777" w:rsidR="00A51F1F" w:rsidRDefault="00A51F1F">
      <w:pPr>
        <w:pStyle w:val="p2"/>
      </w:pPr>
    </w:p>
    <w:p w14:paraId="5CF0C709" w14:textId="77777777" w:rsidR="00A51F1F" w:rsidRDefault="00A51F1F">
      <w:pPr>
        <w:pStyle w:val="p1"/>
      </w:pPr>
      <w:r>
        <w:rPr>
          <w:rStyle w:val="s1"/>
        </w:rPr>
        <w:t xml:space="preserve">Healy, D. (2002). </w:t>
      </w:r>
      <w:r>
        <w:rPr>
          <w:rStyle w:val="s2"/>
        </w:rPr>
        <w:t>The creation of psychopharmacology</w:t>
      </w:r>
      <w:r>
        <w:rPr>
          <w:rStyle w:val="s1"/>
        </w:rPr>
        <w:t>. Harvard University Press.</w:t>
      </w:r>
    </w:p>
    <w:p w14:paraId="1C1080F5" w14:textId="77777777" w:rsidR="00A51F1F" w:rsidRDefault="00A51F1F">
      <w:pPr>
        <w:pStyle w:val="p2"/>
      </w:pPr>
    </w:p>
    <w:p w14:paraId="403004EE" w14:textId="77777777" w:rsidR="00A51F1F" w:rsidRDefault="00A51F1F">
      <w:pPr>
        <w:pStyle w:val="p1"/>
      </w:pPr>
      <w:r>
        <w:rPr>
          <w:rStyle w:val="s1"/>
        </w:rPr>
        <w:t xml:space="preserve">Hippocrates. (2013). </w:t>
      </w:r>
      <w:r>
        <w:rPr>
          <w:rStyle w:val="s2"/>
        </w:rPr>
        <w:t>Hippocratic writings</w:t>
      </w:r>
      <w:r>
        <w:rPr>
          <w:rStyle w:val="s1"/>
        </w:rPr>
        <w:t xml:space="preserve"> (G. Lloyd, Ed.; J. Chadwick &amp; W. N. Mann, Trans.). Penguin Classics. (Original works ca. 5th century BCE)</w:t>
      </w:r>
    </w:p>
    <w:p w14:paraId="0D39F4B5" w14:textId="77777777" w:rsidR="00A51F1F" w:rsidRDefault="00A51F1F">
      <w:pPr>
        <w:pStyle w:val="p2"/>
      </w:pPr>
    </w:p>
    <w:p w14:paraId="036D79DB" w14:textId="77777777" w:rsidR="00A51F1F" w:rsidRDefault="00A51F1F">
      <w:pPr>
        <w:pStyle w:val="p1"/>
      </w:pPr>
      <w:proofErr w:type="spellStart"/>
      <w:r>
        <w:rPr>
          <w:rStyle w:val="s1"/>
        </w:rPr>
        <w:t>Horwitz</w:t>
      </w:r>
      <w:proofErr w:type="spellEnd"/>
      <w:r>
        <w:rPr>
          <w:rStyle w:val="s1"/>
        </w:rPr>
        <w:t xml:space="preserve">, A. V., &amp; Wakefield, J. C. (2007). </w:t>
      </w:r>
      <w:r>
        <w:rPr>
          <w:rStyle w:val="s2"/>
        </w:rPr>
        <w:t>The loss of sadness: How psychiatry transformed normal sorrow into depressive disorder</w:t>
      </w:r>
      <w:r>
        <w:rPr>
          <w:rStyle w:val="s1"/>
        </w:rPr>
        <w:t>. Oxford University Press.</w:t>
      </w:r>
    </w:p>
    <w:p w14:paraId="19E87F95" w14:textId="77777777" w:rsidR="00A51F1F" w:rsidRDefault="00A51F1F">
      <w:pPr>
        <w:pStyle w:val="p2"/>
      </w:pPr>
    </w:p>
    <w:p w14:paraId="07733360" w14:textId="77777777" w:rsidR="00A51F1F" w:rsidRDefault="00A51F1F">
      <w:pPr>
        <w:pStyle w:val="p1"/>
      </w:pPr>
      <w:r>
        <w:rPr>
          <w:rStyle w:val="s1"/>
        </w:rPr>
        <w:t xml:space="preserve">Jackson, S. W. (1986). Melancholia and depression: From Hippocratic times to modern times. </w:t>
      </w:r>
      <w:r>
        <w:rPr>
          <w:rStyle w:val="s2"/>
        </w:rPr>
        <w:t>Yale University Press</w:t>
      </w:r>
      <w:r>
        <w:rPr>
          <w:rStyle w:val="s1"/>
        </w:rPr>
        <w:t>.</w:t>
      </w:r>
    </w:p>
    <w:p w14:paraId="69869ED9" w14:textId="77777777" w:rsidR="00A51F1F" w:rsidRDefault="00A51F1F">
      <w:pPr>
        <w:pStyle w:val="p2"/>
      </w:pPr>
    </w:p>
    <w:p w14:paraId="6C88D4C7" w14:textId="77777777" w:rsidR="00A51F1F" w:rsidRDefault="00A51F1F">
      <w:pPr>
        <w:pStyle w:val="p1"/>
      </w:pPr>
      <w:proofErr w:type="spellStart"/>
      <w:r>
        <w:rPr>
          <w:rStyle w:val="s1"/>
        </w:rPr>
        <w:t>Kabat-Zinn</w:t>
      </w:r>
      <w:proofErr w:type="spellEnd"/>
      <w:r>
        <w:rPr>
          <w:rStyle w:val="s1"/>
        </w:rPr>
        <w:t xml:space="preserve">, J. (1990). </w:t>
      </w:r>
      <w:r>
        <w:rPr>
          <w:rStyle w:val="s2"/>
        </w:rPr>
        <w:t>Full catastrophe living</w:t>
      </w:r>
      <w:r>
        <w:rPr>
          <w:rStyle w:val="s1"/>
        </w:rPr>
        <w:t xml:space="preserve">. </w:t>
      </w:r>
      <w:proofErr w:type="spellStart"/>
      <w:r>
        <w:rPr>
          <w:rStyle w:val="s1"/>
        </w:rPr>
        <w:t>Delacorte</w:t>
      </w:r>
      <w:proofErr w:type="spellEnd"/>
      <w:r>
        <w:rPr>
          <w:rStyle w:val="s1"/>
        </w:rPr>
        <w:t>.</w:t>
      </w:r>
    </w:p>
    <w:p w14:paraId="5857D05A" w14:textId="77777777" w:rsidR="00A51F1F" w:rsidRDefault="00A51F1F">
      <w:pPr>
        <w:pStyle w:val="p2"/>
      </w:pPr>
    </w:p>
    <w:p w14:paraId="3BE0E27D" w14:textId="77777777" w:rsidR="00A51F1F" w:rsidRDefault="00A51F1F">
      <w:pPr>
        <w:pStyle w:val="p1"/>
      </w:pPr>
      <w:proofErr w:type="spellStart"/>
      <w:r>
        <w:rPr>
          <w:rStyle w:val="s1"/>
        </w:rPr>
        <w:t>Klerman</w:t>
      </w:r>
      <w:proofErr w:type="spellEnd"/>
      <w:r>
        <w:rPr>
          <w:rStyle w:val="s1"/>
        </w:rPr>
        <w:t xml:space="preserve">, G. L., </w:t>
      </w:r>
      <w:proofErr w:type="spellStart"/>
      <w:r>
        <w:rPr>
          <w:rStyle w:val="s1"/>
        </w:rPr>
        <w:t>Weissman</w:t>
      </w:r>
      <w:proofErr w:type="spellEnd"/>
      <w:r>
        <w:rPr>
          <w:rStyle w:val="s1"/>
        </w:rPr>
        <w:t xml:space="preserve">, M. M., </w:t>
      </w:r>
      <w:proofErr w:type="spellStart"/>
      <w:r>
        <w:rPr>
          <w:rStyle w:val="s1"/>
        </w:rPr>
        <w:t>Rounsaville</w:t>
      </w:r>
      <w:proofErr w:type="spellEnd"/>
      <w:r>
        <w:rPr>
          <w:rStyle w:val="s1"/>
        </w:rPr>
        <w:t xml:space="preserve">, B., &amp; Chevron, E. (1984). </w:t>
      </w:r>
      <w:r>
        <w:rPr>
          <w:rStyle w:val="s2"/>
        </w:rPr>
        <w:t>Interpersonal psychotherapy of depression</w:t>
      </w:r>
      <w:r>
        <w:rPr>
          <w:rStyle w:val="s1"/>
        </w:rPr>
        <w:t>. Basic Books.</w:t>
      </w:r>
    </w:p>
    <w:p w14:paraId="3D5DAE6D" w14:textId="77777777" w:rsidR="00A51F1F" w:rsidRDefault="00A51F1F">
      <w:pPr>
        <w:pStyle w:val="p2"/>
      </w:pPr>
    </w:p>
    <w:p w14:paraId="4DF95D58" w14:textId="77777777" w:rsidR="00A51F1F" w:rsidRDefault="00A51F1F">
      <w:pPr>
        <w:pStyle w:val="p1"/>
      </w:pPr>
      <w:proofErr w:type="spellStart"/>
      <w:r>
        <w:rPr>
          <w:rStyle w:val="s1"/>
        </w:rPr>
        <w:t>Kraepelin</w:t>
      </w:r>
      <w:proofErr w:type="spellEnd"/>
      <w:r>
        <w:rPr>
          <w:rStyle w:val="s1"/>
        </w:rPr>
        <w:t xml:space="preserve">, E. (1899). </w:t>
      </w:r>
      <w:proofErr w:type="spellStart"/>
      <w:r>
        <w:rPr>
          <w:rStyle w:val="s2"/>
        </w:rPr>
        <w:t>Psychiatrie</w:t>
      </w:r>
      <w:proofErr w:type="spellEnd"/>
      <w:r>
        <w:rPr>
          <w:rStyle w:val="s2"/>
        </w:rPr>
        <w:t xml:space="preserve">: </w:t>
      </w:r>
      <w:proofErr w:type="spellStart"/>
      <w:r>
        <w:rPr>
          <w:rStyle w:val="s2"/>
        </w:rPr>
        <w:t>Ein</w:t>
      </w:r>
      <w:proofErr w:type="spellEnd"/>
      <w:r>
        <w:rPr>
          <w:rStyle w:val="s2"/>
        </w:rPr>
        <w:t xml:space="preserve"> </w:t>
      </w:r>
      <w:proofErr w:type="spellStart"/>
      <w:r>
        <w:rPr>
          <w:rStyle w:val="s2"/>
        </w:rPr>
        <w:t>Lehrbuch</w:t>
      </w:r>
      <w:proofErr w:type="spellEnd"/>
      <w:r>
        <w:rPr>
          <w:rStyle w:val="s2"/>
        </w:rPr>
        <w:t xml:space="preserve"> </w:t>
      </w:r>
      <w:proofErr w:type="spellStart"/>
      <w:r>
        <w:rPr>
          <w:rStyle w:val="s2"/>
        </w:rPr>
        <w:t>für</w:t>
      </w:r>
      <w:proofErr w:type="spellEnd"/>
      <w:r>
        <w:rPr>
          <w:rStyle w:val="s2"/>
        </w:rPr>
        <w:t xml:space="preserve"> </w:t>
      </w:r>
      <w:proofErr w:type="spellStart"/>
      <w:r>
        <w:rPr>
          <w:rStyle w:val="s2"/>
        </w:rPr>
        <w:t>Studirende</w:t>
      </w:r>
      <w:proofErr w:type="spellEnd"/>
      <w:r>
        <w:rPr>
          <w:rStyle w:val="s2"/>
        </w:rPr>
        <w:t xml:space="preserve"> und </w:t>
      </w:r>
      <w:proofErr w:type="spellStart"/>
      <w:r>
        <w:rPr>
          <w:rStyle w:val="s2"/>
        </w:rPr>
        <w:t>Aerzte</w:t>
      </w:r>
      <w:proofErr w:type="spellEnd"/>
      <w:r>
        <w:rPr>
          <w:rStyle w:val="s1"/>
        </w:rPr>
        <w:t xml:space="preserve"> (6th ed.). Barth.</w:t>
      </w:r>
    </w:p>
    <w:p w14:paraId="727ED953" w14:textId="77777777" w:rsidR="00A51F1F" w:rsidRDefault="00A51F1F">
      <w:pPr>
        <w:pStyle w:val="p2"/>
      </w:pPr>
    </w:p>
    <w:p w14:paraId="076435A0" w14:textId="77777777" w:rsidR="00A51F1F" w:rsidRDefault="00A51F1F">
      <w:pPr>
        <w:pStyle w:val="p1"/>
      </w:pPr>
      <w:r>
        <w:rPr>
          <w:rStyle w:val="s1"/>
        </w:rPr>
        <w:t xml:space="preserve">Kramer, P. D. (1993). </w:t>
      </w:r>
      <w:r>
        <w:rPr>
          <w:rStyle w:val="s2"/>
        </w:rPr>
        <w:t>Listening to Prozac</w:t>
      </w:r>
      <w:r>
        <w:rPr>
          <w:rStyle w:val="s1"/>
        </w:rPr>
        <w:t>. Viking.</w:t>
      </w:r>
    </w:p>
    <w:p w14:paraId="2A69E0F7" w14:textId="77777777" w:rsidR="00A51F1F" w:rsidRDefault="00A51F1F">
      <w:pPr>
        <w:pStyle w:val="p2"/>
      </w:pPr>
    </w:p>
    <w:p w14:paraId="3AE83328" w14:textId="77777777" w:rsidR="00A51F1F" w:rsidRDefault="00A51F1F">
      <w:pPr>
        <w:pStyle w:val="p1"/>
      </w:pPr>
      <w:proofErr w:type="spellStart"/>
      <w:r>
        <w:rPr>
          <w:rStyle w:val="s1"/>
        </w:rPr>
        <w:t>Midelfort</w:t>
      </w:r>
      <w:proofErr w:type="spellEnd"/>
      <w:r>
        <w:rPr>
          <w:rStyle w:val="s1"/>
        </w:rPr>
        <w:t xml:space="preserve">, H. C. E. (1999). </w:t>
      </w:r>
      <w:r>
        <w:rPr>
          <w:rStyle w:val="s2"/>
        </w:rPr>
        <w:t>A history of madness in sixteenth-century Germany</w:t>
      </w:r>
      <w:r>
        <w:rPr>
          <w:rStyle w:val="s1"/>
        </w:rPr>
        <w:t>. Stanford University Press.</w:t>
      </w:r>
    </w:p>
    <w:p w14:paraId="78FF4DAF" w14:textId="77777777" w:rsidR="00A51F1F" w:rsidRDefault="00A51F1F">
      <w:pPr>
        <w:pStyle w:val="p2"/>
      </w:pPr>
    </w:p>
    <w:p w14:paraId="75542FB4" w14:textId="77777777" w:rsidR="00A51F1F" w:rsidRDefault="00A51F1F">
      <w:pPr>
        <w:pStyle w:val="p1"/>
      </w:pPr>
      <w:r>
        <w:rPr>
          <w:rStyle w:val="s1"/>
        </w:rPr>
        <w:t xml:space="preserve">National Institute for Health and Care Excellence. (2022). </w:t>
      </w:r>
      <w:r>
        <w:rPr>
          <w:rStyle w:val="s2"/>
        </w:rPr>
        <w:t>Depression in adults: Treatment and management</w:t>
      </w:r>
      <w:r>
        <w:rPr>
          <w:rStyle w:val="s1"/>
        </w:rPr>
        <w:t xml:space="preserve"> (NICE Guideline NG222). https://www.nice.org.uk/guidance/ng222</w:t>
      </w:r>
    </w:p>
    <w:p w14:paraId="39B6F345" w14:textId="77777777" w:rsidR="00A51F1F" w:rsidRDefault="00A51F1F">
      <w:pPr>
        <w:pStyle w:val="p2"/>
      </w:pPr>
    </w:p>
    <w:p w14:paraId="3A9F60AE" w14:textId="77777777" w:rsidR="00A51F1F" w:rsidRDefault="00A51F1F">
      <w:pPr>
        <w:pStyle w:val="p1"/>
      </w:pPr>
      <w:proofErr w:type="spellStart"/>
      <w:r>
        <w:rPr>
          <w:rStyle w:val="s1"/>
        </w:rPr>
        <w:t>Nutton</w:t>
      </w:r>
      <w:proofErr w:type="spellEnd"/>
      <w:r>
        <w:rPr>
          <w:rStyle w:val="s1"/>
        </w:rPr>
        <w:t xml:space="preserve">, V. (2013). </w:t>
      </w:r>
      <w:r>
        <w:rPr>
          <w:rStyle w:val="s2"/>
        </w:rPr>
        <w:t>Ancient medicine</w:t>
      </w:r>
      <w:r>
        <w:rPr>
          <w:rStyle w:val="s1"/>
        </w:rPr>
        <w:t xml:space="preserve"> (2nd ed.). </w:t>
      </w:r>
      <w:proofErr w:type="spellStart"/>
      <w:r>
        <w:rPr>
          <w:rStyle w:val="s1"/>
        </w:rPr>
        <w:t>Routledge</w:t>
      </w:r>
      <w:proofErr w:type="spellEnd"/>
      <w:r>
        <w:rPr>
          <w:rStyle w:val="s1"/>
        </w:rPr>
        <w:t>.</w:t>
      </w:r>
    </w:p>
    <w:p w14:paraId="0F4CB90C" w14:textId="77777777" w:rsidR="00A51F1F" w:rsidRDefault="00A51F1F">
      <w:pPr>
        <w:pStyle w:val="p2"/>
      </w:pPr>
    </w:p>
    <w:p w14:paraId="0D63BFEE" w14:textId="77777777" w:rsidR="00A51F1F" w:rsidRDefault="00A51F1F">
      <w:pPr>
        <w:pStyle w:val="p1"/>
      </w:pPr>
      <w:r>
        <w:rPr>
          <w:rStyle w:val="s1"/>
        </w:rPr>
        <w:t xml:space="preserve">Porter, R. (2002). </w:t>
      </w:r>
      <w:r>
        <w:rPr>
          <w:rStyle w:val="s2"/>
        </w:rPr>
        <w:t>Madness: A brief history</w:t>
      </w:r>
      <w:r>
        <w:rPr>
          <w:rStyle w:val="s1"/>
        </w:rPr>
        <w:t>. Oxford University Press.</w:t>
      </w:r>
    </w:p>
    <w:p w14:paraId="46C6B446" w14:textId="77777777" w:rsidR="00A51F1F" w:rsidRDefault="00A51F1F">
      <w:pPr>
        <w:pStyle w:val="p2"/>
      </w:pPr>
    </w:p>
    <w:p w14:paraId="4FFEBEB7" w14:textId="77777777" w:rsidR="00A51F1F" w:rsidRDefault="00A51F1F">
      <w:pPr>
        <w:pStyle w:val="p1"/>
      </w:pPr>
      <w:proofErr w:type="spellStart"/>
      <w:r>
        <w:rPr>
          <w:rStyle w:val="s1"/>
        </w:rPr>
        <w:t>Radden</w:t>
      </w:r>
      <w:proofErr w:type="spellEnd"/>
      <w:r>
        <w:rPr>
          <w:rStyle w:val="s1"/>
        </w:rPr>
        <w:t xml:space="preserve">, J. (2000). </w:t>
      </w:r>
      <w:r>
        <w:rPr>
          <w:rStyle w:val="s2"/>
        </w:rPr>
        <w:t xml:space="preserve">The nature of melancholy: From Aristotle to </w:t>
      </w:r>
      <w:proofErr w:type="spellStart"/>
      <w:r>
        <w:rPr>
          <w:rStyle w:val="s2"/>
        </w:rPr>
        <w:t>Kristeva</w:t>
      </w:r>
      <w:proofErr w:type="spellEnd"/>
      <w:r>
        <w:rPr>
          <w:rStyle w:val="s1"/>
        </w:rPr>
        <w:t>. Oxford University Press.</w:t>
      </w:r>
    </w:p>
    <w:p w14:paraId="7AE751C9" w14:textId="77777777" w:rsidR="00A51F1F" w:rsidRDefault="00A51F1F">
      <w:pPr>
        <w:pStyle w:val="p2"/>
      </w:pPr>
    </w:p>
    <w:p w14:paraId="17398E06" w14:textId="77777777" w:rsidR="00A51F1F" w:rsidRDefault="00A51F1F">
      <w:pPr>
        <w:pStyle w:val="p1"/>
      </w:pPr>
      <w:r>
        <w:rPr>
          <w:rStyle w:val="s1"/>
        </w:rPr>
        <w:t xml:space="preserve">Scull, A. (2015). </w:t>
      </w:r>
      <w:r>
        <w:rPr>
          <w:rStyle w:val="s2"/>
        </w:rPr>
        <w:t xml:space="preserve">Madness in </w:t>
      </w:r>
      <w:proofErr w:type="spellStart"/>
      <w:r>
        <w:rPr>
          <w:rStyle w:val="s2"/>
        </w:rPr>
        <w:t>civilization</w:t>
      </w:r>
      <w:proofErr w:type="spellEnd"/>
      <w:r>
        <w:rPr>
          <w:rStyle w:val="s1"/>
        </w:rPr>
        <w:t>. Princeton University Press.</w:t>
      </w:r>
    </w:p>
    <w:p w14:paraId="160A355A" w14:textId="77777777" w:rsidR="00A51F1F" w:rsidRDefault="00A51F1F">
      <w:pPr>
        <w:pStyle w:val="p2"/>
      </w:pPr>
    </w:p>
    <w:p w14:paraId="20AD87E0" w14:textId="77777777" w:rsidR="00A51F1F" w:rsidRDefault="00A51F1F">
      <w:pPr>
        <w:pStyle w:val="p1"/>
      </w:pPr>
      <w:r>
        <w:rPr>
          <w:rStyle w:val="s1"/>
        </w:rPr>
        <w:t xml:space="preserve">Shorter, E. (1997). </w:t>
      </w:r>
      <w:r>
        <w:rPr>
          <w:rStyle w:val="s2"/>
        </w:rPr>
        <w:t>A history of psychiatry: From the era of the asylum to the age of Prozac</w:t>
      </w:r>
      <w:r>
        <w:rPr>
          <w:rStyle w:val="s1"/>
        </w:rPr>
        <w:t>. John Wiley &amp; Sons.</w:t>
      </w:r>
    </w:p>
    <w:p w14:paraId="3C426F79" w14:textId="77777777" w:rsidR="00A51F1F" w:rsidRDefault="00A51F1F">
      <w:pPr>
        <w:pStyle w:val="p2"/>
      </w:pPr>
    </w:p>
    <w:p w14:paraId="5BBB394A" w14:textId="77777777" w:rsidR="00A51F1F" w:rsidRDefault="00A51F1F">
      <w:pPr>
        <w:pStyle w:val="p1"/>
      </w:pPr>
      <w:r>
        <w:rPr>
          <w:rStyle w:val="s1"/>
        </w:rPr>
        <w:t xml:space="preserve">Weiner, D. B. (1992). </w:t>
      </w:r>
      <w:r>
        <w:rPr>
          <w:rStyle w:val="s2"/>
        </w:rPr>
        <w:t>The illusion of reality: A history of the human sciences</w:t>
      </w:r>
      <w:r>
        <w:rPr>
          <w:rStyle w:val="s1"/>
        </w:rPr>
        <w:t>. Transaction Publishers.</w:t>
      </w:r>
    </w:p>
    <w:p w14:paraId="224F1335" w14:textId="77777777" w:rsidR="00A51F1F" w:rsidRDefault="00A51F1F"/>
    <w:sectPr w:rsidR="00A51F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9F1"/>
    <w:rsid w:val="006B526D"/>
    <w:rsid w:val="007042B4"/>
    <w:rsid w:val="0077423B"/>
    <w:rsid w:val="00A51F1F"/>
    <w:rsid w:val="00B929F1"/>
    <w:rsid w:val="00D26731"/>
    <w:rsid w:val="00D75730"/>
    <w:rsid w:val="00F6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F26B5"/>
  <w15:chartTrackingRefBased/>
  <w15:docId w15:val="{089565B1-E457-AB4D-B667-5A70D5EE4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29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29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29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29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29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29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29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29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29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9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29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29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29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29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29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29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29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29F1"/>
    <w:rPr>
      <w:rFonts w:eastAsiaTheme="majorEastAsia" w:cstheme="majorBidi"/>
      <w:color w:val="272727" w:themeColor="text1" w:themeTint="D8"/>
    </w:rPr>
  </w:style>
  <w:style w:type="paragraph" w:styleId="Title">
    <w:name w:val="Title"/>
    <w:basedOn w:val="Normal"/>
    <w:next w:val="Normal"/>
    <w:link w:val="TitleChar"/>
    <w:uiPriority w:val="10"/>
    <w:qFormat/>
    <w:rsid w:val="00B929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29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29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29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29F1"/>
    <w:pPr>
      <w:spacing w:before="160"/>
      <w:jc w:val="center"/>
    </w:pPr>
    <w:rPr>
      <w:i/>
      <w:iCs/>
      <w:color w:val="404040" w:themeColor="text1" w:themeTint="BF"/>
    </w:rPr>
  </w:style>
  <w:style w:type="character" w:customStyle="1" w:styleId="QuoteChar">
    <w:name w:val="Quote Char"/>
    <w:basedOn w:val="DefaultParagraphFont"/>
    <w:link w:val="Quote"/>
    <w:uiPriority w:val="29"/>
    <w:rsid w:val="00B929F1"/>
    <w:rPr>
      <w:i/>
      <w:iCs/>
      <w:color w:val="404040" w:themeColor="text1" w:themeTint="BF"/>
    </w:rPr>
  </w:style>
  <w:style w:type="paragraph" w:styleId="ListParagraph">
    <w:name w:val="List Paragraph"/>
    <w:basedOn w:val="Normal"/>
    <w:uiPriority w:val="34"/>
    <w:qFormat/>
    <w:rsid w:val="00B929F1"/>
    <w:pPr>
      <w:ind w:left="720"/>
      <w:contextualSpacing/>
    </w:pPr>
  </w:style>
  <w:style w:type="character" w:styleId="IntenseEmphasis">
    <w:name w:val="Intense Emphasis"/>
    <w:basedOn w:val="DefaultParagraphFont"/>
    <w:uiPriority w:val="21"/>
    <w:qFormat/>
    <w:rsid w:val="00B929F1"/>
    <w:rPr>
      <w:i/>
      <w:iCs/>
      <w:color w:val="0F4761" w:themeColor="accent1" w:themeShade="BF"/>
    </w:rPr>
  </w:style>
  <w:style w:type="paragraph" w:styleId="IntenseQuote">
    <w:name w:val="Intense Quote"/>
    <w:basedOn w:val="Normal"/>
    <w:next w:val="Normal"/>
    <w:link w:val="IntenseQuoteChar"/>
    <w:uiPriority w:val="30"/>
    <w:qFormat/>
    <w:rsid w:val="00B929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29F1"/>
    <w:rPr>
      <w:i/>
      <w:iCs/>
      <w:color w:val="0F4761" w:themeColor="accent1" w:themeShade="BF"/>
    </w:rPr>
  </w:style>
  <w:style w:type="character" w:styleId="IntenseReference">
    <w:name w:val="Intense Reference"/>
    <w:basedOn w:val="DefaultParagraphFont"/>
    <w:uiPriority w:val="32"/>
    <w:qFormat/>
    <w:rsid w:val="00B929F1"/>
    <w:rPr>
      <w:b/>
      <w:bCs/>
      <w:smallCaps/>
      <w:color w:val="0F4761" w:themeColor="accent1" w:themeShade="BF"/>
      <w:spacing w:val="5"/>
    </w:rPr>
  </w:style>
  <w:style w:type="character" w:customStyle="1" w:styleId="s1">
    <w:name w:val="s1"/>
    <w:basedOn w:val="DefaultParagraphFont"/>
    <w:rsid w:val="00B929F1"/>
  </w:style>
  <w:style w:type="paragraph" w:customStyle="1" w:styleId="p2">
    <w:name w:val="p2"/>
    <w:basedOn w:val="Normal"/>
    <w:rsid w:val="00B929F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B929F1"/>
  </w:style>
  <w:style w:type="paragraph" w:customStyle="1" w:styleId="p3">
    <w:name w:val="p3"/>
    <w:basedOn w:val="Normal"/>
    <w:rsid w:val="00B929F1"/>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B929F1"/>
  </w:style>
  <w:style w:type="paragraph" w:customStyle="1" w:styleId="p1">
    <w:name w:val="p1"/>
    <w:basedOn w:val="Normal"/>
    <w:rsid w:val="00A51F1F"/>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2376</Words>
  <Characters>13545</Characters>
  <Application>Microsoft Office Word</Application>
  <DocSecurity>0</DocSecurity>
  <Lines>112</Lines>
  <Paragraphs>31</Paragraphs>
  <ScaleCrop>false</ScaleCrop>
  <Company/>
  <LinksUpToDate>false</LinksUpToDate>
  <CharactersWithSpaces>15890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Richards</dc:creator>
  <cp:keywords/>
  <dc:description/>
  <cp:lastModifiedBy>Chantelle Richards</cp:lastModifiedBy>
  <cp:revision>2</cp:revision>
  <dcterms:created xsi:type="dcterms:W3CDTF">2025-12-09T10:14:00Z</dcterms:created>
  <dcterms:modified xsi:type="dcterms:W3CDTF">2025-12-09T10:14:00Z</dcterms:modified>
</cp:coreProperties>
</file>